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620" w:right="1280" w:hanging="306"/>
        <w:spacing w:after="0" w:line="256" w:lineRule="auto"/>
        <w:tabs>
          <w:tab w:leader="none" w:pos="6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60" w:hanging="326"/>
        <w:spacing w:after="0" w:line="256" w:lineRule="auto"/>
        <w:tabs>
          <w:tab w:leader="none" w:pos="6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2960"/>
        <w:spacing w:after="0"/>
        <w:tabs>
          <w:tab w:leader="none" w:pos="6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001-34187</w:t>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Matson,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18"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4360" w:type="dxa"/>
            <w:vAlign w:val="bottom"/>
          </w:tcPr>
          <w:p>
            <w:pPr>
              <w:jc w:val="center"/>
              <w:ind w:right="1450"/>
              <w:spacing w:after="0"/>
              <w:rPr>
                <w:sz w:val="20"/>
                <w:szCs w:val="20"/>
                <w:color w:val="auto"/>
              </w:rPr>
            </w:pPr>
            <w:r>
              <w:rPr>
                <w:rFonts w:ascii="Arial" w:cs="Arial" w:eastAsia="Arial" w:hAnsi="Arial"/>
                <w:sz w:val="18"/>
                <w:szCs w:val="18"/>
                <w:b w:val="1"/>
                <w:bCs w:val="1"/>
                <w:color w:val="auto"/>
                <w:w w:val="94"/>
              </w:rPr>
              <w:t>Hawaii</w:t>
            </w:r>
          </w:p>
        </w:tc>
        <w:tc>
          <w:tcPr>
            <w:tcW w:w="2820" w:type="dxa"/>
            <w:vAlign w:val="bottom"/>
          </w:tcPr>
          <w:p>
            <w:pPr>
              <w:jc w:val="right"/>
              <w:ind w:right="13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4360" w:type="dxa"/>
            <w:vAlign w:val="bottom"/>
          </w:tcPr>
          <w:p>
            <w:pPr>
              <w:jc w:val="center"/>
              <w:ind w:right="1450"/>
              <w:spacing w:after="0" w:line="189" w:lineRule="exact"/>
              <w:rPr>
                <w:sz w:val="20"/>
                <w:szCs w:val="20"/>
                <w:color w:val="auto"/>
              </w:rPr>
            </w:pPr>
            <w:r>
              <w:rPr>
                <w:rFonts w:ascii="Arial" w:cs="Arial" w:eastAsia="Arial" w:hAnsi="Arial"/>
                <w:sz w:val="18"/>
                <w:szCs w:val="18"/>
                <w:color w:val="auto"/>
                <w:w w:val="93"/>
              </w:rPr>
              <w:t>(State or other jurisdiction of</w:t>
            </w:r>
          </w:p>
        </w:tc>
        <w:tc>
          <w:tcPr>
            <w:tcW w:w="2820" w:type="dxa"/>
            <w:vAlign w:val="bottom"/>
          </w:tcPr>
          <w:p>
            <w:pPr>
              <w:jc w:val="center"/>
              <w:ind w:left="141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4360" w:type="dxa"/>
            <w:vAlign w:val="bottom"/>
          </w:tcPr>
          <w:p>
            <w:pPr>
              <w:jc w:val="center"/>
              <w:ind w:right="1470"/>
              <w:spacing w:after="0"/>
              <w:rPr>
                <w:sz w:val="20"/>
                <w:szCs w:val="20"/>
                <w:color w:val="auto"/>
              </w:rPr>
            </w:pPr>
            <w:r>
              <w:rPr>
                <w:rFonts w:ascii="Arial" w:cs="Arial" w:eastAsia="Arial" w:hAnsi="Arial"/>
                <w:sz w:val="18"/>
                <w:szCs w:val="18"/>
                <w:color w:val="auto"/>
                <w:w w:val="92"/>
              </w:rPr>
              <w:t>incorporation or organization)</w:t>
            </w:r>
          </w:p>
        </w:tc>
        <w:tc>
          <w:tcPr>
            <w:tcW w:w="2820" w:type="dxa"/>
            <w:vAlign w:val="bottom"/>
          </w:tcPr>
          <w:p>
            <w:pPr>
              <w:jc w:val="center"/>
              <w:ind w:left="139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436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1411 Sand Island Parkway</w:t>
            </w:r>
          </w:p>
        </w:tc>
        <w:tc>
          <w:tcPr>
            <w:tcW w:w="2820" w:type="dxa"/>
            <w:vAlign w:val="bottom"/>
          </w:tcPr>
          <w:p>
            <w:pPr>
              <w:spacing w:after="0"/>
              <w:rPr>
                <w:sz w:val="24"/>
                <w:szCs w:val="24"/>
                <w:color w:val="auto"/>
              </w:rPr>
            </w:pPr>
          </w:p>
        </w:tc>
      </w:tr>
      <w:tr>
        <w:trPr>
          <w:trHeight w:val="193"/>
        </w:trPr>
        <w:tc>
          <w:tcPr>
            <w:tcW w:w="4360" w:type="dxa"/>
            <w:vAlign w:val="bottom"/>
          </w:tcPr>
          <w:p>
            <w:pPr>
              <w:jc w:val="center"/>
              <w:ind w:right="1450"/>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820" w:type="dxa"/>
            <w:vAlign w:val="bottom"/>
          </w:tcPr>
          <w:p>
            <w:pPr>
              <w:jc w:val="right"/>
              <w:ind w:right="35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436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2820" w:type="dxa"/>
            <w:vAlign w:val="bottom"/>
          </w:tcPr>
          <w:p>
            <w:pPr>
              <w:jc w:val="center"/>
              <w:ind w:left="141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MATX</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61"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5" w:right="819" w:bottom="1440" w:gutter="0" w:footer="0" w:header="0"/>
        </w:sectPr>
      </w:pPr>
    </w:p>
    <w:p>
      <w:pPr>
        <w:spacing w:after="0" w:line="83" w:lineRule="exact"/>
        <w:rPr>
          <w:sz w:val="24"/>
          <w:szCs w:val="24"/>
          <w:color w:val="auto"/>
        </w:rPr>
      </w:pPr>
    </w:p>
    <w:p>
      <w:pPr>
        <w:ind w:left="166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p>
      <w:pPr>
        <w:spacing w:after="0" w:line="56" w:lineRule="exact"/>
        <w:rPr>
          <w:sz w:val="24"/>
          <w:szCs w:val="24"/>
          <w:color w:val="auto"/>
        </w:rPr>
      </w:pPr>
    </w:p>
    <w:p>
      <w:pPr>
        <w:sectPr>
          <w:pgSz w:w="11900" w:h="16838" w:orient="portrait"/>
          <w:cols w:equalWidth="0" w:num="2">
            <w:col w:w="6260" w:space="720"/>
            <w:col w:w="3260"/>
          </w:cols>
          <w:pgMar w:left="840" w:top="665" w:right="819" w:bottom="1440" w:gutter="0" w:footer="0" w:header="0"/>
          <w:type w:val="continuous"/>
        </w:sectPr>
      </w:pPr>
    </w:p>
    <w:p>
      <w:pPr>
        <w:ind w:left="1700"/>
        <w:spacing w:after="0" w:line="215" w:lineRule="exact"/>
        <w:rPr>
          <w:sz w:val="20"/>
          <w:szCs w:val="20"/>
          <w:color w:val="auto"/>
        </w:rPr>
      </w:pP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69" w:lineRule="exact"/>
        <w:rPr>
          <w:sz w:val="24"/>
          <w:szCs w:val="24"/>
          <w:color w:val="auto"/>
        </w:rPr>
      </w:pPr>
    </w:p>
    <w:p>
      <w:pPr>
        <w:sectPr>
          <w:pgSz w:w="11900" w:h="16838" w:orient="portrait"/>
          <w:cols w:equalWidth="0" w:num="2">
            <w:col w:w="5860" w:space="720"/>
            <w:col w:w="3660"/>
          </w:cols>
          <w:pgMar w:left="840" w:top="665" w:right="819" w:bottom="1440" w:gutter="0" w:footer="0" w:header="0"/>
          <w:type w:val="continuous"/>
        </w:sectPr>
      </w:pPr>
    </w:p>
    <w:p>
      <w:pPr>
        <w:ind w:left="6580"/>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240"/>
          </w:cols>
          <w:pgMar w:left="840" w:top="665" w:right="819" w:bottom="1440" w:gutter="0" w:footer="0" w:header="0"/>
          <w:type w:val="continuous"/>
        </w:sectPr>
      </w:pPr>
    </w:p>
    <w:p>
      <w:pPr>
        <w:spacing w:after="0" w:line="102" w:lineRule="exact"/>
        <w:rPr>
          <w:sz w:val="24"/>
          <w:szCs w:val="24"/>
          <w:color w:val="auto"/>
        </w:rPr>
      </w:pPr>
    </w:p>
    <w:p>
      <w:pPr>
        <w:ind w:right="20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ind w:right="100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Number of shares of common stock outstanding as of June 30, 2022: 38,981,142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60325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94615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5" w:right="8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80" w:type="dxa"/>
            <w:vAlign w:val="bottom"/>
            <w:gridSpan w:val="12"/>
          </w:tcPr>
          <w:p>
            <w:pPr>
              <w:jc w:val="center"/>
              <w:ind w:right="1720"/>
              <w:spacing w:after="0"/>
              <w:rPr>
                <w:sz w:val="20"/>
                <w:szCs w:val="20"/>
                <w:color w:val="auto"/>
              </w:rPr>
            </w:pPr>
            <w:r>
              <w:rPr>
                <w:rFonts w:ascii="Arial" w:cs="Arial" w:eastAsia="Arial" w:hAnsi="Arial"/>
                <w:sz w:val="18"/>
                <w:szCs w:val="18"/>
                <w:b w:val="1"/>
                <w:bCs w:val="1"/>
                <w:color w:val="auto"/>
                <w:w w:val="99"/>
              </w:rPr>
              <w:t>MATSON, INC. AND SUBSIDIARIES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08"/>
        </w:trPr>
        <w:tc>
          <w:tcPr>
            <w:tcW w:w="240" w:type="dxa"/>
            <w:vAlign w:val="bottom"/>
            <w:vMerge w:val="restart"/>
          </w:tcPr>
          <w:p>
            <w:pPr>
              <w:spacing w:after="0"/>
              <w:rPr>
                <w:sz w:val="9"/>
                <w:szCs w:val="9"/>
                <w:color w:val="auto"/>
              </w:rPr>
            </w:pPr>
          </w:p>
        </w:tc>
        <w:tc>
          <w:tcPr>
            <w:tcW w:w="7620" w:type="dxa"/>
            <w:vAlign w:val="bottom"/>
            <w:gridSpan w:val="20"/>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0" w:type="dxa"/>
            <w:vAlign w:val="bottom"/>
            <w:vMerge w:val="continue"/>
          </w:tcPr>
          <w:p>
            <w:pPr>
              <w:spacing w:after="0"/>
              <w:rPr>
                <w:sz w:val="13"/>
                <w:szCs w:val="13"/>
                <w:color w:val="auto"/>
              </w:rPr>
            </w:pPr>
          </w:p>
        </w:tc>
        <w:tc>
          <w:tcPr>
            <w:tcW w:w="7620" w:type="dxa"/>
            <w:vAlign w:val="bottom"/>
            <w:gridSpan w:val="20"/>
            <w:vMerge w:val="continue"/>
          </w:tcPr>
          <w:p>
            <w:pPr>
              <w:spacing w:after="0"/>
              <w:rPr>
                <w:sz w:val="13"/>
                <w:szCs w:val="13"/>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40" w:type="dxa"/>
            <w:vAlign w:val="bottom"/>
          </w:tcPr>
          <w:p>
            <w:pPr>
              <w:spacing w:after="0"/>
              <w:rPr>
                <w:sz w:val="24"/>
                <w:szCs w:val="24"/>
                <w:color w:val="auto"/>
              </w:rPr>
            </w:pPr>
          </w:p>
        </w:tc>
        <w:tc>
          <w:tcPr>
            <w:tcW w:w="7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8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and Comprehensive Income</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1380" w:type="dxa"/>
            <w:vAlign w:val="bottom"/>
            <w:gridSpan w:val="2"/>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Shareholders’ Equity</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the Condensed Consolidated Financial Statements</w:t>
              </w:r>
            </w:hyperlink>
          </w:p>
        </w:tc>
        <w:tc>
          <w:tcPr>
            <w:tcW w:w="120" w:type="dxa"/>
            <w:vAlign w:val="bottom"/>
            <w:tcBorders>
              <w:top w:val="single" w:sz="8" w:color="0000EE"/>
            </w:tcBorders>
            <w:gridSpan w:val="3"/>
          </w:tcPr>
          <w:p>
            <w:pPr>
              <w:spacing w:after="0"/>
              <w:rPr>
                <w:sz w:val="17"/>
                <w:szCs w:val="17"/>
                <w:color w:val="auto"/>
              </w:rPr>
            </w:pPr>
          </w:p>
        </w:tc>
        <w:tc>
          <w:tcPr>
            <w:tcW w:w="2460" w:type="dxa"/>
            <w:vAlign w:val="bottom"/>
            <w:gridSpan w:val="3"/>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6840" w:type="dxa"/>
            <w:vAlign w:val="bottom"/>
            <w:gridSpan w:val="17"/>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Management’s Discussion and Analysis of Financial Condition and Results of Operations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254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Part II—OTHER INFORMATION</w:t>
              </w:r>
            </w:hyperlink>
          </w:p>
        </w:tc>
        <w:tc>
          <w:tcPr>
            <w:tcW w:w="5080" w:type="dxa"/>
            <w:vAlign w:val="bottom"/>
            <w:gridSpan w:val="12"/>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78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w:t>
              </w:r>
            </w:hyperlink>
          </w:p>
        </w:tc>
        <w:tc>
          <w:tcPr>
            <w:tcW w:w="684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1A.</w:t>
              </w:r>
            </w:hyperlink>
          </w:p>
        </w:tc>
        <w:tc>
          <w:tcPr>
            <w:tcW w:w="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5940" w:type="dxa"/>
            <w:vAlign w:val="bottom"/>
            <w:gridSpan w:val="14"/>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0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54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445"/>
        </w:trPr>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500" w:right="1540"/>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8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Six Months Ended</w:t>
            </w:r>
          </w:p>
        </w:tc>
        <w:tc>
          <w:tcPr>
            <w:tcW w:w="0" w:type="dxa"/>
            <w:vAlign w:val="bottom"/>
          </w:tcPr>
          <w:p>
            <w:pPr>
              <w:spacing w:after="0"/>
              <w:rPr>
                <w:sz w:val="1"/>
                <w:szCs w:val="1"/>
                <w:color w:val="auto"/>
              </w:rPr>
            </w:pPr>
          </w:p>
        </w:tc>
      </w:tr>
      <w:tr>
        <w:trPr>
          <w:trHeight w:val="234"/>
        </w:trPr>
        <w:tc>
          <w:tcPr>
            <w:tcW w:w="5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 millions, except per share amounts)</w:t>
            </w:r>
          </w:p>
        </w:tc>
        <w:tc>
          <w:tcPr>
            <w:tcW w:w="1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4"/>
              </w:rPr>
              <w:t>2021</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1,049.2</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682.9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1,993.1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1,243.4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1,261.1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(615.6)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(1,432.1)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(1,160.3)</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20"/>
              <w:spacing w:after="0"/>
              <w:rPr>
                <w:sz w:val="20"/>
                <w:szCs w:val="20"/>
                <w:color w:val="auto"/>
              </w:rPr>
            </w:pPr>
            <w:r>
              <w:rPr>
                <w:rFonts w:ascii="Arial" w:cs="Arial" w:eastAsia="Arial" w:hAnsi="Arial"/>
                <w:sz w:val="18"/>
                <w:szCs w:val="18"/>
                <w:color w:val="auto"/>
              </w:rPr>
              <w:t>Income from SSAT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(768.0)</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(661.0)</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(1,500.9)</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(1,252.6)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2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(109.7)</w:t>
            </w: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380.7</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162.5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719.9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34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net loss (gain)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340"/>
              <w:spacing w:after="0"/>
              <w:rPr>
                <w:sz w:val="20"/>
                <w:szCs w:val="20"/>
                <w:color w:val="auto"/>
              </w:rPr>
            </w:pPr>
            <w:r>
              <w:rPr>
                <w:rFonts w:ascii="Arial" w:cs="Arial" w:eastAsia="Arial" w:hAnsi="Arial"/>
                <w:sz w:val="18"/>
                <w:szCs w:val="18"/>
                <w:color w:val="auto"/>
              </w:rPr>
              <w:t>Other adjustments</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9.54</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17.82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9"/>
              </w:rPr>
              <w:t>Accounts receivable, net of allowance for credit losses of $10.9 million and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$10.1 million, respectively</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Assets: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Investment in SSAT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dry-docking costs,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assets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3,045.9</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4,158.6</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3,693.1</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Current portion of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and accruals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Long-term debt, net of deferred loan fees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1,392.9</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13)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net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1,841.2</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4,158.6</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40" w:type="dxa"/>
            <w:vAlign w:val="bottom"/>
            <w:gridSpan w:val="6"/>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719.9</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Reconciling adjustments: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operating lease right of use 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Income from SSAT</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(58.7)</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Distribution from SSAT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(0.7)</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(37.6)</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dry-docking payments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Deferred dry-docking amortization</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(48.3)</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Accounts payable, accruals and other liabilities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(74.2)</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Capitalized vessel construction expenditures</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(11.4)</w:t>
            </w:r>
          </w:p>
        </w:tc>
        <w:tc>
          <w:tcPr>
            <w:tcW w:w="1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capital expenditures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(68.4)</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Proceeds from disposal of property and equipment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deposits into Capital Construction Fund</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Withdrawals from Capital Construction Fund</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Repayments of debt</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(32.5)</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revolving credit facility</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(313.7)</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Payment of financing costs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2"/>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Dividends paid</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(25.0)</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Repurchase of Matson common stock</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(208.5)</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(19.5)</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614.3</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Reconciliation of Cash, Cash Equivalents and Restricted Cash, End of the Period: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609.0</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Cash, Cash Equivalents and Restricted Cash, End of the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614.3</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0"/>
              <w:spacing w:after="0"/>
              <w:rPr>
                <w:sz w:val="20"/>
                <w:szCs w:val="20"/>
                <w:color w:val="auto"/>
              </w:rPr>
            </w:pPr>
            <w:r>
              <w:rPr>
                <w:rFonts w:ascii="Arial" w:cs="Arial" w:eastAsia="Arial" w:hAnsi="Arial"/>
                <w:sz w:val="16"/>
                <w:szCs w:val="16"/>
                <w:color w:val="auto"/>
              </w:rPr>
              <w:t>Supplemental Cash Flow Information: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Income tax payments, net of refunds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211.7</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0"/>
              <w:spacing w:after="0"/>
              <w:rPr>
                <w:sz w:val="20"/>
                <w:szCs w:val="20"/>
                <w:color w:val="auto"/>
              </w:rPr>
            </w:pPr>
            <w:r>
              <w:rPr>
                <w:rFonts w:ascii="Arial" w:cs="Arial" w:eastAsia="Arial" w:hAnsi="Arial"/>
                <w:sz w:val="16"/>
                <w:szCs w:val="16"/>
                <w:color w:val="auto"/>
              </w:rPr>
              <w:t>Non-cash Information: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Accrued dividends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12.4</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9019"/>
          </w:cols>
          <w:pgMar w:left="1440" w:top="517" w:right="1440" w:bottom="1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135"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21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Shareholders’ Equity </w:t>
      </w:r>
      <w:r>
        <w:rPr>
          <w:rFonts w:ascii="Arial" w:cs="Arial" w:eastAsia="Arial" w:hAnsi="Arial"/>
          <w:sz w:val="18"/>
          <w:szCs w:val="18"/>
          <w:color w:val="auto"/>
        </w:rPr>
        <w:t>(Unaudited)</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4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7"/>
          </w:tcPr>
          <w:p>
            <w:pPr>
              <w:ind w:left="10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3"/>
                <w:szCs w:val="13"/>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10"/>
        </w:trPr>
        <w:tc>
          <w:tcPr>
            <w:tcW w:w="4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ind w:left="80"/>
              <w:spacing w:after="0" w:line="110" w:lineRule="exact"/>
              <w:rPr>
                <w:sz w:val="20"/>
                <w:szCs w:val="20"/>
                <w:color w:val="auto"/>
              </w:rPr>
            </w:pPr>
            <w:r>
              <w:rPr>
                <w:rFonts w:ascii="Arial" w:cs="Arial" w:eastAsia="Arial" w:hAnsi="Arial"/>
                <w:sz w:val="12"/>
                <w:szCs w:val="12"/>
                <w:b w:val="1"/>
                <w:bCs w:val="1"/>
                <w:color w:val="auto"/>
              </w:rPr>
              <w:t>Stated</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3"/>
          </w:tcPr>
          <w:p>
            <w:pPr>
              <w:jc w:val="center"/>
              <w:ind w:right="140"/>
              <w:spacing w:after="0" w:line="110" w:lineRule="exact"/>
              <w:rPr>
                <w:sz w:val="20"/>
                <w:szCs w:val="20"/>
                <w:color w:val="auto"/>
              </w:rPr>
            </w:pPr>
            <w:r>
              <w:rPr>
                <w:rFonts w:ascii="Arial" w:cs="Arial" w:eastAsia="Arial" w:hAnsi="Arial"/>
                <w:sz w:val="12"/>
                <w:szCs w:val="12"/>
                <w:b w:val="1"/>
                <w:bCs w:val="1"/>
                <w:color w:val="auto"/>
              </w:rPr>
              <w:t>Paid In</w:t>
            </w:r>
          </w:p>
        </w:tc>
        <w:tc>
          <w:tcPr>
            <w:tcW w:w="20" w:type="dxa"/>
            <w:vAlign w:val="bottom"/>
          </w:tcPr>
          <w:p>
            <w:pPr>
              <w:spacing w:after="0"/>
              <w:rPr>
                <w:sz w:val="9"/>
                <w:szCs w:val="9"/>
                <w:color w:val="auto"/>
              </w:rPr>
            </w:pPr>
          </w:p>
        </w:tc>
        <w:tc>
          <w:tcPr>
            <w:tcW w:w="960" w:type="dxa"/>
            <w:vAlign w:val="bottom"/>
            <w:gridSpan w:val="4"/>
          </w:tcPr>
          <w:p>
            <w:pPr>
              <w:jc w:val="center"/>
              <w:ind w:right="12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tcPr>
          <w:p>
            <w:pPr>
              <w:jc w:val="right"/>
              <w:ind w:right="200"/>
              <w:spacing w:after="0" w:line="110" w:lineRule="exact"/>
              <w:rPr>
                <w:sz w:val="20"/>
                <w:szCs w:val="20"/>
                <w:color w:val="auto"/>
              </w:rPr>
            </w:pPr>
            <w:r>
              <w:rPr>
                <w:rFonts w:ascii="Arial" w:cs="Arial" w:eastAsia="Arial" w:hAnsi="Arial"/>
                <w:sz w:val="12"/>
                <w:szCs w:val="12"/>
                <w:b w:val="1"/>
                <w:bCs w:val="1"/>
                <w:color w:val="auto"/>
                <w:w w:val="94"/>
              </w:rPr>
              <w:t>Retained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53"/>
        </w:trPr>
        <w:tc>
          <w:tcPr>
            <w:tcW w:w="43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2"/>
              </w:rPr>
              <w:t>Shares</w:t>
            </w:r>
          </w:p>
        </w:tc>
        <w:tc>
          <w:tcPr>
            <w:tcW w:w="40" w:type="dxa"/>
            <w:vAlign w:val="bottom"/>
          </w:tcPr>
          <w:p>
            <w:pPr>
              <w:spacing w:after="0"/>
              <w:rPr>
                <w:sz w:val="13"/>
                <w:szCs w:val="13"/>
                <w:color w:val="auto"/>
              </w:rPr>
            </w:pPr>
          </w:p>
        </w:tc>
        <w:tc>
          <w:tcPr>
            <w:tcW w:w="620" w:type="dxa"/>
            <w:vAlign w:val="bottom"/>
            <w:gridSpan w:val="3"/>
          </w:tcPr>
          <w:p>
            <w:pPr>
              <w:ind w:left="100"/>
              <w:spacing w:after="0"/>
              <w:rPr>
                <w:sz w:val="20"/>
                <w:szCs w:val="20"/>
                <w:color w:val="auto"/>
              </w:rPr>
            </w:pPr>
            <w:r>
              <w:rPr>
                <w:rFonts w:ascii="Arial" w:cs="Arial" w:eastAsia="Arial" w:hAnsi="Arial"/>
                <w:sz w:val="13"/>
                <w:szCs w:val="13"/>
                <w:b w:val="1"/>
                <w:bCs w:val="1"/>
                <w:color w:val="auto"/>
              </w:rPr>
              <w:t>Value</w:t>
            </w:r>
          </w:p>
        </w:tc>
        <w:tc>
          <w:tcPr>
            <w:tcW w:w="20" w:type="dxa"/>
            <w:vAlign w:val="bottom"/>
          </w:tcPr>
          <w:p>
            <w:pPr>
              <w:spacing w:after="0"/>
              <w:rPr>
                <w:sz w:val="13"/>
                <w:szCs w:val="13"/>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Capital</w:t>
            </w:r>
          </w:p>
        </w:tc>
        <w:tc>
          <w:tcPr>
            <w:tcW w:w="20" w:type="dxa"/>
            <w:vAlign w:val="bottom"/>
          </w:tcPr>
          <w:p>
            <w:pPr>
              <w:spacing w:after="0"/>
              <w:rPr>
                <w:sz w:val="13"/>
                <w:szCs w:val="13"/>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86"/>
              </w:rPr>
              <w:t>Earnings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16"/>
              <w:spacing w:after="0"/>
              <w:rPr>
                <w:sz w:val="20"/>
                <w:szCs w:val="20"/>
                <w:color w:val="auto"/>
              </w:rPr>
            </w:pPr>
            <w:r>
              <w:rPr>
                <w:rFonts w:ascii="Arial" w:cs="Arial" w:eastAsia="Arial" w:hAnsi="Arial"/>
                <w:sz w:val="13"/>
                <w:szCs w:val="13"/>
                <w:b w:val="1"/>
                <w:bCs w:val="1"/>
                <w:color w:val="auto"/>
              </w:rPr>
              <w:t>Total</w:t>
            </w:r>
          </w:p>
        </w:tc>
      </w:tr>
      <w:tr>
        <w:trPr>
          <w:trHeight w:val="196"/>
        </w:trPr>
        <w:tc>
          <w:tcPr>
            <w:tcW w:w="43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41.0</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$ 30.7</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$ 314.1</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1,353.5</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1,667.4</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339.2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339.2</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8"/>
              </w:rPr>
              <w:t>Shares issued, net of shares withheld for employee taxes</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(19.5)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Shares repurchased</w:t>
            </w:r>
          </w:p>
        </w:tc>
        <w:tc>
          <w:tcPr>
            <w:tcW w:w="620" w:type="dxa"/>
            <w:vAlign w:val="bottom"/>
            <w:gridSpan w:val="5"/>
          </w:tcPr>
          <w:p>
            <w:pPr>
              <w:jc w:val="right"/>
              <w:ind w:right="80"/>
              <w:spacing w:after="0"/>
              <w:rPr>
                <w:sz w:val="20"/>
                <w:szCs w:val="20"/>
                <w:color w:val="auto"/>
              </w:rPr>
            </w:pPr>
            <w:r>
              <w:rPr>
                <w:rFonts w:ascii="Arial" w:cs="Arial" w:eastAsia="Arial" w:hAnsi="Arial"/>
                <w:sz w:val="17"/>
                <w:szCs w:val="17"/>
                <w:color w:val="auto"/>
              </w:rPr>
              <w:t>(0.7)</w:t>
            </w:r>
          </w:p>
        </w:tc>
        <w:tc>
          <w:tcPr>
            <w:tcW w:w="660" w:type="dxa"/>
            <w:vAlign w:val="bottom"/>
            <w:gridSpan w:val="4"/>
          </w:tcPr>
          <w:p>
            <w:pPr>
              <w:jc w:val="right"/>
              <w:ind w:right="120"/>
              <w:spacing w:after="0"/>
              <w:rPr>
                <w:sz w:val="20"/>
                <w:szCs w:val="20"/>
                <w:color w:val="auto"/>
              </w:rPr>
            </w:pPr>
            <w:r>
              <w:rPr>
                <w:rFonts w:ascii="Arial" w:cs="Arial" w:eastAsia="Arial" w:hAnsi="Arial"/>
                <w:sz w:val="17"/>
                <w:szCs w:val="17"/>
                <w:color w:val="auto"/>
              </w:rPr>
              <w:t>(0.5)</w:t>
            </w:r>
          </w:p>
        </w:tc>
        <w:tc>
          <w:tcPr>
            <w:tcW w:w="720" w:type="dxa"/>
            <w:vAlign w:val="bottom"/>
            <w:gridSpan w:val="4"/>
          </w:tcPr>
          <w:p>
            <w:pPr>
              <w:jc w:val="right"/>
              <w:ind w:right="120"/>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(65.0)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(68.6)</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($0.30 per share)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196"/>
        </w:trPr>
        <w:tc>
          <w:tcPr>
            <w:tcW w:w="4380" w:type="dxa"/>
            <w:vAlign w:val="bottom"/>
            <w:gridSpan w:val="2"/>
          </w:tcPr>
          <w:p>
            <w:pPr>
              <w:ind w:left="20"/>
              <w:spacing w:after="0"/>
              <w:rPr>
                <w:sz w:val="20"/>
                <w:szCs w:val="20"/>
                <w:color w:val="auto"/>
              </w:rPr>
            </w:pPr>
            <w:r>
              <w:rPr>
                <w:rFonts w:ascii="Arial" w:cs="Arial" w:eastAsia="Arial" w:hAnsi="Arial"/>
                <w:sz w:val="17"/>
                <w:szCs w:val="17"/>
                <w:color w:val="auto"/>
              </w:rPr>
              <w:t>Balance at March 31, 2022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40.5</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30.4</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296.2</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(30.7)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1,614.8</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1,910.7</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w w:val="98"/>
              </w:rPr>
              <w:t>Shares issued, net of shares withheld for employee taxes</w:t>
            </w: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gridSpan w:val="4"/>
          </w:tcPr>
          <w:p>
            <w:pPr>
              <w:jc w:val="right"/>
              <w:ind w:right="120"/>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Shares repurchased</w:t>
            </w:r>
          </w:p>
        </w:tc>
        <w:tc>
          <w:tcPr>
            <w:tcW w:w="62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(1.6)</w:t>
            </w: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(1.2)</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(129.9)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Dividends ($0.30 per share and $0.31 per share)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(24.4)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196"/>
        </w:trPr>
        <w:tc>
          <w:tcPr>
            <w:tcW w:w="4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June 30, 2022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39.0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$ 29.2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$ 294.7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1,841.2</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2,133.6</w:t>
            </w:r>
          </w:p>
        </w:tc>
      </w:tr>
      <w:tr>
        <w:trPr>
          <w:trHeight w:val="20"/>
        </w:trPr>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59"/>
        </w:trPr>
        <w:tc>
          <w:tcPr>
            <w:tcW w:w="4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53"/>
        </w:trPr>
        <w:tc>
          <w:tcPr>
            <w:tcW w:w="4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7"/>
          </w:tcPr>
          <w:p>
            <w:pPr>
              <w:ind w:left="60"/>
              <w:spacing w:after="0"/>
              <w:rPr>
                <w:sz w:val="20"/>
                <w:szCs w:val="20"/>
                <w:color w:val="auto"/>
              </w:rPr>
            </w:pPr>
            <w:r>
              <w:rPr>
                <w:rFonts w:ascii="Arial" w:cs="Arial" w:eastAsia="Arial" w:hAnsi="Arial"/>
                <w:sz w:val="13"/>
                <w:szCs w:val="13"/>
                <w:b w:val="1"/>
                <w:bCs w:val="1"/>
                <w:color w:val="auto"/>
              </w:rPr>
              <w:t>Common Stock</w:t>
            </w:r>
          </w:p>
        </w:tc>
        <w:tc>
          <w:tcPr>
            <w:tcW w:w="7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10"/>
        </w:trPr>
        <w:tc>
          <w:tcPr>
            <w:tcW w:w="4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Stated</w:t>
            </w:r>
          </w:p>
        </w:tc>
        <w:tc>
          <w:tcPr>
            <w:tcW w:w="1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3"/>
          </w:tcPr>
          <w:p>
            <w:pPr>
              <w:jc w:val="center"/>
              <w:ind w:right="160"/>
              <w:spacing w:after="0" w:line="110" w:lineRule="exact"/>
              <w:rPr>
                <w:sz w:val="20"/>
                <w:szCs w:val="20"/>
                <w:color w:val="auto"/>
              </w:rPr>
            </w:pPr>
            <w:r>
              <w:rPr>
                <w:rFonts w:ascii="Arial" w:cs="Arial" w:eastAsia="Arial" w:hAnsi="Arial"/>
                <w:sz w:val="12"/>
                <w:szCs w:val="12"/>
                <w:b w:val="1"/>
                <w:bCs w:val="1"/>
                <w:color w:val="auto"/>
                <w:w w:val="96"/>
              </w:rPr>
              <w:t>Paid In</w:t>
            </w:r>
          </w:p>
        </w:tc>
        <w:tc>
          <w:tcPr>
            <w:tcW w:w="980" w:type="dxa"/>
            <w:vAlign w:val="bottom"/>
            <w:gridSpan w:val="5"/>
          </w:tcPr>
          <w:p>
            <w:pPr>
              <w:spacing w:after="0" w:line="110" w:lineRule="exact"/>
              <w:rPr>
                <w:sz w:val="20"/>
                <w:szCs w:val="20"/>
                <w:color w:val="auto"/>
              </w:rPr>
            </w:pPr>
            <w:r>
              <w:rPr>
                <w:rFonts w:ascii="Arial" w:cs="Arial" w:eastAsia="Arial" w:hAnsi="Arial"/>
                <w:sz w:val="12"/>
                <w:szCs w:val="12"/>
                <w:b w:val="1"/>
                <w:bCs w:val="1"/>
                <w:color w:val="auto"/>
              </w:rPr>
              <w:t>Comprehensive</w:t>
            </w:r>
          </w:p>
        </w:tc>
        <w:tc>
          <w:tcPr>
            <w:tcW w:w="20" w:type="dxa"/>
            <w:vAlign w:val="bottom"/>
          </w:tcPr>
          <w:p>
            <w:pPr>
              <w:spacing w:after="0"/>
              <w:rPr>
                <w:sz w:val="9"/>
                <w:szCs w:val="9"/>
                <w:color w:val="auto"/>
              </w:rPr>
            </w:pPr>
          </w:p>
        </w:tc>
        <w:tc>
          <w:tcPr>
            <w:tcW w:w="780" w:type="dxa"/>
            <w:vAlign w:val="bottom"/>
            <w:gridSpan w:val="4"/>
          </w:tcPr>
          <w:p>
            <w:pPr>
              <w:jc w:val="right"/>
              <w:ind w:right="220"/>
              <w:spacing w:after="0" w:line="110" w:lineRule="exact"/>
              <w:rPr>
                <w:sz w:val="20"/>
                <w:szCs w:val="20"/>
                <w:color w:val="auto"/>
              </w:rPr>
            </w:pPr>
            <w:r>
              <w:rPr>
                <w:rFonts w:ascii="Arial" w:cs="Arial" w:eastAsia="Arial" w:hAnsi="Arial"/>
                <w:sz w:val="12"/>
                <w:szCs w:val="12"/>
                <w:b w:val="1"/>
                <w:bCs w:val="1"/>
                <w:color w:val="auto"/>
              </w:rPr>
              <w:t>Retained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53"/>
        </w:trPr>
        <w:tc>
          <w:tcPr>
            <w:tcW w:w="43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80" w:type="dxa"/>
            <w:vAlign w:val="bottom"/>
          </w:tcPr>
          <w:p>
            <w:pPr>
              <w:spacing w:after="0"/>
              <w:rPr>
                <w:sz w:val="13"/>
                <w:szCs w:val="13"/>
                <w:color w:val="auto"/>
              </w:rPr>
            </w:pPr>
          </w:p>
        </w:tc>
        <w:tc>
          <w:tcPr>
            <w:tcW w:w="54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82"/>
              </w:rPr>
              <w:t>Shares</w:t>
            </w:r>
          </w:p>
        </w:tc>
        <w:tc>
          <w:tcPr>
            <w:tcW w:w="40" w:type="dxa"/>
            <w:vAlign w:val="bottom"/>
          </w:tcPr>
          <w:p>
            <w:pPr>
              <w:spacing w:after="0"/>
              <w:rPr>
                <w:sz w:val="13"/>
                <w:szCs w:val="13"/>
                <w:color w:val="auto"/>
              </w:rPr>
            </w:pPr>
          </w:p>
        </w:tc>
        <w:tc>
          <w:tcPr>
            <w:tcW w:w="620" w:type="dxa"/>
            <w:vAlign w:val="bottom"/>
            <w:gridSpan w:val="3"/>
          </w:tcPr>
          <w:p>
            <w:pPr>
              <w:ind w:left="80"/>
              <w:spacing w:after="0"/>
              <w:rPr>
                <w:sz w:val="20"/>
                <w:szCs w:val="20"/>
                <w:color w:val="auto"/>
              </w:rPr>
            </w:pPr>
            <w:r>
              <w:rPr>
                <w:rFonts w:ascii="Arial" w:cs="Arial" w:eastAsia="Arial" w:hAnsi="Arial"/>
                <w:sz w:val="13"/>
                <w:szCs w:val="13"/>
                <w:b w:val="1"/>
                <w:bCs w:val="1"/>
                <w:color w:val="auto"/>
              </w:rPr>
              <w:t>Value</w:t>
            </w:r>
          </w:p>
        </w:tc>
        <w:tc>
          <w:tcPr>
            <w:tcW w:w="20" w:type="dxa"/>
            <w:vAlign w:val="bottom"/>
          </w:tcPr>
          <w:p>
            <w:pPr>
              <w:spacing w:after="0"/>
              <w:rPr>
                <w:sz w:val="13"/>
                <w:szCs w:val="13"/>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Capital</w:t>
            </w:r>
          </w:p>
        </w:tc>
        <w:tc>
          <w:tcPr>
            <w:tcW w:w="20" w:type="dxa"/>
            <w:vAlign w:val="bottom"/>
          </w:tcPr>
          <w:p>
            <w:pPr>
              <w:spacing w:after="0"/>
              <w:rPr>
                <w:sz w:val="13"/>
                <w:szCs w:val="13"/>
                <w:color w:val="auto"/>
              </w:rPr>
            </w:pPr>
          </w:p>
        </w:tc>
        <w:tc>
          <w:tcPr>
            <w:tcW w:w="9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6"/>
              </w:rPr>
              <w:t>Income (Loss)</w:t>
            </w:r>
          </w:p>
        </w:tc>
        <w:tc>
          <w:tcPr>
            <w:tcW w:w="20" w:type="dxa"/>
            <w:vAlign w:val="bottom"/>
          </w:tcPr>
          <w:p>
            <w:pPr>
              <w:spacing w:after="0"/>
              <w:rPr>
                <w:sz w:val="13"/>
                <w:szCs w:val="13"/>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6"/>
              </w:rPr>
              <w:t>Earnings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36"/>
              <w:spacing w:after="0"/>
              <w:rPr>
                <w:sz w:val="20"/>
                <w:szCs w:val="20"/>
                <w:color w:val="auto"/>
              </w:rPr>
            </w:pPr>
            <w:r>
              <w:rPr>
                <w:rFonts w:ascii="Arial" w:cs="Arial" w:eastAsia="Arial" w:hAnsi="Arial"/>
                <w:sz w:val="13"/>
                <w:szCs w:val="13"/>
                <w:b w:val="1"/>
                <w:bCs w:val="1"/>
                <w:color w:val="auto"/>
              </w:rPr>
              <w:t>Total</w:t>
            </w:r>
          </w:p>
        </w:tc>
      </w:tr>
      <w:tr>
        <w:trPr>
          <w:trHeight w:val="196"/>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2"/>
              </w:rPr>
              <w:t>$ 32.4</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1"/>
              </w:rPr>
              <w:t>$ 321.5</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658.1</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961.2</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87.2</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8"/>
              </w:rPr>
              <w:t>Shares issued, net of shares withheld for employee taxes</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Dividends ($0.23 per share)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10"/>
        </w:trPr>
        <w:tc>
          <w:tcPr>
            <w:tcW w:w="4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March 31, 2021</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43.4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1,028.9</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162.5</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8"/>
              </w:rPr>
              <w:t>Shares issued, net of shares withheld for employee taxes</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7"/>
                <w:szCs w:val="17"/>
                <w:color w:val="auto"/>
              </w:rPr>
              <w:t>Dividends ($0.23 per share and $0.30 per share)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(23.3)</w:t>
            </w:r>
          </w:p>
        </w:tc>
      </w:tr>
      <w:tr>
        <w:trPr>
          <w:trHeight w:val="196"/>
        </w:trPr>
        <w:tc>
          <w:tcPr>
            <w:tcW w:w="4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June 30, 2021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2"/>
              </w:rPr>
              <w:t>$ 32.6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1"/>
              </w:rPr>
              <w:t>$ 316.5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w:t>
            </w:r>
            <w:r>
              <w:rPr>
                <w:rFonts w:ascii="Arial" w:cs="Arial" w:eastAsia="Arial" w:hAnsi="Arial"/>
                <w:sz w:val="17"/>
                <w:szCs w:val="17"/>
                <w:u w:val="single" w:color="auto"/>
                <w:color w:val="auto"/>
              </w:rPr>
              <w:t>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1,172.8</w:t>
            </w:r>
          </w:p>
        </w:tc>
      </w:tr>
      <w:tr>
        <w:trPr>
          <w:trHeight w:val="20"/>
        </w:trPr>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40" w:hanging="590"/>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84"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b w:val="1"/>
          <w:bCs w:val="1"/>
          <w:i w:val="1"/>
          <w:iCs w:val="1"/>
          <w:color w:val="auto"/>
        </w:rPr>
        <w:t xml:space="preserve">Ocean Transportation: </w:t>
      </w:r>
      <w:r>
        <w:rPr>
          <w:rFonts w:ascii="Arial" w:cs="Arial" w:eastAsia="Arial" w:hAnsi="Arial"/>
          <w:sz w:val="16"/>
          <w:szCs w:val="16"/>
          <w:color w:val="auto"/>
        </w:rPr>
        <w:t>Matson’s Ocean Transportation business is conducted through Matson Navigation Company,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primarily from China to Long Beach, California, and provides services to Okinawa, Japan and various islands in the South Pacific, and operates an international export service from Dutch Harbor, Alaska to Asia. In addition, subsidiaries of MatNav provide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65"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spacing w:after="0" w:line="192"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b w:val="1"/>
          <w:bCs w:val="1"/>
          <w:i w:val="1"/>
          <w:iCs w:val="1"/>
          <w:color w:val="auto"/>
        </w:rPr>
        <w:t xml:space="preserve">Logistics: </w:t>
      </w:r>
      <w:r>
        <w:rPr>
          <w:rFonts w:ascii="Arial" w:cs="Arial" w:eastAsia="Arial" w:hAnsi="Arial"/>
          <w:sz w:val="16"/>
          <w:szCs w:val="16"/>
          <w:color w:val="auto"/>
        </w:rPr>
        <w:t>Matson’s Logistics business is conducted through Matson Logistics, Inc. (“Matson Logistics”), a wholly-owned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supply chain management, non-vessel operating common carrier (“NVOCC”) freight forwarding and other services.</w:t>
      </w:r>
    </w:p>
    <w:p>
      <w:pPr>
        <w:spacing w:after="0" w:line="378" w:lineRule="exact"/>
        <w:rPr>
          <w:sz w:val="20"/>
          <w:szCs w:val="20"/>
          <w:color w:val="auto"/>
        </w:rPr>
      </w:pPr>
    </w:p>
    <w:p>
      <w:pPr>
        <w:ind w:left="640" w:hanging="590"/>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Condensed Consolidated Financial Statements are unaudited, and include the accounts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w:t>
      </w:r>
    </w:p>
    <w:p>
      <w:pPr>
        <w:spacing w:after="0" w:line="1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8"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The Condensed Consolidated Financial Statements should be read in conjunction with the Consolidated Financial Statements and notes thereto included in the Company’s Annual Report on Form 10-K for the year ended December 31, 2021, filed with the Securities and Exchange Commission (“SEC”) on February 25,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 xml:space="preserve">Fiscal Period: </w:t>
      </w:r>
      <w:r>
        <w:rPr>
          <w:rFonts w:ascii="Arial" w:cs="Arial" w:eastAsia="Arial" w:hAnsi="Arial"/>
          <w:sz w:val="18"/>
          <w:szCs w:val="18"/>
          <w:color w:val="auto"/>
        </w:rPr>
        <w:t>The period end for Matson covered by this report is June 30, 2022. The period end for MatNav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covered by this report occurred on July 1, 2022.</w:t>
      </w:r>
    </w:p>
    <w:p>
      <w:pPr>
        <w:spacing w:after="0" w:line="170"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II, Item 8 of the Company’s Annual Report on Form 10-K for the year ended December 31, 2021.</w:t>
      </w:r>
    </w:p>
    <w:p>
      <w:pPr>
        <w:spacing w:after="0" w:line="184" w:lineRule="exact"/>
        <w:rPr>
          <w:sz w:val="20"/>
          <w:szCs w:val="20"/>
          <w:color w:val="auto"/>
        </w:rPr>
      </w:pPr>
    </w:p>
    <w:p>
      <w:pPr>
        <w:ind w:left="60" w:right="199"/>
        <w:spacing w:after="0" w:line="291"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the interim Condensed Consolidated Financial Statements in conformity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accrual estimates; pension and post-retirement estimates; multi-employer withdrawal liabilities; operating lease assets and liabilities; income from SSAT; and income taxes. Future results could be materially affected if actual results differ from these estimates and assumptions.</w:t>
      </w:r>
    </w:p>
    <w:p>
      <w:pPr>
        <w:spacing w:after="0" w:line="166"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b w:val="1"/>
          <w:bCs w:val="1"/>
          <w:i w:val="1"/>
          <w:iCs w:val="1"/>
          <w:color w:val="auto"/>
        </w:rPr>
        <w:t xml:space="preserve">Recognition of Revenues and Expenses: </w:t>
      </w:r>
      <w:r>
        <w:rPr>
          <w:rFonts w:ascii="Arial" w:cs="Arial" w:eastAsia="Arial" w:hAnsi="Arial"/>
          <w:sz w:val="18"/>
          <w:szCs w:val="18"/>
          <w:color w:val="auto"/>
        </w:rPr>
        <w:t>Revenue in the Company’s Condensed Consolidated Financial Statements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net of elimination of intercompany transactions. The following is a description of the Company’s principal revenue generating activities by segment, and the Company’s revenue recognition policy for each activity for the periods presented:</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June 30,</w:t>
            </w:r>
          </w:p>
        </w:tc>
      </w:tr>
      <w:tr>
        <w:trPr>
          <w:trHeight w:val="196"/>
        </w:trPr>
        <w:tc>
          <w:tcPr>
            <w:tcW w:w="5480" w:type="dxa"/>
            <w:vAlign w:val="bottom"/>
            <w:gridSpan w:val="3"/>
          </w:tcPr>
          <w:p>
            <w:pPr>
              <w:ind w:left="20"/>
              <w:spacing w:after="0"/>
              <w:rPr>
                <w:sz w:val="20"/>
                <w:szCs w:val="20"/>
                <w:color w:val="auto"/>
              </w:rPr>
            </w:pPr>
            <w:r>
              <w:rPr>
                <w:rFonts w:ascii="Arial" w:cs="Arial" w:eastAsia="Arial" w:hAnsi="Arial"/>
                <w:sz w:val="14"/>
                <w:szCs w:val="14"/>
                <w:b w:val="1"/>
                <w:bCs w:val="1"/>
                <w:color w:val="auto"/>
              </w:rPr>
              <w:t>Ocean Transportation (in millions) (1)</w:t>
            </w: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7"/>
                <w:szCs w:val="17"/>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b w:val="1"/>
                <w:bCs w:val="1"/>
                <w:color w:val="auto"/>
              </w:rPr>
              <w:t>2021</w:t>
            </w:r>
          </w:p>
        </w:tc>
      </w:tr>
      <w:tr>
        <w:trPr>
          <w:trHeight w:val="210"/>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$ 1,040.2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$ 1,976.9</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$ 1,228.6</w:t>
            </w: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Terminal and other related services</w:t>
            </w: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Fuel sales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4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Vessel management and related services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9"/>
        </w:trPr>
        <w:tc>
          <w:tcPr>
            <w:tcW w:w="54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$ 1,049.2</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$ 1,993.1</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$ 1,243.4</w:t>
            </w: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62" w:lineRule="exact"/>
        <w:rPr>
          <w:sz w:val="20"/>
          <w:szCs w:val="20"/>
          <w:color w:val="auto"/>
        </w:rPr>
      </w:pPr>
    </w:p>
    <w:p>
      <w:pPr>
        <w:ind w:left="380" w:right="9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78" w:lineRule="exact"/>
        <w:rPr>
          <w:sz w:val="20"/>
          <w:szCs w:val="20"/>
          <w:color w:val="auto"/>
        </w:rPr>
      </w:pPr>
    </w:p>
    <w:p>
      <w:pPr>
        <w:ind w:left="380" w:right="119"/>
        <w:spacing w:after="0" w:line="259" w:lineRule="auto"/>
        <w:rPr>
          <w:sz w:val="20"/>
          <w:szCs w:val="20"/>
          <w:color w:val="auto"/>
        </w:rPr>
      </w:pPr>
      <w:r>
        <w:rPr>
          <w:rFonts w:ascii="Arial" w:cs="Arial" w:eastAsia="Arial" w:hAnsi="Arial"/>
          <w:sz w:val="18"/>
          <w:szCs w:val="18"/>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w:t>
      </w:r>
    </w:p>
    <w:p>
      <w:pPr>
        <w:spacing w:after="0" w:line="17" w:lineRule="exact"/>
        <w:rPr>
          <w:sz w:val="20"/>
          <w:szCs w:val="20"/>
          <w:color w:val="auto"/>
        </w:rPr>
      </w:pPr>
    </w:p>
    <w:p>
      <w:pPr>
        <w:ind w:left="380" w:right="179"/>
        <w:spacing w:after="0" w:line="250" w:lineRule="auto"/>
        <w:rPr>
          <w:sz w:val="20"/>
          <w:szCs w:val="20"/>
          <w:color w:val="auto"/>
        </w:rPr>
      </w:pPr>
      <w:r>
        <w:rPr>
          <w:rFonts w:ascii="Arial" w:cs="Arial" w:eastAsia="Arial" w:hAnsi="Arial"/>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Arial" w:cs="Arial" w:eastAsia="Arial" w:hAnsi="Arial"/>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60" w:lineRule="auto"/>
        <w:rPr>
          <w:sz w:val="20"/>
          <w:szCs w:val="20"/>
          <w:color w:val="auto"/>
        </w:rPr>
      </w:pPr>
      <w:r>
        <w:rPr>
          <w:rFonts w:ascii="Arial" w:cs="Arial" w:eastAsia="Arial" w:hAnsi="Arial"/>
          <w:sz w:val="18"/>
          <w:szCs w:val="18"/>
          <w:color w:val="auto"/>
        </w:rPr>
        <w:t>Vessel management and related services revenue is recognized in proportion to the services completed. Related costs are recognized as incurred.</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Logistics (in millions) (1)</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Warehousing and distribution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Supply chain management and other services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548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479" w:hanging="330"/>
        <w:spacing w:after="0" w:line="238"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Logistics revenue transactions are primarily denominated in U.S. dollars except for approximately 6.5 percent of transportation brokerage and freight forwarding services revenue, and supply chain management and other services revenue categories which are denominated in foreign currencies.</w:t>
      </w:r>
    </w:p>
    <w:p>
      <w:pPr>
        <w:spacing w:after="0" w:line="87" w:lineRule="exact"/>
        <w:rPr>
          <w:sz w:val="20"/>
          <w:szCs w:val="20"/>
          <w:color w:val="auto"/>
        </w:rPr>
      </w:pPr>
    </w:p>
    <w:p>
      <w:pPr>
        <w:ind w:left="380" w:right="99"/>
        <w:spacing w:after="0" w:line="279" w:lineRule="auto"/>
        <w:rPr>
          <w:sz w:val="20"/>
          <w:szCs w:val="20"/>
          <w:color w:val="auto"/>
        </w:rPr>
      </w:pPr>
      <w:r>
        <w:rPr>
          <w:rFonts w:ascii="Arial" w:cs="Arial" w:eastAsia="Arial" w:hAnsi="Arial"/>
          <w:sz w:val="17"/>
          <w:szCs w:val="17"/>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299"/>
        <w:spacing w:after="0" w:line="254" w:lineRule="auto"/>
        <w:rPr>
          <w:sz w:val="20"/>
          <w:szCs w:val="20"/>
          <w:color w:val="auto"/>
        </w:rPr>
      </w:pPr>
      <w:r>
        <w:rPr>
          <w:rFonts w:ascii="Arial" w:cs="Arial" w:eastAsia="Arial" w:hAnsi="Arial"/>
          <w:sz w:val="18"/>
          <w:szCs w:val="18"/>
          <w:color w:val="auto"/>
        </w:rPr>
        <w:t>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ind w:left="380" w:right="99"/>
        <w:spacing w:after="0" w:line="266" w:lineRule="auto"/>
        <w:rPr>
          <w:sz w:val="20"/>
          <w:szCs w:val="20"/>
          <w:color w:val="auto"/>
        </w:rPr>
      </w:pPr>
      <w:r>
        <w:rPr>
          <w:rFonts w:ascii="Arial" w:cs="Arial" w:eastAsia="Arial" w:hAnsi="Arial"/>
          <w:sz w:val="17"/>
          <w:szCs w:val="17"/>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spacing w:after="0" w:line="2" w:lineRule="exact"/>
        <w:rPr>
          <w:sz w:val="20"/>
          <w:szCs w:val="20"/>
          <w:color w:val="auto"/>
        </w:rPr>
      </w:pPr>
    </w:p>
    <w:p>
      <w:pPr>
        <w:ind w:left="380" w:right="319"/>
        <w:spacing w:after="0" w:line="260" w:lineRule="auto"/>
        <w:rPr>
          <w:sz w:val="20"/>
          <w:szCs w:val="20"/>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administration expenses in the Condensed Consolidated Statements of Income and Comprehensive Income.</w:t>
      </w:r>
    </w:p>
    <w:p>
      <w:pPr>
        <w:spacing w:after="0" w:line="178"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b w:val="1"/>
          <w:bCs w:val="1"/>
          <w:i w:val="1"/>
          <w:iCs w:val="1"/>
          <w:color w:val="auto"/>
        </w:rPr>
        <w:t xml:space="preserve">Capital Construction Fund: </w:t>
      </w:r>
      <w:r>
        <w:rPr>
          <w:rFonts w:ascii="Arial" w:cs="Arial" w:eastAsia="Arial" w:hAnsi="Arial"/>
          <w:sz w:val="16"/>
          <w:szCs w:val="16"/>
          <w:color w:val="auto"/>
        </w:rPr>
        <w:t>The Company’s Capital Construction Fund (“CCF”) is described in Note 7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Financial Statements included in Part II, Item 8 of the Company’s Annual Report on Form 10-K for the year ended December 31, 2021. As of June 30, 2022 and December 31, 2021, $9.8 million of eligible accounts receivable was assigned to the CCF. Due to the nature of the assignment of eligible accounts receivable into the CCF, such assigned amounts are classified as part of accounts receivable in the Condensed Consolidated Balance Sheets. Cash on deposit in the CCF is held in a money market account and classified as a long-term asset in the Company’s Condensed Consolidated Balance Sheets, as the Company intends to use qualified cash withdrawals to fund long-term investment in the construction of new vessels. During the six months ended June 30, 2022 and 2021, the Company deposited $10.7 million and</w:t>
      </w:r>
    </w:p>
    <w:p>
      <w:pPr>
        <w:spacing w:after="0" w:line="1" w:lineRule="exact"/>
        <w:rPr>
          <w:sz w:val="20"/>
          <w:szCs w:val="20"/>
          <w:color w:val="auto"/>
        </w:rPr>
      </w:pPr>
    </w:p>
    <w:p>
      <w:pPr>
        <w:ind w:left="60" w:right="599"/>
        <w:spacing w:after="0" w:line="290" w:lineRule="auto"/>
        <w:rPr>
          <w:sz w:val="20"/>
          <w:szCs w:val="20"/>
          <w:color w:val="auto"/>
        </w:rPr>
      </w:pPr>
      <w:r>
        <w:rPr>
          <w:rFonts w:ascii="Arial" w:cs="Arial" w:eastAsia="Arial" w:hAnsi="Arial"/>
          <w:sz w:val="17"/>
          <w:szCs w:val="17"/>
          <w:color w:val="auto"/>
        </w:rPr>
        <w:t>$31.2 million into the CCF and made qualifying cash withdrawals of $10.7 million and $31.2 million from the CCF, respectively. The balance of cash on deposit at June 30, 2022 and December 31, 2021 was nominal.</w:t>
      </w:r>
    </w:p>
    <w:p>
      <w:pPr>
        <w:spacing w:after="0" w:line="161" w:lineRule="exact"/>
        <w:rPr>
          <w:sz w:val="20"/>
          <w:szCs w:val="20"/>
          <w:color w:val="auto"/>
        </w:rPr>
      </w:pPr>
    </w:p>
    <w:p>
      <w:pPr>
        <w:ind w:left="60" w:right="459"/>
        <w:spacing w:after="0" w:line="276" w:lineRule="auto"/>
        <w:rPr>
          <w:sz w:val="20"/>
          <w:szCs w:val="20"/>
          <w:color w:val="auto"/>
        </w:rPr>
      </w:pPr>
      <w:r>
        <w:rPr>
          <w:rFonts w:ascii="Arial" w:cs="Arial" w:eastAsia="Arial" w:hAnsi="Arial"/>
          <w:sz w:val="18"/>
          <w:szCs w:val="18"/>
          <w:b w:val="1"/>
          <w:bCs w:val="1"/>
          <w:i w:val="1"/>
          <w:iCs w:val="1"/>
          <w:color w:val="auto"/>
        </w:rPr>
        <w:t xml:space="preserve">Investment in SSAT: </w:t>
      </w:r>
      <w:r>
        <w:rPr>
          <w:rFonts w:ascii="Arial" w:cs="Arial" w:eastAsia="Arial" w:hAnsi="Arial"/>
          <w:sz w:val="18"/>
          <w:szCs w:val="18"/>
          <w:color w:val="auto"/>
        </w:rPr>
        <w:t>Condensed income statement information for SSAT for the three and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2021 consisted of the following:</w:t>
      </w:r>
    </w:p>
    <w:tbl>
      <w:tblPr>
        <w:tblLayout w:type="fixed"/>
        <w:tblInd w:w="40" w:type="dxa"/>
        <w:tblCellMar>
          <w:top w:w="0" w:type="dxa"/>
          <w:left w:w="0" w:type="dxa"/>
          <w:bottom w:w="0" w:type="dxa"/>
          <w:right w:w="0" w:type="dxa"/>
        </w:tblCellMar>
      </w:tblPr>
      <w:tr>
        <w:trPr>
          <w:trHeight w:val="150"/>
        </w:trPr>
        <w:tc>
          <w:tcPr>
            <w:tcW w:w="22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ind w:left="40"/>
              <w:spacing w:after="0" w:line="150"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3"/>
                <w:szCs w:val="13"/>
                <w:color w:val="auto"/>
              </w:rPr>
            </w:pPr>
          </w:p>
        </w:tc>
        <w:tc>
          <w:tcPr>
            <w:tcW w:w="1560" w:type="dxa"/>
            <w:vAlign w:val="bottom"/>
            <w:gridSpan w:val="5"/>
          </w:tcPr>
          <w:p>
            <w:pPr>
              <w:jc w:val="right"/>
              <w:ind w:right="320"/>
              <w:spacing w:after="0" w:line="150"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(300.5)</w:t>
            </w: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(284.0)</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(607.4)</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(557.1)</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Net Income (1)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8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Company Share of SSAT’s Net Income (2)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58.7</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ind w:left="380" w:right="759" w:hanging="330"/>
        <w:spacing w:after="0" w:line="237"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records its share of net income from SSAT in costs and expenses in the Condensed Consolidated Statement of Income and Comprehensive Income due to the nature of SSAT’s operations.</w:t>
      </w:r>
    </w:p>
    <w:p>
      <w:pPr>
        <w:spacing w:after="0" w:line="120"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The Company’s investment in SSAT was $93.1 million and $58.7 million at June 30, 2022 and December 31, 2021, respectively.</w:t>
      </w:r>
    </w:p>
    <w:p>
      <w:pPr>
        <w:spacing w:after="0" w:line="170"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Company’s second quarter 2022 cash dividend of $0.30 per share was paid on June 2, 2022. On June 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the Company’s Board of Directors declared a cash dividend of $0.31 per share payable on September 1, 2022 to shareholders of record on August 4,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 xml:space="preserve">Repurchase of Shares: </w:t>
      </w:r>
      <w:r>
        <w:rPr>
          <w:rFonts w:ascii="Arial" w:cs="Arial" w:eastAsia="Arial" w:hAnsi="Arial"/>
          <w:sz w:val="17"/>
          <w:szCs w:val="17"/>
          <w:color w:val="auto"/>
        </w:rPr>
        <w:t>During the three months ended June 30, 2022, the Company repurchased approximately</w:t>
      </w:r>
    </w:p>
    <w:p>
      <w:pPr>
        <w:spacing w:after="0" w:line="3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1.6 million shares for a total cost of $138.1 million. During the six months ended June 30, 2022, the Company repurchased approximately 2.3 million shares for a total cost of $206.7 million. As of June 30, 2022, the maximum number of remaining shares that may be repurchased under the Company’s stock repurchase program was approximately 1.2 million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57" w:lineRule="exact"/>
        <w:rPr>
          <w:sz w:val="20"/>
          <w:szCs w:val="20"/>
          <w:color w:val="auto"/>
        </w:rPr>
      </w:pPr>
    </w:p>
    <w:p>
      <w:pPr>
        <w:ind w:left="60" w:right="359"/>
        <w:spacing w:after="0" w:line="255" w:lineRule="auto"/>
        <w:rPr>
          <w:sz w:val="20"/>
          <w:szCs w:val="20"/>
          <w:color w:val="auto"/>
        </w:rPr>
      </w:pPr>
      <w:r>
        <w:rPr>
          <w:rFonts w:ascii="Arial" w:cs="Arial" w:eastAsia="Arial" w:hAnsi="Arial"/>
          <w:sz w:val="18"/>
          <w:szCs w:val="18"/>
          <w:color w:val="auto"/>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Ocean Transportation segment provides ocean transportation services to the Logistics segment, and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Logistics segment provides logistics services to the Ocean Transportation segment in certain transactions. Accordingly,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inter-segment revenue of $69.2 million and $49.0 million for the three months ended June 30, 2022 and 2021,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$142.4 million and $82.7 million for the six months ended June 30, 2022 and 2021, respectively, have been eliminated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from operating revenues in the table below.</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Reportable segment financial information for the three and six months ended June 30, 2022 and 2021 are as follows: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6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15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3"/>
          </w:tcPr>
          <w:p>
            <w:pPr>
              <w:ind w:left="220"/>
              <w:spacing w:after="0"/>
              <w:rPr>
                <w:sz w:val="20"/>
                <w:szCs w:val="20"/>
                <w:color w:val="auto"/>
              </w:rPr>
            </w:pPr>
            <w:r>
              <w:rPr>
                <w:rFonts w:ascii="Arial" w:cs="Arial" w:eastAsia="Arial" w:hAnsi="Arial"/>
                <w:sz w:val="18"/>
                <w:szCs w:val="18"/>
                <w:color w:val="auto"/>
              </w:rPr>
              <w:t>Ocean Transportation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6"/>
              </w:rPr>
              <w:t>1,049.2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$ 682.9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1,993.1</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Total Operating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1,261.1</w:t>
            </w:r>
          </w:p>
        </w:tc>
        <w:tc>
          <w:tcPr>
            <w:tcW w:w="16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$ 874.9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2,426.6</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1,586.7</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3"/>
          </w:tcPr>
          <w:p>
            <w:pPr>
              <w:ind w:left="220"/>
              <w:spacing w:after="0"/>
              <w:rPr>
                <w:sz w:val="20"/>
                <w:szCs w:val="20"/>
                <w:color w:val="auto"/>
              </w:rPr>
            </w:pPr>
            <w:r>
              <w:rPr>
                <w:rFonts w:ascii="Arial" w:cs="Arial" w:eastAsia="Arial" w:hAnsi="Arial"/>
                <w:sz w:val="18"/>
                <w:szCs w:val="18"/>
                <w:color w:val="auto"/>
              </w:rPr>
              <w:t>Ocean Transportation (3)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$ 201.0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886.2</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3"/>
          </w:tcPr>
          <w:p>
            <w:pPr>
              <w:ind w:left="440"/>
              <w:spacing w:after="0"/>
              <w:rPr>
                <w:sz w:val="20"/>
                <w:szCs w:val="20"/>
                <w:color w:val="auto"/>
              </w:rPr>
            </w:pPr>
            <w:r>
              <w:rPr>
                <w:rFonts w:ascii="Arial" w:cs="Arial" w:eastAsia="Arial" w:hAnsi="Arial"/>
                <w:sz w:val="18"/>
                <w:szCs w:val="18"/>
                <w:color w:val="auto"/>
              </w:rPr>
              <w:t>Total Operating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Income before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(109.7)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(200.3)</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359" w:hanging="330"/>
        <w:spacing w:after="0" w:line="230"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Ocean Transportation operating revenue excludes inter-segment revenue of $24.0 million and $18.7 million for the three months ended June 30, 2022 and 2021, and $45.8 million and $33.8 million for the six months ended June 30, 2022 and 2021, respectively.</w:t>
      </w:r>
    </w:p>
    <w:p>
      <w:pPr>
        <w:ind w:left="380" w:right="159" w:hanging="330"/>
        <w:spacing w:after="0" w:line="221"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Logistics operating revenue excludes inter-segment revenue of $45.2 million and $30.3 million for the three months ended June 30, 2022 and 2021, and $96.6 million and $48.9 million for the six months ended June 30, 2022 and 2021, respectively.</w:t>
      </w:r>
    </w:p>
    <w:p>
      <w:pPr>
        <w:ind w:left="380" w:right="199" w:hanging="330"/>
        <w:spacing w:after="0" w:line="232"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$24.7 million and $12.8 million of equity in income from the Company’s equity investment in SSAT for the three months ended June 30, 2022 and 2021, and $58.7 million and $22.0 million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as of June 30, 2022 and December 31, 2021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Vessels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2,271.5</w:t>
            </w:r>
          </w:p>
        </w:tc>
        <w:tc>
          <w:tcPr>
            <w:tcW w:w="1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Vessel construction in progress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construction in progress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(1,268.5)</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(1,209.1)</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hanging="590"/>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 by segment as of June 30, 2022 and December 31, 2021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68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w w:val="93"/>
              </w:rPr>
              <w:t>Ocean</w:t>
            </w:r>
          </w:p>
        </w:tc>
        <w:tc>
          <w:tcPr>
            <w:tcW w:w="180" w:type="dxa"/>
            <w:vAlign w:val="bottom"/>
          </w:tcPr>
          <w:p>
            <w:pPr>
              <w:spacing w:after="0"/>
              <w:rPr>
                <w:sz w:val="14"/>
                <w:szCs w:val="14"/>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Logistics</w:t>
            </w:r>
          </w:p>
        </w:tc>
        <w:tc>
          <w:tcPr>
            <w:tcW w:w="8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Transportation</w:t>
            </w:r>
          </w:p>
        </w:tc>
        <w:tc>
          <w:tcPr>
            <w:tcW w:w="1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80" w:type="dxa"/>
            <w:vAlign w:val="bottom"/>
            <w:gridSpan w:val="3"/>
          </w:tcPr>
          <w:p>
            <w:pPr>
              <w:ind w:left="20"/>
              <w:spacing w:after="0"/>
              <w:rPr>
                <w:sz w:val="20"/>
                <w:szCs w:val="20"/>
                <w:color w:val="auto"/>
              </w:rPr>
            </w:pPr>
            <w:r>
              <w:rPr>
                <w:rFonts w:ascii="Arial" w:cs="Arial" w:eastAsia="Arial" w:hAnsi="Arial"/>
                <w:sz w:val="18"/>
                <w:szCs w:val="18"/>
                <w:color w:val="auto"/>
                <w:w w:val="89"/>
              </w:rPr>
              <w:t>Intangible assets as of June 30, 2022 and December 31, 2021 consisted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tcPr>
          <w:p>
            <w:pPr>
              <w:ind w:left="200"/>
              <w:spacing w:after="0"/>
              <w:rPr>
                <w:sz w:val="20"/>
                <w:szCs w:val="20"/>
                <w:color w:val="auto"/>
              </w:rPr>
            </w:pPr>
            <w:r>
              <w:rPr>
                <w:rFonts w:ascii="Arial" w:cs="Arial" w:eastAsia="Arial" w:hAnsi="Arial"/>
                <w:sz w:val="14"/>
                <w:szCs w:val="14"/>
                <w:b w:val="1"/>
                <w:bCs w:val="1"/>
                <w:color w:val="auto"/>
              </w:rPr>
              <w:t>June 30,</w:t>
            </w:r>
          </w:p>
        </w:tc>
        <w:tc>
          <w:tcPr>
            <w:tcW w:w="108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5"/>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Ocean Transportation</w:t>
            </w:r>
          </w:p>
        </w:tc>
        <w:tc>
          <w:tcPr>
            <w:tcW w:w="260" w:type="dxa"/>
            <w:vAlign w:val="bottom"/>
          </w:tcPr>
          <w:p>
            <w:pPr>
              <w:spacing w:after="0"/>
              <w:rPr>
                <w:sz w:val="18"/>
                <w:szCs w:val="18"/>
                <w:color w:val="auto"/>
              </w:rPr>
            </w:pPr>
          </w:p>
        </w:tc>
        <w:tc>
          <w:tcPr>
            <w:tcW w:w="680" w:type="dxa"/>
            <w:vAlign w:val="bottom"/>
            <w:gridSpan w:val="3"/>
          </w:tcPr>
          <w:p>
            <w:pPr>
              <w:jc w:val="right"/>
              <w:ind w:right="22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Logistics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Customer Relationships,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148.5</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name – Logistics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Intangible Assets,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175.8</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and its impact on the performance of each of the Company’s reporting units. Based on the Company’s assessment of its market capitalization, future forecasts and the amount of excess of fair value over the carrying value of the reporting units in the 2021 annual impairment tests, the Company concluded that an impairment triggering event did not occur during the three months ended June 30, 2022.</w:t>
      </w:r>
    </w:p>
    <w:p>
      <w:pPr>
        <w:spacing w:after="0" w:line="177"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future changes in the assumptions and estimates used in assessing the fair value of the reporting unit, could require the Company to record a non-cash impairment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2022 and December 31, 2021, the Company’s debt consisted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Placement Term Loans: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3.66 %, payable through 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4.16 %, payable through 2027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3.37 %, payable through 2027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3.14 %, payable through 2031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4.31 %, payable through 2032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Title XI Debt: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5.34 %, payable through 2028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5.27 %, payable through 2029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1.22 %, payable through 2043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1.35 %, payable through 2044</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0"/>
        </w:trPr>
        <w:tc>
          <w:tcPr>
            <w:tcW w:w="6740" w:type="dxa"/>
            <w:vAlign w:val="bottom"/>
            <w:gridSpan w:val="2"/>
          </w:tcPr>
          <w:p>
            <w:pPr>
              <w:ind w:left="12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9"/>
        </w:trPr>
        <w:tc>
          <w:tcPr>
            <w:tcW w:w="6740" w:type="dxa"/>
            <w:vAlign w:val="bottom"/>
            <w:gridSpan w:val="2"/>
          </w:tcPr>
          <w:p>
            <w:pPr>
              <w:ind w:left="12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Deferred loan fees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6740" w:type="dxa"/>
            <w:vAlign w:val="bottom"/>
            <w:gridSpan w:val="2"/>
          </w:tcPr>
          <w:p>
            <w:pPr>
              <w:ind w:left="120"/>
              <w:spacing w:after="0"/>
              <w:rPr>
                <w:sz w:val="20"/>
                <w:szCs w:val="20"/>
                <w:color w:val="auto"/>
              </w:rPr>
            </w:pPr>
            <w:r>
              <w:rPr>
                <w:rFonts w:ascii="Arial" w:cs="Arial" w:eastAsia="Arial" w:hAnsi="Arial"/>
                <w:sz w:val="18"/>
                <w:szCs w:val="18"/>
                <w:color w:val="auto"/>
              </w:rPr>
              <w:t>Total Long-term Debt, net of deferred loan fees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517.9</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Except as described below, the Company’s debt is described in Note 8 to the Consolidated Financial Statements included in the Company’s Annual Report on Form 10-K for the year ended December 31,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The Company’s revolving credit facility has committed available borrowing of up to</w:t>
      </w:r>
    </w:p>
    <w:p>
      <w:pPr>
        <w:spacing w:after="0" w:line="23" w:lineRule="exact"/>
        <w:rPr>
          <w:sz w:val="20"/>
          <w:szCs w:val="20"/>
          <w:color w:val="auto"/>
        </w:rPr>
      </w:pPr>
    </w:p>
    <w:p>
      <w:pPr>
        <w:ind w:left="60" w:right="259" w:firstLine="45"/>
        <w:spacing w:after="0" w:line="253" w:lineRule="auto"/>
        <w:rPr>
          <w:sz w:val="20"/>
          <w:szCs w:val="20"/>
          <w:color w:val="auto"/>
        </w:rPr>
      </w:pPr>
      <w:r>
        <w:rPr>
          <w:rFonts w:ascii="Arial" w:cs="Arial" w:eastAsia="Arial" w:hAnsi="Arial"/>
          <w:sz w:val="18"/>
          <w:szCs w:val="18"/>
          <w:color w:val="auto"/>
        </w:rPr>
        <w:t>$650 million and matures on March 31, 2026. As of June 30, 2022, the Company had $642.0 million of remaining borrowing availability under the revolving credit facility. The Company used $8.0 million of the revolving credit facility for letters of credit outstanding as of June 30, 2022. There were no outstanding borrowings under the revolving credit facility as of June 30, 2022 and December 31, 2021.</w:t>
      </w:r>
    </w:p>
    <w:p>
      <w:pPr>
        <w:spacing w:after="0" w:line="193"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 xml:space="preserve">Debt Security and Guarantees: </w:t>
      </w:r>
      <w:r>
        <w:rPr>
          <w:rFonts w:ascii="Arial" w:cs="Arial" w:eastAsia="Arial" w:hAnsi="Arial"/>
          <w:sz w:val="18"/>
          <w:szCs w:val="18"/>
          <w:color w:val="auto"/>
        </w:rPr>
        <w:t>All of the debt of the Company and MatNav, including related guarantees, as of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was unsecured, except for the Title XI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Maturities: </w:t>
      </w:r>
      <w:r>
        <w:rPr>
          <w:rFonts w:ascii="Arial" w:cs="Arial" w:eastAsia="Arial" w:hAnsi="Arial"/>
          <w:sz w:val="18"/>
          <w:szCs w:val="18"/>
          <w:color w:val="auto"/>
        </w:rPr>
        <w:t>As of June 30, 2022, debt maturities during the next five years and thereafter are as follows:</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140" w:type="dxa"/>
            <w:vAlign w:val="bottom"/>
          </w:tcPr>
          <w:p>
            <w:pPr>
              <w:spacing w:after="0"/>
              <w:rPr>
                <w:sz w:val="14"/>
                <w:szCs w:val="14"/>
                <w:color w:val="auto"/>
              </w:rPr>
            </w:pPr>
          </w:p>
        </w:tc>
        <w:tc>
          <w:tcPr>
            <w:tcW w:w="1080" w:type="dxa"/>
            <w:vAlign w:val="bottom"/>
          </w:tcPr>
          <w:p>
            <w:pPr>
              <w:jc w:val="right"/>
              <w:ind w:right="35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June 30, 2022</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Company’s leases are described in Note 9 to the Consolidated Financial Statements included in Part II, Item 8 of the Company’s Annual Report on Form 10-K for the year ended December 31,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Components of Lease Cost: </w:t>
      </w:r>
      <w:r>
        <w:rPr>
          <w:rFonts w:ascii="Arial" w:cs="Arial" w:eastAsia="Arial" w:hAnsi="Arial"/>
          <w:sz w:val="16"/>
          <w:szCs w:val="16"/>
          <w:color w:val="auto"/>
        </w:rPr>
        <w:t>Components of lease cost recorded in the Company’s Condensed Consolidated Statement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and Comprehensive Income for the three and six months ended June 30, 2022 and 2021 consisted of the following:</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40" w:type="dxa"/>
            <w:vAlign w:val="bottom"/>
            <w:gridSpan w:val="7"/>
          </w:tcPr>
          <w:p>
            <w:pPr>
              <w:jc w:val="right"/>
              <w:ind w:right="2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80.6</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ind w:left="20"/>
              <w:spacing w:after="0"/>
              <w:rPr>
                <w:sz w:val="20"/>
                <w:szCs w:val="20"/>
                <w:color w:val="auto"/>
              </w:rPr>
            </w:pPr>
            <w:r>
              <w:rPr>
                <w:rFonts w:ascii="Arial" w:cs="Arial" w:eastAsia="Arial" w:hAnsi="Arial"/>
                <w:sz w:val="18"/>
                <w:szCs w:val="18"/>
                <w:color w:val="auto"/>
                <w:w w:val="92"/>
              </w:rPr>
              <w:t>Maturities of operating lease liabilities at June 30, 2022 are as follows: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351"/>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w w:val="90"/>
              </w:rPr>
              <w:t>June 30, 2022</w:t>
            </w:r>
          </w:p>
        </w:tc>
        <w:tc>
          <w:tcPr>
            <w:tcW w:w="0" w:type="dxa"/>
            <w:vAlign w:val="bottom"/>
          </w:tcPr>
          <w:p>
            <w:pPr>
              <w:spacing w:after="0"/>
              <w:rPr>
                <w:sz w:val="1"/>
                <w:szCs w:val="1"/>
                <w:color w:val="auto"/>
              </w:rPr>
            </w:pPr>
          </w:p>
        </w:tc>
      </w:tr>
      <w:tr>
        <w:trPr>
          <w:trHeight w:val="20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9"/>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9"/>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Present value of operating lease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Short-term portion</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620" w:hanging="570"/>
        <w:spacing w:after="0"/>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89" w:lineRule="exact"/>
        <w:rPr>
          <w:sz w:val="20"/>
          <w:szCs w:val="20"/>
          <w:color w:val="auto"/>
        </w:rPr>
      </w:pPr>
    </w:p>
    <w:p>
      <w:pPr>
        <w:ind w:left="60" w:right="299"/>
        <w:spacing w:after="0" w:line="261" w:lineRule="auto"/>
        <w:rPr>
          <w:sz w:val="20"/>
          <w:szCs w:val="20"/>
          <w:color w:val="auto"/>
        </w:rPr>
      </w:pPr>
      <w:r>
        <w:rPr>
          <w:rFonts w:ascii="Arial" w:cs="Arial" w:eastAsia="Arial" w:hAnsi="Arial"/>
          <w:sz w:val="18"/>
          <w:szCs w:val="18"/>
          <w:color w:val="auto"/>
        </w:rPr>
        <w:t>Changes in accumulated other comprehensive income (loss) by component, net of tax, for the six months ended June 30, 2022 consisted of the following:</w:t>
      </w:r>
    </w:p>
    <w:tbl>
      <w:tblPr>
        <w:tblLayout w:type="fixed"/>
        <w:tblInd w:w="4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Retirement</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3"/>
                <w:szCs w:val="13"/>
                <w:color w:val="auto"/>
              </w:rPr>
            </w:pPr>
          </w:p>
        </w:tc>
        <w:tc>
          <w:tcPr>
            <w:tcW w:w="8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3"/>
                <w:szCs w:val="13"/>
                <w:color w:val="auto"/>
              </w:rPr>
            </w:pPr>
          </w:p>
        </w:tc>
        <w:tc>
          <w:tcPr>
            <w:tcW w:w="6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Plans</w:t>
            </w:r>
          </w:p>
        </w:tc>
        <w:tc>
          <w:tcPr>
            <w:tcW w:w="720" w:type="dxa"/>
            <w:vAlign w:val="bottom"/>
            <w:gridSpan w:val="3"/>
            <w:vMerge w:val="continue"/>
          </w:tcPr>
          <w:p>
            <w:pPr>
              <w:spacing w:after="0"/>
              <w:rPr>
                <w:sz w:val="13"/>
                <w:szCs w:val="13"/>
                <w:color w:val="auto"/>
              </w:rPr>
            </w:pPr>
          </w:p>
        </w:tc>
        <w:tc>
          <w:tcPr>
            <w:tcW w:w="10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Foreign currency exchange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Foreign currency exchange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(2.3)</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8" w:lineRule="auto"/>
        <w:rPr>
          <w:sz w:val="20"/>
          <w:szCs w:val="20"/>
          <w:color w:val="auto"/>
        </w:rPr>
      </w:pPr>
      <w:r>
        <w:rPr>
          <w:rFonts w:ascii="Arial" w:cs="Arial" w:eastAsia="Arial" w:hAnsi="Arial"/>
          <w:sz w:val="18"/>
          <w:szCs w:val="18"/>
          <w:color w:val="auto"/>
        </w:rPr>
        <w:t>Changes in accumulated other comprehensive income (loss) by component, net of tax, for the six months ended June 30, 2021 consisted of the following:</w:t>
      </w:r>
    </w:p>
    <w:tbl>
      <w:tblPr>
        <w:tblLayout w:type="fixed"/>
        <w:tblInd w:w="40" w:type="dxa"/>
        <w:tblCellMar>
          <w:top w:w="0" w:type="dxa"/>
          <w:left w:w="0" w:type="dxa"/>
          <w:bottom w:w="0" w:type="dxa"/>
          <w:right w:w="0" w:type="dxa"/>
        </w:tblCellMar>
      </w:tblPr>
      <w:tr>
        <w:trPr>
          <w:trHeight w:val="141"/>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Retirement</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Plans</w:t>
            </w:r>
          </w:p>
        </w:tc>
        <w:tc>
          <w:tcPr>
            <w:tcW w:w="720" w:type="dxa"/>
            <w:vAlign w:val="bottom"/>
            <w:gridSpan w:val="3"/>
            <w:vMerge w:val="continue"/>
          </w:tcPr>
          <w:p>
            <w:pPr>
              <w:spacing w:after="0"/>
              <w:rPr>
                <w:sz w:val="14"/>
                <w:szCs w:val="14"/>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(0.2)</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(0.8)</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40" w:hanging="590"/>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1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64"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157" w:lineRule="exact"/>
        <w:rPr>
          <w:sz w:val="20"/>
          <w:szCs w:val="20"/>
          <w:color w:val="auto"/>
        </w:rPr>
      </w:pPr>
    </w:p>
    <w:p>
      <w:pPr>
        <w:ind w:left="60" w:right="219"/>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June 30, 2022 and December 31, 2021 are as follows:</w:t>
      </w:r>
    </w:p>
    <w:tbl>
      <w:tblPr>
        <w:tblLayout w:type="fixed"/>
        <w:tblInd w:w="40" w:type="dxa"/>
        <w:tblCellMar>
          <w:top w:w="0" w:type="dxa"/>
          <w:left w:w="0" w:type="dxa"/>
          <w:bottom w:w="0" w:type="dxa"/>
          <w:right w:w="0" w:type="dxa"/>
        </w:tblCellMar>
      </w:tblPr>
      <w:tr>
        <w:trPr>
          <w:trHeight w:val="141"/>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Quoted Prices in</w:t>
            </w:r>
          </w:p>
        </w:tc>
        <w:tc>
          <w:tcPr>
            <w:tcW w:w="120" w:type="dxa"/>
            <w:vAlign w:val="bottom"/>
          </w:tcPr>
          <w:p>
            <w:pPr>
              <w:spacing w:after="0"/>
              <w:rPr>
                <w:sz w:val="12"/>
                <w:szCs w:val="12"/>
                <w:color w:val="auto"/>
              </w:rPr>
            </w:pPr>
          </w:p>
        </w:tc>
        <w:tc>
          <w:tcPr>
            <w:tcW w:w="102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w w:val="97"/>
              </w:rPr>
              <w:t>Significant</w:t>
            </w:r>
          </w:p>
        </w:tc>
        <w:tc>
          <w:tcPr>
            <w:tcW w:w="1040" w:type="dxa"/>
            <w:vAlign w:val="bottom"/>
            <w:gridSpan w:val="3"/>
          </w:tcPr>
          <w:p>
            <w:pPr>
              <w:ind w:left="180"/>
              <w:spacing w:after="0" w:line="141"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Active Markets</w:t>
            </w:r>
          </w:p>
        </w:tc>
        <w:tc>
          <w:tcPr>
            <w:tcW w:w="12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5"/>
              </w:rPr>
              <w:t>Carrying Value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Pr>
          <w:p>
            <w:pPr>
              <w:spacing w:after="0"/>
              <w:rPr>
                <w:sz w:val="14"/>
                <w:szCs w:val="14"/>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Inputs (Level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90"/>
              </w:rPr>
              <w:t>June 30, 2022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60" w:type="dxa"/>
            <w:vAlign w:val="bottom"/>
            <w:gridSpan w:val="9"/>
          </w:tcPr>
          <w:p>
            <w:pPr>
              <w:ind w:left="20"/>
              <w:spacing w:after="0" w:line="129" w:lineRule="exact"/>
              <w:rPr>
                <w:sz w:val="20"/>
                <w:szCs w:val="20"/>
                <w:color w:val="auto"/>
              </w:rPr>
            </w:pPr>
            <w:r>
              <w:rPr>
                <w:rFonts w:ascii="Arial" w:cs="Arial" w:eastAsia="Arial" w:hAnsi="Arial"/>
                <w:sz w:val="14"/>
                <w:szCs w:val="14"/>
                <w:b w:val="1"/>
                <w:bCs w:val="1"/>
                <w:color w:val="auto"/>
              </w:rPr>
              <w:t>Fair Value Measurements at June 30, 2022</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360" w:type="dxa"/>
            <w:vAlign w:val="bottom"/>
            <w:tcBorders>
              <w:top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rate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Pr>
          <w:p>
            <w:pPr>
              <w:spacing w:after="0"/>
              <w:rPr>
                <w:sz w:val="24"/>
                <w:szCs w:val="24"/>
                <w:color w:val="auto"/>
              </w:rPr>
            </w:pPr>
          </w:p>
        </w:tc>
        <w:tc>
          <w:tcPr>
            <w:tcW w:w="3760" w:type="dxa"/>
            <w:vAlign w:val="bottom"/>
            <w:gridSpan w:val="10"/>
          </w:tcPr>
          <w:p>
            <w:pPr>
              <w:ind w:left="620"/>
              <w:spacing w:after="0"/>
              <w:rPr>
                <w:sz w:val="20"/>
                <w:szCs w:val="20"/>
                <w:color w:val="auto"/>
              </w:rPr>
            </w:pPr>
            <w:r>
              <w:rPr>
                <w:rFonts w:ascii="Arial" w:cs="Arial" w:eastAsia="Arial" w:hAnsi="Arial"/>
                <w:sz w:val="14"/>
                <w:szCs w:val="14"/>
                <w:b w:val="1"/>
                <w:bCs w:val="1"/>
                <w:color w:val="auto"/>
                <w:w w:val="98"/>
              </w:rPr>
              <w:t>Fair Value Measurements at December 31, 2021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360" w:type="dxa"/>
            <w:vAlign w:val="bottom"/>
            <w:tcBorders>
              <w:top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rate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62"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Basic earnings per share is determined by dividing net income by the weighted average common shares outstanding during the period. The calculation of diluted earnings per share includes the dilutive effect of unexercised non-qualified stock options and non-vested restricted stock units. The computation of weighted average common shares outstanding excluded a nominal amount of anti-dilutive non-qualified stock options for each period ended June 30, 2022 and 2021.</w:t>
      </w:r>
    </w:p>
    <w:p>
      <w:pPr>
        <w:spacing w:after="0" w:line="90"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The computations for basic and diluted earnings per share for the three and six months ended June 30, 2022 and 2021 are as follows:</w:t>
      </w: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11"/>
          </w:tcPr>
          <w:p>
            <w:pPr>
              <w:jc w:val="center"/>
              <w:ind w:right="140"/>
              <w:spacing w:after="0"/>
              <w:rPr>
                <w:sz w:val="20"/>
                <w:szCs w:val="20"/>
                <w:color w:val="auto"/>
              </w:rPr>
            </w:pPr>
            <w:r>
              <w:rPr>
                <w:rFonts w:ascii="Arial" w:cs="Arial" w:eastAsia="Arial" w:hAnsi="Arial"/>
                <w:sz w:val="13"/>
                <w:szCs w:val="13"/>
                <w:b w:val="1"/>
                <w:bCs w:val="1"/>
                <w:color w:val="auto"/>
                <w:w w:val="94"/>
              </w:rPr>
              <w:t>Three Months Ended June 30, 2022</w:t>
            </w:r>
          </w:p>
        </w:tc>
        <w:tc>
          <w:tcPr>
            <w:tcW w:w="20" w:type="dxa"/>
            <w:vAlign w:val="bottom"/>
          </w:tcPr>
          <w:p>
            <w:pPr>
              <w:spacing w:after="0"/>
              <w:rPr>
                <w:sz w:val="14"/>
                <w:szCs w:val="14"/>
                <w:color w:val="auto"/>
              </w:rPr>
            </w:pPr>
          </w:p>
        </w:tc>
        <w:tc>
          <w:tcPr>
            <w:tcW w:w="2120" w:type="dxa"/>
            <w:vAlign w:val="bottom"/>
            <w:gridSpan w:val="7"/>
          </w:tcPr>
          <w:p>
            <w:pPr>
              <w:jc w:val="center"/>
              <w:spacing w:after="0"/>
              <w:rPr>
                <w:sz w:val="20"/>
                <w:szCs w:val="20"/>
                <w:color w:val="auto"/>
              </w:rPr>
            </w:pPr>
            <w:r>
              <w:rPr>
                <w:rFonts w:ascii="Arial" w:cs="Arial" w:eastAsia="Arial" w:hAnsi="Arial"/>
                <w:sz w:val="13"/>
                <w:szCs w:val="13"/>
                <w:b w:val="1"/>
                <w:bCs w:val="1"/>
                <w:color w:val="auto"/>
                <w:w w:val="93"/>
              </w:rPr>
              <w:t>Six Months Ended June 30, 2022</w:t>
            </w:r>
          </w:p>
        </w:tc>
      </w:tr>
      <w:tr>
        <w:trPr>
          <w:trHeight w:val="129"/>
        </w:trPr>
        <w:tc>
          <w:tcPr>
            <w:tcW w:w="4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95"/>
              </w:rPr>
              <w:t>Weighted</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95"/>
              </w:rPr>
              <w:t>Per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5"/>
              </w:rPr>
              <w:t>Weighted</w:t>
            </w: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21"/>
              <w:spacing w:after="0" w:line="129" w:lineRule="exact"/>
              <w:rPr>
                <w:sz w:val="20"/>
                <w:szCs w:val="20"/>
                <w:color w:val="auto"/>
              </w:rPr>
            </w:pPr>
            <w:r>
              <w:rPr>
                <w:rFonts w:ascii="Arial" w:cs="Arial" w:eastAsia="Arial" w:hAnsi="Arial"/>
                <w:sz w:val="13"/>
                <w:szCs w:val="13"/>
                <w:b w:val="1"/>
                <w:bCs w:val="1"/>
                <w:color w:val="auto"/>
                <w:w w:val="95"/>
              </w:rPr>
              <w:t>Per</w:t>
            </w:r>
          </w:p>
        </w:tc>
        <w:tc>
          <w:tcPr>
            <w:tcW w:w="20" w:type="dxa"/>
            <w:vAlign w:val="bottom"/>
          </w:tcPr>
          <w:p>
            <w:pPr>
              <w:spacing w:after="0"/>
              <w:rPr>
                <w:sz w:val="11"/>
                <w:szCs w:val="11"/>
                <w:color w:val="auto"/>
              </w:rPr>
            </w:pPr>
          </w:p>
        </w:tc>
      </w:tr>
      <w:tr>
        <w:trPr>
          <w:trHeight w:val="148"/>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Average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Common</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Average</w:t>
            </w:r>
          </w:p>
        </w:tc>
        <w:tc>
          <w:tcPr>
            <w:tcW w:w="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Common</w:t>
            </w:r>
          </w:p>
        </w:tc>
      </w:tr>
      <w:tr>
        <w:trPr>
          <w:trHeight w:val="148"/>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Common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Share</w:t>
            </w:r>
          </w:p>
        </w:tc>
        <w:tc>
          <w:tcPr>
            <w:tcW w:w="2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Net</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Common</w:t>
            </w:r>
          </w:p>
        </w:tc>
        <w:tc>
          <w:tcPr>
            <w:tcW w:w="12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Share</w:t>
            </w:r>
          </w:p>
        </w:tc>
      </w:tr>
      <w:tr>
        <w:trPr>
          <w:trHeight w:val="161"/>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Income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Income</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Shares</w:t>
            </w:r>
          </w:p>
        </w:tc>
        <w:tc>
          <w:tcPr>
            <w:tcW w:w="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Amount</w:t>
            </w:r>
          </w:p>
        </w:tc>
      </w:tr>
      <w:tr>
        <w:trPr>
          <w:trHeight w:val="209"/>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$ 380.7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$ 719.9</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$ 17.82</w:t>
            </w:r>
          </w:p>
        </w:tc>
        <w:tc>
          <w:tcPr>
            <w:tcW w:w="20" w:type="dxa"/>
            <w:vAlign w:val="bottom"/>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r>
      <w:tr>
        <w:trPr>
          <w:trHeight w:val="209"/>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$ 380.7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$ 719.9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$ 17.69</w:t>
            </w:r>
          </w:p>
        </w:tc>
        <w:tc>
          <w:tcPr>
            <w:tcW w:w="2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11"/>
          </w:tcPr>
          <w:p>
            <w:pPr>
              <w:jc w:val="center"/>
              <w:ind w:right="140"/>
              <w:spacing w:after="0"/>
              <w:rPr>
                <w:sz w:val="20"/>
                <w:szCs w:val="20"/>
                <w:color w:val="auto"/>
              </w:rPr>
            </w:pPr>
            <w:r>
              <w:rPr>
                <w:rFonts w:ascii="Arial" w:cs="Arial" w:eastAsia="Arial" w:hAnsi="Arial"/>
                <w:sz w:val="13"/>
                <w:szCs w:val="13"/>
                <w:b w:val="1"/>
                <w:bCs w:val="1"/>
                <w:color w:val="auto"/>
                <w:w w:val="94"/>
              </w:rPr>
              <w:t>Three Months Ended June 30, 2021</w:t>
            </w:r>
          </w:p>
        </w:tc>
        <w:tc>
          <w:tcPr>
            <w:tcW w:w="20" w:type="dxa"/>
            <w:vAlign w:val="bottom"/>
          </w:tcPr>
          <w:p>
            <w:pPr>
              <w:spacing w:after="0"/>
              <w:rPr>
                <w:sz w:val="24"/>
                <w:szCs w:val="24"/>
                <w:color w:val="auto"/>
              </w:rPr>
            </w:pPr>
          </w:p>
        </w:tc>
        <w:tc>
          <w:tcPr>
            <w:tcW w:w="212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w w:val="93"/>
              </w:rPr>
              <w:t>Six Months Ended June 30, 2021</w:t>
            </w:r>
          </w:p>
        </w:tc>
      </w:tr>
      <w:tr>
        <w:trPr>
          <w:trHeight w:val="129"/>
        </w:trPr>
        <w:tc>
          <w:tcPr>
            <w:tcW w:w="4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3"/>
                <w:szCs w:val="13"/>
                <w:b w:val="1"/>
                <w:bCs w:val="1"/>
                <w:color w:val="auto"/>
                <w:w w:val="92"/>
              </w:rPr>
              <w:t>Weighted</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59"/>
              <w:spacing w:after="0" w:line="129" w:lineRule="exact"/>
              <w:rPr>
                <w:sz w:val="20"/>
                <w:szCs w:val="20"/>
                <w:color w:val="auto"/>
              </w:rPr>
            </w:pPr>
            <w:r>
              <w:rPr>
                <w:rFonts w:ascii="Arial" w:cs="Arial" w:eastAsia="Arial" w:hAnsi="Arial"/>
                <w:sz w:val="13"/>
                <w:szCs w:val="13"/>
                <w:b w:val="1"/>
                <w:bCs w:val="1"/>
                <w:color w:val="auto"/>
                <w:w w:val="95"/>
              </w:rPr>
              <w:t>Per</w:t>
            </w:r>
          </w:p>
        </w:tc>
        <w:tc>
          <w:tcPr>
            <w:tcW w:w="12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5"/>
              </w:rPr>
              <w:t>Weighted</w:t>
            </w: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21"/>
              <w:spacing w:after="0" w:line="129" w:lineRule="exact"/>
              <w:rPr>
                <w:sz w:val="20"/>
                <w:szCs w:val="20"/>
                <w:color w:val="auto"/>
              </w:rPr>
            </w:pPr>
            <w:r>
              <w:rPr>
                <w:rFonts w:ascii="Arial" w:cs="Arial" w:eastAsia="Arial" w:hAnsi="Arial"/>
                <w:sz w:val="13"/>
                <w:szCs w:val="13"/>
                <w:b w:val="1"/>
                <w:bCs w:val="1"/>
                <w:color w:val="auto"/>
                <w:w w:val="95"/>
              </w:rPr>
              <w:t>Per</w:t>
            </w:r>
          </w:p>
        </w:tc>
        <w:tc>
          <w:tcPr>
            <w:tcW w:w="20" w:type="dxa"/>
            <w:vAlign w:val="bottom"/>
          </w:tcPr>
          <w:p>
            <w:pPr>
              <w:spacing w:after="0"/>
              <w:rPr>
                <w:sz w:val="11"/>
                <w:szCs w:val="11"/>
                <w:color w:val="auto"/>
              </w:rPr>
            </w:pPr>
          </w:p>
        </w:tc>
      </w:tr>
      <w:tr>
        <w:trPr>
          <w:trHeight w:val="148"/>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9"/>
              </w:rPr>
              <w:t>Average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Average</w:t>
            </w:r>
          </w:p>
        </w:tc>
        <w:tc>
          <w:tcPr>
            <w:tcW w:w="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Common</w:t>
            </w:r>
          </w:p>
        </w:tc>
      </w:tr>
      <w:tr>
        <w:trPr>
          <w:trHeight w:val="148"/>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2"/>
                <w:szCs w:val="12"/>
                <w:color w:val="auto"/>
              </w:rPr>
            </w:pPr>
          </w:p>
        </w:tc>
        <w:tc>
          <w:tcPr>
            <w:tcW w:w="5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Share</w:t>
            </w:r>
          </w:p>
        </w:tc>
        <w:tc>
          <w:tcPr>
            <w:tcW w:w="2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Net</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Common</w:t>
            </w:r>
          </w:p>
        </w:tc>
        <w:tc>
          <w:tcPr>
            <w:tcW w:w="12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Share</w:t>
            </w:r>
          </w:p>
        </w:tc>
      </w:tr>
      <w:tr>
        <w:trPr>
          <w:trHeight w:val="161"/>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Income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Income</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Shares</w:t>
            </w:r>
          </w:p>
        </w:tc>
        <w:tc>
          <w:tcPr>
            <w:tcW w:w="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Amount</w:t>
            </w:r>
          </w:p>
        </w:tc>
      </w:tr>
      <w:tr>
        <w:trPr>
          <w:trHeight w:val="210"/>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$ 162.5</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$ 249.7</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r>
      <w:tr>
        <w:trPr>
          <w:trHeight w:val="209"/>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$ 162.5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$ 249.7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720" w:hanging="670"/>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48"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The Company granted time-based restricted stock units and performance-based shares to certain of its employees totaling approximately 12,400 and 180,500 shares with a weighted average grant date fair value of $93.32 and $100.83 per share during the three and six months ended June 30, 2022, respectively.</w:t>
      </w:r>
    </w:p>
    <w:p>
      <w:pPr>
        <w:spacing w:after="0" w:line="184"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Total share-based compensation cost recognized in the Condensed Consolidated Statements of Income and Comprehensive Income as a component of selling, general and administrative expenses was $5.8 million and $4.7 million for the three months ended June 30, 2022 and 2021, and $10.5 million and $9.5 million for the six month ended June 30, 2022 and 2021, respectively. Total unrecognized compensation cost related to unvested share-based compensation arrangements was $33.9 million at June 30, 2022, and is expected to be recognized over a weighted average period of approximately</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2.1 years. Total unrecognized compensation cost may be adjusted for any unearned performance shares or forfeited shares.</w:t>
      </w:r>
    </w:p>
    <w:p>
      <w:pPr>
        <w:spacing w:after="0" w:line="200" w:lineRule="exact"/>
        <w:rPr>
          <w:sz w:val="20"/>
          <w:szCs w:val="20"/>
          <w:color w:val="auto"/>
        </w:rPr>
      </w:pPr>
    </w:p>
    <w:p>
      <w:pPr>
        <w:spacing w:after="0" w:line="246" w:lineRule="exact"/>
        <w:rPr>
          <w:sz w:val="20"/>
          <w:szCs w:val="20"/>
          <w:color w:val="auto"/>
        </w:rPr>
      </w:pPr>
    </w:p>
    <w:p>
      <w:pPr>
        <w:ind w:left="720" w:hanging="670"/>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148"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The Company’s pension and post-retirement plans are described in Note 11 to the Consolidated Financial Statements included in Part II, Item 8 of the Company’s Annual Report on Form 10-K for the year ended December 31, 2021. Components of net periodic benefit cost and other amounts recognized in Other Comprehensive Income (Loss) for the qualified pension plans and the post-retirement benefit plans for the three and six months ended June 30, 2022 and 2021 consisted of the following:</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Pr>
          <w:p>
            <w:pPr>
              <w:spacing w:after="0"/>
              <w:rPr>
                <w:sz w:val="13"/>
                <w:szCs w:val="13"/>
                <w:color w:val="auto"/>
              </w:rPr>
            </w:pPr>
          </w:p>
        </w:tc>
        <w:tc>
          <w:tcPr>
            <w:tcW w:w="184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5"/>
              </w:rPr>
              <w:t>Post-retirement Benefits</w:t>
            </w: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1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Three Months Ended June 30,</w:t>
            </w:r>
          </w:p>
        </w:tc>
        <w:tc>
          <w:tcPr>
            <w:tcW w:w="202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w w:val="95"/>
              </w:rPr>
              <w:t>Three Months Ended June 30,</w:t>
            </w: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14"/>
                <w:szCs w:val="14"/>
                <w:color w:val="auto"/>
              </w:rPr>
            </w:pPr>
          </w:p>
        </w:tc>
        <w:tc>
          <w:tcPr>
            <w:tcW w:w="190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9"/>
              </w:rPr>
              <w:t>Post-retirement Benefits</w:t>
            </w: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0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Pr>
          <w:p>
            <w:pPr>
              <w:spacing w:after="0"/>
              <w:rPr>
                <w:sz w:val="14"/>
                <w:szCs w:val="14"/>
                <w:color w:val="auto"/>
              </w:rPr>
            </w:pPr>
          </w:p>
        </w:tc>
        <w:tc>
          <w:tcPr>
            <w:tcW w:w="190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720" w:hanging="670"/>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8"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b w:val="1"/>
          <w:bCs w:val="1"/>
          <w:i w:val="1"/>
          <w:iCs w:val="1"/>
          <w:color w:val="auto"/>
        </w:rPr>
        <w:t xml:space="preserve">Environmental Matters: </w:t>
      </w:r>
      <w:r>
        <w:rPr>
          <w:rFonts w:ascii="Arial" w:cs="Arial" w:eastAsia="Arial" w:hAnsi="Arial"/>
          <w:sz w:val="16"/>
          <w:szCs w:val="16"/>
          <w:color w:val="auto"/>
        </w:rPr>
        <w:t>The Company’s Ocean Transportation business has certain risks that could result in expenditures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environmental remediation. Except as described below, the Company believes that based on all information available to it, the Company is currently in compliance, in all material respects, with applicable environmental laws and regulations.</w:t>
      </w:r>
    </w:p>
    <w:p>
      <w:pPr>
        <w:spacing w:after="0" w:line="149"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On November 10, 2021, the California Air Resources Board (“CARB”) issued a Notice of Violation (“NOV”) to Matson for alleged violations of the Airborne Toxic Control Measure for Auxiliary Diesel Engines Operated on Ocean-Going Vessels At-Berth in a California Port pursuant to California Code of Regulations, title 17, section 93118.3. CARB regulations require that a company’s fleet plug into shore power for at least 80 percent of visits at California ports and reduce auxiliary engine power generation by at least 80 percent. The NOV alleges that Matson’s fleet did not meet the 80 percent thresholds during visits to the Port of Long Beach in 2020. The violations were alleged to have been incurred by chartered vessels in the CLX+ service. These chartered vessels were not outfitted with alternative maritime power capability which would have allowed them to plug into the shore power grid and shut down the vessel diesel generators when at dock. The Company has presented mitigating factors for consideration in settlement discussions with CARB, as well as plans to achieve compliance in 2022. Although potential penalties for 2020, 2021 and 2022 violations could, in the aggregate, reasonably be expected to exceed $1 million, they are not expected to be material to the Company’s financial condition, results of operations, or cash flows.</w:t>
      </w:r>
    </w:p>
    <w:p>
      <w:pPr>
        <w:spacing w:after="0" w:line="17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76"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This report, and other statements that the Company may make, may contain forward-looking statements with respect to the Company’s future financial, business or environmental, social and governance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“design,” “goal,” “plan,” or similar expressions, or future or conditional verbs such as “will,” “would,” “should,” “could,” “may” or similar expressions.</w:t>
      </w:r>
    </w:p>
    <w:p>
      <w:pPr>
        <w:spacing w:after="0" w:line="178"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risk factors that are described in Part I, Item 1A, “Risk Factors” of Matson’s Annual Report on Form 10-K for the year ended December 31, 2021.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spacing w:after="0" w:line="270" w:lineRule="auto"/>
        <w:rPr>
          <w:rFonts w:ascii="Arial" w:cs="Arial" w:eastAsia="Arial" w:hAnsi="Arial"/>
          <w:sz w:val="17"/>
          <w:szCs w:val="17"/>
          <w:color w:val="0000EE"/>
        </w:rPr>
      </w:pPr>
      <w:r>
        <w:rPr>
          <w:rFonts w:ascii="Arial" w:cs="Arial" w:eastAsia="Arial" w:hAnsi="Arial"/>
          <w:sz w:val="17"/>
          <w:szCs w:val="17"/>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 the Company’s Condensed Consolidated Financial Statements. MD&amp;A is provided as a supplement to the Condensed Consolidated Financial Statements and notes herein, and should be read in conjunction with the Company’s </w:t>
      </w:r>
      <w:hyperlink r:id="rId26">
        <w:r>
          <w:rPr>
            <w:rFonts w:ascii="Arial" w:cs="Arial" w:eastAsia="Arial" w:hAnsi="Arial"/>
            <w:sz w:val="17"/>
            <w:szCs w:val="17"/>
            <w:u w:val="single" w:color="auto"/>
            <w:color w:val="0000EE"/>
          </w:rPr>
          <w:t>Annual Report on Form 10-K for the year ended December 31, 2021</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the Company’s reports on Forms 10-Q and 8-K, and</w:t>
      </w:r>
      <w:r>
        <w:rPr>
          <w:rFonts w:ascii="Arial" w:cs="Arial" w:eastAsia="Arial" w:hAnsi="Arial"/>
          <w:sz w:val="17"/>
          <w:szCs w:val="17"/>
          <w:color w:val="0000EE"/>
        </w:rPr>
        <w:t xml:space="preserve"> </w:t>
      </w:r>
      <w:r>
        <w:rPr>
          <w:rFonts w:ascii="Arial" w:cs="Arial" w:eastAsia="Arial" w:hAnsi="Arial"/>
          <w:sz w:val="17"/>
          <w:szCs w:val="17"/>
          <w:color w:val="000000"/>
        </w:rPr>
        <w:t>other publicly available information.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SECOND QUARTER 2022 DISCUSSION AND UPDATE ON BUSINESS CONDITIONS</w:t>
      </w:r>
    </w:p>
    <w:p>
      <w:pPr>
        <w:spacing w:after="0" w:line="229"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i w:val="1"/>
          <w:iCs w:val="1"/>
          <w:color w:val="auto"/>
        </w:rPr>
        <w:t xml:space="preserve">Ocean Transportation: </w:t>
      </w:r>
      <w:r>
        <w:rPr>
          <w:rFonts w:ascii="Arial" w:cs="Arial" w:eastAsia="Arial" w:hAnsi="Arial"/>
          <w:sz w:val="16"/>
          <w:szCs w:val="16"/>
          <w:color w:val="auto"/>
        </w:rPr>
        <w:t>The Company’s container volume in the Hawaii service in the second quarter 2022 was 1.5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lower year-over-year. The decrease was primarily due to lower retail-related demand. During the quarter, we saw continued improvement in the Hawaii economy supported by strong domestic tourist arrivals and a modest improvement in international tourist trends. In the near-term, we expect continued economic recovery in Hawaii from the pandemic supported by an improving unemployment rate and increasing tourism traffic, but there are negative trends from a combination of economic effects that create uncertainty in the economic growth trajectory. The negative trends include weakening economic conditions in the U.S. and global economies and lower household discretionary income as a result of high inflation, higher interest rates and the end of the pandemic-era stimulus helping personal income.</w:t>
      </w:r>
    </w:p>
    <w:p>
      <w:pPr>
        <w:spacing w:after="0" w:line="165"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In China, the Company’s container volume in the second quarter 2022 increased 11.7 percent year-over-year. The increase was a result of four more eastbound voyages than the prior year. Volume demand in the quarter was driven by e-commerce, garments and other goods. Matson continued to realize a significant rate premium over the Shanghai Containerized Freight Index in the second quarter 2022 and achieved average freight rates that were considerably higher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than in the year ago period. Currently in the Transpacific tradelane, we are seeing solid demand for our China service as China’s factory production continues to recover from the COVID-19-related supply chain challenges. However, in recent weeks we have seen a gradual decline in the Transpacific freight rate environment off the highs experienced earlier this year. This indicates that rates have likely peaked for now, and, at this time, we expect an orderly marketplace for the remainder of the year with our vessels continuing to operate at or near capacity and earning a significant rate premium to the market because of our differentiated, fast ocean services. To this end, we continue to expect to operate the CCX service through the October peak season this year.</w:t>
      </w:r>
    </w:p>
    <w:p>
      <w:pPr>
        <w:spacing w:after="0" w:line="177"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In Guam, the Company’s container volume in the second quarter 2022 decreased 7.0 percent year-over-year primarily due to lower retail-related demand. In the near-term, we expect the Guam economy to continue to benefit from a recovery in tourism, but there are negative trends as a result of higher inflation, higher interest rates and the end of the pandemic-era stimulus helping personal income that creates uncertainty in the economic growth trajectory.</w:t>
      </w:r>
    </w:p>
    <w:p>
      <w:pPr>
        <w:spacing w:after="0" w:line="157"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In Alaska, the Company’s container volume for the second quarter 2022 increased 12.2 percent year-over-year primarily due to (i) higher northbound volume primarily due to higher retail-related demand and an additional sailing and (ii) higher volume from Alaska-Asia Express (“AAX”). In the near-term, we expect the Alaska economy to benefit from the resumption of summer tourism and increased energy-related exploration and production activity as a result of elevated oil prices, but there are negative trends as a result of higher inflation, higher interest rates and the end of the pandemic-era stimulus helping personal income that creates uncertainty in the economic growth trajectory.</w:t>
      </w:r>
    </w:p>
    <w:p>
      <w:pPr>
        <w:spacing w:after="0" w:line="178"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The contribution in the second quarter 2022 from the Company’s SSAT joint venture investment was $24.7 million, or $11.9 million higher than the second quarter 2021. The increase was primarily driven by higher other terminal revenue.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In the second quarter 2022, operating income for the Company’s Logistics segment was $23.1 million, or</w:t>
      </w:r>
    </w:p>
    <w:p>
      <w:pPr>
        <w:spacing w:after="0" w:line="35" w:lineRule="exact"/>
        <w:rPr>
          <w:sz w:val="20"/>
          <w:szCs w:val="20"/>
          <w:color w:val="auto"/>
        </w:rPr>
      </w:pPr>
    </w:p>
    <w:p>
      <w:pPr>
        <w:ind w:left="100" w:right="179" w:hanging="44"/>
        <w:spacing w:after="0" w:line="323" w:lineRule="auto"/>
        <w:rPr>
          <w:sz w:val="20"/>
          <w:szCs w:val="20"/>
          <w:color w:val="auto"/>
        </w:rPr>
      </w:pPr>
      <w:r>
        <w:rPr>
          <w:rFonts w:ascii="Arial" w:cs="Arial" w:eastAsia="Arial" w:hAnsi="Arial"/>
          <w:sz w:val="16"/>
          <w:szCs w:val="16"/>
          <w:color w:val="auto"/>
        </w:rPr>
        <w:t>$10.2 million higher compared to the level achieved in the second quarter 2021. The increase was due primarily to higher contributions from all services as we continued to see favorable supply and demand fundamentals in our core markets.</w:t>
      </w:r>
    </w:p>
    <w:p>
      <w:pPr>
        <w:spacing w:after="0" w:line="3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 Three months ended June 30, 2022 compared with 2021:</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1,261.1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(768.0)</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(661.0)</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(107.0)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Income before taxes</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490.4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280.5</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133.6 %</w:t>
            </w:r>
          </w:p>
        </w:tc>
        <w:tc>
          <w:tcPr>
            <w:tcW w:w="0" w:type="dxa"/>
            <w:vAlign w:val="bottom"/>
          </w:tcPr>
          <w:p>
            <w:pPr>
              <w:spacing w:after="0"/>
              <w:rPr>
                <w:sz w:val="1"/>
                <w:szCs w:val="1"/>
                <w:color w:val="auto"/>
              </w:rPr>
            </w:pPr>
          </w:p>
        </w:tc>
      </w:tr>
      <w:tr>
        <w:trPr>
          <w:trHeight w:val="432"/>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131.4 %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380.7</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162.5</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218.2</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134.3 %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155.1 %</w:t>
            </w:r>
          </w:p>
        </w:tc>
        <w:tc>
          <w:tcPr>
            <w:tcW w:w="0" w:type="dxa"/>
            <w:vAlign w:val="bottom"/>
          </w:tcPr>
          <w:p>
            <w:pPr>
              <w:spacing w:after="0"/>
              <w:rPr>
                <w:sz w:val="1"/>
                <w:szCs w:val="1"/>
                <w:color w:val="auto"/>
              </w:rPr>
            </w:pPr>
          </w:p>
        </w:tc>
      </w:tr>
      <w:tr>
        <w:trPr>
          <w:trHeight w:val="432"/>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155.8 %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decrease in interest expense for the three months ended June 30, 2022, compared to the three months ended June 30, 2021, was due to lower outstanding debt during the period.</w:t>
      </w:r>
    </w:p>
    <w:p>
      <w:pPr>
        <w:spacing w:after="0" w:line="170"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w:t>
      </w:r>
    </w:p>
    <w:p>
      <w:pPr>
        <w:spacing w:after="0" w:line="170"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Income tax expense was $109.7 million or 22.4 percent of income before taxes for the three months ended June 30, 2022, compared to $47.4 million or 22.6 percent of income before taxes for the three months ended June 30, 2021. The effective tax rate for the three months ended June 30, 2022 benefited from a 1.6 percent deduction related to foreign-</w:t>
      </w:r>
    </w:p>
    <w:p>
      <w:pPr>
        <w:sectPr>
          <w:pgSz w:w="11900" w:h="16838" w:orient="portrait"/>
          <w:cols w:equalWidth="0" w:num="1">
            <w:col w:w="9019"/>
          </w:cols>
          <w:pgMar w:left="1440" w:top="517" w:right="1440" w:bottom="574"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574"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derived intangible income (“FDII”) under Section 250 of the Internal Revenue Code that lowered the effective tax rate for the current period. The effective tax rate for the three months ended June 30, 2021 benefited from a 1.8 percent discrete adjustment related to the valuation allowance against the Company’s foreign income tax net operating losses that lowered the effective tax rate for the prior year period.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 Six months ended June 30, 2022 compared with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(1,500.9)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(1,252.6)</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(248.3)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177.1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Income before taxes</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596.0</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183.8 %</w:t>
            </w:r>
          </w:p>
        </w:tc>
        <w:tc>
          <w:tcPr>
            <w:tcW w:w="0" w:type="dxa"/>
            <w:vAlign w:val="bottom"/>
          </w:tcPr>
          <w:p>
            <w:pPr>
              <w:spacing w:after="0"/>
              <w:rPr>
                <w:sz w:val="1"/>
                <w:szCs w:val="1"/>
                <w:color w:val="auto"/>
              </w:rPr>
            </w:pPr>
          </w:p>
        </w:tc>
      </w:tr>
      <w:tr>
        <w:trPr>
          <w:trHeight w:val="432"/>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(125.8)</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168.9 %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719.9</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249.7</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470.2</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188.3 %</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209.9 %</w:t>
            </w:r>
          </w:p>
        </w:tc>
        <w:tc>
          <w:tcPr>
            <w:tcW w:w="0" w:type="dxa"/>
            <w:vAlign w:val="bottom"/>
          </w:tcPr>
          <w:p>
            <w:pPr>
              <w:spacing w:after="0"/>
              <w:rPr>
                <w:sz w:val="1"/>
                <w:szCs w:val="1"/>
                <w:color w:val="auto"/>
              </w:rPr>
            </w:pPr>
          </w:p>
        </w:tc>
      </w:tr>
      <w:tr>
        <w:trPr>
          <w:trHeight w:val="432"/>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11.99</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210.4 %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decrease in interest expense for the six months ended June 30, 2022, compared to the six months ended June 30, 2021, was due to lower outstanding debt during the period.</w:t>
      </w:r>
    </w:p>
    <w:p>
      <w:pPr>
        <w:spacing w:after="0" w:line="170"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w:t>
      </w:r>
    </w:p>
    <w:p>
      <w:pPr>
        <w:spacing w:after="0" w:line="170"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Income tax expense was $200.3 million or 21.8 percent of income before taxes for the six months ended June 30, 2022, compared to $74.5 million or 23.0 percent of income before taxes for the six months ended June 30, 2021. The effective tax rate for the six months ended June 30, 2022 benefited from a 2.3 percent deduction related to FDII under Section 250 of the Internal Revenue Code that lowered the effective tax rate for the current period. The effective tax rate for the six months ended June 30, 2021 benefited from a 1.1 percent discrete adjustment related to the valuation allowance against the Company’s foreign income tax net operating losses that lowered the effective tax rate for the prior year period.</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Ocean Transportation Operating Results - Three months ended June 30, 2022 compared with 2021:</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w w:val="97"/>
              </w:rPr>
              <w:t>Three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1,049.2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(481.9)</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133.8 %</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44.8 %</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29.4 %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43,600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ectPr>
          <w:pgSz w:w="11900" w:h="16838" w:orient="portrait"/>
          <w:cols w:equalWidth="0" w:num="1">
            <w:col w:w="9019"/>
          </w:cols>
          <w:pgMar w:left="1440" w:top="517" w:right="1440" w:bottom="237"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237"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339"/>
        <w:spacing w:after="0" w:line="279" w:lineRule="auto"/>
        <w:rPr>
          <w:sz w:val="20"/>
          <w:szCs w:val="20"/>
          <w:color w:val="auto"/>
        </w:rPr>
      </w:pPr>
      <w:r>
        <w:rPr>
          <w:rFonts w:ascii="Arial" w:cs="Arial" w:eastAsia="Arial" w:hAnsi="Arial"/>
          <w:sz w:val="17"/>
          <w:szCs w:val="17"/>
          <w:color w:val="auto"/>
        </w:rPr>
        <w:t>Ocean Transportation revenue increased $366.3 million, or 53.6 percent, during the three months ended June 30, 2022, compared with the three months ended June 30, 2021. The increase was primarily due to higher revenue in China and higher fuel-related surcharge revenue primarily due to higher energy prices. The higher revenue in China was primarily due to considerably higher average freight rates and higher volume.</w:t>
      </w:r>
    </w:p>
    <w:p>
      <w:pPr>
        <w:spacing w:after="0" w:line="171"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On a year-over-year FEU basis, Hawaii container volume decreased 1.5 percent primarily due to lower retail-related volume; Alaska volume increased 12.2 percent primarily due to (i) higher northbound volume primarily due to higher retail-related demand and an additional sailing and (ii) higher volume from AAX; China volume was 11.7 percent higher as a result of four more eastbound voyages than the prior year; Guam volume was 7.0 percent lower primarily due to lower retail-related demand; and Other containers volume increased 19.2 percent primarily due to the addition of China-Auckland Express volume in the South Pacific.</w:t>
      </w:r>
    </w:p>
    <w:p>
      <w:pPr>
        <w:spacing w:after="0" w:line="192"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Ocean Transportation operating income increased $269.0 million during the three months ended June 30, 2022, compared with the three months ended June 30, 2021. The increase was primarily due to considerably higher average freight rates and higher volume in China and a higher contribution from SSAT, partially offset by higher fuel-related expenses, net of fuel-related surcharge recovery, and higher operating costs and expenses primarily due to the CLX+ and CCX services.</w:t>
      </w:r>
    </w:p>
    <w:p>
      <w:pPr>
        <w:spacing w:after="0" w:line="157"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The Company’s SSAT terminal joint venture investment contributed $24.7 million during the three months ended June 30, 2022, compared to a contribution of $12.8 million during the three months ended June 30, 2021. The increase was primarily driven by higher other terminal revenue.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Ocean Transportation Operating Results - Six months ended June 30, 2022 compared with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(1,106.9)</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(928.3)</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(178.6)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181.2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44.5 %</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25.3 %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Arial" w:cs="Arial" w:eastAsia="Arial" w:hAnsi="Arial"/>
                <w:sz w:val="18"/>
                <w:szCs w:val="18"/>
                <w:color w:val="auto"/>
                <w:w w:val="99"/>
              </w:rPr>
              <w:t>Volume (Forty-foot equivalent units (FEU), except for automobiles) (1)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58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23,400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(4,200)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(17.9)%</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16"/>
        </w:trPr>
        <w:tc>
          <w:tcPr>
            <w:tcW w:w="558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84,700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10,600</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Ocean Transportation revenue increased $749.7 million, or 60.3 percent, during the six months ended June 30, 2022, compared with the six months ended June 30, 2021. The increase was primarily due to higher revenue in China, higher fuel-related surcharge revenue primarily due to higher energy prices, and higher revenue in Alaska. The higher revenue in China was primarily due to considerably higher average freight rates and higher volume. The higher revenue in Alaska was primarily the result of higher volume.</w:t>
      </w:r>
    </w:p>
    <w:p>
      <w:pPr>
        <w:spacing w:after="0" w:line="188" w:lineRule="exact"/>
        <w:rPr>
          <w:sz w:val="20"/>
          <w:szCs w:val="20"/>
          <w:color w:val="auto"/>
        </w:rPr>
      </w:pPr>
    </w:p>
    <w:p>
      <w:pPr>
        <w:ind w:left="60" w:right="359"/>
        <w:spacing w:after="0" w:line="254" w:lineRule="auto"/>
        <w:rPr>
          <w:sz w:val="20"/>
          <w:szCs w:val="20"/>
          <w:color w:val="auto"/>
        </w:rPr>
      </w:pPr>
      <w:r>
        <w:rPr>
          <w:rFonts w:ascii="Arial" w:cs="Arial" w:eastAsia="Arial" w:hAnsi="Arial"/>
          <w:sz w:val="18"/>
          <w:szCs w:val="18"/>
          <w:color w:val="auto"/>
        </w:rPr>
        <w:t>On a year-over-year FEU basis, Hawaii container volume decreased 1.1 percent primarily due to lower retail-related demand; Alaska volume increased 15.9 percent primarily due to (i) higher northbound volume primarily due to higher retail-related demand and volume related to a competitor’s dry-docking, (ii) higher volume from AAX and (iii) higher southbound volume primarily due to higher seafood volume; China volume was 12.5 percent higher as a result of nine more eastbound voyages than the prior year; Guam volume was 0.9 percent higher primarily due to higher retail-related demand; and Other containers volume increased 25.0 percent primarily due to the addition of China-Auckland Express volume in the South Pacific.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Ocean Transportation operating income increased $571.1 million during the six months ended June 30, 2022, compared with the six months ended June 30, 2021. The increase was primarily due to considerably higher average freight rates and higher volume in China and a higher contribution from SSAT, partially offset by higher fuel-related expenses, net of fuel-related surcharge recovery, and higher operating costs and expenses primarily due to the CLX+ and CCX services.</w:t>
      </w:r>
    </w:p>
    <w:p>
      <w:pPr>
        <w:spacing w:after="0" w:line="157"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The Company’s SSAT terminal joint venture investment contributed $58.7 million during the six months ended June 30, 2022, compared to a contribution of $22.0 million during the six months ended June 30, 2021. The increase was primarily driven by higher other terminal revenue.</w:t>
      </w:r>
    </w:p>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Three months ended June 30, 2022 compared with 2021:</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140" w:type="dxa"/>
            <w:vAlign w:val="bottom"/>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$ 19.9</w:t>
            </w: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(188.8)</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(179.1)</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$ 10.2</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10.9 %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Logistics revenue increased $19.9 million, or 10.4 percent, during the three months ended June 30, 2022, compared with the three months ended June 30, 2021. The increase was primarily due to higher supply chain management and transportation brokerage revenue.</w:t>
      </w:r>
    </w:p>
    <w:p>
      <w:pPr>
        <w:spacing w:after="0" w:line="184" w:lineRule="exact"/>
        <w:rPr>
          <w:sz w:val="20"/>
          <w:szCs w:val="20"/>
          <w:color w:val="auto"/>
        </w:rPr>
      </w:pPr>
    </w:p>
    <w:p>
      <w:pPr>
        <w:ind w:left="60" w:right="439"/>
        <w:spacing w:after="0" w:line="263" w:lineRule="auto"/>
        <w:rPr>
          <w:sz w:val="20"/>
          <w:szCs w:val="20"/>
          <w:color w:val="auto"/>
        </w:rPr>
      </w:pPr>
      <w:r>
        <w:rPr>
          <w:rFonts w:ascii="Arial" w:cs="Arial" w:eastAsia="Arial" w:hAnsi="Arial"/>
          <w:sz w:val="18"/>
          <w:szCs w:val="18"/>
          <w:color w:val="auto"/>
        </w:rPr>
        <w:t>Logistics operating income increased $10.2 million, or 79.1 percent, during the three months ended June 30, 2022, compared with the three months ended June 30, 2021. The increase was primarily due to higher contributions from all services.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Six months ended June 30, 2022 compared with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(394.0)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(324.3)</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(69.7)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107.9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Logistics revenue increased $90.2 million, or 26.3 percent, during the six months ended June 30, 2022, compared with the six months ended June 30, 2021. The increase was primarily due to higher transportation brokerage revenue.</w:t>
      </w:r>
    </w:p>
    <w:p>
      <w:pPr>
        <w:spacing w:after="0" w:line="124" w:lineRule="exact"/>
        <w:rPr>
          <w:sz w:val="20"/>
          <w:szCs w:val="20"/>
          <w:color w:val="auto"/>
        </w:rPr>
      </w:pPr>
    </w:p>
    <w:p>
      <w:pPr>
        <w:ind w:left="60" w:right="579"/>
        <w:spacing w:after="0" w:line="263" w:lineRule="auto"/>
        <w:rPr>
          <w:sz w:val="20"/>
          <w:szCs w:val="20"/>
          <w:color w:val="auto"/>
        </w:rPr>
      </w:pPr>
      <w:r>
        <w:rPr>
          <w:rFonts w:ascii="Arial" w:cs="Arial" w:eastAsia="Arial" w:hAnsi="Arial"/>
          <w:sz w:val="18"/>
          <w:szCs w:val="18"/>
          <w:color w:val="auto"/>
        </w:rPr>
        <w:t>Logistics operating income increased $20.5 million, or 107.9 percent, during the six months ended June 30, 2022, compared with the six months ended June 30, 2021. The increase was primarily due to higher contributions from all services.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Sources of liquidity available to the Company as of June 30, 2022, compared to December 31, 2021 were as follows:</w:t>
      </w:r>
    </w:p>
    <w:p>
      <w:pPr>
        <w:spacing w:after="0" w:line="237"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b w:val="1"/>
          <w:bCs w:val="1"/>
          <w:i w:val="1"/>
          <w:iCs w:val="1"/>
          <w:color w:val="auto"/>
        </w:rPr>
        <w:t xml:space="preserve">Cash, Cash Equivalents, Restricted Cash and Accounts Receivable: </w:t>
      </w:r>
      <w:r>
        <w:rPr>
          <w:rFonts w:ascii="Arial" w:cs="Arial" w:eastAsia="Arial" w:hAnsi="Arial"/>
          <w:sz w:val="17"/>
          <w:szCs w:val="17"/>
          <w:color w:val="auto"/>
        </w:rPr>
        <w:t>Cash and cash equivalents, restricted cash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accounts receivable as of June 30, 2022, compared to December 31, 2021 were as follows: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62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receivable, net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 of June 30, 2022 and December 31, 2021, $9.8 million of eligible accounts receivable were assigned to the CCF.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Changes in the Company’s cash, cash equivalents and restricted cash for the six months ended June 30, 2022, compared to the six months ended June 30, 2021 were as follows: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2400" w:type="dxa"/>
            <w:vAlign w:val="bottom"/>
            <w:gridSpan w:val="8"/>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3"/>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cash used in investing activities (2)</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(79.0)</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(99.6)</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used in by financing activities (3)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(285.5)</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326.6</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the period</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Cash, cash equivalents and restricted cash, end of the period</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614.3</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240" w:type="dxa"/>
            <w:vAlign w:val="bottom"/>
            <w:tcBorders>
              <w:bottom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(1) Changes in net cash provided by operating activities:</w:t>
      </w:r>
    </w:p>
    <w:p>
      <w:pPr>
        <w:spacing w:after="0" w:line="21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Changes in net cash provided by operating activities for the six months ended June 30, 2022, compared to the six months ended June 30, 2021, were due to the following:</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Non-cash depreciation and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Non-cash deferred income taxes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Other non-cash related changes,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and distributions from SSAT,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w:t>
            </w: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Accounts payable, accruals and other liabilities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Non-cash amortization of operating lease right of use assets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dry-docking payments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Non-cash deferred dry-docking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r>
      <w:tr>
        <w:trPr>
          <w:trHeight w:val="210"/>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w:t>
            </w:r>
            <w:r>
              <w:rPr>
                <w:rFonts w:ascii="Arial" w:cs="Arial" w:eastAsia="Arial" w:hAnsi="Arial"/>
                <w:sz w:val="18"/>
                <w:szCs w:val="18"/>
                <w:u w:val="single" w:color="auto"/>
                <w:color w:val="auto"/>
              </w:rPr>
              <w:t>3</w:t>
            </w:r>
          </w:p>
        </w:tc>
        <w:tc>
          <w:tcPr>
            <w:tcW w:w="14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Net income was $719.9 million for the six months ended June 30, 2022, compared to $249.7 million for the six months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ended June 30, 2021, as described above. Income from SSAT was $58.7 million for the six months ended June 30, 2022,</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compared to $22.0 million for the six months ended June 30, 2021. The increase in income from SSAT was due to higher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operating profits generated by SSAT during the six months ended June 30, 2022 as compared to the same prior year period.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Cash distributions received from SSAT were $26.3 million during the six months ended June 30, 2022, compared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$21.0 million for the six months ended June 30, 2021. Cash distributions from SSAT are dependent on the level of cash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available for distribution after operational and future capital needs of SSAT, and the timing of when such dividends are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declared and paid. Changes in accounts receivable were primarily due to increased levels of revenues, and the timing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collections associated with those receivables. Changes in prepaid expenses and other assets were primarily due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increased prepaid fuel and other operating related costs, and the timing and amount of prepaid income taxes for the six</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months ended June 30, 2022 as compared to the same prior year period. Changes in accounts payable, accruals and other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liabilities were due to the timing of payments associated with those liabilities. Changes in operating lease liabilities were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primarily due to new operating lease additions and renewals, partially offset by operating lease terminations during the six</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months ended June 30, 2022, compared to the same prior year period. Deferred dry-docking payments for the six months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ended June 30, 2022 were $14.7 million, compared to $17.4 million for the six months ended June 30, 2021. The decrease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deferred dry-docking payments was due to less dry-dock related activity during the six months ended June 30, 2022 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compared to the same prior year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 Changes in net cash used in investing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net cash used in investing activities for the six months ended June 30, 2022, compared to the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2021, were due to the following:</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09"/>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deposits into CCF</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Withdrawals from CCF</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Capitalized vessel construction expenditures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Other capital expenditures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disposal of property and equipment,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r>
      <w:tr>
        <w:trPr>
          <w:trHeight w:val="209"/>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Capitalized vessel construction expenditures (including capitalized interest) were $11.4 million for the six months ended June 30, 2022 and related to the construction of a new flat-deck barge. There were no capitalized vessel construction expenditures during the six months ended June 30, 2021. Other capital expenditures payments were $68.4 million for the six months ended June 30, 2022, compared to $101.3 million for the six months ended June 30, 2021. Other capital expenditures primarily relates to the acquisition of containers, chassis and other equipment; vessel related expenditures; and expenditures on other capital related projects. The Company purchased fewer containers, chassis and other equipment during the six months ended June 30, 2022 as compared to the same prior year period.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Changes in net cash used in financing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net cash used in financing activities for the six months ended June 30, 2022, compared to the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2021, were due to the following:</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Repurchase of Matson common stock</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Repayments of fixed interest debt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Repayments and borrowings under revolving credit facility, net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Withholding tax related to net share settlements of restricted stock units</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r>
      <w:tr>
        <w:trPr>
          <w:trHeight w:val="21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 of financing costs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r>
      <w:tr>
        <w:trPr>
          <w:trHeight w:val="210"/>
        </w:trPr>
        <w:tc>
          <w:tcPr>
            <w:tcW w:w="79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right="139"/>
        <w:spacing w:after="0" w:line="268" w:lineRule="auto"/>
        <w:rPr>
          <w:sz w:val="20"/>
          <w:szCs w:val="20"/>
          <w:color w:val="auto"/>
        </w:rPr>
      </w:pPr>
      <w:r>
        <w:rPr>
          <w:rFonts w:ascii="Arial" w:cs="Arial" w:eastAsia="Arial" w:hAnsi="Arial"/>
          <w:sz w:val="17"/>
          <w:szCs w:val="17"/>
          <w:color w:val="auto"/>
        </w:rPr>
        <w:t>During the six months ended June 30, 2022, the Company paid $208.5 million for the repurchase of Matson common stock. There was no stock repurchase activity during the same prior year period. During the six months ended June 30, 2022, the Company paid $32.5 million in scheduled fixed debt payments, compared to $26.8 million in scheduled fixed debt payments during the six months ended June 30, 2021. During the six months ended June 30, 2021, the Company decreased net borrowings under the revolving credit facility by $71.8 million. There were no borrowings under the revolving credit facility during the six months ended June 30, 2022. During the six months ended June 30, 2021, the Company paid $3.0 million in financing costs. No financing costs were paid during the six months ended June 30, 2022. During the six months ended June 30, 2022, the Company paid $19.5 million in payroll taxes related to vested restricted stock units, compared to $14.4 million for the six months ended June 30, 2021. The increase in withholding tax was primarily due to the increase of the Company’s stock price as of the vesting date of the restricted stock units. During the six months ended June 30, 2022, the Company paid $25.0 million in dividends, compared to $20.2 million during the six months ended June 30, 2021. The increase in dividend payments resulted from an increase in dividends declared per share of common stock by the Company.</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June 30, 2022 and December 31, 2021 is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260" w:type="dxa"/>
            <w:vAlign w:val="bottom"/>
            <w:gridSpan w:val="2"/>
            <w:vMerge w:val="continue"/>
          </w:tcPr>
          <w:p>
            <w:pPr>
              <w:spacing w:after="0"/>
              <w:rPr>
                <w:sz w:val="14"/>
                <w:szCs w:val="14"/>
                <w:color w:val="auto"/>
              </w:rPr>
            </w:pPr>
          </w:p>
        </w:tc>
        <w:tc>
          <w:tcPr>
            <w:tcW w:w="720" w:type="dxa"/>
            <w:vAlign w:val="bottom"/>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interest debt</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0"/>
        </w:trPr>
        <w:tc>
          <w:tcPr>
            <w:tcW w:w="6260" w:type="dxa"/>
            <w:vAlign w:val="bottom"/>
            <w:gridSpan w:val="2"/>
          </w:tcPr>
          <w:p>
            <w:pPr>
              <w:ind w:left="120"/>
              <w:spacing w:after="0"/>
              <w:rPr>
                <w:sz w:val="20"/>
                <w:szCs w:val="20"/>
                <w:color w:val="auto"/>
              </w:rPr>
            </w:pPr>
            <w:r>
              <w:rPr>
                <w:rFonts w:ascii="Arial" w:cs="Arial" w:eastAsia="Arial" w:hAnsi="Arial"/>
                <w:sz w:val="18"/>
                <w:szCs w:val="18"/>
                <w:color w:val="auto"/>
              </w:rPr>
              <w:t>Total Debt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  596.6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629.0</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(32.4)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Total Debt decreased by $32.4 million during the six months ended June 30, 2022. The decrease in fixed interest debt was due to the scheduled repayments of private placement term loans and Title XI debt during the six months ended June 30, 2022.</w:t>
      </w:r>
    </w:p>
    <w:p>
      <w:pPr>
        <w:spacing w:after="0" w:line="184" w:lineRule="exact"/>
        <w:rPr>
          <w:sz w:val="20"/>
          <w:szCs w:val="20"/>
          <w:color w:val="auto"/>
        </w:rPr>
      </w:pPr>
    </w:p>
    <w:p>
      <w:pPr>
        <w:ind w:left="60" w:right="539"/>
        <w:spacing w:after="0" w:line="342" w:lineRule="auto"/>
        <w:rPr>
          <w:sz w:val="20"/>
          <w:szCs w:val="20"/>
          <w:color w:val="auto"/>
        </w:rPr>
      </w:pPr>
      <w:r>
        <w:rPr>
          <w:rFonts w:ascii="Arial" w:cs="Arial" w:eastAsia="Arial" w:hAnsi="Arial"/>
          <w:sz w:val="16"/>
          <w:szCs w:val="16"/>
          <w:color w:val="auto"/>
        </w:rPr>
        <w:t>As of June 30, 2022, the Company had $642.0 million of remaining borrowing availability under the revolving credit facility, with a maturity date of March 31, 2026. The Company’s debt is described in Note 6 of Part I, Item 1 above.</w:t>
      </w:r>
    </w:p>
    <w:p>
      <w:pPr>
        <w:spacing w:after="0" w:line="124"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b w:val="1"/>
          <w:bCs w:val="1"/>
          <w:i w:val="1"/>
          <w:iCs w:val="1"/>
          <w:color w:val="auto"/>
        </w:rPr>
        <w:t xml:space="preserve">Working Capital: </w:t>
      </w:r>
      <w:r>
        <w:rPr>
          <w:rFonts w:ascii="Arial" w:cs="Arial" w:eastAsia="Arial" w:hAnsi="Arial"/>
          <w:sz w:val="17"/>
          <w:szCs w:val="17"/>
          <w:color w:val="auto"/>
        </w:rPr>
        <w:t>The Company had a working capital surplus of $480.6 million and $92.1 million at June 30, 2022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2021, respectively.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increase in working capital surplus at June 30, 2022 is primarily due to the increase in cash generated from operating activities during the six months ended June 30, 2022.</w:t>
      </w:r>
    </w:p>
    <w:p>
      <w:pPr>
        <w:spacing w:after="0" w:line="178" w:lineRule="exact"/>
        <w:rPr>
          <w:sz w:val="20"/>
          <w:szCs w:val="20"/>
          <w:color w:val="auto"/>
        </w:rPr>
      </w:pPr>
    </w:p>
    <w:p>
      <w:pPr>
        <w:ind w:left="60" w:right="99"/>
        <w:spacing w:after="0" w:line="286" w:lineRule="auto"/>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There were no material changes during the quarter ended June 30, 2022 to the Company’s expected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capital expenditures for the years ending December 31, 2022 and 2023 that are described in Part II, Item 7 of the Company’s </w:t>
      </w:r>
      <w:hyperlink r:id="rId26">
        <w:r>
          <w:rPr>
            <w:rFonts w:ascii="Arial" w:cs="Arial" w:eastAsia="Arial" w:hAnsi="Arial"/>
            <w:sz w:val="17"/>
            <w:szCs w:val="17"/>
            <w:u w:val="single" w:color="auto"/>
            <w:color w:val="0000EE"/>
          </w:rPr>
          <w:t>Annual Report on Form 10-K for the year ended December 31, 2021</w:t>
        </w:r>
      </w:hyperlink>
      <w:r>
        <w:rPr>
          <w:rFonts w:ascii="Arial" w:cs="Arial" w:eastAsia="Arial" w:hAnsi="Arial"/>
          <w:sz w:val="17"/>
          <w:szCs w:val="17"/>
          <w:color w:val="auto"/>
        </w:rPr>
        <w:t>.</w:t>
      </w:r>
    </w:p>
    <w:p>
      <w:pPr>
        <w:spacing w:after="0" w:line="165"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b w:val="1"/>
          <w:bCs w:val="1"/>
          <w:i w:val="1"/>
          <w:iCs w:val="1"/>
          <w:color w:val="auto"/>
        </w:rPr>
        <w:t xml:space="preserve">Repurchase of Shares: </w:t>
      </w:r>
      <w:r>
        <w:rPr>
          <w:rFonts w:ascii="Arial" w:cs="Arial" w:eastAsia="Arial" w:hAnsi="Arial"/>
          <w:sz w:val="17"/>
          <w:szCs w:val="17"/>
          <w:color w:val="auto"/>
        </w:rPr>
        <w:t>During the six months ended June 30, 2022, the Company repurchased approximately 2.3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for a total cost of $206.7 million. The maximum number of remaining shares that may be purchased under the Company’s stock repurchase program was approximately 1.2 million shares at June 30, 2022.</w:t>
      </w:r>
    </w:p>
    <w:p>
      <w:pPr>
        <w:spacing w:after="0" w:line="165" w:lineRule="exact"/>
        <w:rPr>
          <w:sz w:val="20"/>
          <w:szCs w:val="20"/>
          <w:color w:val="auto"/>
        </w:rPr>
      </w:pPr>
    </w:p>
    <w:p>
      <w:pPr>
        <w:ind w:left="60" w:right="219"/>
        <w:spacing w:after="0" w:line="263" w:lineRule="auto"/>
        <w:rPr>
          <w:rFonts w:ascii="Arial" w:cs="Arial" w:eastAsia="Arial" w:hAnsi="Arial"/>
          <w:sz w:val="18"/>
          <w:szCs w:val="18"/>
          <w:color w:val="0000EE"/>
        </w:rPr>
      </w:pPr>
      <w:r>
        <w:rPr>
          <w:rFonts w:ascii="Arial" w:cs="Arial" w:eastAsia="Arial" w:hAnsi="Arial"/>
          <w:sz w:val="18"/>
          <w:szCs w:val="18"/>
          <w:b w:val="1"/>
          <w:bCs w:val="1"/>
          <w:i w:val="1"/>
          <w:iCs w:val="1"/>
          <w:color w:val="auto"/>
        </w:rPr>
        <w:t xml:space="preserve">Other Material Cash Requirements: </w:t>
      </w:r>
      <w:r>
        <w:rPr>
          <w:rFonts w:ascii="Arial" w:cs="Arial" w:eastAsia="Arial" w:hAnsi="Arial"/>
          <w:sz w:val="18"/>
          <w:szCs w:val="18"/>
          <w:color w:val="auto"/>
        </w:rPr>
        <w:t>Except as described above, there were no other material changes during the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ended June 30, 2022 to the Company’s other cash requirements that are described in Part II, Item 7 of the Company’s </w:t>
      </w:r>
      <w:hyperlink r:id="rId26">
        <w:r>
          <w:rPr>
            <w:rFonts w:ascii="Arial" w:cs="Arial" w:eastAsia="Arial" w:hAnsi="Arial"/>
            <w:sz w:val="18"/>
            <w:szCs w:val="18"/>
            <w:u w:val="single" w:color="auto"/>
            <w:color w:val="0000EE"/>
          </w:rPr>
          <w:t>Annual Report on Form 10-K for the year ended December 31, 2021</w:t>
        </w:r>
      </w:hyperlink>
      <w:r>
        <w:rPr>
          <w:rFonts w:ascii="Arial" w:cs="Arial" w:eastAsia="Arial" w:hAnsi="Arial"/>
          <w:sz w:val="18"/>
          <w:szCs w:val="18"/>
          <w:color w:val="000000"/>
        </w:rPr>
        <w: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19"/>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There have been no changes during this quarter to the Company’s critical accounting policies and estimates as discussed in Part II, Item 7 of the Company’s </w:t>
      </w:r>
      <w:hyperlink r:id="rId26">
        <w:r>
          <w:rPr>
            <w:rFonts w:ascii="Arial" w:cs="Arial" w:eastAsia="Arial" w:hAnsi="Arial"/>
            <w:sz w:val="17"/>
            <w:szCs w:val="17"/>
            <w:u w:val="single" w:color="auto"/>
            <w:color w:val="0000EE"/>
          </w:rPr>
          <w:t>Annual Report on Form 10-K for the year ended December 31, 2021</w:t>
        </w:r>
      </w:hyperlink>
      <w:r>
        <w:rPr>
          <w:rFonts w:ascii="Arial" w:cs="Arial" w:eastAsia="Arial" w:hAnsi="Arial"/>
          <w:sz w:val="17"/>
          <w:szCs w:val="17"/>
          <w:color w:val="auto"/>
        </w:rPr>
        <w: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The Company’s second quarter 2022 cash dividend of $0.30 per share was paid on June 2, 2022. On June 22, 2022, the Company’s Board of Directors declared a cash dividend of $0.31 per share payable on September 1, 2022 to shareholders of record on August 4, 2022.</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There have been no material changes to the Company’s market risk position from the information provided under</w:t>
      </w:r>
    </w:p>
    <w:p>
      <w:pPr>
        <w:spacing w:after="0" w:line="35" w:lineRule="exact"/>
        <w:rPr>
          <w:sz w:val="20"/>
          <w:szCs w:val="20"/>
          <w:color w:val="auto"/>
        </w:rPr>
      </w:pPr>
    </w:p>
    <w:p>
      <w:pPr>
        <w:ind w:left="60" w:right="259"/>
        <w:spacing w:after="0" w:line="260" w:lineRule="auto"/>
        <w:rPr>
          <w:rFonts w:ascii="Arial" w:cs="Arial" w:eastAsia="Arial" w:hAnsi="Arial"/>
          <w:sz w:val="18"/>
          <w:szCs w:val="18"/>
          <w:color w:val="0000EE"/>
        </w:rPr>
      </w:pPr>
      <w:hyperlink r:id="rId26">
        <w:r>
          <w:rPr>
            <w:rFonts w:ascii="Arial" w:cs="Arial" w:eastAsia="Arial" w:hAnsi="Arial"/>
            <w:sz w:val="18"/>
            <w:szCs w:val="18"/>
            <w:color w:val="auto"/>
          </w:rPr>
          <w:t xml:space="preserve">Part II, Item 7A, “Quantitative and Qualitative Disclosures About Market Risk,” of our </w:t>
        </w:r>
        <w:r>
          <w:rPr>
            <w:rFonts w:ascii="Arial" w:cs="Arial" w:eastAsia="Arial" w:hAnsi="Arial"/>
            <w:sz w:val="18"/>
            <w:szCs w:val="18"/>
            <w:u w:val="single" w:color="auto"/>
            <w:color w:val="0000EE"/>
          </w:rPr>
          <w:t>Annual Report on Form 10-K for</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the year ended December 31, 2021</w:t>
        </w:r>
        <w:r>
          <w:rPr>
            <w:rFonts w:ascii="Arial" w:cs="Arial" w:eastAsia="Arial" w:hAnsi="Arial"/>
            <w:sz w:val="18"/>
            <w:szCs w:val="18"/>
            <w:color w:val="000000"/>
          </w:rPr>
          <w:t>.</w:t>
        </w:r>
      </w:hyperlink>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June 30, 2022, the Company’s disclosure controls and procedures are effective.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Rules 13a-15(f) and 15d-15(f) under the Exchange Act) that occurred during the three months ended June 30, 2022, that have materially affected, or are reasonably likely to materially affect, the Company’s internal control over financial reporting.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The Company’s Ocean Transportation segment has certain risks that could result in expenditures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environmental remediation. Except as described below, the Company believes that based on all information available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it, the Company is currently in compliance, in all material respects, with applicable environmental laws and regulations.</w:t>
      </w:r>
    </w:p>
    <w:p>
      <w:pPr>
        <w:spacing w:after="0" w:line="234" w:lineRule="exact"/>
        <w:rPr>
          <w:sz w:val="20"/>
          <w:szCs w:val="20"/>
          <w:color w:val="auto"/>
        </w:rPr>
      </w:pPr>
    </w:p>
    <w:p>
      <w:pPr>
        <w:ind w:left="60" w:right="379"/>
        <w:spacing w:after="0" w:line="257" w:lineRule="auto"/>
        <w:rPr>
          <w:sz w:val="20"/>
          <w:szCs w:val="20"/>
          <w:color w:val="auto"/>
        </w:rPr>
      </w:pPr>
      <w:r>
        <w:rPr>
          <w:rFonts w:ascii="Arial" w:cs="Arial" w:eastAsia="Arial" w:hAnsi="Arial"/>
          <w:sz w:val="18"/>
          <w:szCs w:val="18"/>
          <w:color w:val="auto"/>
        </w:rPr>
        <w:t>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88"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On November 10, 2021, the California Air Resources Board (“CARB”) issued a Notice of Violation (“NOV”) to Matson for alleged violations of the Airborne Toxic Control Measure for Auxiliary Diesel Engines Operated on Ocean-Going Vessels At-Berth in a California Port pursuant to California Code of Regulations, title 17, section 93118.3. CARB regulations require that a company’s fleet plug into shore power for at least 80 percent of visits at California ports and reduce auxiliary engine power generation by at least 80 percent. The NOV alleges that Matson’s fleet did not meet the 80 percent thresholds during visits to the Port of Long Beach in 2020. The violations were alleged to have been incurred by chartered vessels in the CLX+ service. These chartered vessels were not outfitted with alternative maritime power capability which would have allowed them to plug into the shore power grid and shut down the vessel diesel generators when at dock. The Company has presented mitigating factors for consideration in settlement discussions with CARB, as well as plans to achieve compliance in 2022. Although potential penalties for 2020, 2021 and 2022 violations could, in the aggregate, reasonably be expected to exceed $1 million, they are not expected to be material to the Company’s financial condition, results of operations or cash flows.</w:t>
      </w:r>
    </w:p>
    <w:p>
      <w:pPr>
        <w:spacing w:after="0" w:line="17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left="60" w:right="279"/>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were no material changes to the Company’s risk factors that are described in Part I, Item 1A, “Risk Factors” of the Company’s </w:t>
      </w:r>
      <w:hyperlink r:id="rId26">
        <w:r>
          <w:rPr>
            <w:rFonts w:ascii="Arial" w:cs="Arial" w:eastAsia="Arial" w:hAnsi="Arial"/>
            <w:sz w:val="18"/>
            <w:szCs w:val="18"/>
            <w:u w:val="single" w:color="auto"/>
            <w:color w:val="0000EE"/>
          </w:rPr>
          <w:t>Annual Report on Form 10-K for the year ended December 31, 2021</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 Purchases of Equity Securities by the Issuer and Affiliated Purchases.</w:t>
      </w:r>
    </w:p>
    <w:p>
      <w:pPr>
        <w:spacing w:after="0" w:line="225" w:lineRule="exact"/>
        <w:rPr>
          <w:sz w:val="20"/>
          <w:szCs w:val="20"/>
          <w:color w:val="auto"/>
        </w:rPr>
      </w:pPr>
    </w:p>
    <w:p>
      <w:pPr>
        <w:ind w:left="60" w:right="419"/>
        <w:spacing w:after="0" w:line="258" w:lineRule="auto"/>
        <w:rPr>
          <w:sz w:val="20"/>
          <w:szCs w:val="20"/>
          <w:color w:val="auto"/>
        </w:rPr>
      </w:pPr>
      <w:r>
        <w:rPr>
          <w:rFonts w:ascii="Arial" w:cs="Arial" w:eastAsia="Arial" w:hAnsi="Arial"/>
          <w:sz w:val="18"/>
          <w:szCs w:val="18"/>
          <w:color w:val="auto"/>
        </w:rPr>
        <w:t>The following is the summary of Matson shares that were repurchased under the Company’s share repurchase program during the three months ended June 30, 2022:</w:t>
      </w:r>
    </w:p>
    <w:tbl>
      <w:tblPr>
        <w:tblLayout w:type="fixed"/>
        <w:tblInd w:w="40" w:type="dxa"/>
        <w:tblCellMar>
          <w:top w:w="0" w:type="dxa"/>
          <w:left w:w="0" w:type="dxa"/>
          <w:bottom w:w="0" w:type="dxa"/>
          <w:right w:w="0" w:type="dxa"/>
        </w:tblCellMar>
      </w:tblPr>
      <w:tr>
        <w:trPr>
          <w:trHeight w:val="141"/>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1" w:lineRule="exact"/>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Purchased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 (1)</w:t>
            </w:r>
          </w:p>
        </w:tc>
        <w:tc>
          <w:tcPr>
            <w:tcW w:w="14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9"/>
        </w:trPr>
        <w:tc>
          <w:tcPr>
            <w:tcW w:w="3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1 – 30,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335,209</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335,209</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2,499,188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May 1 – 31, 2022</w:t>
            </w:r>
          </w:p>
        </w:tc>
        <w:tc>
          <w:tcPr>
            <w:tcW w:w="1040" w:type="dxa"/>
            <w:vAlign w:val="bottom"/>
          </w:tcPr>
          <w:p>
            <w:pPr>
              <w:jc w:val="right"/>
              <w:spacing w:after="0"/>
              <w:rPr>
                <w:sz w:val="20"/>
                <w:szCs w:val="20"/>
                <w:color w:val="auto"/>
              </w:rPr>
            </w:pPr>
            <w:r>
              <w:rPr>
                <w:rFonts w:ascii="Arial" w:cs="Arial" w:eastAsia="Arial" w:hAnsi="Arial"/>
                <w:sz w:val="18"/>
                <w:szCs w:val="18"/>
                <w:color w:val="auto"/>
              </w:rPr>
              <w:t>782,619</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88.00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782,619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1,716,569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 30, 2022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515,670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515,670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1,200,899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1,633,498</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1,633,498</w:t>
            </w: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380" w:right="179" w:hanging="330"/>
        <w:spacing w:after="0" w:line="255" w:lineRule="auto"/>
        <w:tabs>
          <w:tab w:leader="none" w:pos="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On June 24, 2021, the Company announced that Matson’s Board of Directors had approved a share repurchase program of up to 3.0 million shares of common stock from August 3, 2021 through August 2, 2024. On January 27, 2022, the Company’s Board of Directors approved the addition of 3.0 million shares to the Company’s existing share repurchase program. Shares will be repurchased in the open market from time to time, and may be made pursuant to a trading plan in accordance with Rule 10b5-1 of the Security Exchange Act of 1934.</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77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of Chief Executive Officer pursuant to Rule 13a-14(a) or 15d-14(a) of the Securities Exchange</w:t>
              </w:r>
            </w:hyperlink>
          </w:p>
        </w:tc>
      </w:tr>
      <w:tr>
        <w:trPr>
          <w:trHeight w:val="223"/>
        </w:trPr>
        <w:tc>
          <w:tcPr>
            <w:tcW w:w="1060" w:type="dxa"/>
            <w:vAlign w:val="bottom"/>
          </w:tcPr>
          <w:p>
            <w:pPr>
              <w:spacing w:after="0"/>
              <w:rPr>
                <w:sz w:val="19"/>
                <w:szCs w:val="19"/>
                <w:color w:val="auto"/>
              </w:rPr>
            </w:pPr>
          </w:p>
        </w:tc>
        <w:tc>
          <w:tcPr>
            <w:tcW w:w="778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Act of 1934.</w:t>
              </w:r>
            </w:hyperlink>
          </w:p>
        </w:tc>
      </w:tr>
      <w:tr>
        <w:trPr>
          <w:trHeight w:val="20"/>
        </w:trPr>
        <w:tc>
          <w:tcPr>
            <w:tcW w:w="10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7780" w:type="dxa"/>
            <w:vAlign w:val="bottom"/>
            <w:gridSpan w:val="4"/>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Chief Financial Officer pursuant to Rule 13a-14(a) or 15d-14(a) of the Securities Exchange</w:t>
              </w:r>
            </w:hyperlink>
          </w:p>
        </w:tc>
      </w:tr>
      <w:tr>
        <w:trPr>
          <w:trHeight w:val="223"/>
        </w:trPr>
        <w:tc>
          <w:tcPr>
            <w:tcW w:w="1060" w:type="dxa"/>
            <w:vAlign w:val="bottom"/>
          </w:tcPr>
          <w:p>
            <w:pPr>
              <w:spacing w:after="0"/>
              <w:rPr>
                <w:sz w:val="19"/>
                <w:szCs w:val="19"/>
                <w:color w:val="auto"/>
              </w:rPr>
            </w:pPr>
          </w:p>
        </w:tc>
        <w:tc>
          <w:tcPr>
            <w:tcW w:w="7720" w:type="dxa"/>
            <w:vAlign w:val="bottom"/>
            <w:tcBorders>
              <w:top w:val="single" w:sz="8" w:color="0000EE"/>
            </w:tcBorders>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Act of 1934.</w:t>
              </w:r>
            </w:hyperlink>
          </w:p>
        </w:tc>
        <w:tc>
          <w:tcPr>
            <w:tcW w:w="6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Arial" w:cs="Arial" w:eastAsia="Arial" w:hAnsi="Arial"/>
                <w:sz w:val="18"/>
                <w:szCs w:val="18"/>
                <w:color w:val="auto"/>
              </w:rPr>
              <w:t>32***</w:t>
            </w:r>
          </w:p>
        </w:tc>
        <w:tc>
          <w:tcPr>
            <w:tcW w:w="7780" w:type="dxa"/>
            <w:vAlign w:val="bottom"/>
            <w:gridSpan w:val="4"/>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Certification of Chief Executive Officer and Chief Financial Officer pursuant to 18 U.S.C. Section 1350.</w:t>
              </w:r>
            </w:hyperlink>
          </w:p>
        </w:tc>
      </w:tr>
      <w:tr>
        <w:trPr>
          <w:trHeight w:val="50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75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w:t>
            </w:r>
          </w:p>
        </w:tc>
        <w:tc>
          <w:tcPr>
            <w:tcW w:w="240" w:type="dxa"/>
            <w:vAlign w:val="bottom"/>
            <w:gridSpan w:val="2"/>
          </w:tcPr>
          <w:p>
            <w:pPr>
              <w:spacing w:after="0"/>
              <w:rPr>
                <w:sz w:val="24"/>
                <w:szCs w:val="24"/>
                <w:color w:val="auto"/>
              </w:rPr>
            </w:pPr>
          </w:p>
        </w:tc>
      </w:tr>
      <w:tr>
        <w:trPr>
          <w:trHeight w:val="243"/>
        </w:trPr>
        <w:tc>
          <w:tcPr>
            <w:tcW w:w="1060" w:type="dxa"/>
            <w:vAlign w:val="bottom"/>
          </w:tcPr>
          <w:p>
            <w:pPr>
              <w:spacing w:after="0"/>
              <w:rPr>
                <w:sz w:val="21"/>
                <w:szCs w:val="21"/>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486"/>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778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86"/>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778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86"/>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778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86"/>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778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86"/>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778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86"/>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778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in Inline XBRL and included as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680" w:hanging="63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680" w:hanging="63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120" w:val="left"/>
        </w:tabs>
        <w:rPr>
          <w:sz w:val="20"/>
          <w:szCs w:val="20"/>
          <w:color w:val="auto"/>
        </w:rPr>
      </w:pPr>
      <w:r>
        <w:rPr>
          <w:rFonts w:ascii="Arial" w:cs="Arial" w:eastAsia="Arial" w:hAnsi="Arial"/>
          <w:sz w:val="18"/>
          <w:szCs w:val="18"/>
          <w:color w:val="auto"/>
        </w:rPr>
        <w:t>Date: August 2, 2022</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Joel M. Wine</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Executive Vice President and</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060" w:val="left"/>
        </w:tabs>
        <w:rPr>
          <w:sz w:val="20"/>
          <w:szCs w:val="20"/>
          <w:color w:val="auto"/>
        </w:rPr>
      </w:pPr>
      <w:r>
        <w:rPr>
          <w:rFonts w:ascii="Arial" w:cs="Arial" w:eastAsia="Arial" w:hAnsi="Arial"/>
          <w:sz w:val="18"/>
          <w:szCs w:val="18"/>
          <w:color w:val="auto"/>
        </w:rPr>
        <w:t>Date: August 2, 2022</w:t>
      </w:r>
      <w:r>
        <w:rPr>
          <w:sz w:val="20"/>
          <w:szCs w:val="20"/>
          <w:color w:val="auto"/>
        </w:rPr>
        <w:tab/>
      </w:r>
      <w:r>
        <w:rPr>
          <w:rFonts w:ascii="Arial" w:cs="Arial" w:eastAsia="Arial" w:hAnsi="Arial"/>
          <w:sz w:val="16"/>
          <w:szCs w:val="16"/>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Kevin L. Stuck</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Vice President and Controller</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8800"/>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198"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98" w:lineRule="exact"/>
        <w:rPr>
          <w:rFonts w:ascii="Arial" w:cs="Arial" w:eastAsia="Arial" w:hAnsi="Arial"/>
          <w:sz w:val="18"/>
          <w:szCs w:val="18"/>
          <w:color w:val="auto"/>
        </w:rPr>
      </w:pPr>
    </w:p>
    <w:p>
      <w:pPr>
        <w:ind w:right="420" w:firstLine="8"/>
        <w:spacing w:after="0" w:line="24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right="100" w:firstLine="8"/>
        <w:spacing w:after="0" w:line="24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right="500" w:firstLine="8"/>
        <w:spacing w:after="0" w:line="24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right="100" w:firstLine="8"/>
        <w:spacing w:after="0" w:line="270" w:lineRule="auto"/>
        <w:tabs>
          <w:tab w:leader="none" w:pos="6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right="200" w:firstLine="8"/>
        <w:spacing w:after="0" w:line="24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80" w:firstLine="8"/>
        <w:spacing w:after="0" w:line="24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43"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240" w:firstLine="8"/>
        <w:spacing w:after="0" w:line="24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right="40" w:firstLine="8"/>
        <w:spacing w:after="0" w:line="324" w:lineRule="auto"/>
        <w:tabs>
          <w:tab w:leader="none" w:pos="648"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right="60" w:firstLine="8"/>
        <w:spacing w:after="0" w:line="261"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6350</wp:posOffset>
            </wp:positionV>
            <wp:extent cx="29229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Matthew J. Cox, Chairman and</w:t>
      </w:r>
    </w:p>
    <w:p>
      <w:pPr>
        <w:ind w:left="53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ind w:left="880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198"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98" w:lineRule="exact"/>
        <w:rPr>
          <w:rFonts w:ascii="Arial" w:cs="Arial" w:eastAsia="Arial" w:hAnsi="Arial"/>
          <w:sz w:val="18"/>
          <w:szCs w:val="18"/>
          <w:color w:val="auto"/>
        </w:rPr>
      </w:pPr>
    </w:p>
    <w:p>
      <w:pPr>
        <w:ind w:right="420" w:firstLine="8"/>
        <w:spacing w:after="0" w:line="248"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right="100" w:firstLine="8"/>
        <w:spacing w:after="0" w:line="248"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right="500" w:firstLine="8"/>
        <w:spacing w:after="0" w:line="248"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right="100" w:firstLine="8"/>
        <w:spacing w:after="0" w:line="270" w:lineRule="auto"/>
        <w:tabs>
          <w:tab w:leader="none" w:pos="648"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right="200" w:firstLine="8"/>
        <w:spacing w:after="0" w:line="248"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80" w:firstLine="8"/>
        <w:spacing w:after="0" w:line="248"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43"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240" w:firstLine="8"/>
        <w:spacing w:after="0" w:line="248"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right="40" w:firstLine="8"/>
        <w:spacing w:after="0" w:line="324" w:lineRule="auto"/>
        <w:tabs>
          <w:tab w:leader="none" w:pos="6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right="60" w:firstLine="8"/>
        <w:spacing w:after="0" w:line="261"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6350</wp:posOffset>
            </wp:positionV>
            <wp:extent cx="29146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Joel M. Wine, Executive Vice President and</w:t>
      </w:r>
    </w:p>
    <w:p>
      <w:pPr>
        <w:ind w:left="53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ind w:left="7960"/>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02" w:lineRule="exact"/>
        <w:rPr>
          <w:sz w:val="20"/>
          <w:szCs w:val="20"/>
          <w:color w:val="auto"/>
        </w:rPr>
      </w:pPr>
    </w:p>
    <w:p>
      <w:pPr>
        <w:ind w:left="60" w:right="259"/>
        <w:spacing w:after="0" w:line="284" w:lineRule="auto"/>
        <w:rPr>
          <w:sz w:val="20"/>
          <w:szCs w:val="20"/>
          <w:color w:val="auto"/>
        </w:rPr>
      </w:pPr>
      <w:r>
        <w:rPr>
          <w:rFonts w:ascii="Arial" w:cs="Arial" w:eastAsia="Arial" w:hAnsi="Arial"/>
          <w:sz w:val="16"/>
          <w:szCs w:val="16"/>
          <w:color w:val="auto"/>
        </w:rPr>
        <w:t>In connection with the Quarterly Report on Form 10-Q of Matson, Inc. (the “Company”) for the quarterly period ended June 30, 2022,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spacing w:after="0" w:line="142" w:lineRule="exact"/>
        <w:rPr>
          <w:sz w:val="20"/>
          <w:szCs w:val="20"/>
          <w:color w:val="auto"/>
        </w:rPr>
      </w:pPr>
    </w:p>
    <w:p>
      <w:pPr>
        <w:ind w:left="60" w:right="519" w:hanging="10"/>
        <w:spacing w:after="0" w:line="261" w:lineRule="auto"/>
        <w:tabs>
          <w:tab w:leader="none" w:pos="7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0" w:right="99" w:hanging="10"/>
        <w:spacing w:after="0" w:line="261" w:lineRule="auto"/>
        <w:tabs>
          <w:tab w:leader="none" w:pos="7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983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Matthew J. Cox</w:t>
      </w:r>
    </w:p>
    <w:p>
      <w:pPr>
        <w:ind w:left="60"/>
        <w:spacing w:after="0" w:line="234" w:lineRule="auto"/>
        <w:tabs>
          <w:tab w:leader="none" w:pos="620" w:val="left"/>
        </w:tabs>
        <w:rPr>
          <w:sz w:val="20"/>
          <w:szCs w:val="20"/>
          <w:color w:val="auto"/>
        </w:rPr>
      </w:pPr>
      <w:r>
        <w:rPr>
          <w:rFonts w:ascii="Arial" w:cs="Arial" w:eastAsia="Arial" w:hAnsi="Arial"/>
          <w:sz w:val="18"/>
          <w:szCs w:val="18"/>
          <w:color w:val="auto"/>
        </w:rPr>
        <w:t>Title:</w:t>
        <w:tab/>
        <w:t>Chairman and Chief Executive Officer</w:t>
      </w:r>
    </w:p>
    <w:p>
      <w:pPr>
        <w:spacing w:after="0" w:line="1"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August 2, 2022</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9832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Joel M. Wine</w:t>
      </w:r>
    </w:p>
    <w:p>
      <w:pPr>
        <w:ind w:left="60"/>
        <w:spacing w:after="0" w:line="234" w:lineRule="auto"/>
        <w:tabs>
          <w:tab w:leader="none" w:pos="620" w:val="left"/>
        </w:tabs>
        <w:rPr>
          <w:sz w:val="20"/>
          <w:szCs w:val="20"/>
          <w:color w:val="auto"/>
        </w:rPr>
      </w:pPr>
      <w:r>
        <w:rPr>
          <w:rFonts w:ascii="Arial" w:cs="Arial" w:eastAsia="Arial" w:hAnsi="Arial"/>
          <w:sz w:val="18"/>
          <w:szCs w:val="18"/>
          <w:color w:val="auto"/>
        </w:rPr>
        <w:t>Title:</w:t>
        <w:tab/>
        <w:t>Executive Vice President and Chief Financial Officer</w:t>
      </w:r>
    </w:p>
    <w:p>
      <w:pPr>
        <w:spacing w:after="0" w:line="1"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August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
      <w:numFmt w:val="bullet"/>
      <w:start w:val="1"/>
    </w:lvl>
  </w:abstractNum>
  <w:abstractNum w:abstractNumId="8">
    <w:nsid w:val="2D1D5AE9"/>
    <w:multiLevelType w:val="hybridMultilevel"/>
    <w:lvl w:ilvl="0">
      <w:lvlJc w:val="left"/>
      <w:lvlText w:val=" "/>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3"/>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4"/>
    </w:lvl>
  </w:abstractNum>
  <w:abstractNum w:abstractNumId="13">
    <w:nsid w:val="4353D0CD"/>
    <w:multiLevelType w:val="hybridMultilevel"/>
    <w:lvl w:ilvl="0">
      <w:lvlJc w:val="left"/>
      <w:lvlText w:val="%1."/>
      <w:numFmt w:val="decimal"/>
      <w:start w:val="5"/>
    </w:lvl>
  </w:abstractNum>
  <w:abstractNum w:abstractNumId="14">
    <w:nsid w:val="B03E0C6"/>
    <w:multiLevelType w:val="hybridMultilevel"/>
    <w:lvl w:ilvl="0">
      <w:lvlJc w:val="left"/>
      <w:lvlText w:val="%1."/>
      <w:numFmt w:val="decimal"/>
      <w:start w:val="6"/>
    </w:lvl>
  </w:abstractNum>
  <w:abstractNum w:abstractNumId="15">
    <w:nsid w:val="189A769B"/>
    <w:multiLevelType w:val="hybridMultilevel"/>
    <w:lvl w:ilvl="0">
      <w:lvlJc w:val="left"/>
      <w:lvlText w:val="%1."/>
      <w:numFmt w:val="decimal"/>
      <w:start w:val="7"/>
    </w:lvl>
  </w:abstractNum>
  <w:abstractNum w:abstractNumId="16">
    <w:nsid w:val="54E49EB4"/>
    <w:multiLevelType w:val="hybridMultilevel"/>
    <w:lvl w:ilvl="0">
      <w:lvlJc w:val="left"/>
      <w:lvlText w:val="%1."/>
      <w:numFmt w:val="decimal"/>
      <w:start w:val="8"/>
    </w:lvl>
  </w:abstractNum>
  <w:abstractNum w:abstractNumId="17">
    <w:nsid w:val="71F32454"/>
    <w:multiLevelType w:val="hybridMultilevel"/>
    <w:lvl w:ilvl="0">
      <w:lvlJc w:val="left"/>
      <w:lvlText w:val="%1."/>
      <w:numFmt w:val="decimal"/>
      <w:start w:val="9"/>
    </w:lvl>
  </w:abstractNum>
  <w:abstractNum w:abstractNumId="18">
    <w:nsid w:val="2CA88611"/>
    <w:multiLevelType w:val="hybridMultilevel"/>
    <w:lvl w:ilvl="0">
      <w:lvlJc w:val="left"/>
      <w:lvlText w:val="%1."/>
      <w:numFmt w:val="decimal"/>
      <w:start w:val="10"/>
    </w:lvl>
  </w:abstractNum>
  <w:abstractNum w:abstractNumId="19">
    <w:nsid w:val="836C40E"/>
    <w:multiLevelType w:val="hybridMultilevel"/>
    <w:lvl w:ilvl="0">
      <w:lvlJc w:val="left"/>
      <w:lvlText w:val="%1."/>
      <w:numFmt w:val="decimal"/>
      <w:start w:val="11"/>
    </w:lvl>
  </w:abstractNum>
  <w:abstractNum w:abstractNumId="20">
    <w:nsid w:val="2901D82"/>
    <w:multiLevelType w:val="hybridMultilevel"/>
    <w:lvl w:ilvl="0">
      <w:lvlJc w:val="left"/>
      <w:lvlText w:val="%1."/>
      <w:numFmt w:val="decimal"/>
      <w:start w:val="12"/>
    </w:lvl>
  </w:abstractNum>
  <w:abstractNum w:abstractNumId="21">
    <w:nsid w:val="3A95F874"/>
    <w:multiLevelType w:val="hybridMultilevel"/>
    <w:lvl w:ilvl="0">
      <w:lvlJc w:val="left"/>
      <w:lvlText w:val="%1."/>
      <w:numFmt w:val="decimal"/>
      <w:start w:val="13"/>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decimal"/>
      <w:start w:val="5"/>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decimal"/>
      <w:start w:val="5"/>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26" Type="http://schemas.openxmlformats.org/officeDocument/2006/relationships/hyperlink" Target="https://www.sec.gov/ix?doc=/Archives/edgar/data/3453/000155837022002040/matx-2021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2022-08-02T05:24:47Z</dcterms:created>
  <dcterms:modified xsi:type="dcterms:W3CDTF">2022-08-02T05:24:47Z</dcterms:modified>
</cp:coreProperties>
</file>