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40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4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5320" w:type="dxa"/>
            <w:vAlign w:val="bottom"/>
          </w:tcPr>
          <w:p>
            <w:pPr>
              <w:ind w:left="2540"/>
              <w:spacing w:after="0"/>
              <w:rPr>
                <w:sz w:val="20"/>
                <w:szCs w:val="20"/>
                <w:color w:val="auto"/>
              </w:rPr>
            </w:pPr>
            <w:r>
              <w:rPr>
                <w:rFonts w:ascii="Arial" w:cs="Arial" w:eastAsia="Arial" w:hAnsi="Arial"/>
                <w:sz w:val="18"/>
                <w:szCs w:val="18"/>
                <w:b w:val="1"/>
                <w:bCs w:val="1"/>
                <w:color w:val="auto"/>
              </w:rPr>
              <w:t>For the transition period from</w:t>
            </w:r>
          </w:p>
        </w:tc>
        <w:tc>
          <w:tcPr>
            <w:tcW w:w="2600" w:type="dxa"/>
            <w:vAlign w:val="bottom"/>
          </w:tcPr>
          <w:p>
            <w:pPr>
              <w:ind w:left="120"/>
              <w:spacing w:after="0"/>
              <w:rPr>
                <w:sz w:val="20"/>
                <w:szCs w:val="20"/>
                <w:color w:val="auto"/>
              </w:rPr>
            </w:pPr>
            <w:r>
              <w:rPr>
                <w:rFonts w:ascii="Arial" w:cs="Arial" w:eastAsia="Arial" w:hAnsi="Arial"/>
                <w:sz w:val="18"/>
                <w:szCs w:val="18"/>
                <w:b w:val="1"/>
                <w:bCs w:val="1"/>
                <w:color w:val="auto"/>
              </w:rPr>
              <w:t>to</w:t>
            </w:r>
          </w:p>
        </w:tc>
      </w:tr>
      <w:tr>
        <w:trPr>
          <w:trHeight w:val="432"/>
        </w:trPr>
        <w:tc>
          <w:tcPr>
            <w:tcW w:w="7920" w:type="dxa"/>
            <w:vAlign w:val="bottom"/>
            <w:gridSpan w:val="2"/>
          </w:tcPr>
          <w:p>
            <w:pPr>
              <w:jc w:val="center"/>
              <w:ind w:left="663"/>
              <w:spacing w:after="0"/>
              <w:rPr>
                <w:sz w:val="20"/>
                <w:szCs w:val="20"/>
                <w:color w:val="auto"/>
              </w:rPr>
            </w:pPr>
            <w:r>
              <w:rPr>
                <w:rFonts w:ascii="Arial" w:cs="Arial" w:eastAsia="Arial" w:hAnsi="Arial"/>
                <w:sz w:val="18"/>
                <w:szCs w:val="18"/>
                <w:b w:val="1"/>
                <w:bCs w:val="1"/>
                <w:color w:val="auto"/>
                <w:w w:val="90"/>
              </w:rPr>
              <w:t>Commission file number 001-34187</w:t>
            </w:r>
          </w:p>
        </w:tc>
      </w:tr>
      <w:tr>
        <w:trPr>
          <w:trHeight w:val="566"/>
        </w:trPr>
        <w:tc>
          <w:tcPr>
            <w:tcW w:w="5320" w:type="dxa"/>
            <w:vAlign w:val="bottom"/>
          </w:tcPr>
          <w:p>
            <w:pPr>
              <w:jc w:val="center"/>
              <w:ind w:left="3243"/>
              <w:spacing w:after="0"/>
              <w:rPr>
                <w:sz w:val="20"/>
                <w:szCs w:val="20"/>
                <w:color w:val="auto"/>
              </w:rPr>
            </w:pPr>
            <w:r>
              <w:rPr>
                <w:rFonts w:ascii="Arial" w:cs="Arial" w:eastAsia="Arial" w:hAnsi="Arial"/>
                <w:sz w:val="32"/>
                <w:szCs w:val="32"/>
                <w:b w:val="1"/>
                <w:bCs w:val="1"/>
                <w:color w:val="auto"/>
                <w:w w:val="94"/>
              </w:rPr>
              <w:t>Matson, Inc.</w:t>
            </w:r>
          </w:p>
        </w:tc>
        <w:tc>
          <w:tcPr>
            <w:tcW w:w="2600" w:type="dxa"/>
            <w:vAlign w:val="bottom"/>
          </w:tcPr>
          <w:p>
            <w:pPr>
              <w:spacing w:after="0"/>
              <w:rPr>
                <w:sz w:val="24"/>
                <w:szCs w:val="24"/>
                <w:color w:val="auto"/>
              </w:rPr>
            </w:pPr>
          </w:p>
        </w:tc>
      </w:tr>
      <w:tr>
        <w:trPr>
          <w:trHeight w:val="230"/>
        </w:trPr>
        <w:tc>
          <w:tcPr>
            <w:tcW w:w="7920" w:type="dxa"/>
            <w:vAlign w:val="bottom"/>
            <w:gridSpan w:val="2"/>
          </w:tcPr>
          <w:p>
            <w:pPr>
              <w:jc w:val="center"/>
              <w:ind w:left="663"/>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8"/>
        </w:trPr>
        <w:tc>
          <w:tcPr>
            <w:tcW w:w="5320" w:type="dxa"/>
            <w:vAlign w:val="bottom"/>
          </w:tcPr>
          <w:p>
            <w:pPr>
              <w:jc w:val="center"/>
              <w:ind w:right="2363"/>
              <w:spacing w:after="0"/>
              <w:rPr>
                <w:sz w:val="20"/>
                <w:szCs w:val="20"/>
                <w:color w:val="auto"/>
              </w:rPr>
            </w:pPr>
            <w:r>
              <w:rPr>
                <w:rFonts w:ascii="Arial" w:cs="Arial" w:eastAsia="Arial" w:hAnsi="Arial"/>
                <w:sz w:val="18"/>
                <w:szCs w:val="18"/>
                <w:b w:val="1"/>
                <w:bCs w:val="1"/>
                <w:color w:val="auto"/>
                <w:w w:val="94"/>
              </w:rPr>
              <w:t>Hawaii</w:t>
            </w:r>
          </w:p>
        </w:tc>
        <w:tc>
          <w:tcPr>
            <w:tcW w:w="2600" w:type="dxa"/>
            <w:vAlign w:val="bottom"/>
          </w:tcPr>
          <w:p>
            <w:pPr>
              <w:jc w:val="right"/>
              <w:ind w:right="150"/>
              <w:spacing w:after="0"/>
              <w:rPr>
                <w:sz w:val="20"/>
                <w:szCs w:val="20"/>
                <w:color w:val="auto"/>
              </w:rPr>
            </w:pPr>
            <w:r>
              <w:rPr>
                <w:rFonts w:ascii="Arial" w:cs="Arial" w:eastAsia="Arial" w:hAnsi="Arial"/>
                <w:sz w:val="18"/>
                <w:szCs w:val="18"/>
                <w:b w:val="1"/>
                <w:bCs w:val="1"/>
                <w:color w:val="auto"/>
              </w:rPr>
              <w:t>99-0032630</w:t>
            </w:r>
          </w:p>
        </w:tc>
      </w:tr>
      <w:tr>
        <w:trPr>
          <w:trHeight w:val="216"/>
        </w:trPr>
        <w:tc>
          <w:tcPr>
            <w:tcW w:w="5320" w:type="dxa"/>
            <w:vAlign w:val="bottom"/>
          </w:tcPr>
          <w:p>
            <w:pPr>
              <w:jc w:val="center"/>
              <w:ind w:right="2363"/>
              <w:spacing w:after="0"/>
              <w:rPr>
                <w:sz w:val="20"/>
                <w:szCs w:val="20"/>
                <w:color w:val="auto"/>
              </w:rPr>
            </w:pPr>
            <w:r>
              <w:rPr>
                <w:rFonts w:ascii="Arial" w:cs="Arial" w:eastAsia="Arial" w:hAnsi="Arial"/>
                <w:sz w:val="18"/>
                <w:szCs w:val="18"/>
                <w:color w:val="auto"/>
                <w:w w:val="93"/>
              </w:rPr>
              <w:t>(State or other jurisdiction of</w:t>
            </w:r>
          </w:p>
        </w:tc>
        <w:tc>
          <w:tcPr>
            <w:tcW w:w="2600" w:type="dxa"/>
            <w:vAlign w:val="bottom"/>
          </w:tcPr>
          <w:p>
            <w:pPr>
              <w:jc w:val="center"/>
              <w:ind w:left="1150"/>
              <w:spacing w:after="0"/>
              <w:rPr>
                <w:sz w:val="20"/>
                <w:szCs w:val="20"/>
                <w:color w:val="auto"/>
              </w:rPr>
            </w:pPr>
            <w:r>
              <w:rPr>
                <w:rFonts w:ascii="Arial" w:cs="Arial" w:eastAsia="Arial" w:hAnsi="Arial"/>
                <w:sz w:val="18"/>
                <w:szCs w:val="18"/>
                <w:color w:val="auto"/>
                <w:w w:val="93"/>
              </w:rPr>
              <w:t>(I.R.S. Employer</w:t>
            </w:r>
          </w:p>
        </w:tc>
      </w:tr>
      <w:tr>
        <w:trPr>
          <w:trHeight w:val="230"/>
        </w:trPr>
        <w:tc>
          <w:tcPr>
            <w:tcW w:w="5320" w:type="dxa"/>
            <w:vAlign w:val="bottom"/>
          </w:tcPr>
          <w:p>
            <w:pPr>
              <w:jc w:val="center"/>
              <w:ind w:right="2363"/>
              <w:spacing w:after="0"/>
              <w:rPr>
                <w:sz w:val="20"/>
                <w:szCs w:val="20"/>
                <w:color w:val="auto"/>
              </w:rPr>
            </w:pPr>
            <w:r>
              <w:rPr>
                <w:rFonts w:ascii="Arial" w:cs="Arial" w:eastAsia="Arial" w:hAnsi="Arial"/>
                <w:sz w:val="18"/>
                <w:szCs w:val="18"/>
                <w:color w:val="auto"/>
                <w:w w:val="93"/>
              </w:rPr>
              <w:t>incorporation or organization)</w:t>
            </w:r>
          </w:p>
        </w:tc>
        <w:tc>
          <w:tcPr>
            <w:tcW w:w="2600" w:type="dxa"/>
            <w:vAlign w:val="bottom"/>
          </w:tcPr>
          <w:p>
            <w:pPr>
              <w:jc w:val="center"/>
              <w:ind w:left="11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5320" w:type="dxa"/>
            <w:vAlign w:val="bottom"/>
          </w:tcPr>
          <w:p>
            <w:pPr>
              <w:jc w:val="center"/>
              <w:ind w:right="2363"/>
              <w:spacing w:after="0"/>
              <w:rPr>
                <w:sz w:val="20"/>
                <w:szCs w:val="20"/>
                <w:color w:val="auto"/>
              </w:rPr>
            </w:pPr>
            <w:r>
              <w:rPr>
                <w:rFonts w:ascii="Arial" w:cs="Arial" w:eastAsia="Arial" w:hAnsi="Arial"/>
                <w:sz w:val="18"/>
                <w:szCs w:val="18"/>
                <w:b w:val="1"/>
                <w:bCs w:val="1"/>
                <w:color w:val="auto"/>
                <w:w w:val="91"/>
              </w:rPr>
              <w:t>1411 Sand Island Parkway</w:t>
            </w:r>
          </w:p>
        </w:tc>
        <w:tc>
          <w:tcPr>
            <w:tcW w:w="2600" w:type="dxa"/>
            <w:vAlign w:val="bottom"/>
          </w:tcPr>
          <w:p>
            <w:pPr>
              <w:spacing w:after="0"/>
              <w:rPr>
                <w:sz w:val="24"/>
                <w:szCs w:val="24"/>
                <w:color w:val="auto"/>
              </w:rPr>
            </w:pPr>
          </w:p>
        </w:tc>
      </w:tr>
      <w:tr>
        <w:trPr>
          <w:trHeight w:val="220"/>
        </w:trPr>
        <w:tc>
          <w:tcPr>
            <w:tcW w:w="5320" w:type="dxa"/>
            <w:vAlign w:val="bottom"/>
          </w:tcPr>
          <w:p>
            <w:pPr>
              <w:jc w:val="center"/>
              <w:ind w:right="2363"/>
              <w:spacing w:after="0"/>
              <w:rPr>
                <w:sz w:val="20"/>
                <w:szCs w:val="20"/>
                <w:color w:val="auto"/>
              </w:rPr>
            </w:pPr>
            <w:r>
              <w:rPr>
                <w:rFonts w:ascii="Arial" w:cs="Arial" w:eastAsia="Arial" w:hAnsi="Arial"/>
                <w:sz w:val="18"/>
                <w:szCs w:val="18"/>
                <w:b w:val="1"/>
                <w:bCs w:val="1"/>
                <w:color w:val="auto"/>
                <w:w w:val="96"/>
              </w:rPr>
              <w:t>Honolulu, HI</w:t>
            </w:r>
          </w:p>
        </w:tc>
        <w:tc>
          <w:tcPr>
            <w:tcW w:w="2600" w:type="dxa"/>
            <w:vAlign w:val="bottom"/>
          </w:tcPr>
          <w:p>
            <w:pPr>
              <w:jc w:val="right"/>
              <w:ind w:right="370"/>
              <w:spacing w:after="0"/>
              <w:rPr>
                <w:sz w:val="20"/>
                <w:szCs w:val="20"/>
                <w:color w:val="auto"/>
              </w:rPr>
            </w:pPr>
            <w:r>
              <w:rPr>
                <w:rFonts w:ascii="Arial" w:cs="Arial" w:eastAsia="Arial" w:hAnsi="Arial"/>
                <w:sz w:val="18"/>
                <w:szCs w:val="18"/>
                <w:b w:val="1"/>
                <w:bCs w:val="1"/>
                <w:color w:val="auto"/>
              </w:rPr>
              <w:t>96819</w:t>
            </w:r>
          </w:p>
        </w:tc>
      </w:tr>
      <w:tr>
        <w:trPr>
          <w:trHeight w:val="230"/>
        </w:trPr>
        <w:tc>
          <w:tcPr>
            <w:tcW w:w="5320" w:type="dxa"/>
            <w:vAlign w:val="bottom"/>
          </w:tcPr>
          <w:p>
            <w:pPr>
              <w:jc w:val="center"/>
              <w:ind w:right="2363"/>
              <w:spacing w:after="0"/>
              <w:rPr>
                <w:sz w:val="20"/>
                <w:szCs w:val="20"/>
                <w:color w:val="auto"/>
              </w:rPr>
            </w:pPr>
            <w:r>
              <w:rPr>
                <w:rFonts w:ascii="Arial" w:cs="Arial" w:eastAsia="Arial" w:hAnsi="Arial"/>
                <w:sz w:val="18"/>
                <w:szCs w:val="18"/>
                <w:color w:val="auto"/>
                <w:w w:val="92"/>
              </w:rPr>
              <w:t>(Address of principal executive offices)</w:t>
            </w:r>
          </w:p>
        </w:tc>
        <w:tc>
          <w:tcPr>
            <w:tcW w:w="2600" w:type="dxa"/>
            <w:vAlign w:val="bottom"/>
          </w:tcPr>
          <w:p>
            <w:pPr>
              <w:jc w:val="center"/>
              <w:ind w:left="11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(808) 848-1211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fiscal year, if changed since last report)</w:t>
      </w:r>
    </w:p>
    <w:p>
      <w:pPr>
        <w:spacing w:after="0" w:line="211"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544" w:right="239" w:bottom="0" w:gutter="0" w:footer="0" w:header="0"/>
        </w:sectPr>
      </w:pPr>
    </w:p>
    <w:p>
      <w:pPr>
        <w:spacing w:after="0" w:line="147"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60"/>
          </w:cols>
          <w:pgMar w:left="240" w:top="544" w:right="23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40"/>
          </w:cols>
          <w:pgMar w:left="240" w:top="544" w:right="239" w:bottom="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Number of shares of common stock outstanding as of September 30, 2015: </w:t>
      </w:r>
      <w:r>
        <w:rPr>
          <w:rFonts w:ascii="Arial" w:cs="Arial" w:eastAsia="Arial" w:hAnsi="Arial"/>
          <w:sz w:val="18"/>
          <w:szCs w:val="18"/>
          <w:b w:val="1"/>
          <w:bCs w:val="1"/>
          <w:color w:val="auto"/>
        </w:rPr>
        <w:t>43,552,347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4"/>
          <w:szCs w:val="24"/>
          <w:color w:val="auto"/>
        </w:rPr>
      </w:pPr>
    </w:p>
    <w:p>
      <w:pPr>
        <w:jc w:val="center"/>
        <w:ind w:left="2560" w:right="500"/>
        <w:spacing w:after="0" w:line="266" w:lineRule="auto"/>
        <w:rPr>
          <w:sz w:val="20"/>
          <w:szCs w:val="20"/>
          <w:color w:val="auto"/>
        </w:rPr>
      </w:pPr>
      <w:r>
        <w:rPr>
          <w:rFonts w:ascii="Arial" w:cs="Arial" w:eastAsia="Arial" w:hAnsi="Arial"/>
          <w:sz w:val="18"/>
          <w:szCs w:val="18"/>
          <w:b w:val="1"/>
          <w:bCs w:val="1"/>
          <w:color w:val="auto"/>
        </w:rPr>
        <w:t xml:space="preserve">MATSON, INC. AND SUBSIDIARIES Condensed Consolidated Statements of Income and Comprehensive Income </w:t>
      </w:r>
      <w:r>
        <w:rPr>
          <w:rFonts w:ascii="Arial" w:cs="Arial" w:eastAsia="Arial" w:hAnsi="Arial"/>
          <w:sz w:val="18"/>
          <w:szCs w:val="18"/>
          <w:color w:val="auto"/>
        </w:rPr>
        <w:t>(In millions, except per-share amounts) (Unaudited)</w:t>
      </w:r>
    </w:p>
    <w:p>
      <w:pPr>
        <w:sectPr>
          <w:pgSz w:w="11900" w:h="16838" w:orient="portrait"/>
          <w:cols w:equalWidth="0" w:num="1">
            <w:col w:w="11420"/>
          </w:cols>
          <w:pgMar w:left="240" w:top="544"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2014</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Ocean Transportation</w:t>
            </w:r>
          </w:p>
        </w:tc>
        <w:tc>
          <w:tcPr>
            <w:tcW w:w="106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444.8</w:t>
            </w:r>
          </w:p>
        </w:tc>
        <w:tc>
          <w:tcPr>
            <w:tcW w:w="3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329.5</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1,097.0</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Logistics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99.5</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293.1</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Operating Revenue</w:t>
            </w:r>
          </w:p>
        </w:tc>
        <w:tc>
          <w:tcPr>
            <w:tcW w:w="2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544.3</w:t>
            </w:r>
          </w:p>
        </w:tc>
        <w:tc>
          <w:tcPr>
            <w:tcW w:w="3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1,390.1</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costs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1,107.5</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Equity in income of terminal joint venture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52.2</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145.3</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472.5</w:t>
            </w:r>
          </w:p>
        </w:tc>
        <w:tc>
          <w:tcPr>
            <w:tcW w:w="30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1,239.7</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71.8</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150.4</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30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2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9"/>
              </w:rPr>
              <w:t>Other Comprehensive Income (Loss), Net of Income Taxes: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CEEFF"/>
          </w:tcPr>
          <w:p>
            <w:pPr>
              <w:jc w:val="right"/>
              <w:ind w:right="686"/>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41.5</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76.4</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in prior service cost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tcPr>
          <w:p>
            <w:pPr>
              <w:ind w:left="340"/>
              <w:spacing w:after="0" w:line="201" w:lineRule="exact"/>
              <w:rPr>
                <w:sz w:val="20"/>
                <w:szCs w:val="20"/>
                <w:color w:val="auto"/>
              </w:rPr>
            </w:pPr>
            <w:r>
              <w:rPr>
                <w:rFonts w:ascii="Arial" w:cs="Arial" w:eastAsia="Arial" w:hAnsi="Arial"/>
                <w:sz w:val="18"/>
                <w:szCs w:val="18"/>
                <w:color w:val="auto"/>
                <w:w w:val="97"/>
              </w:rPr>
              <w:t>Amortization of prior service cost included in net periodic</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520"/>
              <w:spacing w:after="0"/>
              <w:rPr>
                <w:sz w:val="20"/>
                <w:szCs w:val="20"/>
                <w:color w:val="auto"/>
              </w:rPr>
            </w:pPr>
            <w:r>
              <w:rPr>
                <w:rFonts w:ascii="Arial" w:cs="Arial" w:eastAsia="Arial" w:hAnsi="Arial"/>
                <w:sz w:val="18"/>
                <w:szCs w:val="18"/>
                <w:color w:val="auto"/>
              </w:rPr>
              <w:t>pension cost</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5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Amortization of net gain included in net periodic pension</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cost</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5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Comprehensive Income</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3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2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06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0.95</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0.50</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1.76</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60" w:type="dxa"/>
            <w:vAlign w:val="bottom"/>
            <w:gridSpan w:val="2"/>
            <w:shd w:val="clear" w:color="auto" w:fill="CCEEFF"/>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0.94</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0.50</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43.5</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43.5</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44.0</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w:t>
            </w:r>
          </w:p>
        </w:tc>
        <w:tc>
          <w:tcPr>
            <w:tcW w:w="1060" w:type="dxa"/>
            <w:vAlign w:val="bottom"/>
            <w:gridSpan w:val="2"/>
            <w:shd w:val="clear" w:color="auto" w:fill="CCEEFF"/>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0.18</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0.17</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0.52</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Current Assets:</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239.5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41.5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Investment in terminal joint venture</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68.2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839.9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140.9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Capital Construction Fund deposits</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22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1,736.7</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8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80"/>
              <w:spacing w:after="0"/>
              <w:rPr>
                <w:sz w:val="20"/>
                <w:szCs w:val="20"/>
                <w:color w:val="auto"/>
              </w:rPr>
            </w:pPr>
            <w:r>
              <w:rPr>
                <w:rFonts w:ascii="Arial" w:cs="Arial" w:eastAsia="Arial" w:hAnsi="Arial"/>
                <w:sz w:val="18"/>
                <w:szCs w:val="18"/>
                <w:color w:val="auto"/>
              </w:rPr>
              <w:t>Current portion of debt</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80"/>
              <w:spacing w:after="0"/>
              <w:rPr>
                <w:sz w:val="20"/>
                <w:szCs w:val="20"/>
                <w:color w:val="auto"/>
              </w:rPr>
            </w:pPr>
            <w:r>
              <w:rPr>
                <w:rFonts w:ascii="Arial" w:cs="Arial" w:eastAsia="Arial" w:hAnsi="Arial"/>
                <w:sz w:val="18"/>
                <w:szCs w:val="18"/>
                <w:color w:val="auto"/>
              </w:rPr>
              <w:t>Payroll and vacation benefits</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Uninsured liabilities</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80"/>
              <w:spacing w:after="0"/>
              <w:rPr>
                <w:sz w:val="20"/>
                <w:szCs w:val="20"/>
                <w:color w:val="auto"/>
              </w:rPr>
            </w:pPr>
            <w:r>
              <w:rPr>
                <w:rFonts w:ascii="Arial" w:cs="Arial" w:eastAsia="Arial" w:hAnsi="Arial"/>
                <w:sz w:val="18"/>
                <w:szCs w:val="18"/>
                <w:color w:val="auto"/>
              </w:rPr>
              <w:t>Accrued and other liabilities</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58.6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4" w:right="239" w:bottom="0" w:gutter="0" w:footer="0" w:header="0"/>
        </w:sectPr>
      </w:pPr>
    </w:p>
    <w:bookmarkStart w:id="2" w:name="page3"/>
    <w:bookmarkEnd w:id="2"/>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459.3</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336.7</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benefit plans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115.3</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Uninsured and other liabilities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39.3</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Multi-employer withdrawal liabilities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56.9</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1,007.5</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Commitments and Contingencies (Note 2)</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stock</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Additional paid in capital</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284.9</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163.3</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1,736.7</w:t>
            </w:r>
          </w:p>
        </w:tc>
        <w:tc>
          <w:tcPr>
            <w:tcW w:w="280" w:type="dxa"/>
            <w:vAlign w:val="bottom"/>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vMerge w:val="restart"/>
          </w:tcPr>
          <w:p>
            <w:pPr>
              <w:jc w:val="center"/>
              <w:ind w:left="3210"/>
              <w:spacing w:after="0"/>
              <w:rPr>
                <w:sz w:val="20"/>
                <w:szCs w:val="20"/>
                <w:color w:val="auto"/>
              </w:rPr>
            </w:pPr>
            <w:r>
              <w:rPr>
                <w:rFonts w:ascii="Arial" w:cs="Arial" w:eastAsia="Arial" w:hAnsi="Arial"/>
                <w:sz w:val="18"/>
                <w:szCs w:val="18"/>
                <w:color w:val="auto"/>
                <w:w w:val="88"/>
              </w:rPr>
              <w:t>See Notes to Condensed Consolidated Financial Statements.</w:t>
            </w: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gridSpan w:val="2"/>
          </w:tcPr>
          <w:p>
            <w:pPr>
              <w:jc w:val="center"/>
              <w:ind w:left="3230"/>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0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8080" w:type="dxa"/>
            <w:vAlign w:val="bottom"/>
          </w:tcPr>
          <w:p>
            <w:pPr>
              <w:jc w:val="center"/>
              <w:ind w:left="3230"/>
              <w:spacing w:after="0"/>
              <w:rPr>
                <w:sz w:val="20"/>
                <w:szCs w:val="20"/>
                <w:color w:val="auto"/>
              </w:rPr>
            </w:pPr>
            <w:r>
              <w:rPr>
                <w:rFonts w:ascii="Arial" w:cs="Arial" w:eastAsia="Arial" w:hAnsi="Arial"/>
                <w:sz w:val="18"/>
                <w:szCs w:val="18"/>
                <w:b w:val="1"/>
                <w:bCs w:val="1"/>
                <w:color w:val="auto"/>
                <w:w w:val="99"/>
              </w:rPr>
              <w:t>MATSON, INC. AND SUBSIDIARIES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80" w:type="dxa"/>
            <w:vAlign w:val="bottom"/>
          </w:tcPr>
          <w:p>
            <w:pPr>
              <w:jc w:val="center"/>
              <w:ind w:left="323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jc w:val="center"/>
              <w:ind w:left="3210"/>
              <w:spacing w:after="0"/>
              <w:rPr>
                <w:sz w:val="20"/>
                <w:szCs w:val="20"/>
                <w:color w:val="auto"/>
              </w:rPr>
            </w:pPr>
            <w:r>
              <w:rPr>
                <w:rFonts w:ascii="Arial" w:cs="Arial" w:eastAsia="Arial" w:hAnsi="Arial"/>
                <w:sz w:val="18"/>
                <w:szCs w:val="18"/>
                <w:color w:val="auto"/>
                <w:w w:val="95"/>
              </w:rPr>
              <w:t>(In millions) (Unaudited)</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Nine Months Ended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76.4</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Reconciling adjustments: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59.1</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9.6</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 income from terminal joint venture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60"/>
              <w:spacing w:after="0"/>
              <w:rPr>
                <w:sz w:val="20"/>
                <w:szCs w:val="20"/>
                <w:color w:val="auto"/>
              </w:rPr>
            </w:pPr>
            <w:r>
              <w:rPr>
                <w:rFonts w:ascii="Arial" w:cs="Arial" w:eastAsia="Arial" w:hAnsi="Arial"/>
                <w:sz w:val="18"/>
                <w:szCs w:val="18"/>
                <w:color w:val="auto"/>
              </w:rPr>
              <w:t>Distribution from terminal joint venture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8.8</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60"/>
              <w:spacing w:after="0"/>
              <w:rPr>
                <w:sz w:val="20"/>
                <w:szCs w:val="20"/>
                <w:color w:val="auto"/>
              </w:rPr>
            </w:pPr>
            <w:r>
              <w:rPr>
                <w:rFonts w:ascii="Arial" w:cs="Arial" w:eastAsia="Arial" w:hAnsi="Arial"/>
                <w:sz w:val="18"/>
                <w:szCs w:val="18"/>
                <w:color w:val="auto"/>
              </w:rPr>
              <w:t>Deferred dry-docking payments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dry-docking amortization</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11.0</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(30.3)</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Deposits into Capital Construction Fund</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(77.9)</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Withdrawals from Capital Construction Fund</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93.7</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Payments for Horizon’s common stock, net of cash acquired, and other acquisitions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(29.0)</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Proceeds from issuance of debt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debt and capital lease obligations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Proceeds from revolving credit facility</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557.0</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revolving credit facility</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(439.0)</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Payments of financing costs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capital stock</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Tax withholding related to net share settlements of restricted stock units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5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Payments of Horizon debt and redeemed warrants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(467.5)</w:t>
            </w:r>
          </w:p>
        </w:tc>
        <w:tc>
          <w:tcPr>
            <w:tcW w:w="5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(388.1)</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(267.9)</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the period</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293.4</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end of the period</w:t>
            </w:r>
          </w:p>
        </w:tc>
        <w:tc>
          <w:tcPr>
            <w:tcW w:w="20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1040" w:type="dxa"/>
            <w:vAlign w:val="bottom"/>
            <w:gridSpan w:val="2"/>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80"/>
              <w:spacing w:after="0"/>
              <w:rPr>
                <w:sz w:val="20"/>
                <w:szCs w:val="20"/>
                <w:color w:val="auto"/>
              </w:rPr>
            </w:pPr>
            <w:r>
              <w:rPr>
                <w:rFonts w:ascii="Arial" w:cs="Arial" w:eastAsia="Arial" w:hAnsi="Arial"/>
                <w:sz w:val="18"/>
                <w:szCs w:val="18"/>
                <w:color w:val="auto"/>
              </w:rPr>
              <w:t>Income tax paid</w:t>
            </w:r>
          </w:p>
        </w:tc>
        <w:tc>
          <w:tcPr>
            <w:tcW w:w="1040" w:type="dxa"/>
            <w:vAlign w:val="bottom"/>
            <w:gridSpan w:val="2"/>
          </w:tcPr>
          <w:p>
            <w:pPr>
              <w:jc w:val="right"/>
              <w:ind w:right="65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34.2</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-7762240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-7762240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7" w:orient="portrait"/>
          <w:cols w:equalWidth="0" w:num="1">
            <w:col w:w="11460"/>
          </w:cols>
          <w:pgMar w:left="240" w:top="125" w:right="199" w:bottom="0" w:gutter="0" w:footer="0" w:header="0"/>
        </w:sectPr>
      </w:pPr>
    </w:p>
    <w:bookmarkStart w:id="3" w:name="page4"/>
    <w:bookmarkEnd w:id="3"/>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Non-cash Information:</w:t>
            </w:r>
          </w:p>
        </w:tc>
        <w:tc>
          <w:tcPr>
            <w:tcW w:w="2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 included in accounts payable and accrued liabilities</w:t>
            </w:r>
          </w:p>
        </w:tc>
        <w:tc>
          <w:tcPr>
            <w:tcW w:w="2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w:t>
            </w:r>
          </w:p>
        </w:tc>
        <w:tc>
          <w:tcPr>
            <w:tcW w:w="7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30"/>
        </w:trPr>
        <w:tc>
          <w:tcPr>
            <w:tcW w:w="6860" w:type="dxa"/>
            <w:vAlign w:val="bottom"/>
          </w:tcPr>
          <w:p>
            <w:pPr>
              <w:ind w:left="200"/>
              <w:spacing w:after="0"/>
              <w:rPr>
                <w:sz w:val="20"/>
                <w:szCs w:val="20"/>
                <w:color w:val="auto"/>
              </w:rPr>
            </w:pPr>
            <w:r>
              <w:rPr>
                <w:rFonts w:ascii="Arial" w:cs="Arial" w:eastAsia="Arial" w:hAnsi="Arial"/>
                <w:sz w:val="18"/>
                <w:szCs w:val="18"/>
                <w:color w:val="auto"/>
              </w:rPr>
              <w:t>Capital lease obligations</w:t>
            </w:r>
          </w:p>
        </w:tc>
        <w:tc>
          <w:tcPr>
            <w:tcW w:w="20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74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20" w:hanging="712"/>
        <w:spacing w:after="0"/>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Matson, Inc., a holding company incorporated in January 2012 in the State of Hawaii, and its subsidiaries (“Matson” or the “Company”), is a leading provider of ocean transportation and logistics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Transportation: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Matson’s ocean transportation business is conducted through Matson Navigation Company, Inc. (“MatNav”), a wholly-owned subsidiary of Matson, Inc. Founded in 1882, MatNav is an asset-based business that provides a vital lifeline of ocean freight transportation services to the domestic offshore economies of Hawaii, Alaska, and Guam, and to other island economies including Micronesia and various islands in the South Pacific. MatNav also operates a premium, expedited service from China to Long Beach, California. In addition, subsidiaries of MatNav provides container stevedoring, container equipment maintenance and other terminal services for MatNav and other ocean carriers on the Hawaii islands of Oahu, Hawaii, Maui and Kauai, and in the Alaska locations of Anchorage, Kodiak, Dutch Harbor and Akutan.</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a 35 percent ownership interest in SSA Terminals, LLC (“SSAT”), a joint venture between Matson Ventures, Inc., a wholly-owned subsidiary of MatNav, and SSA Ventures, Inc., a subsidiary of Carrix, Inc. SSAT provides terminal and stevedoring services to various carriers at six terminal facilities on the West Coast of the United States of America (“U.S.”), including to MatNav at several of those facilities. Matson records its share of income or loss in the joint venture in operating costs in the Condensed Consolidated Statements of Income and Comprehensive Income, and within the ocean transportation segment due to the nature of SSAT’s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Company’s logistics business is conducted through Matson Logistics, Inc. (“Matson Logistics”), a wholly-owned subsidiary of MatNav. Established in 1987, Matson Logistics is an asset-light business that provides multimodal transportation services, including domestic and international rail intermodal service (“Intermodal”); long-haul and regional highway brokerage, specialized hauling, flat-bed and project services, less-than-truckload services, and expedited freight services; and warehousing and distribution services.</w:t>
      </w:r>
    </w:p>
    <w:p>
      <w:pPr>
        <w:spacing w:after="0" w:line="183" w:lineRule="exact"/>
        <w:rPr>
          <w:sz w:val="20"/>
          <w:szCs w:val="20"/>
          <w:color w:val="auto"/>
        </w:rPr>
      </w:pPr>
    </w:p>
    <w:p>
      <w:pPr>
        <w:ind w:left="720" w:hanging="712"/>
        <w:spacing w:after="0"/>
        <w:tabs>
          <w:tab w:leader="none" w:pos="7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SIGNIFICANT ACCOUNTING POLICIES</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Condensed Consolidated Financial Statements are unaudited. Due to the nature of the Company’s operations and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of Horizon during 2015,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financial statements. The Condensed Consolidated Financial Statements should be read in conjunction with the Consolidated Financial statements and notes thereto included in the Company’s Annual Report filed on Form 10-K for the year ended December 31, 2014, with the Securities and Exchange Commission (“SEC”) on February 27, 2015.</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Fiscal Period: </w:t>
      </w:r>
      <w:r>
        <w:rPr>
          <w:rFonts w:ascii="Arial" w:cs="Arial" w:eastAsia="Arial" w:hAnsi="Arial"/>
          <w:sz w:val="18"/>
          <w:szCs w:val="18"/>
          <w:color w:val="auto"/>
        </w:rPr>
        <w:t>The period end for Matson, Inc. covered by this report is September 30, 2015. The period end for MatNav and its subsidiaries covered by this</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occurred on the last Friday in September, or September 25, 2015.</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The Company’s significant accounting policies are described in Note 2 to the Consolidated Financial Statements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Item 8 of the Company’s Annual Report filed on Form 10-K for the year ended December 31, 2014.</w:t>
      </w:r>
    </w:p>
    <w:p>
      <w:pPr>
        <w:spacing w:after="0" w:line="170"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Property and equipment is stated at cost, net of accumulated depreciation of $1,153.8 million and $1,107.0 million at</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2015 and December 31, 2014, respectively.</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Intangible Assets, Net: </w:t>
      </w:r>
      <w:r>
        <w:rPr>
          <w:rFonts w:ascii="Arial" w:cs="Arial" w:eastAsia="Arial" w:hAnsi="Arial"/>
          <w:sz w:val="18"/>
          <w:szCs w:val="18"/>
          <w:color w:val="auto"/>
        </w:rPr>
        <w:t>Intangible assets are recorded net of accumulated amortization of $14.2 million and $11.8 million at September 30, 2015 and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2014, respectively. Intangible assets as of September 30, 2015 includes additions of $140.0 million related to customer relationships recorded as a result of the Horizon acquisition (see Note 3).</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Goodwill of $248.3 million as of September 30, 2015 includes additions of $220.9 million related to the Horizon acquisition (see Note 3).</w:t>
      </w:r>
    </w:p>
    <w:p>
      <w:pPr>
        <w:spacing w:after="0" w:line="23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Capital Construction Fund: </w:t>
      </w:r>
      <w:r>
        <w:rPr>
          <w:rFonts w:ascii="Arial" w:cs="Arial" w:eastAsia="Arial" w:hAnsi="Arial"/>
          <w:sz w:val="18"/>
          <w:szCs w:val="18"/>
          <w:color w:val="auto"/>
        </w:rPr>
        <w:t>The Company’s Capital Construction Fund (“CCF”) is described in Note 6 to the Consolidated Financial Statements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Item 8 of the Company’s Annual Report filed on Form 10-K for the year ended December 31, 2014. As of September 30, 2015 and December 31, 2014, the Company had $11.7 million and $27.5 million, respectively, on deposit in the CCF that is held in a money market account and classified as long-term assets in the Company’s Condensed Consolidated Balance Sheets. During the three and nine months ended September 30, 2015, the Company made cash deposits of $75.7 million and $77.9 million into the CCF, and made qualified cash withdrawals of $91.5 million and $93.7 million, respectively, from the CCF. Qualified cash withdrawals of $91.5 million for the three months ended September 30, 2015 related primarily to the Horizon vessels acquired that were processed through the CCF for income tax purposes.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As of September 30, 2015 and December 31, 2014, $176.4 million and $150.7 million of eligible accounts receivable were assigned to the CCF. Due to the nature of the assignment of eligible accounts receivable into the CCF, such assigned amounts are classified as part of accounts receivable in the Condensed</w:t>
      </w:r>
    </w:p>
    <w:p>
      <w:pPr>
        <w:sectPr>
          <w:pgSz w:w="11900" w:h="16975" w:orient="portrait"/>
          <w:cols w:equalWidth="0" w:num="1">
            <w:col w:w="11420"/>
          </w:cols>
          <w:pgMar w:left="240" w:top="125"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Consolidated Balance Sheets.</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i w:val="1"/>
          <w:iCs w:val="1"/>
          <w:color w:val="auto"/>
        </w:rPr>
        <w:t xml:space="preserve">Other Long-term Assets: </w:t>
      </w:r>
      <w:r>
        <w:rPr>
          <w:rFonts w:ascii="Arial" w:cs="Arial" w:eastAsia="Arial" w:hAnsi="Arial"/>
          <w:sz w:val="16"/>
          <w:szCs w:val="16"/>
          <w:color w:val="auto"/>
        </w:rPr>
        <w:t>As of September 30, 2015 and December 31, 2014, other long-term assets included deferred dry-docking costs of $52.9 million and</w:t>
      </w:r>
      <w:r>
        <w:rPr>
          <w:rFonts w:ascii="Arial" w:cs="Arial" w:eastAsia="Arial" w:hAnsi="Arial"/>
          <w:sz w:val="16"/>
          <w:szCs w:val="16"/>
          <w:i w:val="1"/>
          <w:iCs w:val="1"/>
          <w:color w:val="auto"/>
        </w:rPr>
        <w:t xml:space="preserve"> </w:t>
      </w:r>
      <w:r>
        <w:rPr>
          <w:rFonts w:ascii="Arial" w:cs="Arial" w:eastAsia="Arial" w:hAnsi="Arial"/>
          <w:sz w:val="16"/>
          <w:szCs w:val="16"/>
          <w:color w:val="auto"/>
        </w:rPr>
        <w:t>$47.5 million, vessel and crane spare parts of $11.5 million and $7.7 million, and other assets of $15.0 million and $14.1 million, respectively.</w:t>
      </w:r>
    </w:p>
    <w:p>
      <w:pPr>
        <w:spacing w:after="0" w:line="124" w:lineRule="exact"/>
        <w:rPr>
          <w:sz w:val="20"/>
          <w:szCs w:val="20"/>
          <w:color w:val="auto"/>
        </w:rPr>
      </w:pPr>
    </w:p>
    <w:p>
      <w:pPr>
        <w:ind w:right="700"/>
        <w:spacing w:after="0" w:line="264" w:lineRule="auto"/>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The Company’s ocean transportation business has certain risks that could result in expenditures for environmental remediation.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believes that based on all information available to it, the Company is currently in compliance, in all material respects, with applicable environmental laws and regulations.</w:t>
      </w:r>
    </w:p>
    <w:p>
      <w:pPr>
        <w:spacing w:after="0" w:line="18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77" w:lineRule="exact"/>
        <w:rPr>
          <w:sz w:val="20"/>
          <w:szCs w:val="20"/>
          <w:color w:val="auto"/>
        </w:rPr>
      </w:pPr>
    </w:p>
    <w:p>
      <w:pPr>
        <w:ind w:left="720" w:hanging="712"/>
        <w:spacing w:after="0"/>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November 11, 2014, MatNav entered into a definitive merger agreement with Horizon Lines, Inc. (“Horizon”) pursuant to which MatNav would acquire Horizon’s Alaska operations and assume all of Horizon’s non-Hawaii assets and liabilities (the “Acquisition”). Horizon’s Alaska operations include four Jones Act qualified containerships and related terminal operations at the Ports of Anchorage, Dutch Harbor, Kodiak and Akutan. Also on November 11, 2014, Horizon agreed to sell its Hawaii operations, and related assets and liabilities to The Pasha Group (“Pasha”) for $141.5 million (the “Pasha Transaction”), and announced the termination of its Puerto Rico operations which was completed during the first quarter of 2015. The Acquisition and the Pasha Transaction were completed on May 29, 2015 (the “Effective Date”).</w:t>
      </w:r>
    </w:p>
    <w:p>
      <w:pPr>
        <w:spacing w:after="0" w:line="19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the Effective Date, a subsidiary of the Company merged with Horizon and as a result, the Company acquired 100 percent of Horizon’s outstanding shares and warrants for a cash price of $0.72 per-share. The Company also acquired Horizon’s assets and assumed its liabilities including Horizon’s debt (net of proceeds from the Pasha Transaction). Immediately following the Acquisition, the Company repaid the assumed debt which included accrued interest and breakage fees, and redeemed all of Horizon’s outstanding warrants. Total consideration paid by the Company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 Consideration</w:t>
            </w:r>
          </w:p>
        </w:tc>
      </w:tr>
      <w:tr>
        <w:trPr>
          <w:trHeight w:val="210"/>
        </w:trPr>
        <w:tc>
          <w:tcPr>
            <w:tcW w:w="5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shares</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37.1</w:t>
            </w: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Horizon’s debt (including accrued interest and breakage fees)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428.9</w:t>
            </w:r>
          </w:p>
        </w:tc>
        <w:tc>
          <w:tcPr>
            <w:tcW w:w="80" w:type="dxa"/>
            <w:vAlign w:val="bottom"/>
            <w:shd w:val="clear" w:color="auto" w:fill="CCEEFF"/>
          </w:tcPr>
          <w:p>
            <w:pPr>
              <w:spacing w:after="0"/>
              <w:rPr>
                <w:sz w:val="18"/>
                <w:szCs w:val="18"/>
                <w:color w:val="auto"/>
              </w:rPr>
            </w:pPr>
          </w:p>
        </w:tc>
      </w:tr>
      <w:tr>
        <w:trPr>
          <w:trHeight w:val="210"/>
        </w:trPr>
        <w:tc>
          <w:tcPr>
            <w:tcW w:w="62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Horizon’s assets acquired and liabilities assumed were recorded based on fair value estimates as of the Effective Date, with the remaining unallocated purchase price recorded as goodwill. Such fair value estimates require significant judgment including the valuation of property and equipment, intangible assets, debt and warrants, the assumptions used in calculating the multi-employer withdrawal pension liabilities, and the determination of net deferred tax assets. The Company’s fair value estimates are subject to revision pending the Company’s final fair value analysis and purchase price calculations. Consequently, the fair value amounts presented are preliminary and are subject to revision. Final estimates of fair value may be significantly different from those reflected in the Company’s Condensed Consolidated Financial Statements as of September 30, 2015.</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table summarizes the estimated fair values assigned to Horizon’s assets acquired and liabilities assumed at the Effective Date with purchase price allocation adjustments since the preliminary purchase price allocation as previously reported as of June 30, 2015. Purchase price allocation adjustments relate primarily to the receipt of additional information regarding the fair value of certain assets acquired and liabilities assumed, with the residual to goodwill:</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2"/>
              </w:rPr>
              <w:t>Purchase Price Allocation</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As Previously</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jc w:val="right"/>
              <w:ind w:right="132"/>
              <w:spacing w:after="0" w:line="119" w:lineRule="exact"/>
              <w:rPr>
                <w:sz w:val="20"/>
                <w:szCs w:val="20"/>
                <w:color w:val="auto"/>
              </w:rPr>
            </w:pPr>
            <w:r>
              <w:rPr>
                <w:rFonts w:ascii="Arial" w:cs="Arial" w:eastAsia="Arial" w:hAnsi="Arial"/>
                <w:sz w:val="13"/>
                <w:szCs w:val="13"/>
                <w:b w:val="1"/>
                <w:bCs w:val="1"/>
                <w:color w:val="auto"/>
              </w:rPr>
              <w:t>As Retrospectively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Reported in 10-Q</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210"/>
        </w:trPr>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31.7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38.9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Intangibles - Customer relationships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140.0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Accruals and other current liabilities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Multi-employer withdrawal liabilities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(60.6)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Horizon’s debt and warrants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(467.5)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(467.5)</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identifiable assets less liabilities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200"/>
              <w:spacing w:after="0"/>
              <w:rPr>
                <w:sz w:val="20"/>
                <w:szCs w:val="20"/>
                <w:color w:val="auto"/>
              </w:rPr>
            </w:pPr>
            <w:r>
              <w:rPr>
                <w:rFonts w:ascii="Arial" w:cs="Arial" w:eastAsia="Arial" w:hAnsi="Arial"/>
                <w:sz w:val="18"/>
                <w:szCs w:val="18"/>
                <w:color w:val="auto"/>
              </w:rPr>
              <w:t>Total cash paid for common shares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i w:val="1"/>
          <w:iCs w:val="1"/>
          <w:color w:val="auto"/>
        </w:rPr>
        <w:t xml:space="preserve">Deferred tax assets, net: </w:t>
      </w:r>
      <w:r>
        <w:rPr>
          <w:rFonts w:ascii="Arial" w:cs="Arial" w:eastAsia="Arial" w:hAnsi="Arial"/>
          <w:sz w:val="16"/>
          <w:szCs w:val="16"/>
          <w:color w:val="auto"/>
        </w:rPr>
        <w:t>The Company recorded Horizon’s deferred tax assets and liabilities, net of any change of ownership limitations. The Company also</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a valuation allowance against the portions of deferred tax assets that the Company determined may not be realized in future periods.</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Property and equipment of $170.4 million includes the acquisition of seven Jones Act qualified containerships, containers, chassis,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property and terminal equipment.</w:t>
      </w:r>
    </w:p>
    <w:p>
      <w:pPr>
        <w:sectPr>
          <w:pgSz w:w="11900" w:h="16838" w:orient="portrait"/>
          <w:cols w:equalWidth="0" w:num="1">
            <w:col w:w="11420"/>
          </w:cols>
          <w:pgMar w:left="240" w:top="125" w:right="239" w:bottom="0" w:gutter="0" w:footer="0" w:header="0"/>
        </w:sectPr>
      </w:pPr>
    </w:p>
    <w:bookmarkStart w:id="5" w:name="page6"/>
    <w:bookmarkEnd w:id="5"/>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Intangibles - Customer relationships: </w:t>
      </w:r>
      <w:r>
        <w:rPr>
          <w:rFonts w:ascii="Arial" w:cs="Arial" w:eastAsia="Arial" w:hAnsi="Arial"/>
          <w:sz w:val="18"/>
          <w:szCs w:val="18"/>
          <w:color w:val="auto"/>
        </w:rPr>
        <w:t>The Company recorded intangible assets of $140.0 million related to customer relationships, which is being amortized</w:t>
      </w:r>
      <w:r>
        <w:rPr>
          <w:rFonts w:ascii="Arial" w:cs="Arial" w:eastAsia="Arial" w:hAnsi="Arial"/>
          <w:sz w:val="18"/>
          <w:szCs w:val="18"/>
          <w:i w:val="1"/>
          <w:iCs w:val="1"/>
          <w:color w:val="auto"/>
        </w:rPr>
        <w:t xml:space="preserve"> </w:t>
      </w:r>
      <w:r>
        <w:rPr>
          <w:rFonts w:ascii="Arial" w:cs="Arial" w:eastAsia="Arial" w:hAnsi="Arial"/>
          <w:sz w:val="18"/>
          <w:szCs w:val="18"/>
          <w:color w:val="auto"/>
        </w:rPr>
        <w:t>over 21 years.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Multi-employer withdrawal liabilities: </w:t>
      </w:r>
      <w:r>
        <w:rPr>
          <w:rFonts w:ascii="Arial" w:cs="Arial" w:eastAsia="Arial" w:hAnsi="Arial"/>
          <w:sz w:val="18"/>
          <w:szCs w:val="18"/>
          <w:color w:val="auto"/>
        </w:rPr>
        <w:t>Horizon ceased all of its operations in Puerto Rico during the first quarter of 2015 which resulted in a mass</w:t>
      </w:r>
      <w:r>
        <w:rPr>
          <w:rFonts w:ascii="Arial" w:cs="Arial" w:eastAsia="Arial" w:hAnsi="Arial"/>
          <w:sz w:val="18"/>
          <w:szCs w:val="18"/>
          <w:i w:val="1"/>
          <w:iCs w:val="1"/>
          <w:color w:val="auto"/>
        </w:rPr>
        <w:t xml:space="preserve"> </w:t>
      </w:r>
      <w:r>
        <w:rPr>
          <w:rFonts w:ascii="Arial" w:cs="Arial" w:eastAsia="Arial" w:hAnsi="Arial"/>
          <w:sz w:val="18"/>
          <w:szCs w:val="18"/>
          <w:color w:val="auto"/>
        </w:rPr>
        <w:t>withdrawal from its multi-employer ILA-PRSSA Pension Fund. The Company has estimated the current and long-term liabilities related to the multi-employer pension plan of $60.6 million, included in assumed liabilities, that were based upon the expected future undiscounted payments of $73.9 million to be paid over approximately 18 years, discounted using the risk-free U.S. Treasury 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Estimated annual cash outflows related to the multi-employer pension plan as of September 30, 2015 are as follows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auto"/>
              </w:rPr>
              <w:t>Years ending September 30:</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Repayments</w:t>
            </w:r>
          </w:p>
        </w:tc>
        <w:tc>
          <w:tcPr>
            <w:tcW w:w="0" w:type="dxa"/>
            <w:vAlign w:val="bottom"/>
          </w:tcPr>
          <w:p>
            <w:pPr>
              <w:spacing w:after="0"/>
              <w:rPr>
                <w:sz w:val="1"/>
                <w:szCs w:val="1"/>
                <w:color w:val="auto"/>
              </w:rPr>
            </w:pPr>
          </w:p>
        </w:tc>
      </w:tr>
      <w:tr>
        <w:trPr>
          <w:trHeight w:val="171"/>
        </w:trPr>
        <w:tc>
          <w:tcPr>
            <w:tcW w:w="62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0"/>
        </w:trPr>
        <w:tc>
          <w:tcPr>
            <w:tcW w:w="6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i w:val="1"/>
          <w:iCs w:val="1"/>
          <w:color w:val="auto"/>
        </w:rPr>
        <w:t xml:space="preserve">Debt and warrants: </w:t>
      </w:r>
      <w:r>
        <w:rPr>
          <w:rFonts w:ascii="Arial" w:cs="Arial" w:eastAsia="Arial" w:hAnsi="Arial"/>
          <w:sz w:val="16"/>
          <w:szCs w:val="16"/>
          <w:color w:val="auto"/>
        </w:rPr>
        <w:t>The Company recorded the fair value of debt and warrants of $467.5 million arising from the Acquisition, which included accrued</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and breakage fees. During the period ended June 30, 2015, the Company repaid all of Horizon’s outstanding debt and redeemed the warrants.</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Company recorded goodwill of $220.9 million arising from the Acquisition, which represents the excess of the fair value of the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paid by the Company over the fair value of the underlying identifiable Horizon assets acquired and liabilities assumed. In accordance with ASC 805, </w:t>
      </w:r>
      <w:r>
        <w:rPr>
          <w:rFonts w:ascii="Arial" w:cs="Arial" w:eastAsia="Arial" w:hAnsi="Arial"/>
          <w:sz w:val="18"/>
          <w:szCs w:val="18"/>
          <w:i w:val="1"/>
          <w:iCs w:val="1"/>
          <w:color w:val="auto"/>
        </w:rPr>
        <w:t>Business Combination</w:t>
      </w:r>
      <w:r>
        <w:rPr>
          <w:rFonts w:ascii="Arial" w:cs="Arial" w:eastAsia="Arial" w:hAnsi="Arial"/>
          <w:sz w:val="18"/>
          <w:szCs w:val="18"/>
          <w:color w:val="auto"/>
        </w:rPr>
        <w:t>, goodwill will not be amortized, but instead will be tested for impairment at least annually, and whenever events or circumstances have</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that may indicate a possible impairment.</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Goodwill arises as a result of several factors. The Acquisition extends the geographical reach of the Company’s ocean transportation services to Alaska, and represents an extension of the Company’s existing platform on the U.S. West Coast. The Acquisition also provides an assembled workforce of experienced personnel with knowledge of the Alaska shipping industry and of its customers. The Company expects to leverage its existing infrastructure and operations to integrate the Alaska operations and eliminate duplicative corporate overhead costs.</w:t>
      </w:r>
    </w:p>
    <w:p>
      <w:pPr>
        <w:spacing w:after="0" w:line="187"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The Company’s Condensed Consolidated Statements of Income and Comprehensive Income for the three and nine months ended September 30, 2015 include revenue of $90.0 million and $114.5 million, and net income before income taxes of $14.5 million and $11.9 million, respectively, from Horizon’s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 (Unaudited):</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unaudited pro forma financial information presents the combined operating results of the Company, and those of Horizon excluding its Hawaii operations, as if the Acquisition had been completed at the beginning of each period presented below. The unaudited pro forma financial information includes the accounting effects of the business combination, including the amortization of intangible assets, depreciation of property and equipment, and interest expense. The unaudited pro forma financial information is presented for informational purposes only and is not indicative of the result of operations that would have been achieved if the Acquisition had taken place at the beginning of the periods presented, nor should it be taken as an indication of our future consolidated results of operations. In addition, pro forma information excludes the impact of restructuring activities implemented by the Company since completion of the Acquisition.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3"/>
          </w:tcPr>
          <w:p>
            <w:pPr>
              <w:jc w:val="center"/>
              <w:ind w:left="417"/>
              <w:spacing w:after="0"/>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4"/>
          </w:tcPr>
          <w:p>
            <w:pPr>
              <w:jc w:val="center"/>
              <w:ind w:left="477"/>
              <w:spacing w:after="0"/>
              <w:rPr>
                <w:sz w:val="20"/>
                <w:szCs w:val="20"/>
                <w:color w:val="auto"/>
              </w:rPr>
            </w:pPr>
            <w:r>
              <w:rPr>
                <w:rFonts w:ascii="Arial" w:cs="Arial" w:eastAsia="Arial" w:hAnsi="Arial"/>
                <w:sz w:val="14"/>
                <w:szCs w:val="14"/>
                <w:b w:val="1"/>
                <w:bCs w:val="1"/>
                <w:color w:val="auto"/>
                <w:w w:val="94"/>
              </w:rPr>
              <w:t>(unaudited)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3"/>
          </w:tcPr>
          <w:p>
            <w:pPr>
              <w:jc w:val="center"/>
              <w:ind w:left="437"/>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gridSpan w:val="4"/>
          </w:tcPr>
          <w:p>
            <w:pPr>
              <w:jc w:val="center"/>
              <w:ind w:left="457"/>
              <w:spacing w:after="0" w:line="149" w:lineRule="exact"/>
              <w:rPr>
                <w:sz w:val="20"/>
                <w:szCs w:val="20"/>
                <w:color w:val="auto"/>
              </w:rPr>
            </w:pPr>
            <w:r>
              <w:rPr>
                <w:rFonts w:ascii="Arial" w:cs="Arial" w:eastAsia="Arial" w:hAnsi="Arial"/>
                <w:sz w:val="14"/>
                <w:szCs w:val="14"/>
                <w:b w:val="1"/>
                <w:bCs w:val="1"/>
                <w:color w:val="auto"/>
                <w:w w:val="93"/>
              </w:rPr>
              <w:t>Nine Months Ended</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per-share amount)</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ind w:left="437"/>
              <w:spacing w:after="0"/>
              <w:rPr>
                <w:sz w:val="20"/>
                <w:szCs w:val="20"/>
                <w:color w:val="auto"/>
              </w:rPr>
            </w:pPr>
            <w:r>
              <w:rPr>
                <w:rFonts w:ascii="Arial" w:cs="Arial" w:eastAsia="Arial" w:hAnsi="Arial"/>
                <w:sz w:val="14"/>
                <w:szCs w:val="14"/>
                <w:b w:val="1"/>
                <w:bCs w:val="1"/>
                <w:color w:val="auto"/>
                <w:w w:val="93"/>
              </w:rPr>
              <w:t>September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ind w:left="477"/>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77"/>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w w:val="89"/>
              </w:rPr>
              <w:t>2014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37"/>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ind w:right="453"/>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 forma combined:</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Operating Revenue</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544.3</w:t>
            </w:r>
          </w:p>
        </w:tc>
        <w:tc>
          <w:tcPr>
            <w:tcW w:w="520" w:type="dxa"/>
            <w:vAlign w:val="bottom"/>
          </w:tcPr>
          <w:p>
            <w:pPr>
              <w:jc w:val="right"/>
              <w:ind w:right="362"/>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535.8</w:t>
            </w:r>
          </w:p>
        </w:tc>
        <w:tc>
          <w:tcPr>
            <w:tcW w:w="14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1,524.9</w:t>
            </w:r>
          </w:p>
        </w:tc>
        <w:tc>
          <w:tcPr>
            <w:tcW w:w="160" w:type="dxa"/>
            <w:vAlign w:val="bottom"/>
          </w:tcPr>
          <w:p>
            <w:pPr>
              <w:spacing w:after="0"/>
              <w:rPr>
                <w:sz w:val="18"/>
                <w:szCs w:val="18"/>
                <w:color w:val="auto"/>
              </w:rPr>
            </w:pPr>
          </w:p>
        </w:tc>
        <w:tc>
          <w:tcPr>
            <w:tcW w:w="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1,529.9</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w:t>
            </w:r>
          </w:p>
        </w:tc>
        <w:tc>
          <w:tcPr>
            <w:tcW w:w="520" w:type="dxa"/>
            <w:vAlign w:val="bottom"/>
            <w:shd w:val="clear" w:color="auto" w:fill="CCEEFF"/>
          </w:tcPr>
          <w:p>
            <w:pPr>
              <w:jc w:val="right"/>
              <w:ind w:right="36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64.4</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0.84</w:t>
            </w:r>
          </w:p>
        </w:tc>
        <w:tc>
          <w:tcPr>
            <w:tcW w:w="520" w:type="dxa"/>
            <w:vAlign w:val="bottom"/>
            <w:shd w:val="clear" w:color="auto" w:fill="CCEEFF"/>
          </w:tcPr>
          <w:p>
            <w:pPr>
              <w:jc w:val="right"/>
              <w:ind w:right="36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0.47</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c>
          <w:tcPr>
            <w:tcW w:w="6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0.83</w:t>
            </w:r>
          </w:p>
        </w:tc>
        <w:tc>
          <w:tcPr>
            <w:tcW w:w="520" w:type="dxa"/>
            <w:vAlign w:val="bottom"/>
          </w:tcPr>
          <w:p>
            <w:pPr>
              <w:jc w:val="right"/>
              <w:ind w:right="362"/>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0.47</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1.46</w:t>
            </w:r>
          </w:p>
        </w:tc>
        <w:tc>
          <w:tcPr>
            <w:tcW w:w="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60" w:type="dxa"/>
            <w:vAlign w:val="bottom"/>
          </w:tcPr>
          <w:p>
            <w:pPr>
              <w:spacing w:after="0" w:line="201" w:lineRule="exact"/>
              <w:rPr>
                <w:sz w:val="20"/>
                <w:szCs w:val="20"/>
                <w:color w:val="auto"/>
              </w:rPr>
            </w:pPr>
            <w:r>
              <w:rPr>
                <w:rFonts w:ascii="Arial" w:cs="Arial" w:eastAsia="Arial" w:hAnsi="Arial"/>
                <w:sz w:val="18"/>
                <w:szCs w:val="18"/>
                <w:color w:val="auto"/>
              </w:rPr>
              <w:t>Weighted Average Number of Shares</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43.5</w:t>
            </w: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44.0</w:t>
            </w:r>
          </w:p>
        </w:tc>
        <w:tc>
          <w:tcPr>
            <w:tcW w:w="5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44.0</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jc w:val="right"/>
              <w:ind w:right="202"/>
              <w:spacing w:after="0"/>
              <w:rPr>
                <w:sz w:val="20"/>
                <w:szCs w:val="20"/>
                <w:color w:val="auto"/>
              </w:rPr>
            </w:pPr>
            <w:r>
              <w:rPr>
                <w:rFonts w:ascii="Arial" w:cs="Arial" w:eastAsia="Arial" w:hAnsi="Arial"/>
                <w:sz w:val="18"/>
                <w:szCs w:val="18"/>
                <w:color w:val="auto"/>
              </w:rPr>
              <w:t>7</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5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720" w:hanging="712"/>
        <w:spacing w:after="0"/>
        <w:tabs>
          <w:tab w:leader="none" w:pos="7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2015 and December 31, 2014, the Company’s debt consisted of the following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434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r>
      <w:tr>
        <w:trPr>
          <w:trHeight w:val="196"/>
        </w:trPr>
        <w:tc>
          <w:tcPr>
            <w:tcW w:w="4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Term Loans:</w:t>
            </w:r>
          </w:p>
        </w:tc>
        <w:tc>
          <w:tcPr>
            <w:tcW w:w="2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5.79%, payable through 2020</w:t>
            </w:r>
          </w:p>
        </w:tc>
        <w:tc>
          <w:tcPr>
            <w:tcW w:w="21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35.0</w:t>
            </w:r>
          </w:p>
        </w:tc>
        <w:tc>
          <w:tcPr>
            <w:tcW w:w="3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38.5</w:t>
            </w:r>
          </w:p>
        </w:tc>
      </w:tr>
    </w:tbl>
    <w:p>
      <w:pPr>
        <w:sectPr>
          <w:pgSz w:w="11900" w:h="16900" w:orient="portrait"/>
          <w:cols w:equalWidth="0" w:num="1">
            <w:col w:w="11460"/>
          </w:cols>
          <w:pgMar w:left="240" w:top="125" w:right="199" w:bottom="0" w:gutter="0" w:footer="0" w:header="0"/>
        </w:sectPr>
      </w:pPr>
    </w:p>
    <w:bookmarkStart w:id="6" w:name="page7"/>
    <w:bookmarkEnd w:id="6"/>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3.66%, payable through 2023</w:t>
            </w:r>
          </w:p>
        </w:tc>
        <w:tc>
          <w:tcPr>
            <w:tcW w:w="2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72.9</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4.16%, payable through 2027</w:t>
            </w:r>
          </w:p>
        </w:tc>
        <w:tc>
          <w:tcPr>
            <w:tcW w:w="2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55.0</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4.31%, payable through 2032</w:t>
            </w:r>
          </w:p>
        </w:tc>
        <w:tc>
          <w:tcPr>
            <w:tcW w:w="2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4.35%, payable through 2044</w:t>
            </w:r>
          </w:p>
        </w:tc>
        <w:tc>
          <w:tcPr>
            <w:tcW w:w="2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Title XI Bonds:</w:t>
            </w:r>
          </w:p>
        </w:tc>
        <w:tc>
          <w:tcPr>
            <w:tcW w:w="2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5.34%, payable through 2028</w:t>
            </w:r>
          </w:p>
        </w:tc>
        <w:tc>
          <w:tcPr>
            <w:tcW w:w="2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5.27%, payable through 2029</w:t>
            </w:r>
          </w:p>
        </w:tc>
        <w:tc>
          <w:tcPr>
            <w:tcW w:w="2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118.0</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2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10"/>
        </w:trPr>
        <w:tc>
          <w:tcPr>
            <w:tcW w:w="4340" w:type="dxa"/>
            <w:vAlign w:val="bottom"/>
          </w:tcPr>
          <w:p>
            <w:pPr>
              <w:ind w:left="180"/>
              <w:spacing w:after="0"/>
              <w:rPr>
                <w:sz w:val="20"/>
                <w:szCs w:val="20"/>
                <w:color w:val="auto"/>
              </w:rPr>
            </w:pPr>
            <w:r>
              <w:rPr>
                <w:rFonts w:ascii="Arial" w:cs="Arial" w:eastAsia="Arial" w:hAnsi="Arial"/>
                <w:sz w:val="18"/>
                <w:szCs w:val="18"/>
                <w:color w:val="auto"/>
              </w:rPr>
              <w:t>Total Debt</w:t>
            </w:r>
          </w:p>
        </w:tc>
        <w:tc>
          <w:tcPr>
            <w:tcW w:w="20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(21.6)</w:t>
            </w:r>
          </w:p>
        </w:tc>
      </w:tr>
      <w:tr>
        <w:trPr>
          <w:trHeight w:val="210"/>
        </w:trPr>
        <w:tc>
          <w:tcPr>
            <w:tcW w:w="4340" w:type="dxa"/>
            <w:vAlign w:val="bottom"/>
          </w:tcPr>
          <w:p>
            <w:pPr>
              <w:ind w:left="180"/>
              <w:spacing w:after="0"/>
              <w:rPr>
                <w:sz w:val="20"/>
                <w:szCs w:val="20"/>
                <w:color w:val="auto"/>
              </w:rPr>
            </w:pPr>
            <w:r>
              <w:rPr>
                <w:rFonts w:ascii="Arial" w:cs="Arial" w:eastAsia="Arial" w:hAnsi="Arial"/>
                <w:sz w:val="18"/>
                <w:szCs w:val="18"/>
                <w:color w:val="auto"/>
              </w:rPr>
              <w:t>Total Long-term Debt</w:t>
            </w:r>
          </w:p>
        </w:tc>
        <w:tc>
          <w:tcPr>
            <w:tcW w:w="20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459.3</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Debt is described in Note 7 to the Consolidated Financial Statements included in Item 8 of the Company’s Annual Report filed on Form 10-K for the year ended December 31, 2014.</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Borrowings under the revolving credit facility are classified as long-term debt in the Condensed Consolidated Balance Sheet, as</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payments under the revolving credit facility are not required until maturity. As of September 30, 2015, the Company had $271.5 million of availability under the revolving credit facility. The interest rate on borrowings under the revolving credit facility approximated 1.25 percent during the three months ended September 30, 2015.</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2015 Note Purchase Agreement: </w:t>
      </w:r>
      <w:r>
        <w:rPr>
          <w:rFonts w:ascii="Arial" w:cs="Arial" w:eastAsia="Arial" w:hAnsi="Arial"/>
          <w:sz w:val="18"/>
          <w:szCs w:val="18"/>
          <w:color w:val="auto"/>
        </w:rPr>
        <w:t>On July 30, 2015, the Company entered into a private placement note purchase agreement for the issuance of $75.0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of 30-year senior unsecured notes (the “Notes”). The Notes were funded on October 1, 2015, have a weighted average life of approximately 13 years, and will bear interest at a rate of 3.92 percent, payable semi-annually. The proceeds of the Notes were used to pay down Matson’s revolving credit facility. The Notes will begin to amortize in 2017, with annual principal payments of approximately $1.8 million through 2019. During the years 2020 to 2026, the annual principal payments will range between approximately $1.3 million and $8.0 million. Starting in 2027, and in each year thereafter, the annual principal payments will be approximately $1.5 million.</w:t>
      </w:r>
    </w:p>
    <w:p>
      <w:pPr>
        <w:spacing w:after="0" w:line="189"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sponsors qualified defined-benefit pension and post-retirement plans (collectively, the “Plans”). The following table provides the components of net periodic benefit cost (benefit) for the Plans for the nine months ended September 30, 2015 and 2014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6"/>
              </w:rPr>
              <w:t>Pension Benefits</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7"/>
          </w:tcPr>
          <w:p>
            <w:pPr>
              <w:ind w:left="440"/>
              <w:spacing w:after="0"/>
              <w:rPr>
                <w:sz w:val="20"/>
                <w:szCs w:val="20"/>
                <w:color w:val="auto"/>
              </w:rPr>
            </w:pPr>
            <w:r>
              <w:rPr>
                <w:rFonts w:ascii="Arial" w:cs="Arial" w:eastAsia="Arial" w:hAnsi="Arial"/>
                <w:sz w:val="14"/>
                <w:szCs w:val="14"/>
                <w:b w:val="1"/>
                <w:bCs w:val="1"/>
                <w:color w:val="auto"/>
              </w:rPr>
              <w:t>Post-retirement Benefits</w:t>
            </w:r>
          </w:p>
        </w:tc>
      </w:tr>
      <w:tr>
        <w:trPr>
          <w:trHeight w:val="171"/>
        </w:trPr>
        <w:tc>
          <w:tcPr>
            <w:tcW w:w="2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4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w w:val="98"/>
              </w:rPr>
              <w:t>Expected return on plan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Amortization of net gain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r>
      <w:tr>
        <w:trPr>
          <w:trHeight w:val="202"/>
        </w:trPr>
        <w:tc>
          <w:tcPr>
            <w:tcW w:w="2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prior service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4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460" w:type="dxa"/>
            <w:vAlign w:val="bottom"/>
          </w:tcPr>
          <w:p>
            <w:pPr>
              <w:spacing w:after="0"/>
              <w:rPr>
                <w:sz w:val="20"/>
                <w:szCs w:val="20"/>
                <w:color w:val="auto"/>
              </w:rPr>
            </w:pPr>
            <w:r>
              <w:rPr>
                <w:rFonts w:ascii="Arial" w:cs="Arial" w:eastAsia="Arial" w:hAnsi="Arial"/>
                <w:sz w:val="18"/>
                <w:szCs w:val="18"/>
                <w:color w:val="auto"/>
              </w:rPr>
              <w:t>Net periodic cost (benefit)</w:t>
            </w: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During the nine months ended September 30, 2015, the Company contributed $4.7 million to its defined benefit pension plans, out of total expected contributions of $6.2 million for 2015.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the three months ended September 30, 2015, the Company granted approximately 3,300 in total of time-based and performance-based shares to certain of its employees at a weighted-average grant date fair value of $37.78.</w:t>
      </w:r>
    </w:p>
    <w:p>
      <w:pPr>
        <w:spacing w:after="0" w:line="1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Total stock-based compensation cost recognized in the Condensed Consolidated Statements of Income and Comprehensive Income as a component of selling, general and administrative expenses was $2.0 million and $1.9 million for the three months ended September 30, 2015 and 2014, respectively, and $9.6 million and $5.6 million for the nine months ended September 30, 2015 and 2014, respectively. Total unrecognized compensation cost related to unvested share-based compensation arrangements was $11.1 million at September 30, 2015, and is expected to be recognized over a weighted-average period of 1.83 years. Total unrecognized compensation cost may be adjusted for any unearned performance shares or forfeited shares.</w:t>
      </w:r>
    </w:p>
    <w:p>
      <w:pPr>
        <w:spacing w:after="0" w:line="154" w:lineRule="exact"/>
        <w:rPr>
          <w:sz w:val="20"/>
          <w:szCs w:val="20"/>
          <w:color w:val="auto"/>
        </w:rPr>
      </w:pPr>
    </w:p>
    <w:p>
      <w:pPr>
        <w:ind w:left="720" w:hanging="712"/>
        <w:spacing w:after="0"/>
        <w:tabs>
          <w:tab w:leader="none" w:pos="7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PER-SHARE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number of shares used to compute basic and diluted earnings per-share for the three and nine months ended September 30, 2015 and 2014, is as follows (in millions, except per-share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2"/>
              </w:rPr>
              <w:t>Three Months Ended September 30, 2015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2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2"/>
              </w:rPr>
              <w:t>Nine Months Ended September 30, 2015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Weighted</w:t>
            </w: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21"/>
              <w:spacing w:after="0" w:line="119" w:lineRule="exact"/>
              <w:rPr>
                <w:sz w:val="20"/>
                <w:szCs w:val="20"/>
                <w:color w:val="auto"/>
              </w:rPr>
            </w:pPr>
            <w:r>
              <w:rPr>
                <w:rFonts w:ascii="Arial" w:cs="Arial" w:eastAsia="Arial" w:hAnsi="Arial"/>
                <w:sz w:val="13"/>
                <w:szCs w:val="13"/>
                <w:b w:val="1"/>
                <w:bCs w:val="1"/>
                <w:color w:val="auto"/>
                <w:w w:val="95"/>
              </w:rPr>
              <w:t>Per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Weighted</w:t>
            </w: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01"/>
              <w:spacing w:after="0" w:line="119" w:lineRule="exact"/>
              <w:rPr>
                <w:sz w:val="20"/>
                <w:szCs w:val="20"/>
                <w:color w:val="auto"/>
              </w:rPr>
            </w:pPr>
            <w:r>
              <w:rPr>
                <w:rFonts w:ascii="Arial" w:cs="Arial" w:eastAsia="Arial" w:hAnsi="Arial"/>
                <w:sz w:val="13"/>
                <w:szCs w:val="13"/>
                <w:b w:val="1"/>
                <w:bCs w:val="1"/>
                <w:color w:val="auto"/>
              </w:rPr>
              <w:t>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7"/>
              </w:rPr>
              <w:t>Net</w:t>
            </w: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Net</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Share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71"/>
        </w:trPr>
        <w:tc>
          <w:tcPr>
            <w:tcW w:w="31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Income</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Income</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0.95</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87" w:orient="portrait"/>
          <w:cols w:equalWidth="0" w:num="1">
            <w:col w:w="11420"/>
          </w:cols>
          <w:pgMar w:left="240" w:top="140" w:right="239" w:bottom="0" w:gutter="0" w:footer="0" w:header="0"/>
        </w:sectPr>
      </w:pPr>
    </w:p>
    <w:p>
      <w:pPr>
        <w:ind w:left="4020"/>
        <w:spacing w:after="0"/>
        <w:tabs>
          <w:tab w:leader="none" w:pos="8140" w:val="left"/>
        </w:tabs>
        <w:rPr>
          <w:sz w:val="20"/>
          <w:szCs w:val="20"/>
          <w:color w:val="auto"/>
        </w:rPr>
      </w:pPr>
      <w:r>
        <w:rPr>
          <w:rFonts w:ascii="Arial" w:cs="Arial" w:eastAsia="Arial" w:hAnsi="Arial"/>
          <w:sz w:val="14"/>
          <w:szCs w:val="14"/>
          <w:b w:val="1"/>
          <w:bCs w:val="1"/>
          <w:color w:val="auto"/>
        </w:rPr>
        <w:t>Three Months Ended September 30, 2014</w:t>
      </w:r>
      <w:r>
        <w:rPr>
          <w:sz w:val="20"/>
          <w:szCs w:val="20"/>
          <w:color w:val="auto"/>
        </w:rPr>
        <w:tab/>
      </w:r>
      <w:r>
        <w:rPr>
          <w:rFonts w:ascii="Arial" w:cs="Arial" w:eastAsia="Arial" w:hAnsi="Arial"/>
          <w:sz w:val="12"/>
          <w:szCs w:val="12"/>
          <w:b w:val="1"/>
          <w:bCs w:val="1"/>
          <w:color w:val="auto"/>
        </w:rPr>
        <w:t>Nine Months Ended September 30, 2014</w:t>
      </w:r>
    </w:p>
    <w:p>
      <w:pPr>
        <w:spacing w:after="0" w:line="20" w:lineRule="exact"/>
        <w:rPr>
          <w:sz w:val="20"/>
          <w:szCs w:val="20"/>
          <w:color w:val="auto"/>
        </w:rPr>
      </w:pPr>
    </w:p>
    <w:p>
      <w:pPr>
        <w:sectPr>
          <w:pgSz w:w="11900" w:h="16887" w:orient="portrait"/>
          <w:cols w:equalWidth="0" w:num="1">
            <w:col w:w="11420"/>
          </w:cols>
          <w:pgMar w:left="240" w:top="140" w:right="239" w:bottom="0" w:gutter="0" w:footer="0" w:header="0"/>
          <w:type w:val="continuous"/>
        </w:sectPr>
      </w:pPr>
    </w:p>
    <w:bookmarkStart w:id="7" w:name="page8"/>
    <w:bookmarkEnd w:id="7"/>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Per</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7"/>
              </w:rPr>
              <w:t>Net</w:t>
            </w: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Net</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Share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71"/>
        </w:trPr>
        <w:tc>
          <w:tcPr>
            <w:tcW w:w="31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Income</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Income</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Basic earnings per-share is determined by dividing net income by the weighted-average common shares outstanding during the period. The calculation of diluted earnings per-share includes the dilutive effect of unexercised non-qualified stock options and non-vested restricted stock units.</w:t>
      </w:r>
    </w:p>
    <w:p>
      <w:pPr>
        <w:spacing w:after="0" w:line="14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computation of weighted average dilutive shares outstanding excludes certain non-qualified stock options to purchase shares of common stock where the options’ exercise prices were greater than the average market price of the Company’s common stock for the periods presented and, therefore, the effect would be anti-dilutive.</w:t>
      </w:r>
    </w:p>
    <w:p>
      <w:pPr>
        <w:spacing w:after="0" w:line="177"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uses Level 1 inputs for the fair values of its cash equivalents and variable rate debt, and Level 2 inputs for its accounts receivable and fixed rate debt. The fair values of cash and cash equivalents, accounts receivable and variable rate debt approximate their carrying values due to the nature of the instruments. The fair value of the Company’s fixed rate debt is calculated based upon interest rates available for debt with terms and maturities similar to the Company’s existing debt arrangements.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 and fair value of the Company’s financial instruments as of September 30, 2015 and December 31, 2014 are as follows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177"/>
              <w:spacing w:after="0"/>
              <w:rPr>
                <w:sz w:val="20"/>
                <w:szCs w:val="20"/>
                <w:color w:val="auto"/>
              </w:rPr>
            </w:pPr>
            <w:r>
              <w:rPr>
                <w:rFonts w:ascii="Arial" w:cs="Arial" w:eastAsia="Arial" w:hAnsi="Arial"/>
                <w:sz w:val="14"/>
                <w:szCs w:val="14"/>
                <w:b w:val="1"/>
                <w:bCs w:val="1"/>
                <w:color w:val="auto"/>
                <w:w w:val="91"/>
              </w:rPr>
              <w:t>Quoted Prices in</w:t>
            </w:r>
          </w:p>
        </w:tc>
        <w:tc>
          <w:tcPr>
            <w:tcW w:w="320" w:type="dxa"/>
            <w:vAlign w:val="bottom"/>
          </w:tcPr>
          <w:p>
            <w:pPr>
              <w:spacing w:after="0"/>
              <w:rPr>
                <w:sz w:val="14"/>
                <w:szCs w:val="14"/>
                <w:color w:val="auto"/>
              </w:rPr>
            </w:pPr>
          </w:p>
        </w:tc>
        <w:tc>
          <w:tcPr>
            <w:tcW w:w="1320" w:type="dxa"/>
            <w:vAlign w:val="bottom"/>
          </w:tcPr>
          <w:p>
            <w:pPr>
              <w:jc w:val="center"/>
              <w:ind w:right="175"/>
              <w:spacing w:after="0"/>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4"/>
                <w:szCs w:val="14"/>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5"/>
              </w:rPr>
              <w:t>Carrying Value at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320" w:type="dxa"/>
            <w:vAlign w:val="bottom"/>
          </w:tcPr>
          <w:p>
            <w:pPr>
              <w:spacing w:after="0"/>
              <w:rPr>
                <w:sz w:val="12"/>
                <w:szCs w:val="12"/>
                <w:color w:val="auto"/>
              </w:rPr>
            </w:pPr>
          </w:p>
        </w:tc>
        <w:tc>
          <w:tcPr>
            <w:tcW w:w="1320" w:type="dxa"/>
            <w:vAlign w:val="bottom"/>
          </w:tcPr>
          <w:p>
            <w:pPr>
              <w:jc w:val="right"/>
              <w:ind w:right="335"/>
              <w:spacing w:after="0" w:line="149" w:lineRule="exact"/>
              <w:rPr>
                <w:sz w:val="20"/>
                <w:szCs w:val="20"/>
                <w:color w:val="auto"/>
              </w:rPr>
            </w:pPr>
            <w:r>
              <w:rPr>
                <w:rFonts w:ascii="Arial" w:cs="Arial" w:eastAsia="Arial" w:hAnsi="Arial"/>
                <w:sz w:val="14"/>
                <w:szCs w:val="14"/>
                <w:b w:val="1"/>
                <w:bCs w:val="1"/>
                <w:color w:val="auto"/>
              </w:rPr>
              <w:t>Observable</w:t>
            </w:r>
          </w:p>
        </w:tc>
        <w:tc>
          <w:tcPr>
            <w:tcW w:w="300" w:type="dxa"/>
            <w:vAlign w:val="bottom"/>
          </w:tcPr>
          <w:p>
            <w:pPr>
              <w:spacing w:after="0"/>
              <w:rPr>
                <w:sz w:val="12"/>
                <w:szCs w:val="12"/>
                <w:color w:val="auto"/>
              </w:rPr>
            </w:pPr>
          </w:p>
        </w:tc>
        <w:tc>
          <w:tcPr>
            <w:tcW w:w="13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(Level 1)</w:t>
            </w:r>
          </w:p>
        </w:tc>
        <w:tc>
          <w:tcPr>
            <w:tcW w:w="320" w:type="dxa"/>
            <w:vAlign w:val="bottom"/>
          </w:tcPr>
          <w:p>
            <w:pPr>
              <w:spacing w:after="0"/>
              <w:rPr>
                <w:sz w:val="14"/>
                <w:szCs w:val="14"/>
                <w:color w:val="auto"/>
              </w:rPr>
            </w:pPr>
          </w:p>
        </w:tc>
        <w:tc>
          <w:tcPr>
            <w:tcW w:w="1320" w:type="dxa"/>
            <w:vAlign w:val="bottom"/>
          </w:tcPr>
          <w:p>
            <w:pPr>
              <w:jc w:val="right"/>
              <w:ind w:right="215"/>
              <w:spacing w:after="0"/>
              <w:rPr>
                <w:sz w:val="20"/>
                <w:szCs w:val="20"/>
                <w:color w:val="auto"/>
              </w:rPr>
            </w:pPr>
            <w:r>
              <w:rPr>
                <w:rFonts w:ascii="Arial" w:cs="Arial" w:eastAsia="Arial" w:hAnsi="Arial"/>
                <w:sz w:val="14"/>
                <w:szCs w:val="14"/>
                <w:b w:val="1"/>
                <w:bCs w:val="1"/>
                <w:color w:val="auto"/>
                <w:w w:val="97"/>
              </w:rPr>
              <w:t>Inputs (Level 2)</w:t>
            </w:r>
          </w:p>
        </w:tc>
        <w:tc>
          <w:tcPr>
            <w:tcW w:w="300" w:type="dxa"/>
            <w:vAlign w:val="bottom"/>
          </w:tcPr>
          <w:p>
            <w:pPr>
              <w:spacing w:after="0"/>
              <w:rPr>
                <w:sz w:val="14"/>
                <w:szCs w:val="1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Inputs (Level 3)</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3"/>
          </w:tcPr>
          <w:p>
            <w:pPr>
              <w:jc w:val="center"/>
              <w:ind w:right="360"/>
              <w:spacing w:after="0" w:line="142" w:lineRule="exact"/>
              <w:rPr>
                <w:sz w:val="20"/>
                <w:szCs w:val="20"/>
                <w:color w:val="auto"/>
              </w:rPr>
            </w:pPr>
            <w:r>
              <w:rPr>
                <w:rFonts w:ascii="Arial" w:cs="Arial" w:eastAsia="Arial" w:hAnsi="Arial"/>
                <w:sz w:val="14"/>
                <w:szCs w:val="14"/>
                <w:b w:val="1"/>
                <w:bCs w:val="1"/>
                <w:color w:val="auto"/>
                <w:w w:val="91"/>
              </w:rPr>
              <w:t>September 30, 2015</w:t>
            </w: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500" w:type="dxa"/>
            <w:vAlign w:val="bottom"/>
            <w:tcBorders>
              <w:top w:val="single" w:sz="8" w:color="auto"/>
            </w:tcBorders>
            <w:gridSpan w:val="6"/>
          </w:tcPr>
          <w:p>
            <w:pPr>
              <w:jc w:val="center"/>
              <w:ind w:right="140"/>
              <w:spacing w:after="0" w:line="142" w:lineRule="exact"/>
              <w:rPr>
                <w:sz w:val="20"/>
                <w:szCs w:val="20"/>
                <w:color w:val="auto"/>
              </w:rPr>
            </w:pPr>
            <w:r>
              <w:rPr>
                <w:rFonts w:ascii="Arial" w:cs="Arial" w:eastAsia="Arial" w:hAnsi="Arial"/>
                <w:sz w:val="14"/>
                <w:szCs w:val="14"/>
                <w:b w:val="1"/>
                <w:bCs w:val="1"/>
                <w:color w:val="auto"/>
                <w:w w:val="92"/>
              </w:rPr>
              <w:t>Fair Value Measurements at September 30,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25.5</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gridSpan w:val="2"/>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3"/>
          </w:tcPr>
          <w:p>
            <w:pPr>
              <w:jc w:val="right"/>
              <w:ind w:right="260"/>
              <w:spacing w:after="0"/>
              <w:rPr>
                <w:sz w:val="20"/>
                <w:szCs w:val="20"/>
                <w:color w:val="auto"/>
              </w:rPr>
            </w:pPr>
            <w:r>
              <w:rPr>
                <w:rFonts w:ascii="Arial" w:cs="Arial" w:eastAsia="Arial" w:hAnsi="Arial"/>
                <w:sz w:val="18"/>
                <w:szCs w:val="18"/>
                <w:color w:val="auto"/>
              </w:rPr>
              <w:t>239.5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239.5</w:t>
            </w:r>
          </w:p>
        </w:tc>
        <w:tc>
          <w:tcPr>
            <w:tcW w:w="300" w:type="dxa"/>
            <w:vAlign w:val="bottom"/>
          </w:tcPr>
          <w:p>
            <w:pPr>
              <w:spacing w:after="0"/>
              <w:rPr>
                <w:sz w:val="18"/>
                <w:szCs w:val="18"/>
                <w:color w:val="auto"/>
              </w:rPr>
            </w:pPr>
          </w:p>
        </w:tc>
        <w:tc>
          <w:tcPr>
            <w:tcW w:w="1300" w:type="dxa"/>
            <w:vAlign w:val="bottom"/>
            <w:gridSpan w:val="3"/>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Variable rate debt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118.0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118.0</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Fixed rate debt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3"/>
          </w:tcPr>
          <w:p>
            <w:pPr>
              <w:jc w:val="right"/>
              <w:ind w:right="260"/>
              <w:spacing w:after="0"/>
              <w:rPr>
                <w:sz w:val="20"/>
                <w:szCs w:val="20"/>
                <w:color w:val="auto"/>
              </w:rPr>
            </w:pPr>
            <w:r>
              <w:rPr>
                <w:rFonts w:ascii="Arial" w:cs="Arial" w:eastAsia="Arial" w:hAnsi="Arial"/>
                <w:sz w:val="18"/>
                <w:szCs w:val="18"/>
                <w:color w:val="auto"/>
              </w:rPr>
              <w:t>363.5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379.7</w:t>
            </w:r>
          </w:p>
        </w:tc>
        <w:tc>
          <w:tcPr>
            <w:tcW w:w="300" w:type="dxa"/>
            <w:vAlign w:val="bottom"/>
          </w:tcPr>
          <w:p>
            <w:pPr>
              <w:spacing w:after="0"/>
              <w:rPr>
                <w:sz w:val="20"/>
                <w:szCs w:val="20"/>
                <w:color w:val="auto"/>
              </w:rPr>
            </w:pPr>
          </w:p>
        </w:tc>
        <w:tc>
          <w:tcPr>
            <w:tcW w:w="1300" w:type="dxa"/>
            <w:vAlign w:val="bottom"/>
            <w:gridSpan w:val="3"/>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8"/>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3"/>
          </w:tcPr>
          <w:p>
            <w:pPr>
              <w:ind w:left="40"/>
              <w:spacing w:after="0"/>
              <w:rPr>
                <w:sz w:val="20"/>
                <w:szCs w:val="20"/>
                <w:color w:val="auto"/>
              </w:rPr>
            </w:pPr>
            <w:r>
              <w:rPr>
                <w:rFonts w:ascii="Arial" w:cs="Arial" w:eastAsia="Arial" w:hAnsi="Arial"/>
                <w:sz w:val="14"/>
                <w:szCs w:val="14"/>
                <w:b w:val="1"/>
                <w:bCs w:val="1"/>
                <w:color w:val="auto"/>
              </w:rPr>
              <w:t>Carrying Value at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0" w:type="dxa"/>
            <w:vAlign w:val="bottom"/>
            <w:gridSpan w:val="7"/>
            <w:vMerge w:val="restart"/>
          </w:tcPr>
          <w:p>
            <w:pPr>
              <w:jc w:val="center"/>
              <w:ind w:right="280"/>
              <w:spacing w:after="0"/>
              <w:rPr>
                <w:sz w:val="20"/>
                <w:szCs w:val="20"/>
                <w:color w:val="auto"/>
              </w:rPr>
            </w:pPr>
            <w:r>
              <w:rPr>
                <w:rFonts w:ascii="Arial" w:cs="Arial" w:eastAsia="Arial" w:hAnsi="Arial"/>
                <w:sz w:val="14"/>
                <w:szCs w:val="14"/>
                <w:b w:val="1"/>
                <w:bCs w:val="1"/>
                <w:color w:val="auto"/>
                <w:w w:val="92"/>
              </w:rPr>
              <w:t>Fair Value Measurements at December 31, 2014</w:t>
            </w: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84"/>
              </w:rPr>
              <w:t>293.4</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293.4</w:t>
            </w:r>
          </w:p>
        </w:tc>
        <w:tc>
          <w:tcPr>
            <w:tcW w:w="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1040"/>
              <w:spacing w:after="0"/>
              <w:rPr>
                <w:sz w:val="20"/>
                <w:szCs w:val="20"/>
                <w:color w:val="auto"/>
              </w:rPr>
            </w:pPr>
            <w:r>
              <w:rPr>
                <w:rFonts w:ascii="Arial" w:cs="Arial" w:eastAsia="Arial" w:hAnsi="Arial"/>
                <w:sz w:val="18"/>
                <w:szCs w:val="18"/>
                <w:color w:val="auto"/>
                <w:w w:val="88"/>
              </w:rPr>
              <w:t>197.6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197.6</w:t>
            </w:r>
          </w:p>
        </w:tc>
        <w:tc>
          <w:tcPr>
            <w:tcW w:w="300" w:type="dxa"/>
            <w:vAlign w:val="bottom"/>
          </w:tcPr>
          <w:p>
            <w:pPr>
              <w:spacing w:after="0"/>
              <w:rPr>
                <w:sz w:val="18"/>
                <w:szCs w:val="18"/>
                <w:color w:val="auto"/>
              </w:rPr>
            </w:pPr>
          </w:p>
        </w:tc>
        <w:tc>
          <w:tcPr>
            <w:tcW w:w="1300" w:type="dxa"/>
            <w:vAlign w:val="bottom"/>
            <w:gridSpan w:val="3"/>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88"/>
              </w:rPr>
              <w:t>373.6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395.7</w:t>
            </w:r>
          </w:p>
        </w:tc>
        <w:tc>
          <w:tcPr>
            <w:tcW w:w="3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Company consists of two segments, ocean transportation and logistics, which are further described in Note 1. Reportable segments are measured based on operating income, exclusive of interest expense and income taxes. In arrangements where the customer purchases ocean transportation and logistics services, the revenues are allocated to each reportable segment based upon the contractual amounts for each type of service.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Segment results for the three and nine months ended September 30, 2015 and 2014 were as follows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1"/>
        </w:trPr>
        <w:tc>
          <w:tcPr>
            <w:tcW w:w="34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65"/>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42"/>
        </w:trPr>
        <w:tc>
          <w:tcPr>
            <w:tcW w:w="34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3"/>
              </w:rPr>
              <w:t>2014</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12"/>
                <w:szCs w:val="12"/>
                <w:color w:val="auto"/>
              </w:rPr>
            </w:pPr>
          </w:p>
        </w:tc>
        <w:tc>
          <w:tcPr>
            <w:tcW w:w="1640" w:type="dxa"/>
            <w:vAlign w:val="bottom"/>
          </w:tcPr>
          <w:p>
            <w:pPr>
              <w:spacing w:after="0"/>
              <w:rPr>
                <w:sz w:val="12"/>
                <w:szCs w:val="12"/>
                <w:color w:val="auto"/>
              </w:rPr>
            </w:pPr>
          </w:p>
        </w:tc>
      </w:tr>
      <w:tr>
        <w:trPr>
          <w:trHeight w:val="196"/>
        </w:trPr>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tcPr>
          <w:p>
            <w:pPr>
              <w:spacing w:after="0"/>
              <w:rPr>
                <w:sz w:val="17"/>
                <w:szCs w:val="17"/>
                <w:color w:val="auto"/>
              </w:rPr>
            </w:pPr>
          </w:p>
        </w:tc>
      </w:tr>
      <w:tr>
        <w:trPr>
          <w:trHeight w:val="216"/>
        </w:trPr>
        <w:tc>
          <w:tcPr>
            <w:tcW w:w="3440" w:type="dxa"/>
            <w:vAlign w:val="bottom"/>
          </w:tcPr>
          <w:p>
            <w:pPr>
              <w:ind w:left="360"/>
              <w:spacing w:after="0"/>
              <w:rPr>
                <w:sz w:val="20"/>
                <w:szCs w:val="20"/>
                <w:color w:val="auto"/>
              </w:rPr>
            </w:pPr>
            <w:r>
              <w:rPr>
                <w:rFonts w:ascii="Arial" w:cs="Arial" w:eastAsia="Arial" w:hAnsi="Arial"/>
                <w:sz w:val="18"/>
                <w:szCs w:val="18"/>
                <w:color w:val="auto"/>
              </w:rPr>
              <w:t>Ocean Transportation</w:t>
            </w:r>
          </w:p>
        </w:tc>
        <w:tc>
          <w:tcPr>
            <w:tcW w:w="820" w:type="dxa"/>
            <w:vAlign w:val="bottom"/>
          </w:tcPr>
          <w:p>
            <w:pPr>
              <w:jc w:val="right"/>
              <w:ind w:right="666"/>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444.8</w:t>
            </w: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329.5</w:t>
            </w:r>
          </w:p>
        </w:tc>
        <w:tc>
          <w:tcPr>
            <w:tcW w:w="280" w:type="dxa"/>
            <w:vAlign w:val="bottom"/>
          </w:tcPr>
          <w:p>
            <w:pPr>
              <w:spacing w:after="0"/>
              <w:rPr>
                <w:sz w:val="18"/>
                <w:szCs w:val="18"/>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1,097.0</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945.2</w:t>
            </w:r>
          </w:p>
        </w:tc>
        <w:tc>
          <w:tcPr>
            <w:tcW w:w="1640" w:type="dxa"/>
            <w:vAlign w:val="bottom"/>
          </w:tcPr>
          <w:p>
            <w:pPr>
              <w:spacing w:after="0"/>
              <w:rPr>
                <w:sz w:val="18"/>
                <w:szCs w:val="18"/>
                <w:color w:val="auto"/>
              </w:rPr>
            </w:pPr>
          </w:p>
        </w:tc>
      </w:tr>
      <w:tr>
        <w:trPr>
          <w:trHeight w:val="216"/>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Logistics</w:t>
            </w:r>
          </w:p>
        </w:tc>
        <w:tc>
          <w:tcPr>
            <w:tcW w:w="8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99.5</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112.3</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325.5</w:t>
            </w:r>
          </w:p>
        </w:tc>
        <w:tc>
          <w:tcPr>
            <w:tcW w:w="1640" w:type="dxa"/>
            <w:vAlign w:val="bottom"/>
          </w:tcPr>
          <w:p>
            <w:pPr>
              <w:spacing w:after="0"/>
              <w:rPr>
                <w:sz w:val="18"/>
                <w:szCs w:val="18"/>
                <w:color w:val="auto"/>
              </w:rPr>
            </w:pPr>
          </w:p>
        </w:tc>
      </w:tr>
      <w:tr>
        <w:trPr>
          <w:trHeight w:val="250"/>
        </w:trPr>
        <w:tc>
          <w:tcPr>
            <w:tcW w:w="34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Revenue</w:t>
            </w:r>
          </w:p>
        </w:tc>
        <w:tc>
          <w:tcPr>
            <w:tcW w:w="820" w:type="dxa"/>
            <w:vAlign w:val="bottom"/>
            <w:tcBorders>
              <w:top w:val="single" w:sz="8" w:color="auto"/>
              <w:bottom w:val="single" w:sz="8" w:color="auto"/>
            </w:tcBorders>
          </w:tcPr>
          <w:p>
            <w:pPr>
              <w:jc w:val="right"/>
              <w:ind w:right="66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544.3</w:t>
            </w:r>
          </w:p>
        </w:tc>
        <w:tc>
          <w:tcPr>
            <w:tcW w:w="28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441.8</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1,390.1</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1,270.7</w:t>
            </w:r>
          </w:p>
        </w:tc>
        <w:tc>
          <w:tcPr>
            <w:tcW w:w="120" w:type="dxa"/>
            <w:vAlign w:val="bottom"/>
            <w:tcBorders>
              <w:bottom w:val="single" w:sz="8" w:color="CCEEFF"/>
            </w:tcBorders>
          </w:tcPr>
          <w:p>
            <w:pPr>
              <w:spacing w:after="0"/>
              <w:rPr>
                <w:sz w:val="21"/>
                <w:szCs w:val="21"/>
                <w:color w:val="auto"/>
              </w:rPr>
            </w:pPr>
          </w:p>
        </w:tc>
        <w:tc>
          <w:tcPr>
            <w:tcW w:w="1640" w:type="dxa"/>
            <w:vAlign w:val="bottom"/>
          </w:tcPr>
          <w:p>
            <w:pPr>
              <w:spacing w:after="0"/>
              <w:rPr>
                <w:sz w:val="21"/>
                <w:szCs w:val="21"/>
                <w:color w:val="auto"/>
              </w:rPr>
            </w:pPr>
          </w:p>
        </w:tc>
      </w:tr>
      <w:tr>
        <w:trPr>
          <w:trHeight w:val="170"/>
        </w:trPr>
        <w:tc>
          <w:tcPr>
            <w:tcW w:w="34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Income:</w:t>
            </w: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40" w:type="dxa"/>
            <w:vAlign w:val="bottom"/>
          </w:tcPr>
          <w:p>
            <w:pPr>
              <w:spacing w:after="0"/>
              <w:rPr>
                <w:sz w:val="14"/>
                <w:szCs w:val="14"/>
                <w:color w:val="auto"/>
              </w:rPr>
            </w:pPr>
          </w:p>
        </w:tc>
      </w:tr>
      <w:tr>
        <w:trPr>
          <w:trHeight w:val="216"/>
        </w:trPr>
        <w:tc>
          <w:tcPr>
            <w:tcW w:w="3440" w:type="dxa"/>
            <w:vAlign w:val="bottom"/>
          </w:tcPr>
          <w:p>
            <w:pPr>
              <w:ind w:left="360"/>
              <w:spacing w:after="0"/>
              <w:rPr>
                <w:sz w:val="20"/>
                <w:szCs w:val="20"/>
                <w:color w:val="auto"/>
              </w:rPr>
            </w:pPr>
            <w:r>
              <w:rPr>
                <w:rFonts w:ascii="Arial" w:cs="Arial" w:eastAsia="Arial" w:hAnsi="Arial"/>
                <w:sz w:val="18"/>
                <w:szCs w:val="18"/>
                <w:color w:val="auto"/>
              </w:rPr>
              <w:t>Ocean Transportation</w:t>
            </w:r>
          </w:p>
        </w:tc>
        <w:tc>
          <w:tcPr>
            <w:tcW w:w="820" w:type="dxa"/>
            <w:vAlign w:val="bottom"/>
          </w:tcPr>
          <w:p>
            <w:pPr>
              <w:jc w:val="right"/>
              <w:ind w:right="666"/>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68.9</w:t>
            </w: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42.6</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144.2</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84.8</w:t>
            </w:r>
          </w:p>
        </w:tc>
        <w:tc>
          <w:tcPr>
            <w:tcW w:w="1640" w:type="dxa"/>
            <w:vAlign w:val="bottom"/>
          </w:tcPr>
          <w:p>
            <w:pPr>
              <w:spacing w:after="0"/>
              <w:rPr>
                <w:sz w:val="18"/>
                <w:szCs w:val="18"/>
                <w:color w:val="auto"/>
              </w:rPr>
            </w:pPr>
          </w:p>
        </w:tc>
      </w:tr>
      <w:tr>
        <w:trPr>
          <w:trHeight w:val="216"/>
        </w:trPr>
        <w:tc>
          <w:tcPr>
            <w:tcW w:w="3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Logistics</w:t>
            </w:r>
          </w:p>
        </w:tc>
        <w:tc>
          <w:tcPr>
            <w:tcW w:w="8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1640" w:type="dxa"/>
            <w:vAlign w:val="bottom"/>
          </w:tcPr>
          <w:p>
            <w:pPr>
              <w:spacing w:after="0"/>
              <w:rPr>
                <w:sz w:val="18"/>
                <w:szCs w:val="18"/>
                <w:color w:val="auto"/>
              </w:rPr>
            </w:pPr>
          </w:p>
        </w:tc>
      </w:tr>
      <w:tr>
        <w:trPr>
          <w:trHeight w:val="210"/>
        </w:trPr>
        <w:tc>
          <w:tcPr>
            <w:tcW w:w="3440" w:type="dxa"/>
            <w:vAlign w:val="bottom"/>
          </w:tcPr>
          <w:p>
            <w:pPr>
              <w:ind w:left="540"/>
              <w:spacing w:after="0"/>
              <w:rPr>
                <w:sz w:val="20"/>
                <w:szCs w:val="20"/>
                <w:color w:val="auto"/>
              </w:rPr>
            </w:pPr>
            <w:r>
              <w:rPr>
                <w:rFonts w:ascii="Arial" w:cs="Arial" w:eastAsia="Arial" w:hAnsi="Arial"/>
                <w:sz w:val="18"/>
                <w:szCs w:val="18"/>
                <w:color w:val="auto"/>
              </w:rPr>
              <w:t>Total Operating Income</w:t>
            </w:r>
          </w:p>
        </w:tc>
        <w:tc>
          <w:tcPr>
            <w:tcW w:w="8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2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3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8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1640" w:type="dxa"/>
            <w:vAlign w:val="bottom"/>
          </w:tcPr>
          <w:p>
            <w:pPr>
              <w:spacing w:after="0"/>
              <w:rPr>
                <w:sz w:val="18"/>
                <w:szCs w:val="18"/>
                <w:color w:val="auto"/>
              </w:rPr>
            </w:pPr>
          </w:p>
        </w:tc>
      </w:tr>
      <w:tr>
        <w:trPr>
          <w:trHeight w:val="210"/>
        </w:trPr>
        <w:tc>
          <w:tcPr>
            <w:tcW w:w="344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8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2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w:t>
            </w:r>
          </w:p>
        </w:tc>
        <w:tc>
          <w:tcPr>
            <w:tcW w:w="1640" w:type="dxa"/>
            <w:vAlign w:val="bottom"/>
          </w:tcPr>
          <w:p>
            <w:pPr>
              <w:spacing w:after="0"/>
              <w:rPr>
                <w:sz w:val="18"/>
                <w:szCs w:val="18"/>
                <w:color w:val="auto"/>
              </w:rPr>
            </w:pPr>
          </w:p>
        </w:tc>
      </w:tr>
      <w:tr>
        <w:trPr>
          <w:trHeight w:val="210"/>
        </w:trPr>
        <w:tc>
          <w:tcPr>
            <w:tcW w:w="344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tcBorders>
              <w:top w:val="single" w:sz="8" w:color="auto"/>
              <w:bottom w:val="single" w:sz="8" w:color="auto"/>
            </w:tcBorders>
          </w:tcPr>
          <w:p>
            <w:pPr>
              <w:jc w:val="right"/>
              <w:ind w:right="66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13"/>
        </w:trPr>
        <w:tc>
          <w:tcPr>
            <w:tcW w:w="3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ind w:right="531"/>
              <w:spacing w:after="0"/>
              <w:rPr>
                <w:sz w:val="20"/>
                <w:szCs w:val="20"/>
                <w:color w:val="auto"/>
              </w:rPr>
            </w:pPr>
            <w:r>
              <w:rPr>
                <w:rFonts w:ascii="Arial" w:cs="Arial" w:eastAsia="Arial" w:hAnsi="Arial"/>
                <w:sz w:val="18"/>
                <w:szCs w:val="18"/>
                <w:color w:val="auto"/>
                <w:w w:val="89"/>
              </w:rPr>
              <w:t>10</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32"/>
        </w:trPr>
        <w:tc>
          <w:tcPr>
            <w:tcW w:w="34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0" w:orient="portrait"/>
          <w:cols w:equalWidth="0" w:num="1">
            <w:col w:w="11460"/>
          </w:cols>
          <w:pgMar w:left="240" w:top="104" w:right="199" w:bottom="0" w:gutter="0" w:footer="0" w:header="0"/>
        </w:sect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0" w:lineRule="exact"/>
        <w:rPr>
          <w:sz w:val="20"/>
          <w:szCs w:val="20"/>
          <w:color w:val="auto"/>
        </w:rPr>
      </w:pPr>
    </w:p>
    <w:p>
      <w:pPr>
        <w:sectPr>
          <w:pgSz w:w="11900" w:h="16870" w:orient="portrait"/>
          <w:cols w:equalWidth="0" w:num="1">
            <w:col w:w="11460"/>
          </w:cols>
          <w:pgMar w:left="240" w:top="104" w:right="199" w:bottom="0" w:gutter="0" w:footer="0" w:header="0"/>
          <w:type w:val="continuous"/>
        </w:sectPr>
      </w:pPr>
    </w:p>
    <w:bookmarkStart w:id="8" w:name="page9"/>
    <w:bookmarkEnd w:id="8"/>
    <w:p>
      <w:pPr>
        <w:ind w:right="440"/>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the Condensed Consolidated Financial Statements and related notes, and other financial information appearing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Except for historical information, the statements made in this Quarterly Report on Form 10-Q are forward-looking statements made pursuant to the safe-harbor provisions of the Private Security Litigation Reform Act of 1995. Such forward-looking statements may be contained in, among other things, Securities and Exchange Commission (“SEC”) filings, such as the Forms 10-K, 10-Q and 8-K, the Annual Report to Shareholders, press releases made by the Company, the Company’s Internet Web sites (including Web sites of its subsidiaries), and oral statements made by the officers of the Company.</w:t>
      </w:r>
    </w:p>
    <w:p>
      <w:pPr>
        <w:spacing w:after="0" w:line="17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This report, and other statements that the Company may make, may contain forward-looking statements with respect to the Company’s future financial or business performance, strategies or expectations. Forward-looking statements are typically identified by words or phrases such as “trend,” “potential,” “opportunity,” “pipeline,” “believe,” “comfortable,” “expect,” “anticipate,” “current,” “intention,” “estimate,” “position,” “assume,” “outlook,” “continue,” “remain,” “maintain,” “sustain,” “seek,” “achieve,” or similar expressions, or future or conditional verbs such as “will,” “would,” “should,” “could,” “may” or similar expressions.</w:t>
      </w:r>
    </w:p>
    <w:p>
      <w:pPr>
        <w:spacing w:after="0" w:line="18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cautions that forward-looking statements are subject to numerous assumptions, risks and uncertainties, which change over time, including, but not limited to, the factors that are described in Part I, Item 1A under the caption of “Risk Factors” of Matson’s Annual Report on Form 10-K for the year ended December 31, 2014, filed with the SEC on February 27, 2015, and the risk factors that are described in Part II, Item 1A under the caption of “Risk Factors” of Matson’s Form 10-Q for the quarterly period ended June 30, 2015 filed with the SEC on August 5, 2015. Forward-looking statements speak only as of the date they are made, and the Company assumes no duty to and does not undertake to update forward-looking statements. Actual results could differ materially from those anticipated in forward-looking statements, and future results could differ materially from historical performance.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financial statements from period to period, the primary factors that accounted for those changes, and how certain accounting principles, policies and estimates affect the Company’s financial statements. MD&amp;A is provided as a supplement to the Condensed Consolidated Financial Statements and notes herein, and should be read in conjunction with the Company’s Annual Report filed on Form 10-K for the year ended December 31, 2014, and the Company’s reports filed on Forms 10-Q and 8-K, and other publicly available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i w:val="1"/>
          <w:iCs w:val="1"/>
          <w:color w:val="auto"/>
        </w:rPr>
        <w:t xml:space="preserve">Alaska Operations Integration: </w:t>
      </w:r>
      <w:r>
        <w:rPr>
          <w:rFonts w:ascii="Arial" w:cs="Arial" w:eastAsia="Arial" w:hAnsi="Arial"/>
          <w:sz w:val="17"/>
          <w:szCs w:val="17"/>
          <w:color w:val="auto"/>
        </w:rPr>
        <w:t>The Company continues to expect the integration of its Alaska operations to be completed within two years post-closing of</w:t>
      </w:r>
      <w:r>
        <w:rPr>
          <w:rFonts w:ascii="Arial" w:cs="Arial" w:eastAsia="Arial" w:hAnsi="Arial"/>
          <w:sz w:val="17"/>
          <w:szCs w:val="17"/>
          <w:i w:val="1"/>
          <w:iCs w:val="1"/>
          <w:color w:val="auto"/>
        </w:rPr>
        <w:t xml:space="preserve"> </w:t>
      </w:r>
      <w:r>
        <w:rPr>
          <w:rFonts w:ascii="Arial" w:cs="Arial" w:eastAsia="Arial" w:hAnsi="Arial"/>
          <w:sz w:val="17"/>
          <w:szCs w:val="17"/>
          <w:color w:val="auto"/>
        </w:rPr>
        <w:t>the Acquisition on May 29, 2015, at which point incremental run-rate selling, general and administrative expenses are expected to be approximately $15.0 million per year. The Company’s results for the third quarter 2015 were negatively impacted by approximately $10.0 million of additional selling, general and administrative expenses related to the Acquisition in excess of the Company’s incremental run-rate target, consisting primarily of integration costs and corporate overhead expenses. In the fourth quarter 2015, the Company expects to incur approximately $7.5 million of selling, general and administrative expenses related to the Acquisition in excess of the Company’s incremental run-rate target.</w:t>
      </w:r>
    </w:p>
    <w:p>
      <w:pPr>
        <w:spacing w:after="0" w:line="17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i w:val="1"/>
          <w:iCs w:val="1"/>
          <w:color w:val="auto"/>
        </w:rPr>
        <w:t xml:space="preserve">Ocean Transportation: </w:t>
      </w:r>
      <w:r>
        <w:rPr>
          <w:rFonts w:ascii="Arial" w:cs="Arial" w:eastAsia="Arial" w:hAnsi="Arial"/>
          <w:sz w:val="16"/>
          <w:szCs w:val="16"/>
          <w:color w:val="auto"/>
        </w:rPr>
        <w:t>In the third quarter 2015, the Hawaii trade experienced modest westbound market growth. In addition, Matson experienced volume</w:t>
      </w:r>
      <w:r>
        <w:rPr>
          <w:rFonts w:ascii="Arial" w:cs="Arial" w:eastAsia="Arial" w:hAnsi="Arial"/>
          <w:sz w:val="16"/>
          <w:szCs w:val="16"/>
          <w:i w:val="1"/>
          <w:iCs w:val="1"/>
          <w:color w:val="auto"/>
        </w:rPr>
        <w:t xml:space="preserve"> </w:t>
      </w:r>
      <w:r>
        <w:rPr>
          <w:rFonts w:ascii="Arial" w:cs="Arial" w:eastAsia="Arial" w:hAnsi="Arial"/>
          <w:sz w:val="16"/>
          <w:szCs w:val="16"/>
          <w:color w:val="auto"/>
        </w:rPr>
        <w:t>gains and deployed additional vessels in response to a competitor’s service reconfiguration and vessel mechanical failure. The Company expects these trends to continue in the fourth quarter 2015, resulting in Hawaii container volume growth similar to the 14.8 percent growth realized in the third quarter 2015.</w:t>
      </w:r>
    </w:p>
    <w:p>
      <w:pPr>
        <w:spacing w:after="0" w:line="14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the China trade, despite a continued decline in commodity freight rates for other ocean carriers, the Company’s freight rates were higher in the third quarter 2015 than in the prior year period, reflecting a continuation of rate gains made by the Company in the latter half of 2014 and in 2015. For the fourth quarter 2015, the Company expects its expedited service to continue to realize a sizeable premium relative to commodity ocean carrier market rates, achieving average freight rates that approximate the rates achieved in the fourth quarter 2014. However, the Company expects its China volume in the fourth quarter 2015 to be moderately lower than the prior year period due to one fewer sailing, the absence of the extraordinarily high demand experienced in the fourth quarter 2014 during the U.S. West Coast labor disruptions, and recent market softness.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Guam, stable economic activity is expected in the fourth quarter 2015. On August 29, 2015, the Department of the Navy signed the Record of Decision to relocate approximately 5,000 U.S. Marines plus approximately 1,300 dependents from Okinawa to Guam by 2022 which is expected to result in higher freight demand to Guam during this period of relocation. However, in October 2015, a competitor announced the intention to launch a bi-weekly U.S. flagged containership service to Guam starting in late November 2015. As a result, the Company expects to experience some volume losses after this service is launched.</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operating results for the third quarter 2015 reflect the first full quarter of Alaska operations post-closing of the Acquisition on May 29, 2015. In the third quarter 2015, Alaska container volume increased by approximately two percent year-over-year primarily due to stronger seafood volume which was partially offset by muted economic activity related to the steep decline in energy prices, and lower building supply volume. The Company expects muted economic activity to persist through the end of 2015 and, as a result, expects Alaska container volume for the fourth quarter 2015 to be lower than volume achieved by Horizon in the comparable period in 2014.</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the fourth quarter 2015, exclusive of the aforementioned $7.5 million of additional selling, general and administrative expenses in excess of the Company’s incremental run-rate target, the Company expects ocean transportation operating income to approximate the $46.3 million achieved in the fourth quarter 2014.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The Company continues to expect full year 2015 operating income to approximate the 2014 level of $8.9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The Company expects its interest expense in the fourth quarter 2015 to be approximately $5.0 million.</w:t>
      </w:r>
    </w:p>
    <w:p>
      <w:pPr>
        <w:sectPr>
          <w:pgSz w:w="11900" w:h="16838" w:orient="portrait"/>
          <w:cols w:equalWidth="0" w:num="1">
            <w:col w:w="11420"/>
          </w:cols>
          <w:pgMar w:left="240" w:top="341" w:right="239" w:bottom="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The Company expects its effective tax rate for the fourth quarter 2015 to be approximately 40 percent.</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In the first nine months of 2015, the Company had maintenance capital expenditures of approximately $30.3 million. In the fourth quarter 2015,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expects maintenance capital expenditures to be approximately $30 million and scheduled contract payments relating to its two vessels under construction to be $20.9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Three months ended September 30, 2015 compared with 2014: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ind w:left="620"/>
              <w:spacing w:after="0"/>
              <w:rPr>
                <w:sz w:val="20"/>
                <w:szCs w:val="20"/>
                <w:color w:val="auto"/>
              </w:rPr>
            </w:pPr>
            <w:r>
              <w:rPr>
                <w:rFonts w:ascii="Arial" w:cs="Arial" w:eastAsia="Arial" w:hAnsi="Arial"/>
                <w:sz w:val="14"/>
                <w:szCs w:val="14"/>
                <w:b w:val="1"/>
                <w:bCs w:val="1"/>
                <w:color w:val="auto"/>
                <w:w w:val="93"/>
              </w:rPr>
              <w:t>Three Months Ended September 30</w:t>
            </w: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(472.5)</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(396.8)</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(25.6)</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(19.1)</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5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0.50</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5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0.94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0.50</w:t>
            </w:r>
          </w:p>
        </w:tc>
        <w:tc>
          <w:tcPr>
            <w:tcW w:w="2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Consolidated operating revenue for the third quarter 2015 increased $102.5 million, or 23.2 percent, compared to the third quarter 2014. This increase was due to $115.3 million higher revenue from ocean transportation, offset by $12.8 million lower revenue from logistics services.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costs and expenses for the third quarter 2015 increased $75.7 million, or 19.1 percent, compared to the third quarter 2014. The increase was due to an $89.0 million increase, offset by a $13.3 million decrease in operating costs and expenses from ocean transportation and logistics segments, respectively. Changes in operating revenue and expense are described below in the Analysis of Operating Revenue and Income by Segment, as part of the discussion of trends in operating revenues and operating costs and expenses.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increased $0.3 million to $4.7 million for the third quarter of 2015 compared to $4.4 million in 2014, due to increased borrowings during the third quarter 2015 compared to the third quarter 2014.</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Income tax expense was $25.6 million, or 38.2 percent of income before income taxes, for the third quarter 2015, compared to $19.1 million, or 47.0 percent of income before income taxes, in the third quarter 2014. The change in the income tax rate was primarily due to a non-cash valuation allowance recorded in the third quarter 2014 against deferred tax assets that increased the tax rate by approximately 8.2 percentage points.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Nine months ended September 30, 2015 compared with 2014: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 except per share amounts)</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w w:val="94"/>
              </w:rPr>
              <w:t>Nine Months Ended September 30</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1,390.1</w:t>
            </w: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1,270.7</w:t>
            </w: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(1,239.7)</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(1,180.1)</w:t>
            </w: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(60.4)</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(34.6)</w:t>
            </w: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5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5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1.74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Consolidated operating revenue for the nine months ended September 30, 2015 increased $119.4 million, or 9.4 percent, compared to the nine months ended September 30, 2014. This increase was due to $151.8 million in higher revenue from ocean transportation, offset by $32.4 million in lower revenue from logistics services.</w:t>
      </w:r>
    </w:p>
    <w:p>
      <w:pPr>
        <w:spacing w:after="0" w:line="18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Operating costs and expenses for the nine months ended September 30, 2015 increased $59.6 million, or 5.1 percent, compared to the nine months ended September 30, 2014. The increase was due to a $92.4 million increase, offset by a $32.8 million decrease in operating costs from ocean transportation and logistics segment, respectively. Changes in operating revenue and expense are described below in the Analysis of Operating Revenue and Income by Segment, as part of the discussion of trends in operating revenues and operating.</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Interest expense increased $0.6 million to $13.6 million for the nine months ended September 30, 2015 compared to $13.0 million for the nine months ended September 30, 2014, due to increased borrowings in the nine months ended September 30, 2015, as compared to 2014.</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Income tax expense was $60.4 million, or 44.2 percent of income before income taxes, for the nine months ended September 30, 2015, compared to $34.6 million or 44.6 percent of income before income taxes, in 2014. The income tax expense for the nine months ended September 30, 2015 was impacted by a $4.8 million non-cash adjustment to deferred tax assets, and by changes in the value of deferred taxes and non-deductible expenses as a result of the Acquisition, which increased the tax rate by approximately 5.6 percentage points. The income tax rate for the nine months ended September 30, 2014 was impacted by a non-cash valuation allowance recorded against deferred tax assets, which increased the effective tax rate by approximately 4.4 percentage points.</w:t>
      </w:r>
    </w:p>
    <w:p>
      <w:pPr>
        <w:sectPr>
          <w:pgSz w:w="11900" w:h="16838" w:orient="portrait"/>
          <w:cols w:equalWidth="0" w:num="1">
            <w:col w:w="11360"/>
          </w:cols>
          <w:pgMar w:left="240" w:top="341" w:right="299" w:bottom="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Transportation Operating Results: Three months ended September 30, 2015 compared with 2014: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6"/>
          </w:tcPr>
          <w:p>
            <w:pPr>
              <w:ind w:left="620"/>
              <w:spacing w:after="0"/>
              <w:rPr>
                <w:sz w:val="20"/>
                <w:szCs w:val="20"/>
                <w:color w:val="auto"/>
              </w:rPr>
            </w:pPr>
            <w:r>
              <w:rPr>
                <w:rFonts w:ascii="Arial" w:cs="Arial" w:eastAsia="Arial" w:hAnsi="Arial"/>
                <w:sz w:val="14"/>
                <w:szCs w:val="14"/>
                <w:b w:val="1"/>
                <w:bCs w:val="1"/>
                <w:color w:val="auto"/>
                <w:w w:val="93"/>
              </w:rPr>
              <w:t>Three Months Ended September 30</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3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375.9</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286.9</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Volume (Units) (1)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Hawaii containers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41,200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35,900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Hawaii automobiles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17,800</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13,300</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Alaska containers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19,700</w:t>
            </w:r>
          </w:p>
        </w:tc>
        <w:tc>
          <w:tcPr>
            <w:tcW w:w="2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China containers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15,800</w:t>
            </w:r>
          </w:p>
        </w:tc>
        <w:tc>
          <w:tcPr>
            <w:tcW w:w="2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15,000</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Guam containers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6,100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6,100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Micronesia/South Pacific containers</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3,900</w:t>
            </w:r>
          </w:p>
        </w:tc>
        <w:tc>
          <w:tcPr>
            <w:tcW w:w="2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4,400</w:t>
            </w:r>
          </w:p>
        </w:tc>
        <w:tc>
          <w:tcPr>
            <w:tcW w:w="2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right="240" w:hanging="328"/>
        <w:spacing w:after="0" w:line="264" w:lineRule="auto"/>
        <w:tabs>
          <w:tab w:leader="none" w:pos="667"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 container volumes included for the period are based on the voyage departure date, but revenue and operating income are adjusted to reflect the percentage of revenue and operating income earned during the reporting period for voyages in transit as of the end of each reporting period.</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Ocean transportation revenue increased $115.3 million, or 35.0 percent, during the third quarter 2015 compared with the third quarter 2014. This increase was primarily due to the inclusion of revenue from the Company’s acquired Alaska operations, higher container volume in Hawaii, and higher freight rates in the Company’s China service, partially offset by lower fuel surcharge revenue.</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a year over year basis, Hawaii container volume increased by 14.8 percent primarily due to volume gains resulting from a competitor’s service reconfiguration and vessel mechanical failure, and modest market growth; China volume was 5.3 percent higher, the result of an additional sailing during the quarter; and Guam volume was steady. Hawaii automobile volume was 33.8 percent higher in the third quarter 2015 compared with the third quarter 2014, primarily due to the aforementioned competitor service reconfiguration. Alaska volume included in the Company’s third quarter results reflects the first full quarter of operations post-closing the acquisition on May 29, 2015.</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Ocean transportation operating income increased $26.3 million during the third quarter 2015 compared with the third quarter 2014. The increase was primarily due to higher freight rates in China, the inclusion of operating results for the Alaska trade, and container volume improvements in Hawaii. Partially offsetting these favorable items were additional selling, general and administrative expenses related to the Acquisition, additional vessel operating expenses related to the deployment of additional vessels in the Hawaii trade, and higher terminal handling expenses.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SSAT terminal joint venture investment contributed $4.5 million during the third quarter 2015, compared to a $3.1 million contribution in the third quarter 2014. The increase was primarily attributable to improved lift volume</w:t>
      </w:r>
      <w:r>
        <w:rPr>
          <w:rFonts w:ascii="Arial" w:cs="Arial" w:eastAsia="Arial" w:hAnsi="Arial"/>
          <w:sz w:val="17"/>
          <w:szCs w:val="17"/>
          <w:color w:val="auto"/>
        </w:rPr>
        <w: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Transportation Operating Results: Nine months ended September 30, 2015 compared with 2014: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w w:val="95"/>
              </w:rPr>
              <w:t>Nine Months Ended September 30</w:t>
            </w: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w w:val="97"/>
              </w:rPr>
              <w:t>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3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1,097.0</w:t>
            </w: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952.8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860.4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3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Operating income margin</w:t>
            </w: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Volume (Units) (1)</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Hawaii containers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109,100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Hawaii automobiles</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51,500</w:t>
            </w:r>
          </w:p>
        </w:tc>
        <w:tc>
          <w:tcPr>
            <w:tcW w:w="2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56,100</w:t>
            </w: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Alaska containers (2)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24,900</w:t>
            </w: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China containers</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45,600</w:t>
            </w:r>
          </w:p>
        </w:tc>
        <w:tc>
          <w:tcPr>
            <w:tcW w:w="2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44,400</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Guam containers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17,700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18,300</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Micronesia/South Pacific containers</w:t>
            </w:r>
          </w:p>
        </w:tc>
        <w:tc>
          <w:tcPr>
            <w:tcW w:w="2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10,300</w:t>
            </w:r>
          </w:p>
        </w:tc>
        <w:tc>
          <w:tcPr>
            <w:tcW w:w="26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10,700</w:t>
            </w:r>
          </w:p>
        </w:tc>
        <w:tc>
          <w:tcPr>
            <w:tcW w:w="2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right="240" w:hanging="328"/>
        <w:spacing w:after="0" w:line="256" w:lineRule="auto"/>
        <w:tabs>
          <w:tab w:leader="none" w:pos="6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 container volumes included for the period are based on the voyage departure date, but revenue and operating income are adjusted to reflect the percentage of revenue and operating income earned during the reporting period for voyages in transit as of the end of each reporting period.</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Alaska container volumes represent operations from May 29, 2015 to September 30, 2015.</w:t>
      </w:r>
    </w:p>
    <w:p>
      <w:pPr>
        <w:spacing w:after="0" w:line="21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Ocean transportation revenue increased $151.8 million, or 16.1 percent, during the nine months ended September 30, 2015 compared with the nine months ended September 30, 2014. This increase was primarily due to the inclusion of revenue from the Company’s acquired Alaska operations, higher freight rates</w:t>
      </w:r>
    </w:p>
    <w:p>
      <w:pPr>
        <w:sectPr>
          <w:pgSz w:w="11900" w:h="16838" w:orient="portrait"/>
          <w:cols w:equalWidth="0" w:num="1">
            <w:col w:w="11380"/>
          </w:cols>
          <w:pgMar w:left="240" w:top="341" w:right="279" w:bottom="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in the Company’s China service, higher container volume in Hawaii, partially offset by lower fuel surcharge revenue and lower Guam volume.</w:t>
      </w:r>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On a year over year basis, Hawaii container volume increased by 4.9 percent primarily due to volume gains resulting from a competitor’s service reconfiguration and vessel mechanical failure, and modest market growth; China volume was up 2.7 percent, primarily the result of an additional sailing during the third quarter 2015; Guam volume declined by 3.3 percent due to the timing of select shipments; and Hawaii automobile volume decreased 8.2 percent as certain customer losses were partially offset in the third quarter 2015 by the aforementioned competitor service reconfiguration. Alaska volume included in the Company results reflects operations from May 29 to September 30, 2015.</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Ocean transportation operating income increased $59.4 million during the nine months ended September 30, 2015 compared with the nine months ended September 30, 2014. The increase was primarily due to higher freight rates in China, the inclusion of operating results for the Alaska trade, the timing of fuel surcharge collections, container volume improvements in Hawaii, and improved results at SSAT. Partially offsetting these favorable operating income items were additional selling, general and administrative expenses related to the Acquisition, additional vessel operating expenses related to the deployment of additional vessels in the Hawaii trade, higher terminal handling expenses, $11.4 million of costs related to the Molasses Settlement, and lower Guam container volume.</w:t>
      </w:r>
    </w:p>
    <w:p>
      <w:pPr>
        <w:spacing w:after="0" w:line="19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Company’s SSAT terminal joint venture investment contributed $13.1 million during the nine months ended September 30, 2015, compared to a $5.4 million contribution in the nine months ended September 30, 2014. The increase was primarily attributable to the clearing of international carrier cargo backlog and improved lift volume.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Operating Results: Three months ended September 30, 2015 compared with 2014: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vMerge w:val="restart"/>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6"/>
          </w:tcPr>
          <w:p>
            <w:pPr>
              <w:ind w:left="900"/>
              <w:spacing w:after="0"/>
              <w:rPr>
                <w:sz w:val="20"/>
                <w:szCs w:val="20"/>
                <w:color w:val="auto"/>
              </w:rPr>
            </w:pPr>
            <w:r>
              <w:rPr>
                <w:rFonts w:ascii="Arial" w:cs="Arial" w:eastAsia="Arial" w:hAnsi="Arial"/>
                <w:sz w:val="14"/>
                <w:szCs w:val="14"/>
                <w:b w:val="1"/>
                <w:bCs w:val="1"/>
                <w:color w:val="auto"/>
                <w:w w:val="99"/>
              </w:rPr>
              <w:t>Three Months Ended September 30</w:t>
            </w:r>
          </w:p>
        </w:tc>
        <w:tc>
          <w:tcPr>
            <w:tcW w:w="10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Intermodal revenue</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Highway revenue</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45.9</w:t>
            </w: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48.8</w:t>
            </w:r>
          </w:p>
        </w:tc>
        <w:tc>
          <w:tcPr>
            <w:tcW w:w="3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34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 Logistics Revenue</w:t>
            </w: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2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2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96.6</w:t>
            </w: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109.9</w:t>
            </w:r>
          </w:p>
        </w:tc>
        <w:tc>
          <w:tcPr>
            <w:tcW w:w="3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34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Operating income margin</w:t>
            </w:r>
          </w:p>
        </w:tc>
        <w:tc>
          <w:tcPr>
            <w:tcW w:w="32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Logistics revenue decreased $12.8 million, or 11.4 percent, during the third quarter 2015 compared with the third quarter 2014. This decrease was primarily the result of lower intermodal and highway volume and lower fuel surcharge revenue, partially offset by favorable changes in business mix and increased warehouse revenue.</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Logistics operating income increased by $0.5 million, during the third quarter 2015 compared with the third quarter 2014, primarily due to warehouse operating improvements and improved per unit margins, partially offset by lower international intermodal volume.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Operating Results: Nine months ended September 30, 2015 compared with 2014: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7"/>
          </w:tcPr>
          <w:p>
            <w:pPr>
              <w:ind w:left="960"/>
              <w:spacing w:after="0"/>
              <w:rPr>
                <w:sz w:val="20"/>
                <w:szCs w:val="20"/>
                <w:color w:val="auto"/>
              </w:rPr>
            </w:pPr>
            <w:r>
              <w:rPr>
                <w:rFonts w:ascii="Arial" w:cs="Arial" w:eastAsia="Arial" w:hAnsi="Arial"/>
                <w:sz w:val="14"/>
                <w:szCs w:val="14"/>
                <w:b w:val="1"/>
                <w:bCs w:val="1"/>
                <w:color w:val="auto"/>
              </w:rPr>
              <w:t>Nine Months Ended September 30</w:t>
            </w:r>
          </w:p>
        </w:tc>
        <w:tc>
          <w:tcPr>
            <w:tcW w:w="11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Intermodal revenue</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Highway revenue</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Logistics Revenue</w:t>
            </w: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286.9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2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Logistics revenue decreased $32.4 million, or 10.0 percent, during the nine months ended September 30, 2015 compared to the nine months ended September 30, 2014. This decrease was primarily the result of lower intermodal and highway volume and lower fuel surcharge revenue, partially offset by favorable changes in business mix and increased warehouse revenue.</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Logistics operating income increased by $0.4 million during the nine months ended September 30, 2015 compared to the nine months ended September 30, 2014. The increase was primarily due to warehouse operating improvements and improved per unit margins, partially offset by the absence of a favorable litigation settlement received in 2014 and lower international intermodal volume.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Cash flows provided by operating activities are the Company’s primary source of liquidity. Additional sources of liquidity are available from the Company’s cash and cash equivalents, accounts receivable balances, cash on deposits in the CCF, and borrowings from the Company’s term loans and revolving credit facility. The Company’s term loans and revolving credit facility are described in Note 7 to the Consolidated Financial Statements included in Item 8 of the Company’s Annual Report filed on Form 10-K for the year ended December 31, 2014, in Note 5 to the Interim Condensed Consolidated Financial Statements included in Item 1 of the Company’s Quarterly Report on Form 10-Q for the quarterly period ended June 30, 2015, and Note 4 to the Condensed Consolidated Financial Statements included in Item 1 in this Form 10-Q.</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Cash flows provided by operating activities were $159.0 million for the nine months ended September 30, 2015, compared with $96.1 million for the nine months ended September 30, 2014. The increase in cash flows provided by operating activities was primarily due to increases in net deferred income taxes and in net income, partially offset by increases in prepaid expenses and other assets.</w:t>
      </w:r>
    </w:p>
    <w:p>
      <w:pPr>
        <w:sectPr>
          <w:pgSz w:w="11900" w:h="16838" w:orient="portrait"/>
          <w:cols w:equalWidth="0" w:num="1">
            <w:col w:w="11400"/>
          </w:cols>
          <w:pgMar w:left="240" w:top="125" w:right="259" w:bottom="0" w:gutter="0" w:footer="0" w:header="0"/>
        </w:sectPr>
      </w:pPr>
    </w:p>
    <w:bookmarkStart w:id="12" w:name="page13"/>
    <w:bookmarkEnd w:id="12"/>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Cash flows used in investing activities were $38.8 million for the nine months ended September 30, 2015, compared with $49.5 million for the nine months ended September 30, 2014. The decrease in cash flows used in investing activities was primarily due net withdrawals of $15.8 million from the CCF for the nine months ended September 30, 2015, compared to net deposits of $27.5 million into the CCF for the nine months ended September 30, 2014, offset by payments of $29.0 million for the Acquisition, net of cash acquired, and other acquisition related payments, during the nine months ended September 30, 2015 and increases in capital expenditures. Capital expenditures were $30.3 million for the nine months ended September 30, 2015, compared to $25.6 million for the nine months ended September 30, 2014, and primarily related to expenditures in the ocean transportation segment.</w:t>
      </w:r>
    </w:p>
    <w:p>
      <w:pPr>
        <w:spacing w:after="0" w:line="16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Cash flows used in financing activities were $388.1 million for the nine months ended September 30, 2015, compared with cash flows provided by financing activities of $69.8 million for the nine months ended September 30, 2014. The change was primarily due to payments of Horizon’s debt and redeemed warrants of $467.5 million made during the nine months ended September 30, 2015 related to the Acquisition, offset by net proceeds from the revolving credit facility and the issuance of debt net of repayments of $104.6 million, compared to $91.4 million for the nine months ended September 30, 2014.</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Liquidity:</w:t>
      </w:r>
    </w:p>
    <w:p>
      <w:pPr>
        <w:spacing w:after="0" w:line="229"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Other sources of liquidity, consisting of cash and cash equivalents, and accounts receivable, decreased by $226.0 million to $265.0 million at September 30, 2015, compared to $491.0 million at December 31, 2014. The decrease was due primarily to a reduction in cash and cash equivalents of $267.9 million due to cash paid in connection with the Acquisition, offset by an increase of $41.9 million due primarily to accounts receivable related to the Alaska trade.</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had working capital of $50.2 million at September 30, 2015, compared to $296.0 million at December 31, 2014. The Company also had $11.7 million of cash on deposit in the CCF as of September 30, 2015, compared to $27.5 million as of December 31, 2014.</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Total debt was $481.5 million at September 30, 2015, compared with $373.6 million at December 31, 2014. The increase in debt was due to borrowings under the Company’s revolving credit facility as a result of the Acquisition. On October 1, 2015, the Company issued $75.0 million of 30-year senior unsecured notes that were used to pay down Matson’s revolving credit facility. As of September 30, 2015, the Company had $271.5 million of availability under the revolving credit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CONTINGENCIES AND OFF-BALANCE SHEET ARRANGEMENTS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There were no material changes during this quarter to the Company’s contractual obligations and commitments that are described in Item 7 of the Company’s Annual Report filed on Form 10-K for the year ended December 31, 2014, and also in Item 2 of the Company’s Quarterly Report on Form 10-Q for the quarterly period ended June 30, 2015, which is incorporated herein by reference.</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description of contingencies at September 30, 2015, is included in Note 2 to the Condensed Consolidated Financial Statements of Item 1 in this Form 10-Q,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There have been no changes during this quarter to the Company’s critical accounting estimates as discussed in Item 7 of the Company’s Annual Report filed on Form 10-K for the year ended December 31, 2014, except for the assumption used in determining the multi-employer withdrawal liabilities as described in Note 3 to the Interim Condensed Consolidated Financial Statements included in Item 1 of the Company’s Quarterly Report on Form 10-Q for the quarterly period ended June 30, 2015, which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 xml:space="preserve">The Company’s first quarter 2015 cash dividend of $0.17 per-share was paid on March 5, 2015 to shareholders of record as of February 12, 2015. The Company’s second quarter 2015 cash dividend of $0.17 per-share was paid on June 4, 2015 to shareholders of record as of May 7, 2015. The Company’s third quarter 2015 cash dividend of $0.18 per-share was paid on September 3, 2015 to shareholders of record as of August 6, 2015. </w:t>
      </w:r>
      <w:r>
        <w:rPr>
          <w:rFonts w:ascii="Arial" w:cs="Arial" w:eastAsia="Arial" w:hAnsi="Arial"/>
          <w:sz w:val="17"/>
          <w:szCs w:val="17"/>
          <w:color w:val="auto"/>
        </w:rPr>
        <w:t>On October 22, 2015, the</w:t>
      </w:r>
      <w:r>
        <w:rPr>
          <w:rFonts w:ascii="Arial" w:cs="Arial" w:eastAsia="Arial" w:hAnsi="Arial"/>
          <w:sz w:val="18"/>
          <w:szCs w:val="18"/>
          <w:color w:val="auto"/>
        </w:rPr>
        <w:t xml:space="preserve"> </w:t>
      </w:r>
      <w:r>
        <w:rPr>
          <w:rFonts w:ascii="Arial" w:cs="Arial" w:eastAsia="Arial" w:hAnsi="Arial"/>
          <w:sz w:val="17"/>
          <w:szCs w:val="17"/>
          <w:color w:val="auto"/>
        </w:rPr>
        <w:t>Company’s Board of Directors declared a cash dividend of $0.18 per share for the fourth quarter 2015, payable on December 3, 2015 to shareholders of record as of November 5, 2015.</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There have been no material changes to the Company’s market risk position from the information provided under Part II, Item 7A, “Quantitative and Qualitative Disclosures About Market Risk,” of our 2014 Annual Report filed on Form 10-K for the year ended December 31, 2014.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September 30, 2015, the Company’s disclosure controls and procedures are effective.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were no changes in the Company’s internal control over financial reporting (as defined in Rules 13a-15(f) and 15d-15(f) under the Exchange Act) that occurred during the nine months ended September 30, 2015, that have materially affected, or are reasonably likely to materially affect, the Company’s internal</w:t>
      </w:r>
    </w:p>
    <w:p>
      <w:pPr>
        <w:sectPr>
          <w:pgSz w:w="11900" w:h="16975" w:orient="portrait"/>
          <w:cols w:equalWidth="0" w:num="1">
            <w:col w:w="11420"/>
          </w:cols>
          <w:pgMar w:left="240" w:top="125" w:right="239" w:bottom="0" w:gutter="0" w:footer="0" w:header="0"/>
        </w:sectPr>
      </w:pPr>
    </w:p>
    <w:bookmarkStart w:id="13" w:name="page14"/>
    <w:bookmarkEnd w:id="13"/>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control over financial reporting.</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Company’s ocean transportation business has certain risks that could result in expenditures for environmental remediation. The Company believes that based on all information available to it, the Company is currently in compliance, in all material respects, with applicable environmental laws and regulations.</w:t>
      </w:r>
    </w:p>
    <w:p>
      <w:pPr>
        <w:spacing w:after="0" w:line="124"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There were no material changes to the Company’s risk factors that are described in Part I, Item 1A under the caption of “Risk Factors” of Matson’s Annual Report on Form 10-K for the year ended December 31, 2014, filed with the SEC on February 27, 2015, and the risk factors that are described in Part II, Item 1A under the caption of “Risk Factors” of Matson’s Form 10-Q for the quarterly period ended June 30, 2015 filed with the SEC on August 5, 2015.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10380" w:type="dxa"/>
            <w:vAlign w:val="bottom"/>
            <w:gridSpan w:val="2"/>
          </w:tcPr>
          <w:p>
            <w:pPr>
              <w:ind w:left="4540"/>
              <w:spacing w:after="0"/>
              <w:rPr>
                <w:sz w:val="20"/>
                <w:szCs w:val="20"/>
                <w:color w:val="auto"/>
              </w:rPr>
            </w:pPr>
            <w:r>
              <w:rPr>
                <w:rFonts w:ascii="Arial" w:cs="Arial" w:eastAsia="Arial" w:hAnsi="Arial"/>
                <w:sz w:val="18"/>
                <w:szCs w:val="18"/>
                <w:color w:val="auto"/>
              </w:rPr>
              <w:t>18</w:t>
            </w:r>
          </w:p>
        </w:tc>
      </w:tr>
      <w:tr>
        <w:trPr>
          <w:trHeight w:val="132"/>
        </w:trPr>
        <w:tc>
          <w:tcPr>
            <w:tcW w:w="1620" w:type="dxa"/>
            <w:vAlign w:val="bottom"/>
            <w:tcBorders>
              <w:bottom w:val="single" w:sz="8" w:color="808080"/>
            </w:tcBorders>
            <w:gridSpan w:val="2"/>
          </w:tcPr>
          <w:p>
            <w:pPr>
              <w:spacing w:after="0"/>
              <w:rPr>
                <w:sz w:val="11"/>
                <w:szCs w:val="11"/>
                <w:color w:val="auto"/>
              </w:rPr>
            </w:pPr>
          </w:p>
        </w:tc>
        <w:tc>
          <w:tcPr>
            <w:tcW w:w="9840" w:type="dxa"/>
            <w:vAlign w:val="bottom"/>
            <w:tcBorders>
              <w:bottom w:val="single" w:sz="8" w:color="808080"/>
            </w:tcBorders>
          </w:tcPr>
          <w:p>
            <w:pPr>
              <w:spacing w:after="0"/>
              <w:rPr>
                <w:sz w:val="11"/>
                <w:szCs w:val="11"/>
                <w:color w:val="auto"/>
              </w:rPr>
            </w:pPr>
          </w:p>
        </w:tc>
      </w:tr>
      <w:tr>
        <w:trPr>
          <w:trHeight w:val="740"/>
        </w:trPr>
        <w:tc>
          <w:tcPr>
            <w:tcW w:w="1146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r>
      <w:tr>
        <w:trPr>
          <w:trHeight w:val="20"/>
        </w:trPr>
        <w:tc>
          <w:tcPr>
            <w:tcW w:w="10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r>
      <w:tr>
        <w:trPr>
          <w:trHeight w:val="438"/>
        </w:trPr>
        <w:tc>
          <w:tcPr>
            <w:tcW w:w="1080" w:type="dxa"/>
            <w:vAlign w:val="bottom"/>
          </w:tcPr>
          <w:p>
            <w:pPr>
              <w:spacing w:after="0"/>
              <w:rPr>
                <w:sz w:val="20"/>
                <w:szCs w:val="20"/>
                <w:color w:val="auto"/>
              </w:rPr>
            </w:pPr>
            <w:r>
              <w:rPr>
                <w:rFonts w:ascii="Arial" w:cs="Arial" w:eastAsia="Arial" w:hAnsi="Arial"/>
                <w:sz w:val="18"/>
                <w:szCs w:val="18"/>
                <w:color w:val="auto"/>
              </w:rPr>
              <w:t>10.1</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w w:val="99"/>
              </w:rPr>
              <w:t>Settlement Agreement and Release, effective July 29, 2015, between the State of Hawai’i, Matson Terminals, Inc. and Matson</w:t>
            </w:r>
          </w:p>
        </w:tc>
      </w:tr>
      <w:tr>
        <w:trPr>
          <w:trHeight w:val="230"/>
        </w:trPr>
        <w:tc>
          <w:tcPr>
            <w:tcW w:w="1080" w:type="dxa"/>
            <w:vAlign w:val="bottom"/>
          </w:tcPr>
          <w:p>
            <w:pPr>
              <w:spacing w:after="0"/>
              <w:rPr>
                <w:sz w:val="20"/>
                <w:szCs w:val="20"/>
                <w:color w:val="auto"/>
              </w:rPr>
            </w:pP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Navigation Company, Inc. (incorporated by reference to Exhibit 10.1 of Matson’s Form 8-K dated July 29, 2015).</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10.2</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w w:val="91"/>
              </w:rPr>
              <w:t>Note Purchase Agreement among Matson, Inc. and the purchasers party thereto, dated as of July 30, 2015 (incorporated by reference to</w:t>
            </w:r>
          </w:p>
        </w:tc>
      </w:tr>
      <w:tr>
        <w:trPr>
          <w:trHeight w:val="230"/>
        </w:trPr>
        <w:tc>
          <w:tcPr>
            <w:tcW w:w="1080" w:type="dxa"/>
            <w:vAlign w:val="bottom"/>
          </w:tcPr>
          <w:p>
            <w:pPr>
              <w:spacing w:after="0"/>
              <w:rPr>
                <w:sz w:val="20"/>
                <w:szCs w:val="20"/>
                <w:color w:val="auto"/>
              </w:rPr>
            </w:pP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Exhibit 10.1 of Matson’s Form 8-K dated July 30, 2015).</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10.3</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w w:val="92"/>
              </w:rPr>
              <w:t>Amendment to the Second Amended and Restated Note Agreement among Matson, Inc. and the purchasers party thereto, dated as of</w:t>
            </w:r>
          </w:p>
        </w:tc>
      </w:tr>
      <w:tr>
        <w:trPr>
          <w:trHeight w:val="230"/>
        </w:trPr>
        <w:tc>
          <w:tcPr>
            <w:tcW w:w="1080" w:type="dxa"/>
            <w:vAlign w:val="bottom"/>
          </w:tcPr>
          <w:p>
            <w:pPr>
              <w:spacing w:after="0"/>
              <w:rPr>
                <w:sz w:val="20"/>
                <w:szCs w:val="20"/>
                <w:color w:val="auto"/>
              </w:rPr>
            </w:pP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July 30, 2015 (incorporated by reference to Exhibit 10.2 of Matson’s Form 8-K dated July 30, 2015).</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w w:val="91"/>
              </w:rPr>
              <w:t>Amendment to Note Purchase Agreement among Matson, Inc. and the purchasers party thereto, dated as of July 30, 2015 (incorporated</w:t>
            </w:r>
          </w:p>
        </w:tc>
      </w:tr>
      <w:tr>
        <w:trPr>
          <w:trHeight w:val="230"/>
        </w:trPr>
        <w:tc>
          <w:tcPr>
            <w:tcW w:w="1080" w:type="dxa"/>
            <w:vAlign w:val="bottom"/>
          </w:tcPr>
          <w:p>
            <w:pPr>
              <w:spacing w:after="0"/>
              <w:rPr>
                <w:sz w:val="20"/>
                <w:szCs w:val="20"/>
                <w:color w:val="auto"/>
              </w:rPr>
            </w:pP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by reference to Exhibit 10.3 of Matson’s Form 8-K dated July 30, 2015).</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10.5</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w w:val="92"/>
              </w:rPr>
              <w:t>First Amendment to Credit Agreement among Matson, Inc., the lenders party thereto, and Bank of America, N.A., as agent, dated as of</w:t>
            </w:r>
          </w:p>
        </w:tc>
      </w:tr>
      <w:tr>
        <w:trPr>
          <w:trHeight w:val="230"/>
        </w:trPr>
        <w:tc>
          <w:tcPr>
            <w:tcW w:w="1080" w:type="dxa"/>
            <w:vAlign w:val="bottom"/>
          </w:tcPr>
          <w:p>
            <w:pPr>
              <w:spacing w:after="0"/>
              <w:rPr>
                <w:sz w:val="20"/>
                <w:szCs w:val="20"/>
                <w:color w:val="auto"/>
              </w:rPr>
            </w:pP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July 30, 2015 (incorporated by reference to Exhibit 10.4 of Matson’s Form 8-K dated July 30, 2015).</w:t>
            </w: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10.6</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w w:val="95"/>
              </w:rPr>
              <w:t>First Amendment to Note Purchase Agreement among Matson, Inc. and the purchasers party thereto, dated as of October 1, 2015</w:t>
            </w:r>
          </w:p>
        </w:tc>
      </w:tr>
      <w:tr>
        <w:trPr>
          <w:trHeight w:val="230"/>
        </w:trPr>
        <w:tc>
          <w:tcPr>
            <w:tcW w:w="1080" w:type="dxa"/>
            <w:vAlign w:val="bottom"/>
          </w:tcPr>
          <w:p>
            <w:pPr>
              <w:spacing w:after="0"/>
              <w:rPr>
                <w:sz w:val="20"/>
                <w:szCs w:val="20"/>
                <w:color w:val="auto"/>
              </w:rPr>
            </w:pP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(incorporated by reference to Exhibit 10.1 of Matson’s Form 8-K dated October 1, 2015).</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31.1</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Certification of Chief Executive Officer pursuant to Rule 13a-14(a) or 15d-14(a) of the Securities Exchange Act of 1934.</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31.2</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Certification of Chief Financial Officer pursuant to Rule 13a-14(a) or 15d-14(a) of the Securities Exchange Act of 1934.</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32</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Certification of Chief Executive Officer and Chief Financial Officer pursuant to 18 U.S.C. Section 1350.</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XBRL Instance Document</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gridSpan w:val="2"/>
          </w:tcPr>
          <w:p>
            <w:pPr>
              <w:ind w:left="4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1080" w:type="dxa"/>
            <w:vAlign w:val="bottom"/>
          </w:tcPr>
          <w:p>
            <w:pPr>
              <w:spacing w:after="0"/>
              <w:rPr>
                <w:sz w:val="24"/>
                <w:szCs w:val="24"/>
                <w:color w:val="auto"/>
              </w:rPr>
            </w:pPr>
          </w:p>
        </w:tc>
        <w:tc>
          <w:tcPr>
            <w:tcW w:w="10380" w:type="dxa"/>
            <w:vAlign w:val="bottom"/>
            <w:gridSpan w:val="2"/>
          </w:tcPr>
          <w:p>
            <w:pPr>
              <w:ind w:left="4540"/>
              <w:spacing w:after="0"/>
              <w:rPr>
                <w:sz w:val="20"/>
                <w:szCs w:val="20"/>
                <w:color w:val="auto"/>
              </w:rPr>
            </w:pPr>
            <w:r>
              <w:rPr>
                <w:rFonts w:ascii="Arial" w:cs="Arial" w:eastAsia="Arial" w:hAnsi="Arial"/>
                <w:sz w:val="18"/>
                <w:szCs w:val="18"/>
                <w:color w:val="auto"/>
              </w:rPr>
              <w:t>19</w:t>
            </w:r>
          </w:p>
        </w:tc>
      </w:tr>
      <w:tr>
        <w:trPr>
          <w:trHeight w:val="132"/>
        </w:trPr>
        <w:tc>
          <w:tcPr>
            <w:tcW w:w="10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98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-5835015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-5835015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MATSON, INC.</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88" w:orient="portrait"/>
          <w:cols w:equalWidth="0" w:num="1">
            <w:col w:w="11460"/>
          </w:cols>
          <w:pgMar w:left="240" w:top="125" w:right="19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November 5, 2015</w:t>
            </w:r>
          </w:p>
        </w:tc>
        <w:tc>
          <w:tcPr>
            <w:tcW w:w="2020" w:type="dxa"/>
            <w:vAlign w:val="bottom"/>
          </w:tcPr>
          <w:p>
            <w:pPr>
              <w:spacing w:after="0"/>
              <w:rPr>
                <w:sz w:val="20"/>
                <w:szCs w:val="20"/>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Joel M. Wine</w:t>
            </w:r>
          </w:p>
        </w:tc>
        <w:tc>
          <w:tcPr>
            <w:tcW w:w="40" w:type="dxa"/>
            <w:vAlign w:val="bottom"/>
          </w:tcPr>
          <w:p>
            <w:pPr>
              <w:spacing w:after="0"/>
              <w:rPr>
                <w:sz w:val="20"/>
                <w:szCs w:val="20"/>
                <w:color w:val="auto"/>
              </w:rPr>
            </w:pPr>
          </w:p>
        </w:tc>
      </w:tr>
      <w:tr>
        <w:trPr>
          <w:trHeight w:val="195"/>
        </w:trPr>
        <w:tc>
          <w:tcPr>
            <w:tcW w:w="37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700" w:type="dxa"/>
            <w:vAlign w:val="bottom"/>
          </w:tcPr>
          <w:p>
            <w:pPr>
              <w:jc w:val="center"/>
              <w:spacing w:after="0" w:line="195" w:lineRule="exact"/>
              <w:rPr>
                <w:sz w:val="20"/>
                <w:szCs w:val="20"/>
                <w:color w:val="auto"/>
              </w:rPr>
            </w:pPr>
            <w:r>
              <w:rPr>
                <w:rFonts w:ascii="Arial" w:cs="Arial" w:eastAsia="Arial" w:hAnsi="Arial"/>
                <w:sz w:val="18"/>
                <w:szCs w:val="18"/>
                <w:color w:val="auto"/>
                <w:w w:val="94"/>
              </w:rPr>
              <w:t>Joel M. Wine</w:t>
            </w:r>
          </w:p>
        </w:tc>
        <w:tc>
          <w:tcPr>
            <w:tcW w:w="4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9"/>
              </w:rPr>
              <w:t>Senior Vice President and</w:t>
            </w:r>
          </w:p>
        </w:tc>
        <w:tc>
          <w:tcPr>
            <w:tcW w:w="4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c>
          <w:tcPr>
            <w:tcW w:w="40" w:type="dxa"/>
            <w:vAlign w:val="bottom"/>
          </w:tcPr>
          <w:p>
            <w:pPr>
              <w:spacing w:after="0"/>
              <w:rPr>
                <w:sz w:val="20"/>
                <w:szCs w:val="20"/>
                <w:color w:val="auto"/>
              </w:rPr>
            </w:pPr>
          </w:p>
        </w:tc>
      </w:tr>
      <w:tr>
        <w:trPr>
          <w:trHeight w:val="648"/>
        </w:trPr>
        <w:tc>
          <w:tcPr>
            <w:tcW w:w="3700" w:type="dxa"/>
            <w:vAlign w:val="bottom"/>
          </w:tcPr>
          <w:p>
            <w:pPr>
              <w:spacing w:after="0"/>
              <w:rPr>
                <w:sz w:val="20"/>
                <w:szCs w:val="20"/>
                <w:color w:val="auto"/>
              </w:rPr>
            </w:pPr>
            <w:r>
              <w:rPr>
                <w:rFonts w:ascii="Arial" w:cs="Arial" w:eastAsia="Arial" w:hAnsi="Arial"/>
                <w:sz w:val="18"/>
                <w:szCs w:val="18"/>
                <w:color w:val="auto"/>
              </w:rPr>
              <w:t>Date: November 5, 2015</w:t>
            </w:r>
          </w:p>
        </w:tc>
        <w:tc>
          <w:tcPr>
            <w:tcW w:w="2020" w:type="dxa"/>
            <w:vAlign w:val="bottom"/>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Dale B. Hendler</w:t>
            </w:r>
          </w:p>
        </w:tc>
        <w:tc>
          <w:tcPr>
            <w:tcW w:w="40" w:type="dxa"/>
            <w:vAlign w:val="bottom"/>
          </w:tcPr>
          <w:p>
            <w:pPr>
              <w:spacing w:after="0"/>
              <w:rPr>
                <w:sz w:val="24"/>
                <w:szCs w:val="24"/>
                <w:color w:val="auto"/>
              </w:rPr>
            </w:pPr>
          </w:p>
        </w:tc>
      </w:tr>
      <w:tr>
        <w:trPr>
          <w:trHeight w:val="195"/>
        </w:trPr>
        <w:tc>
          <w:tcPr>
            <w:tcW w:w="37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700" w:type="dxa"/>
            <w:vAlign w:val="bottom"/>
          </w:tcPr>
          <w:p>
            <w:pPr>
              <w:jc w:val="center"/>
              <w:spacing w:after="0" w:line="195" w:lineRule="exact"/>
              <w:rPr>
                <w:sz w:val="20"/>
                <w:szCs w:val="20"/>
                <w:color w:val="auto"/>
              </w:rPr>
            </w:pPr>
            <w:r>
              <w:rPr>
                <w:rFonts w:ascii="Arial" w:cs="Arial" w:eastAsia="Arial" w:hAnsi="Arial"/>
                <w:sz w:val="18"/>
                <w:szCs w:val="18"/>
                <w:color w:val="auto"/>
                <w:w w:val="92"/>
              </w:rPr>
              <w:t>Dale B. Hendler</w:t>
            </w:r>
          </w:p>
        </w:tc>
        <w:tc>
          <w:tcPr>
            <w:tcW w:w="40" w:type="dxa"/>
            <w:vAlign w:val="bottom"/>
          </w:tcPr>
          <w:p>
            <w:pPr>
              <w:spacing w:after="0"/>
              <w:rPr>
                <w:sz w:val="16"/>
                <w:szCs w:val="16"/>
                <w:color w:val="auto"/>
              </w:rPr>
            </w:pPr>
          </w:p>
        </w:tc>
      </w:tr>
      <w:tr>
        <w:trPr>
          <w:trHeight w:val="216"/>
        </w:trPr>
        <w:tc>
          <w:tcPr>
            <w:tcW w:w="37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Vice President and Controller,</w:t>
            </w:r>
          </w:p>
        </w:tc>
        <w:tc>
          <w:tcPr>
            <w:tcW w:w="4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3"/>
              </w:rPr>
              <w:t>(principal accounting officer)</w:t>
            </w:r>
          </w:p>
        </w:tc>
        <w:tc>
          <w:tcPr>
            <w:tcW w:w="40" w:type="dxa"/>
            <w:vAlign w:val="bottom"/>
          </w:tcPr>
          <w:p>
            <w:pPr>
              <w:spacing w:after="0"/>
              <w:rPr>
                <w:sz w:val="20"/>
                <w:szCs w:val="20"/>
                <w:color w:val="auto"/>
              </w:rPr>
            </w:pPr>
          </w:p>
        </w:tc>
      </w:tr>
      <w:tr>
        <w:trPr>
          <w:trHeight w:val="432"/>
        </w:trPr>
        <w:tc>
          <w:tcPr>
            <w:tcW w:w="3700" w:type="dxa"/>
            <w:vAlign w:val="bottom"/>
          </w:tcPr>
          <w:p>
            <w:pPr>
              <w:spacing w:after="0"/>
              <w:rPr>
                <w:sz w:val="24"/>
                <w:szCs w:val="24"/>
                <w:color w:val="auto"/>
              </w:rPr>
            </w:pPr>
          </w:p>
        </w:tc>
        <w:tc>
          <w:tcPr>
            <w:tcW w:w="7720" w:type="dxa"/>
            <w:vAlign w:val="bottom"/>
            <w:gridSpan w:val="2"/>
          </w:tcPr>
          <w:p>
            <w:pPr>
              <w:jc w:val="right"/>
              <w:ind w:right="553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4"/>
                <w:szCs w:val="24"/>
                <w:color w:val="auto"/>
              </w:rPr>
            </w:pPr>
          </w:p>
        </w:tc>
      </w:tr>
      <w:tr>
        <w:trPr>
          <w:trHeight w:val="132"/>
        </w:trPr>
        <w:tc>
          <w:tcPr>
            <w:tcW w:w="3700" w:type="dxa"/>
            <w:vAlign w:val="bottom"/>
            <w:tcBorders>
              <w:bottom w:val="single" w:sz="8" w:color="808080"/>
            </w:tcBorders>
          </w:tcPr>
          <w:p>
            <w:pPr>
              <w:spacing w:after="0"/>
              <w:rPr>
                <w:sz w:val="11"/>
                <w:szCs w:val="11"/>
                <w:color w:val="auto"/>
              </w:rPr>
            </w:pPr>
          </w:p>
        </w:tc>
        <w:tc>
          <w:tcPr>
            <w:tcW w:w="2020" w:type="dxa"/>
            <w:vAlign w:val="bottom"/>
            <w:tcBorders>
              <w:bottom w:val="single" w:sz="8" w:color="808080"/>
            </w:tcBorders>
          </w:tcPr>
          <w:p>
            <w:pPr>
              <w:spacing w:after="0"/>
              <w:rPr>
                <w:sz w:val="11"/>
                <w:szCs w:val="11"/>
                <w:color w:val="auto"/>
              </w:rPr>
            </w:pPr>
          </w:p>
        </w:tc>
        <w:tc>
          <w:tcPr>
            <w:tcW w:w="5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57" w:right="19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Certification of Chief Executive Officer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J. Cox, certify that:</w:t>
      </w:r>
    </w:p>
    <w:p>
      <w:pPr>
        <w:spacing w:after="0" w:line="225" w:lineRule="exact"/>
        <w:rPr>
          <w:sz w:val="20"/>
          <w:szCs w:val="20"/>
          <w:color w:val="auto"/>
        </w:rPr>
      </w:pPr>
    </w:p>
    <w:p>
      <w:pPr>
        <w:ind w:left="720" w:hanging="712"/>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225" w:lineRule="exact"/>
        <w:rPr>
          <w:rFonts w:ascii="Arial" w:cs="Arial" w:eastAsia="Arial" w:hAnsi="Arial"/>
          <w:sz w:val="18"/>
          <w:szCs w:val="18"/>
          <w:color w:val="auto"/>
        </w:rPr>
      </w:pPr>
    </w:p>
    <w:p>
      <w:pPr>
        <w:ind w:right="220" w:firstLine="8"/>
        <w:spacing w:after="0" w:line="342" w:lineRule="auto"/>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80" w:firstLine="8"/>
        <w:spacing w:after="0" w:line="277"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20" w:firstLine="8"/>
        <w:spacing w:after="0" w:line="264"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500" w:firstLine="8"/>
        <w:spacing w:after="0" w:line="264"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8"/>
        <w:spacing w:after="0" w:line="264"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 w:firstLine="8"/>
        <w:spacing w:after="0" w:line="277"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60" w:firstLine="8"/>
        <w:spacing w:after="0" w:line="264"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180" w:firstLine="8"/>
        <w:spacing w:after="0" w:line="308"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00" w:firstLine="8"/>
        <w:spacing w:after="0" w:line="277" w:lineRule="auto"/>
        <w:tabs>
          <w:tab w:leader="none" w:pos="6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60" w:firstLine="8"/>
        <w:spacing w:after="0" w:line="277"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Matthew J. Cox</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Matthew J. Cox,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Certification of Chief Financial Officer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Joel M. Wine, certify that:</w:t>
      </w:r>
    </w:p>
    <w:p>
      <w:pPr>
        <w:spacing w:after="0" w:line="225" w:lineRule="exact"/>
        <w:rPr>
          <w:sz w:val="20"/>
          <w:szCs w:val="20"/>
          <w:color w:val="auto"/>
        </w:rPr>
      </w:pPr>
    </w:p>
    <w:p>
      <w:pPr>
        <w:ind w:left="720" w:hanging="71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Matson, Inc.;</w:t>
      </w:r>
    </w:p>
    <w:p>
      <w:pPr>
        <w:spacing w:after="0" w:line="225" w:lineRule="exact"/>
        <w:rPr>
          <w:rFonts w:ascii="Arial" w:cs="Arial" w:eastAsia="Arial" w:hAnsi="Arial"/>
          <w:sz w:val="18"/>
          <w:szCs w:val="18"/>
          <w:color w:val="auto"/>
        </w:rPr>
      </w:pPr>
    </w:p>
    <w:p>
      <w:pPr>
        <w:ind w:right="220" w:firstLine="8"/>
        <w:spacing w:after="0" w:line="342" w:lineRule="auto"/>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80" w:firstLine="8"/>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20" w:firstLine="8"/>
        <w:spacing w:after="0" w:line="264"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500" w:firstLine="8"/>
        <w:spacing w:after="0" w:line="264"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8"/>
        <w:spacing w:after="0" w:line="264" w:lineRule="auto"/>
        <w:tabs>
          <w:tab w:leader="none" w:pos="7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 w:firstLine="8"/>
        <w:spacing w:after="0" w:line="277"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60" w:firstLine="8"/>
        <w:spacing w:after="0" w:line="264" w:lineRule="auto"/>
        <w:tabs>
          <w:tab w:leader="none" w:pos="7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180" w:firstLine="8"/>
        <w:spacing w:after="0" w:line="308"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00" w:firstLine="8"/>
        <w:spacing w:after="0" w:line="277"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60" w:firstLine="8"/>
        <w:spacing w:after="0" w:line="277" w:lineRule="auto"/>
        <w:tabs>
          <w:tab w:leader="none" w:pos="7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8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Joel M. Wine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Joel M. Wine, Senior Vice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ind w:left="10420"/>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on Form 10-Q of Matson, Inc. (the “Company”) for the quarterly period ended September 30, 2015, as filed with the Securities and Exchange Commission on the date hereof (the “Report”), Matthew J. Cox, as President and Chief Executive Officer of the Company, and Joel M. Wine, as Senior Vice President and Chief Financial Officer of the Company, each hereby certifies, pursuant to 18 U.S.C. Section 1350, that to their knowledge:</w:t>
      </w:r>
    </w:p>
    <w:p>
      <w:pPr>
        <w:spacing w:after="0" w:line="187" w:lineRule="exact"/>
        <w:rPr>
          <w:sz w:val="20"/>
          <w:szCs w:val="20"/>
          <w:color w:val="auto"/>
        </w:rPr>
      </w:pPr>
    </w:p>
    <w:p>
      <w:pPr>
        <w:ind w:left="720" w:hanging="712"/>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712"/>
        <w:spacing w:after="0"/>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Matthew J. Cox</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812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Matthew J. Cox</w:t>
            </w:r>
          </w:p>
        </w:tc>
        <w:tc>
          <w:tcPr>
            <w:tcW w:w="2680" w:type="dxa"/>
            <w:vAlign w:val="bottom"/>
          </w:tcPr>
          <w:p>
            <w:pPr>
              <w:spacing w:after="0"/>
              <w:rPr>
                <w:sz w:val="16"/>
                <w:szCs w:val="16"/>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8120" w:type="dxa"/>
            <w:vAlign w:val="bottom"/>
          </w:tcPr>
          <w:p>
            <w:pPr>
              <w:ind w:left="160"/>
              <w:spacing w:after="0"/>
              <w:rPr>
                <w:sz w:val="20"/>
                <w:szCs w:val="20"/>
                <w:color w:val="auto"/>
              </w:rPr>
            </w:pPr>
            <w:r>
              <w:rPr>
                <w:rFonts w:ascii="Arial" w:cs="Arial" w:eastAsia="Arial" w:hAnsi="Arial"/>
                <w:sz w:val="18"/>
                <w:szCs w:val="18"/>
                <w:color w:val="auto"/>
              </w:rPr>
              <w:t>President and Chief Executive Officer</w:t>
            </w:r>
          </w:p>
        </w:tc>
        <w:tc>
          <w:tcPr>
            <w:tcW w:w="268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8120" w:type="dxa"/>
            <w:vAlign w:val="bottom"/>
          </w:tcPr>
          <w:p>
            <w:pPr>
              <w:ind w:left="160"/>
              <w:spacing w:after="0"/>
              <w:rPr>
                <w:sz w:val="20"/>
                <w:szCs w:val="20"/>
                <w:color w:val="auto"/>
              </w:rPr>
            </w:pPr>
            <w:r>
              <w:rPr>
                <w:rFonts w:ascii="Arial" w:cs="Arial" w:eastAsia="Arial" w:hAnsi="Arial"/>
                <w:sz w:val="18"/>
                <w:szCs w:val="18"/>
                <w:color w:val="auto"/>
              </w:rPr>
              <w:t>November 5, 2015</w:t>
            </w:r>
          </w:p>
        </w:tc>
        <w:tc>
          <w:tcPr>
            <w:tcW w:w="2680" w:type="dxa"/>
            <w:vAlign w:val="bottom"/>
          </w:tcPr>
          <w:p>
            <w:pPr>
              <w:spacing w:after="0"/>
              <w:rPr>
                <w:sz w:val="20"/>
                <w:szCs w:val="20"/>
                <w:color w:val="auto"/>
              </w:rPr>
            </w:pPr>
          </w:p>
        </w:tc>
      </w:tr>
      <w:tr>
        <w:trPr>
          <w:trHeight w:val="648"/>
        </w:trPr>
        <w:tc>
          <w:tcPr>
            <w:tcW w:w="8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Joel M. Wine</w:t>
            </w:r>
          </w:p>
        </w:tc>
        <w:tc>
          <w:tcPr>
            <w:tcW w:w="2680" w:type="dxa"/>
            <w:vAlign w:val="bottom"/>
          </w:tcPr>
          <w:p>
            <w:pPr>
              <w:spacing w:after="0"/>
              <w:rPr>
                <w:sz w:val="24"/>
                <w:szCs w:val="24"/>
                <w:color w:val="auto"/>
              </w:rPr>
            </w:pP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8120" w:type="dxa"/>
            <w:vAlign w:val="bottom"/>
          </w:tcPr>
          <w:p>
            <w:pPr>
              <w:ind w:left="160"/>
              <w:spacing w:after="0" w:line="195" w:lineRule="exact"/>
              <w:rPr>
                <w:sz w:val="20"/>
                <w:szCs w:val="20"/>
                <w:color w:val="auto"/>
              </w:rPr>
            </w:pPr>
            <w:r>
              <w:rPr>
                <w:rFonts w:ascii="Arial" w:cs="Arial" w:eastAsia="Arial" w:hAnsi="Arial"/>
                <w:sz w:val="18"/>
                <w:szCs w:val="18"/>
                <w:color w:val="auto"/>
              </w:rPr>
              <w:t>Joel M. Wine</w:t>
            </w:r>
          </w:p>
        </w:tc>
        <w:tc>
          <w:tcPr>
            <w:tcW w:w="2680" w:type="dxa"/>
            <w:vAlign w:val="bottom"/>
          </w:tcPr>
          <w:p>
            <w:pPr>
              <w:spacing w:after="0"/>
              <w:rPr>
                <w:sz w:val="16"/>
                <w:szCs w:val="16"/>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8120" w:type="dxa"/>
            <w:vAlign w:val="bottom"/>
          </w:tcPr>
          <w:p>
            <w:pPr>
              <w:ind w:left="160"/>
              <w:spacing w:after="0"/>
              <w:rPr>
                <w:sz w:val="20"/>
                <w:szCs w:val="20"/>
                <w:color w:val="auto"/>
              </w:rPr>
            </w:pPr>
            <w:r>
              <w:rPr>
                <w:rFonts w:ascii="Arial" w:cs="Arial" w:eastAsia="Arial" w:hAnsi="Arial"/>
                <w:sz w:val="18"/>
                <w:szCs w:val="18"/>
                <w:color w:val="auto"/>
              </w:rPr>
              <w:t>Senior Vice President and Chief Financial Officer</w:t>
            </w:r>
          </w:p>
        </w:tc>
        <w:tc>
          <w:tcPr>
            <w:tcW w:w="268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8120" w:type="dxa"/>
            <w:vAlign w:val="bottom"/>
          </w:tcPr>
          <w:p>
            <w:pPr>
              <w:ind w:left="160"/>
              <w:spacing w:after="0"/>
              <w:rPr>
                <w:sz w:val="20"/>
                <w:szCs w:val="20"/>
                <w:color w:val="auto"/>
              </w:rPr>
            </w:pPr>
            <w:r>
              <w:rPr>
                <w:rFonts w:ascii="Arial" w:cs="Arial" w:eastAsia="Arial" w:hAnsi="Arial"/>
                <w:sz w:val="18"/>
                <w:szCs w:val="18"/>
                <w:color w:val="auto"/>
              </w:rPr>
              <w:t>November 5</w:t>
            </w:r>
            <w:r>
              <w:rPr>
                <w:rFonts w:ascii="Arial" w:cs="Arial" w:eastAsia="Arial" w:hAnsi="Arial"/>
                <w:sz w:val="17"/>
                <w:szCs w:val="17"/>
                <w:color w:val="auto"/>
              </w:rPr>
              <w:t>, 2015</w:t>
            </w:r>
          </w:p>
        </w:tc>
        <w:tc>
          <w:tcPr>
            <w:tcW w:w="2680" w:type="dxa"/>
            <w:vAlign w:val="bottom"/>
          </w:tcPr>
          <w:p>
            <w:pPr>
              <w:spacing w:after="0"/>
              <w:rPr>
                <w:sz w:val="20"/>
                <w:szCs w:val="20"/>
                <w:color w:val="auto"/>
              </w:rPr>
            </w:pPr>
          </w:p>
        </w:tc>
      </w:tr>
      <w:tr>
        <w:trPr>
          <w:trHeight w:val="348"/>
        </w:trPr>
        <w:tc>
          <w:tcPr>
            <w:tcW w:w="660" w:type="dxa"/>
            <w:vAlign w:val="bottom"/>
            <w:tcBorders>
              <w:bottom w:val="single" w:sz="8" w:color="808080"/>
            </w:tcBorders>
          </w:tcPr>
          <w:p>
            <w:pPr>
              <w:spacing w:after="0"/>
              <w:rPr>
                <w:sz w:val="24"/>
                <w:szCs w:val="24"/>
                <w:color w:val="auto"/>
              </w:rPr>
            </w:pPr>
          </w:p>
        </w:tc>
        <w:tc>
          <w:tcPr>
            <w:tcW w:w="812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decimal"/>
      <w:start w:val="6"/>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decimal"/>
      <w:start w:val="8"/>
    </w:lvl>
  </w:abstractNum>
  <w:abstractNum w:abstractNumId="10">
    <w:nsid w:val="4E6AFB66"/>
    <w:multiLevelType w:val="hybridMultilevel"/>
    <w:lvl w:ilvl="0">
      <w:lvlJc w:val="left"/>
      <w:lvlText w:val="%1."/>
      <w:numFmt w:val="decimal"/>
      <w:start w:val="9"/>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decimal"/>
      <w:start w:val="5"/>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decimal"/>
      <w:start w:val="5"/>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2019-12-05T02:35:06Z</dcterms:created>
  <dcterms:modified xsi:type="dcterms:W3CDTF">2019-12-05T02:35:06Z</dcterms:modified>
</cp:coreProperties>
</file>