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atx-20230630x10q.htm"/>
        <w:bookmarkStart w:id="1" w:name="ksmatx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825ffb71_80e8_414b_a2ce_549ff6b0cf92"/>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p>
      <w:pPr>
        <w:pStyle w:val="TextBody"/>
        <w:pBdr/>
        <w:bidi w:val="0"/>
        <w:spacing w:before="0" w:after="0"/>
        <w:ind w:left="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001-34187</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zgtBN2gLc0Gj1JnAxFm-Hw_4_1"/>
      <w:bookmarkStart w:id="4" w:name="Tc_1VcvlOezOUmlPS444yaOHw_4_0"/>
      <w:bookmarkStart w:id="5" w:name="Tc_Iijfz6ML00WgI0yaz8hxeQ_2_1"/>
      <w:bookmarkStart w:id="6" w:name="Tc_iZJf9seNKECuYkooxiOrPA_2_0"/>
      <w:bookmarkStart w:id="7" w:name="_af43c18c_e622_4da7_b8c0_a30e09a9a76f"/>
      <w:bookmarkStart w:id="8" w:name="Tc_zgtBN2gLc0Gj1JnAxFm-Hw_4_1"/>
      <w:bookmarkStart w:id="9" w:name="Tc_1VcvlOezOUmlPS444yaOHw_4_0"/>
      <w:bookmarkStart w:id="10" w:name="Tc_Iijfz6ML00WgI0yaz8hxeQ_2_1"/>
      <w:bookmarkStart w:id="11" w:name="Tc_iZJf9seNKECuYkooxiOrPA_2_0"/>
      <w:bookmarkStart w:id="12" w:name="_af43c18c_e622_4da7_b8c0_a30e09a9a76f"/>
      <w:bookmarkEnd w:id="8"/>
      <w:bookmarkEnd w:id="9"/>
      <w:bookmarkEnd w:id="10"/>
      <w:bookmarkEnd w:id="11"/>
      <w:bookmarkEnd w:id="12"/>
    </w:p>
    <w:tbl>
      <w:tblPr>
        <w:tblW w:w="4952" w:type="dxa"/>
        <w:jc w:val="left"/>
        <w:tblInd w:w="0" w:type="dxa"/>
        <w:tblLayout w:type="fixed"/>
        <w:tblCellMar>
          <w:top w:w="0" w:type="dxa"/>
          <w:left w:w="0" w:type="dxa"/>
          <w:bottom w:w="0" w:type="dxa"/>
          <w:right w:w="0" w:type="dxa"/>
        </w:tblCellMar>
      </w:tblPr>
      <w:tblGrid>
        <w:gridCol w:w="3301"/>
        <w:gridCol w:w="1651"/>
      </w:tblGrid>
      <w:tr>
        <w:trPr/>
        <w:tc>
          <w:tcPr>
            <w:tcW w:w="3301" w:type="dxa"/>
            <w:tcBorders/>
            <w:vAlign w:val="center"/>
          </w:tcPr>
          <w:p>
            <w:pPr>
              <w:pStyle w:val="TableContents"/>
              <w:bidi w:val="0"/>
              <w:spacing w:lineRule="atLeast" w:line="220" w:before="0" w:after="0"/>
              <w:ind w:left="0" w:right="0" w:hanging="0"/>
              <w:jc w:val="left"/>
              <w:rPr/>
            </w:pPr>
            <w:r>
              <w:rPr/>
              <w:t>​</w:t>
            </w:r>
          </w:p>
        </w:tc>
        <w:tc>
          <w:tcPr>
            <w:tcW w:w="1651" w:type="dxa"/>
            <w:tcBorders/>
            <w:vAlign w:val="center"/>
          </w:tcPr>
          <w:p>
            <w:pPr>
              <w:pStyle w:val="TableContents"/>
              <w:bidi w:val="0"/>
              <w:spacing w:lineRule="atLeast" w:line="220" w:before="0" w:after="0"/>
              <w:ind w:left="0" w:right="0" w:hanging="0"/>
              <w:jc w:val="left"/>
              <w:rPr/>
            </w:pPr>
            <w:r>
              <w:rPr/>
              <w:t>​</w:t>
            </w:r>
          </w:p>
        </w:tc>
      </w:tr>
      <w:tr>
        <w:trPr/>
        <w:tc>
          <w:tcPr>
            <w:tcW w:w="3301" w:type="dxa"/>
            <w:tcBorders/>
            <w:vAlign w:val="center"/>
          </w:tcPr>
          <w:p>
            <w:pPr>
              <w:pStyle w:val="TableContents"/>
              <w:pBdr/>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301" w:type="dxa"/>
            <w:tcBorders/>
            <w:vAlign w:val="center"/>
          </w:tcPr>
          <w:p>
            <w:pPr>
              <w:pStyle w:val="TableContents"/>
              <w:bidi w:val="0"/>
              <w:spacing w:lineRule="atLeast" w:line="160" w:before="0" w:after="0"/>
              <w:ind w:left="0" w:right="0" w:hanging="0"/>
              <w:jc w:val="center"/>
              <w:rPr/>
            </w:pPr>
            <w:r>
              <w:rPr/>
              <w:t>​</w:t>
            </w:r>
          </w:p>
        </w:tc>
        <w:tc>
          <w:tcPr>
            <w:tcW w:w="1651" w:type="dxa"/>
            <w:tcBorders/>
            <w:vAlign w:val="center"/>
          </w:tcPr>
          <w:p>
            <w:pPr>
              <w:pStyle w:val="TableContents"/>
              <w:bidi w:val="0"/>
              <w:spacing w:lineRule="atLeast" w:line="160" w:before="0" w:after="0"/>
              <w:ind w:left="0" w:right="0" w:hanging="0"/>
              <w:jc w:val="center"/>
              <w:rPr/>
            </w:pPr>
            <w:r>
              <w:rPr/>
              <w:t>​</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1411 Sand Island Parkway</w:t>
            </w:r>
          </w:p>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Honolulu, HI</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lineRule="atLeast" w:line="160" w:before="0" w:after="0"/>
        <w:ind w:left="0" w:right="0" w:hanging="0"/>
        <w:jc w:val="center"/>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r42fdUqLEOJ2sNsLUgzaA_1_2"/>
      <w:bookmarkStart w:id="14" w:name="Tc_Z4rWfa0cMEmPjYSOCBq8mg_1_1"/>
      <w:bookmarkStart w:id="15" w:name="Tc_RX6GNEQwMECYHt5YiCKB2g_1_0"/>
      <w:bookmarkStart w:id="16" w:name="_9ec5e65e_c459_445f_8eeb_4921fa4e128f"/>
      <w:bookmarkStart w:id="17" w:name="Tc_-r42fdUqLEOJ2sNsLUgzaA_1_2"/>
      <w:bookmarkStart w:id="18" w:name="Tc_Z4rWfa0cMEmPjYSOCBq8mg_1_1"/>
      <w:bookmarkStart w:id="19" w:name="Tc_RX6GNEQwMECYHt5YiCKB2g_1_0"/>
      <w:bookmarkStart w:id="20" w:name="_9ec5e65e_c459_445f_8eeb_4921fa4e128f"/>
      <w:bookmarkEnd w:id="17"/>
      <w:bookmarkEnd w:id="18"/>
      <w:bookmarkEnd w:id="19"/>
      <w:bookmarkEnd w:id="20"/>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60"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lineRule="atLeast" w:line="142" w:before="0" w:after="0"/>
              <w:ind w:left="0" w:right="0" w:hanging="0"/>
              <w:jc w:val="left"/>
              <w:rPr/>
            </w:pPr>
            <w:r>
              <w:rPr/>
              <w:t>​</w:t>
            </w:r>
          </w:p>
        </w:tc>
        <w:tc>
          <w:tcPr>
            <w:tcW w:w="2581" w:type="dxa"/>
            <w:tcBorders/>
            <w:vAlign w:val="center"/>
          </w:tcPr>
          <w:p>
            <w:pPr>
              <w:pStyle w:val="TableContents"/>
              <w:bidi w:val="0"/>
              <w:spacing w:lineRule="atLeast" w:line="142" w:before="0" w:after="0"/>
              <w:ind w:left="0" w:right="0" w:hanging="0"/>
              <w:jc w:val="left"/>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pPr>
      <w:r>
        <w:rPr/>
        <w:t>​</w:t>
      </w:r>
    </w:p>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Number of shares of common stock outstanding as of June 30, 2023: 35,289,089</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69f00e1a_6e94_4874_87d4_e73441d8196b"/>
      <w:bookmarkEnd w:id="21"/>
      <w:r>
        <w:rPr>
          <w:rFonts w:ascii="Times New Roman;Times;serif" w:hAnsi="Times New Roman;Times;serif"/>
          <w:b/>
          <w:sz w:val="20"/>
        </w:rPr>
        <w:t>MATSON, INC. AND SUBSIDIARIES</w:t>
      </w:r>
    </w:p>
    <w:p>
      <w:pPr>
        <w:pStyle w:val="TextBody"/>
        <w:shd w:fill="FFFFFF" w:val="clear"/>
        <w:bidi w:val="0"/>
        <w:spacing w:before="24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shd w:fill="FFFFFF" w:val="clear"/>
        <w:bidi w:val="0"/>
        <w:spacing w:before="0" w:after="0"/>
        <w:ind w:left="0" w:right="0" w:hanging="0"/>
        <w:jc w:val="center"/>
        <w:rPr/>
      </w:pPr>
      <w:r>
        <w:rPr/>
        <w:t>​</w:t>
      </w:r>
    </w:p>
    <w:tbl>
      <w:tblPr>
        <w:tblW w:w="8924" w:type="dxa"/>
        <w:jc w:val="left"/>
        <w:tblInd w:w="0" w:type="dxa"/>
        <w:shd w:fill="FFFFFF" w:val="clear"/>
        <w:tblLayout w:type="fixed"/>
        <w:tblCellMar>
          <w:top w:w="0" w:type="dxa"/>
          <w:left w:w="0" w:type="dxa"/>
          <w:bottom w:w="0" w:type="dxa"/>
          <w:right w:w="0" w:type="dxa"/>
        </w:tblCellMar>
      </w:tblPr>
      <w:tblGrid>
        <w:gridCol w:w="811"/>
        <w:gridCol w:w="7366"/>
        <w:gridCol w:w="206"/>
        <w:gridCol w:w="541"/>
      </w:tblGrid>
      <w:tr>
        <w:trPr/>
        <w:tc>
          <w:tcPr>
            <w:tcW w:w="811" w:type="dxa"/>
            <w:tcBorders/>
            <w:shd w:fill="FFFFFF" w:val="clear"/>
            <w:vAlign w:val="center"/>
          </w:tcPr>
          <w:p>
            <w:pPr>
              <w:pStyle w:val="TableContents"/>
              <w:bidi w:val="0"/>
              <w:spacing w:lineRule="atLeast" w:line="240" w:before="0" w:after="0"/>
              <w:ind w:left="0" w:right="0" w:hanging="0"/>
              <w:jc w:val="left"/>
              <w:rPr/>
            </w:pPr>
            <w:r>
              <w:rPr/>
              <w:t>​</w:t>
            </w:r>
          </w:p>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06" w:type="dxa"/>
            <w:tcBorders/>
            <w:shd w:fill="FFFFFF" w:val="clear"/>
            <w:vAlign w:val="center"/>
          </w:tcPr>
          <w:p>
            <w:pPr>
              <w:pStyle w:val="TableContents"/>
              <w:bidi w:val="0"/>
              <w:spacing w:lineRule="atLeast" w:line="240"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hyperlink w:anchor="PART_I_FINANCIAL_INFORMATION">
              <w:r>
                <w:rPr>
                  <w:rStyle w:val="InternetLink"/>
                  <w:rFonts w:ascii="Times New Roman;Times;serif" w:hAnsi="Times New Roman;Times;serif"/>
                  <w:b w:val="false"/>
                  <w:i w:val="false"/>
                  <w:caps w:val="false"/>
                  <w:smallCaps w:val="false"/>
                  <w:sz w:val="20"/>
                </w:rPr>
                <w:t>Part I—FINANCIAL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top w:val="single" w:sz="2" w:space="0" w:color="000000"/>
            </w:tcBorders>
            <w:shd w:fill="FFFFFF" w:val="clear"/>
            <w:tcMar>
              <w:top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left"/>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Financial Statements (Unaudited)</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Consolidated_Statements_of_Income">
              <w:r>
                <w:rPr>
                  <w:rStyle w:val="InternetLink"/>
                  <w:rFonts w:ascii="Times New Roman;Times;serif" w:hAnsi="Times New Roman;Times;serif"/>
                  <w:b w:val="false"/>
                  <w:i w:val="false"/>
                  <w:caps w:val="false"/>
                  <w:smallCaps w:val="false"/>
                  <w:sz w:val="20"/>
                </w:rPr>
                <w:t>Condensed Consolidated Statements of Income and Comprehensive Income</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ConsolidatedBalanceSheets_846706">
              <w:r>
                <w:rPr>
                  <w:rStyle w:val="InternetLink"/>
                  <w:rFonts w:ascii="Times New Roman;Times;serif" w:hAnsi="Times New Roman;Times;serif"/>
                  <w:b w:val="false"/>
                  <w:i w:val="false"/>
                  <w:caps w:val="false"/>
                  <w:smallCaps w:val="false"/>
                  <w:sz w:val="20"/>
                </w:rPr>
                <w:t>Condensed Consolidated Balance Sheets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StatementsofCashFlows_473640">
              <w:r>
                <w:rPr>
                  <w:rStyle w:val="InternetLink"/>
                  <w:rFonts w:ascii="Times New Roman;Times;serif" w:hAnsi="Times New Roman;Times;serif"/>
                  <w:b w:val="false"/>
                  <w:i w:val="false"/>
                  <w:caps w:val="false"/>
                  <w:smallCaps w:val="false"/>
                  <w:sz w:val="20"/>
                </w:rPr>
                <w:t>Condensed Consolidated Statements of Cash Flows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hyperlink w:anchor="StatementsofShareholdersEquity">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NOTESTOTHECONDENSEDCONSOLIDATEDFINANICAL">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Controls and Procedures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7366"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206" w:type="dxa"/>
            <w:tcBorders/>
            <w:shd w:fill="FFFFFF" w:val="clear"/>
            <w:vAlign w:val="center"/>
          </w:tcPr>
          <w:p>
            <w:pPr>
              <w:pStyle w:val="TableContents"/>
              <w:bidi w:val="0"/>
              <w:spacing w:lineRule="atLeast" w:line="240" w:before="0" w:after="0"/>
              <w:ind w:left="0" w:right="0" w:hanging="0"/>
              <w:jc w:val="right"/>
              <w:rPr>
                <w:shd w:fill="FFFF00" w:val="clear"/>
              </w:rPr>
            </w:pPr>
            <w:r>
              <w:rPr>
                <w:shd w:fill="FFFF00" w:val="clear"/>
              </w:rPr>
              <w:t>​</w:t>
            </w:r>
          </w:p>
        </w:tc>
        <w:tc>
          <w:tcPr>
            <w:tcW w:w="541" w:type="dxa"/>
            <w:tcBorders/>
            <w:shd w:fill="FFFFFF" w:val="clear"/>
            <w:vAlign w:val="center"/>
          </w:tcPr>
          <w:p>
            <w:pPr>
              <w:pStyle w:val="TableContents"/>
              <w:bidi w:val="0"/>
              <w:spacing w:lineRule="atLeast" w:line="240" w:before="0" w:after="0"/>
              <w:ind w:left="0" w:right="0" w:hanging="0"/>
              <w:jc w:val="center"/>
              <w:rPr>
                <w:shd w:fill="FFFF00" w:val="clear"/>
              </w:rPr>
            </w:pPr>
            <w:r>
              <w:rPr>
                <w:shd w:fill="FFFF00" w:val="clear"/>
              </w:rPr>
              <w:t>​</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hyperlink w:anchor="PARTIIOTHERINFORMATION_744928">
              <w:r>
                <w:rPr>
                  <w:rStyle w:val="InternetLink"/>
                  <w:rFonts w:ascii="Times New Roman;Times;serif" w:hAnsi="Times New Roman;Times;serif"/>
                  <w:b w:val="false"/>
                  <w:i w:val="false"/>
                  <w:caps w:val="false"/>
                  <w:smallCaps w:val="false"/>
                  <w:sz w:val="20"/>
                </w:rPr>
                <w:t>Part II—OTHER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Legal Proceedings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23</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Item 1A.</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Risk Factors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Defaults Upon Senior Securities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Mine Safety Disclosures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Item 5.</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Other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24</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Item 6.</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Exhibits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25</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SIGNATURES_841218">
              <w:r>
                <w:rPr>
                  <w:rStyle w:val="InternetLink"/>
                  <w:rFonts w:ascii="Times New Roman;Times;serif" w:hAnsi="Times New Roman;Times;serif"/>
                  <w:b w:val="false"/>
                  <w:i w:val="false"/>
                  <w:caps w:val="false"/>
                  <w:smallCaps w:val="false"/>
                  <w:sz w:val="20"/>
                </w:rPr>
                <w:t>Signatures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PART_I_FINANCIAL_INFORMATION"/>
      <w:bookmarkStart w:id="24" w:name="_2fecf42b_7215_4d8f_b966_487b3fac3e66"/>
      <w:bookmarkEnd w:id="23"/>
      <w:bookmarkEnd w:id="24"/>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5" w:name="ITEM_1_FINANCIAL_STATEMENTS"/>
      <w:bookmarkEnd w:id="25"/>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6" w:name="Consolidated_Statements_of_Income"/>
      <w:bookmarkEnd w:id="26"/>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 w:name="Tc_yzrbDaWkcku6t09aGEzsZA_37_0"/>
      <w:bookmarkStart w:id="28" w:name="Tc_fxOFIedPQkq3oZo0_yPo5Q_36_0"/>
      <w:bookmarkStart w:id="29" w:name="Tc_p-nSIsdp30qfQJN6CqGFyA_35_0"/>
      <w:bookmarkStart w:id="30" w:name="Tc_6QUkWOvwK0a9JZYGbM9Auw_33_11"/>
      <w:bookmarkStart w:id="31" w:name="Tc_-Iwy9G5ZOEqF142m6PRoUg_33_8"/>
      <w:bookmarkStart w:id="32" w:name="Tc_jeL_SwOOFEqj1eqYbh_Vzg_33_5"/>
      <w:bookmarkStart w:id="33" w:name="Tc_2FSv8rQjMUay30ApGgQ8CQ_33_2"/>
      <w:bookmarkStart w:id="34" w:name="Tc_nZDKaWiFXEekVGVLskAKig_33_0"/>
      <w:bookmarkStart w:id="35" w:name="Tc_I7huNB1VP0a9r1slrErrfg_32_11"/>
      <w:bookmarkStart w:id="36" w:name="Tc_6tqMI8_CsUGTS2l9zg4cbQ_32_8"/>
      <w:bookmarkStart w:id="37" w:name="Tc_PW_mq8GlM0qWIOKBX3LbdQ_32_5"/>
      <w:bookmarkStart w:id="38" w:name="Tc_roHY197F2Eq0pLXbXjCaIg_32_2"/>
      <w:bookmarkStart w:id="39" w:name="Tc_36q9TTYHBkCvVvEoOkV1Ow_32_0"/>
      <w:bookmarkStart w:id="40" w:name="Tc_uz9oX3cnikesiifoHkpWuA_30_11"/>
      <w:bookmarkStart w:id="41" w:name="Tc_Z3zigOhuMEidhBDXwhHdpw_30_8"/>
      <w:bookmarkStart w:id="42" w:name="Tc_rhawmIIroEWwZjdlJGfgng_30_5"/>
      <w:bookmarkStart w:id="43" w:name="Tc_Li7aDp9DyUKXDBR0mKMuOA_30_2"/>
      <w:bookmarkStart w:id="44" w:name="Tc_tt0JLk82ckqR73zvu_XcHw_30_0"/>
      <w:bookmarkStart w:id="45" w:name="Tc_3RWKWbAdwEiNLJxznPrDbg_29_0"/>
      <w:bookmarkStart w:id="46" w:name="Tc_ZKUlDTE3ekysp05gMopeow_28_0"/>
      <w:bookmarkStart w:id="47" w:name="Tc_D6vXbL1ROkiaRT7sQDvRHA_27_0"/>
      <w:bookmarkStart w:id="48" w:name="Tc_znFuFeSWxkaKItAYTH_TMQ_26_0"/>
      <w:bookmarkStart w:id="49" w:name="Tc_X7P_2_A-cka_h12fRJdV8Q_25_0"/>
      <w:bookmarkStart w:id="50" w:name="Tc_USilujpUT0qzAY3rn3hy5Q_24_11"/>
      <w:bookmarkStart w:id="51" w:name="Tc_Ec_kxnrHgk2wfSW-5ySg_A_24_8"/>
      <w:bookmarkStart w:id="52" w:name="Tc_mQDVg6KkF0akHcPwR3pUxA_24_5"/>
      <w:bookmarkStart w:id="53" w:name="Tc_uzn3ZK2eS0aoGgt58rfEtw_24_2"/>
      <w:bookmarkStart w:id="54" w:name="Tc_UCnLYsY9HkqHsEOQ6UqKbA_24_0"/>
      <w:bookmarkStart w:id="55" w:name="Tc_wOhKUk2g80exsakh-6T8PA_23_0"/>
      <w:bookmarkStart w:id="56" w:name="Tc_9StaEIRlW0m3yj49TPw9fg_21_11"/>
      <w:bookmarkStart w:id="57" w:name="Tc_6Gzb0mrGhkW04fJastQRew_21_8"/>
      <w:bookmarkStart w:id="58" w:name="Tc_t5jvMSEQ10a06Mj5xzEAOw_21_5"/>
      <w:bookmarkStart w:id="59" w:name="Tc_Q13exKaol02YH9wd6_qxag_21_2"/>
      <w:bookmarkStart w:id="60" w:name="Tc_NQn7oRGqJUaYjGR__P0q0Q_21_0"/>
      <w:bookmarkStart w:id="61" w:name="Tc_EkcmcL0Fq0qRKq0TAm22ZQ_20_0"/>
      <w:bookmarkStart w:id="62" w:name="Tc_5GEHeR9a7USeBt4ovky5OQ_19_0"/>
      <w:bookmarkStart w:id="63" w:name="Tc_OXe1SbONCUeNfOEiMa8J9Q_18_0"/>
      <w:bookmarkStart w:id="64" w:name="Tc_qfjcKQo4Kkub8xfvAPlrgw_17_0"/>
      <w:bookmarkStart w:id="65" w:name="Tc_BtmWvE2bskOrs4o4tWTDCA_16_12"/>
      <w:bookmarkStart w:id="66" w:name="Tc_E8vlnMNHREugB3_R87bSCQ_16_6"/>
      <w:bookmarkStart w:id="67" w:name="Tc_Aq-BvVxm6kuVklijUORYCQ_16_0"/>
      <w:bookmarkStart w:id="68" w:name="Tc_Yd-rSeQ-qUaD6QwxEZ46Rg_15_0"/>
      <w:bookmarkStart w:id="69" w:name="Tc_ngutScjkGUqwbSzmxEazzg_13_0"/>
      <w:bookmarkStart w:id="70" w:name="Tc_qyQTr1c43kah8BrFHo8q3A_12_0"/>
      <w:bookmarkStart w:id="71" w:name="Tc_YYJR7eu8kkK5NID5dqLFtw_11_0"/>
      <w:bookmarkStart w:id="72" w:name="Tc_YTSQfMWjd0Wfd_1qGBFccA_10_0"/>
      <w:bookmarkStart w:id="73" w:name="Tc_YSqoHxjZRkSiGoy9IDNskA_9_0"/>
      <w:bookmarkStart w:id="74" w:name="Tc_EjtQUU-nL0-MCNv7GoTbpw_7_0"/>
      <w:bookmarkStart w:id="75" w:name="Tc_ALkAqgPM002DTjbzYF5Hyg_6_0"/>
      <w:bookmarkStart w:id="76" w:name="Tc_QjzmvlEAzU6OsJ3Vk6SExg_5_11"/>
      <w:bookmarkStart w:id="77" w:name="Tc_JPo48jLxcEm1hAqzEwSusQ_5_8"/>
      <w:bookmarkStart w:id="78" w:name="Tc_JIH1UGw2e0m03lpxS-umHg_5_5"/>
      <w:bookmarkStart w:id="79" w:name="Tc_7TJ3xVH4dU-e6GlBbRmOSQ_5_2"/>
      <w:bookmarkStart w:id="80" w:name="Tc_4sk1xT8vRkO64C6RZbz1Kw_5_0"/>
      <w:bookmarkStart w:id="81" w:name="Tc_cLUKsxym30yawcH6NbYjEg_4_0"/>
      <w:bookmarkStart w:id="82" w:name="Tc_Jab_w_3vG0SNCjJmXRm3kw_3_11"/>
      <w:bookmarkStart w:id="83" w:name="Tc_ersNssN5tU-0wXg8U1VeBQ_3_8"/>
      <w:bookmarkStart w:id="84" w:name="Tc_FmsglW_l_EC8amgpYBeBFQ_3_5"/>
      <w:bookmarkStart w:id="85" w:name="Tc_n4tHL4vMWkGgvTGSkjUdjw_3_2"/>
      <w:bookmarkStart w:id="86" w:name="Tc_FZzCB7Qfu0yUJu2Y9FQqqg_3_0"/>
      <w:bookmarkStart w:id="87" w:name="Tc_Mq1ZjXaKuE2KHPspY-o1Dg_2_8"/>
      <w:bookmarkStart w:id="88" w:name="Tc_fDNRat5oK0SBtthuy6w7Lw_2_2"/>
      <w:bookmarkStart w:id="89" w:name="Tc_yHJZPVtWW02Nja8XnJfFiA_1_8"/>
      <w:bookmarkStart w:id="90" w:name="Tc_0cS2BjQ0MUOvG6WCoGel5A_1_2"/>
      <w:bookmarkStart w:id="91" w:name="_40632128_9b38_41f2_99c4_634cee63da95"/>
      <w:bookmarkStart w:id="92" w:name="Tc_yzrbDaWkcku6t09aGEzsZA_37_0"/>
      <w:bookmarkStart w:id="93" w:name="Tc_fxOFIedPQkq3oZo0_yPo5Q_36_0"/>
      <w:bookmarkStart w:id="94" w:name="Tc_p-nSIsdp30qfQJN6CqGFyA_35_0"/>
      <w:bookmarkStart w:id="95" w:name="Tc_6QUkWOvwK0a9JZYGbM9Auw_33_11"/>
      <w:bookmarkStart w:id="96" w:name="Tc_-Iwy9G5ZOEqF142m6PRoUg_33_8"/>
      <w:bookmarkStart w:id="97" w:name="Tc_jeL_SwOOFEqj1eqYbh_Vzg_33_5"/>
      <w:bookmarkStart w:id="98" w:name="Tc_2FSv8rQjMUay30ApGgQ8CQ_33_2"/>
      <w:bookmarkStart w:id="99" w:name="Tc_nZDKaWiFXEekVGVLskAKig_33_0"/>
      <w:bookmarkStart w:id="100" w:name="Tc_I7huNB1VP0a9r1slrErrfg_32_11"/>
      <w:bookmarkStart w:id="101" w:name="Tc_6tqMI8_CsUGTS2l9zg4cbQ_32_8"/>
      <w:bookmarkStart w:id="102" w:name="Tc_PW_mq8GlM0qWIOKBX3LbdQ_32_5"/>
      <w:bookmarkStart w:id="103" w:name="Tc_roHY197F2Eq0pLXbXjCaIg_32_2"/>
      <w:bookmarkStart w:id="104" w:name="Tc_36q9TTYHBkCvVvEoOkV1Ow_32_0"/>
      <w:bookmarkStart w:id="105" w:name="Tc_uz9oX3cnikesiifoHkpWuA_30_11"/>
      <w:bookmarkStart w:id="106" w:name="Tc_Z3zigOhuMEidhBDXwhHdpw_30_8"/>
      <w:bookmarkStart w:id="107" w:name="Tc_rhawmIIroEWwZjdlJGfgng_30_5"/>
      <w:bookmarkStart w:id="108" w:name="Tc_Li7aDp9DyUKXDBR0mKMuOA_30_2"/>
      <w:bookmarkStart w:id="109" w:name="Tc_tt0JLk82ckqR73zvu_XcHw_30_0"/>
      <w:bookmarkStart w:id="110" w:name="Tc_3RWKWbAdwEiNLJxznPrDbg_29_0"/>
      <w:bookmarkStart w:id="111" w:name="Tc_ZKUlDTE3ekysp05gMopeow_28_0"/>
      <w:bookmarkStart w:id="112" w:name="Tc_D6vXbL1ROkiaRT7sQDvRHA_27_0"/>
      <w:bookmarkStart w:id="113" w:name="Tc_znFuFeSWxkaKItAYTH_TMQ_26_0"/>
      <w:bookmarkStart w:id="114" w:name="Tc_X7P_2_A-cka_h12fRJdV8Q_25_0"/>
      <w:bookmarkStart w:id="115" w:name="Tc_USilujpUT0qzAY3rn3hy5Q_24_11"/>
      <w:bookmarkStart w:id="116" w:name="Tc_Ec_kxnrHgk2wfSW-5ySg_A_24_8"/>
      <w:bookmarkStart w:id="117" w:name="Tc_mQDVg6KkF0akHcPwR3pUxA_24_5"/>
      <w:bookmarkStart w:id="118" w:name="Tc_uzn3ZK2eS0aoGgt58rfEtw_24_2"/>
      <w:bookmarkStart w:id="119" w:name="Tc_UCnLYsY9HkqHsEOQ6UqKbA_24_0"/>
      <w:bookmarkStart w:id="120" w:name="Tc_wOhKUk2g80exsakh-6T8PA_23_0"/>
      <w:bookmarkStart w:id="121" w:name="Tc_9StaEIRlW0m3yj49TPw9fg_21_11"/>
      <w:bookmarkStart w:id="122" w:name="Tc_6Gzb0mrGhkW04fJastQRew_21_8"/>
      <w:bookmarkStart w:id="123" w:name="Tc_t5jvMSEQ10a06Mj5xzEAOw_21_5"/>
      <w:bookmarkStart w:id="124" w:name="Tc_Q13exKaol02YH9wd6_qxag_21_2"/>
      <w:bookmarkStart w:id="125" w:name="Tc_NQn7oRGqJUaYjGR__P0q0Q_21_0"/>
      <w:bookmarkStart w:id="126" w:name="Tc_EkcmcL0Fq0qRKq0TAm22ZQ_20_0"/>
      <w:bookmarkStart w:id="127" w:name="Tc_5GEHeR9a7USeBt4ovky5OQ_19_0"/>
      <w:bookmarkStart w:id="128" w:name="Tc_OXe1SbONCUeNfOEiMa8J9Q_18_0"/>
      <w:bookmarkStart w:id="129" w:name="Tc_qfjcKQo4Kkub8xfvAPlrgw_17_0"/>
      <w:bookmarkStart w:id="130" w:name="Tc_BtmWvE2bskOrs4o4tWTDCA_16_12"/>
      <w:bookmarkStart w:id="131" w:name="Tc_E8vlnMNHREugB3_R87bSCQ_16_6"/>
      <w:bookmarkStart w:id="132" w:name="Tc_Aq-BvVxm6kuVklijUORYCQ_16_0"/>
      <w:bookmarkStart w:id="133" w:name="Tc_Yd-rSeQ-qUaD6QwxEZ46Rg_15_0"/>
      <w:bookmarkStart w:id="134" w:name="Tc_ngutScjkGUqwbSzmxEazzg_13_0"/>
      <w:bookmarkStart w:id="135" w:name="Tc_qyQTr1c43kah8BrFHo8q3A_12_0"/>
      <w:bookmarkStart w:id="136" w:name="Tc_YYJR7eu8kkK5NID5dqLFtw_11_0"/>
      <w:bookmarkStart w:id="137" w:name="Tc_YTSQfMWjd0Wfd_1qGBFccA_10_0"/>
      <w:bookmarkStart w:id="138" w:name="Tc_YSqoHxjZRkSiGoy9IDNskA_9_0"/>
      <w:bookmarkStart w:id="139" w:name="Tc_EjtQUU-nL0-MCNv7GoTbpw_7_0"/>
      <w:bookmarkStart w:id="140" w:name="Tc_ALkAqgPM002DTjbzYF5Hyg_6_0"/>
      <w:bookmarkStart w:id="141" w:name="Tc_QjzmvlEAzU6OsJ3Vk6SExg_5_11"/>
      <w:bookmarkStart w:id="142" w:name="Tc_JPo48jLxcEm1hAqzEwSusQ_5_8"/>
      <w:bookmarkStart w:id="143" w:name="Tc_JIH1UGw2e0m03lpxS-umHg_5_5"/>
      <w:bookmarkStart w:id="144" w:name="Tc_7TJ3xVH4dU-e6GlBbRmOSQ_5_2"/>
      <w:bookmarkStart w:id="145" w:name="Tc_4sk1xT8vRkO64C6RZbz1Kw_5_0"/>
      <w:bookmarkStart w:id="146" w:name="Tc_cLUKsxym30yawcH6NbYjEg_4_0"/>
      <w:bookmarkStart w:id="147" w:name="Tc_Jab_w_3vG0SNCjJmXRm3kw_3_11"/>
      <w:bookmarkStart w:id="148" w:name="Tc_ersNssN5tU-0wXg8U1VeBQ_3_8"/>
      <w:bookmarkStart w:id="149" w:name="Tc_FmsglW_l_EC8amgpYBeBFQ_3_5"/>
      <w:bookmarkStart w:id="150" w:name="Tc_n4tHL4vMWkGgvTGSkjUdjw_3_2"/>
      <w:bookmarkStart w:id="151" w:name="Tc_FZzCB7Qfu0yUJu2Y9FQqqg_3_0"/>
      <w:bookmarkStart w:id="152" w:name="Tc_Mq1ZjXaKuE2KHPspY-o1Dg_2_8"/>
      <w:bookmarkStart w:id="153" w:name="Tc_fDNRat5oK0SBtthuy6w7Lw_2_2"/>
      <w:bookmarkStart w:id="154" w:name="Tc_yHJZPVtWW02Nja8XnJfFiA_1_8"/>
      <w:bookmarkStart w:id="155" w:name="Tc_0cS2BjQ0MUOvG6WCoGel5A_1_2"/>
      <w:bookmarkStart w:id="156" w:name="_40632128_9b38_41f2_99c4_634cee63da95"/>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tbl>
      <w:tblPr>
        <w:tblW w:w="10205" w:type="dxa"/>
        <w:jc w:val="left"/>
        <w:tblInd w:w="0" w:type="dxa"/>
        <w:tblLayout w:type="fixed"/>
        <w:tblCellMar>
          <w:top w:w="0" w:type="dxa"/>
          <w:left w:w="0" w:type="dxa"/>
          <w:bottom w:w="0" w:type="dxa"/>
          <w:right w:w="0" w:type="dxa"/>
        </w:tblCellMar>
      </w:tblPr>
      <w:tblGrid>
        <w:gridCol w:w="4795"/>
        <w:gridCol w:w="326"/>
        <w:gridCol w:w="211"/>
        <w:gridCol w:w="683"/>
        <w:gridCol w:w="326"/>
        <w:gridCol w:w="211"/>
        <w:gridCol w:w="721"/>
        <w:gridCol w:w="326"/>
        <w:gridCol w:w="211"/>
        <w:gridCol w:w="833"/>
        <w:gridCol w:w="326"/>
        <w:gridCol w:w="211"/>
        <w:gridCol w:w="833"/>
        <w:gridCol w:w="192"/>
      </w:tblGrid>
      <w:tr>
        <w:trPr/>
        <w:tc>
          <w:tcPr>
            <w:tcW w:w="4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044825" cy="175260"/>
                      <wp:effectExtent l="0" t="0" r="0" b="0"/>
                      <wp:wrapNone/>
                      <wp:docPr id="1" name="Frame1"/>
                      <a:graphic xmlns:a="http://schemas.openxmlformats.org/drawingml/2006/main">
                        <a:graphicData uri="http://schemas.microsoft.com/office/word/2010/wordprocessingShape">
                          <wps:wsp>
                            <wps:cNvSpPr txBox="1"/>
                            <wps:spPr>
                              <a:xfrm>
                                <a:off x="0" y="0"/>
                                <a:ext cx="304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3705" cy="175260"/>
                      <wp:effectExtent l="0" t="0" r="0" b="0"/>
                      <wp:wrapNone/>
                      <wp:docPr id="4" name="Frame4"/>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57835" cy="175260"/>
                      <wp:effectExtent l="0" t="0" r="0" b="0"/>
                      <wp:wrapNone/>
                      <wp:docPr id="7" name="Frame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8955" cy="175260"/>
                      <wp:effectExtent l="0" t="0" r="0" b="0"/>
                      <wp:wrapNone/>
                      <wp:docPr id="10" name="Frame10"/>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28955" cy="175260"/>
                      <wp:effectExtent l="0" t="0" r="0" b="0"/>
                      <wp:wrapNone/>
                      <wp:docPr id="13" name="Frame13"/>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1920" cy="175260"/>
                      <wp:effectExtent l="0" t="0" r="0" b="0"/>
                      <wp:wrapNone/>
                      <wp:docPr id="14" name="Frame14"/>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4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2" w:type="dxa"/>
            <w:tcBorders/>
            <w:vAlign w:val="center"/>
          </w:tcPr>
          <w:p>
            <w:pPr>
              <w:pStyle w:val="TableContents"/>
              <w:bidi w:val="0"/>
              <w:spacing w:before="0" w:after="0"/>
              <w:ind w:left="0" w:right="0" w:hanging="0"/>
              <w:jc w:val="left"/>
              <w:rPr/>
            </w:pPr>
            <w:r>
              <w:rPr/>
              <w:t> </w:t>
            </w:r>
          </w:p>
        </w:tc>
      </w:tr>
      <w:tr>
        <w:trPr/>
        <w:tc>
          <w:tcPr>
            <w:tcW w:w="47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8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2" w:type="dxa"/>
            <w:tcBorders/>
            <w:vAlign w:val="center"/>
          </w:tcPr>
          <w:p>
            <w:pPr>
              <w:pStyle w:val="TableContents"/>
              <w:bidi w:val="0"/>
              <w:spacing w:before="0" w:after="0"/>
              <w:ind w:left="0" w:right="0" w:hanging="0"/>
              <w:jc w:val="left"/>
              <w:rPr/>
            </w:pPr>
            <w:r>
              <w:rPr/>
              <w:t> </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1,993.1</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2,426.6</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(1,500.9)</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925.7</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47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47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7" w:name="_8e2dc7f0_a6c1_4a5e_846f_fe071c714429"/>
      <w:bookmarkEnd w:id="157"/>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158" w:name="ConsolidatedBalanceSheets_846706"/>
      <w:bookmarkEnd w:id="15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9" w:name="Tc_egpQdLro80KnnDDns1nf-g_41_5"/>
      <w:bookmarkStart w:id="160" w:name="Tc_RcxG24gAJUeuIeaBn7u3ow_41_2"/>
      <w:bookmarkStart w:id="161" w:name="Tc_rg6PY0pgzUuhcCcuGGatkA_41_0"/>
      <w:bookmarkStart w:id="162" w:name="Tc_U8wBXBdh60-crGvyJeLYqw_40_0"/>
      <w:bookmarkStart w:id="163" w:name="Tc_jaXrTj4s5EeQ6GmRxe4UaA_39_0"/>
      <w:bookmarkStart w:id="164" w:name="Tc_TvA67noW606wVgbcQxn_7g_38_0"/>
      <w:bookmarkStart w:id="165" w:name="Tc_HNjaF1a9GkKsCTw7NPbiuQ_37_0"/>
      <w:bookmarkStart w:id="166" w:name="Tc_omjIxJBuS0eScEUTEd1yzw_36_0"/>
      <w:bookmarkStart w:id="167" w:name="Tc_jcCc1_5lLUCv8WLnsW0tIQ_35_0"/>
      <w:bookmarkStart w:id="168" w:name="Tc__yLCRzkj2UGOt5cYV3bsow_34_0"/>
      <w:bookmarkStart w:id="169" w:name="Tc_jGxGYEVbR0S_IFhHFC6oDA_33_0"/>
      <w:bookmarkStart w:id="170" w:name="Tc_y8hDFhZx1USKwpmBe3k_yQ_32_0"/>
      <w:bookmarkStart w:id="171" w:name="Tc_Qo3iyf7YhECLLu03fUmkiA_31_0"/>
      <w:bookmarkStart w:id="172" w:name="Tc_zQ5wck8Pq061RadjVIutTQ_30_0"/>
      <w:bookmarkStart w:id="173" w:name="Tc_l6ieBqi-T0apOoymQVl_HA_29_0"/>
      <w:bookmarkStart w:id="174" w:name="Tc_XmsNk4WVAEKCWzYppoT6Dw_28_0"/>
      <w:bookmarkStart w:id="175" w:name="Tc_PTdbtsifW0a1yjbEHXpWWw_27_0"/>
      <w:bookmarkStart w:id="176" w:name="Tc_5hUqZfobekqtH2QUlX0_IQ_26_0"/>
      <w:bookmarkStart w:id="177" w:name="Tc_xd4Y-_n7O0WNo9yr320KuQ_25_0"/>
      <w:bookmarkStart w:id="178" w:name="Tc_zQkGTKBg5kyx-u-C7rUM0g_24_0"/>
      <w:bookmarkStart w:id="179" w:name="Tc_uTYMtq35HUWHSFGKffUm8w_23_5"/>
      <w:bookmarkStart w:id="180" w:name="Tc_PDk2Ae4rU0-54PlmZDUeKQ_23_2"/>
      <w:bookmarkStart w:id="181" w:name="Tc_US2GqiBbYUq56wNl-8wHfg_23_0"/>
      <w:bookmarkStart w:id="182" w:name="Tc_qedNzMuTu06aa1Dli-oxMQ_22_0"/>
      <w:bookmarkStart w:id="183" w:name="Tc_V7TabRnYy0uql2wq1sTi1Q_21_0"/>
      <w:bookmarkStart w:id="184" w:name="Tc_-e6oA6tqWkOt5O7jB-kWGA_19_5"/>
      <w:bookmarkStart w:id="185" w:name="Tc_-SF_U5S4MUuP54HT7JiYkg_19_2"/>
      <w:bookmarkStart w:id="186" w:name="Tc_s-tGy9OoJEaUo0OkUHjUlA_19_0"/>
      <w:bookmarkStart w:id="187" w:name="Tc_MaSdZtOUQEGNxYgP4gdIgw_18_0"/>
      <w:bookmarkStart w:id="188" w:name="Tc_c-DybyBy7UOuYLcbzzf1eg_17_0"/>
      <w:bookmarkStart w:id="189" w:name="Tc_OPhkIyCoWEmDW8hl-IerPQ_16_0"/>
      <w:bookmarkStart w:id="190" w:name="Tc_1F0rNA-PUEq6I0pgba0MfQ_15_0"/>
      <w:bookmarkStart w:id="191" w:name="Tc_MmlkojvI5kCMacbarOiXOA_14_0"/>
      <w:bookmarkStart w:id="192" w:name="Tc_Gr3Z8MgPqkiW_MbTeoyU8w_13_0"/>
      <w:bookmarkStart w:id="193" w:name="Tc_f5QqvpaRfEqVWn-_cxQ27g_12_0"/>
      <w:bookmarkStart w:id="194" w:name="Tc_twNDbf_rNU60MDUb3WYUZA_11_0"/>
      <w:bookmarkStart w:id="195" w:name="Tc_FohuLyswZkmCaiZUquOIBA_10_0"/>
      <w:bookmarkStart w:id="196" w:name="Tc_rREw4qceLEarQ6l0SQ7rsA_9_0"/>
      <w:bookmarkStart w:id="197" w:name="Tc_h17xGhojykWHn223gG35xg_8_0"/>
      <w:bookmarkStart w:id="198" w:name="Tc_v3XOOK3cy02xmBaaEJxMPg_7_0"/>
      <w:bookmarkStart w:id="199" w:name="Tc_u-gshJep1U69x-tBWnWyiw_6_0"/>
      <w:bookmarkStart w:id="200" w:name="Tc_4ieI_2TI60i1lSKFGM4g4w_5_5"/>
      <w:bookmarkStart w:id="201" w:name="Tc_Y_xsZEg7sUSv7vTFo3NRWg_5_2"/>
      <w:bookmarkStart w:id="202" w:name="Tc_LSv2X5Vc5EebsNFxpeWHPg_5_0"/>
      <w:bookmarkStart w:id="203" w:name="Tc_Js56B9Wq4ku7uoJPyjh-Hg_4_0"/>
      <w:bookmarkStart w:id="204" w:name="Tc_g_MXRRBNFkKv_0KhoRSnHQ_3_0"/>
      <w:bookmarkStart w:id="205" w:name="Tc_BOIaGMmaC0S2EXNkuhqB9A_2_5"/>
      <w:bookmarkStart w:id="206" w:name="Tc_dH-ormIU2UmxCos6O5BooA_2_2"/>
      <w:bookmarkStart w:id="207" w:name="Tc_xxS39J3qg0mVkqlUEBgcAw_2_0"/>
      <w:bookmarkStart w:id="208" w:name="Tc_UggsxTInAUezfZOmP9x-EA_1_5"/>
      <w:bookmarkStart w:id="209" w:name="Tc_Tq53nwsLOUqcF-BBRXvXgg_1_2"/>
      <w:bookmarkStart w:id="210" w:name="_4e639415_3bef_4e1f_89c3_54bf7449adc0"/>
      <w:bookmarkStart w:id="211" w:name="Tc_egpQdLro80KnnDDns1nf-g_41_5"/>
      <w:bookmarkStart w:id="212" w:name="Tc_RcxG24gAJUeuIeaBn7u3ow_41_2"/>
      <w:bookmarkStart w:id="213" w:name="Tc_rg6PY0pgzUuhcCcuGGatkA_41_0"/>
      <w:bookmarkStart w:id="214" w:name="Tc_U8wBXBdh60-crGvyJeLYqw_40_0"/>
      <w:bookmarkStart w:id="215" w:name="Tc_jaXrTj4s5EeQ6GmRxe4UaA_39_0"/>
      <w:bookmarkStart w:id="216" w:name="Tc_TvA67noW606wVgbcQxn_7g_38_0"/>
      <w:bookmarkStart w:id="217" w:name="Tc_HNjaF1a9GkKsCTw7NPbiuQ_37_0"/>
      <w:bookmarkStart w:id="218" w:name="Tc_omjIxJBuS0eScEUTEd1yzw_36_0"/>
      <w:bookmarkStart w:id="219" w:name="Tc_jcCc1_5lLUCv8WLnsW0tIQ_35_0"/>
      <w:bookmarkStart w:id="220" w:name="Tc__yLCRzkj2UGOt5cYV3bsow_34_0"/>
      <w:bookmarkStart w:id="221" w:name="Tc_jGxGYEVbR0S_IFhHFC6oDA_33_0"/>
      <w:bookmarkStart w:id="222" w:name="Tc_y8hDFhZx1USKwpmBe3k_yQ_32_0"/>
      <w:bookmarkStart w:id="223" w:name="Tc_Qo3iyf7YhECLLu03fUmkiA_31_0"/>
      <w:bookmarkStart w:id="224" w:name="Tc_zQ5wck8Pq061RadjVIutTQ_30_0"/>
      <w:bookmarkStart w:id="225" w:name="Tc_l6ieBqi-T0apOoymQVl_HA_29_0"/>
      <w:bookmarkStart w:id="226" w:name="Tc_XmsNk4WVAEKCWzYppoT6Dw_28_0"/>
      <w:bookmarkStart w:id="227" w:name="Tc_PTdbtsifW0a1yjbEHXpWWw_27_0"/>
      <w:bookmarkStart w:id="228" w:name="Tc_5hUqZfobekqtH2QUlX0_IQ_26_0"/>
      <w:bookmarkStart w:id="229" w:name="Tc_xd4Y-_n7O0WNo9yr320KuQ_25_0"/>
      <w:bookmarkStart w:id="230" w:name="Tc_zQkGTKBg5kyx-u-C7rUM0g_24_0"/>
      <w:bookmarkStart w:id="231" w:name="Tc_uTYMtq35HUWHSFGKffUm8w_23_5"/>
      <w:bookmarkStart w:id="232" w:name="Tc_PDk2Ae4rU0-54PlmZDUeKQ_23_2"/>
      <w:bookmarkStart w:id="233" w:name="Tc_US2GqiBbYUq56wNl-8wHfg_23_0"/>
      <w:bookmarkStart w:id="234" w:name="Tc_qedNzMuTu06aa1Dli-oxMQ_22_0"/>
      <w:bookmarkStart w:id="235" w:name="Tc_V7TabRnYy0uql2wq1sTi1Q_21_0"/>
      <w:bookmarkStart w:id="236" w:name="Tc_-e6oA6tqWkOt5O7jB-kWGA_19_5"/>
      <w:bookmarkStart w:id="237" w:name="Tc_-SF_U5S4MUuP54HT7JiYkg_19_2"/>
      <w:bookmarkStart w:id="238" w:name="Tc_s-tGy9OoJEaUo0OkUHjUlA_19_0"/>
      <w:bookmarkStart w:id="239" w:name="Tc_MaSdZtOUQEGNxYgP4gdIgw_18_0"/>
      <w:bookmarkStart w:id="240" w:name="Tc_c-DybyBy7UOuYLcbzzf1eg_17_0"/>
      <w:bookmarkStart w:id="241" w:name="Tc_OPhkIyCoWEmDW8hl-IerPQ_16_0"/>
      <w:bookmarkStart w:id="242" w:name="Tc_1F0rNA-PUEq6I0pgba0MfQ_15_0"/>
      <w:bookmarkStart w:id="243" w:name="Tc_MmlkojvI5kCMacbarOiXOA_14_0"/>
      <w:bookmarkStart w:id="244" w:name="Tc_Gr3Z8MgPqkiW_MbTeoyU8w_13_0"/>
      <w:bookmarkStart w:id="245" w:name="Tc_f5QqvpaRfEqVWn-_cxQ27g_12_0"/>
      <w:bookmarkStart w:id="246" w:name="Tc_twNDbf_rNU60MDUb3WYUZA_11_0"/>
      <w:bookmarkStart w:id="247" w:name="Tc_FohuLyswZkmCaiZUquOIBA_10_0"/>
      <w:bookmarkStart w:id="248" w:name="Tc_rREw4qceLEarQ6l0SQ7rsA_9_0"/>
      <w:bookmarkStart w:id="249" w:name="Tc_h17xGhojykWHn223gG35xg_8_0"/>
      <w:bookmarkStart w:id="250" w:name="Tc_v3XOOK3cy02xmBaaEJxMPg_7_0"/>
      <w:bookmarkStart w:id="251" w:name="Tc_u-gshJep1U69x-tBWnWyiw_6_0"/>
      <w:bookmarkStart w:id="252" w:name="Tc_4ieI_2TI60i1lSKFGM4g4w_5_5"/>
      <w:bookmarkStart w:id="253" w:name="Tc_Y_xsZEg7sUSv7vTFo3NRWg_5_2"/>
      <w:bookmarkStart w:id="254" w:name="Tc_LSv2X5Vc5EebsNFxpeWHPg_5_0"/>
      <w:bookmarkStart w:id="255" w:name="Tc_Js56B9Wq4ku7uoJPyjh-Hg_4_0"/>
      <w:bookmarkStart w:id="256" w:name="Tc_g_MXRRBNFkKv_0KhoRSnHQ_3_0"/>
      <w:bookmarkStart w:id="257" w:name="Tc_BOIaGMmaC0S2EXNkuhqB9A_2_5"/>
      <w:bookmarkStart w:id="258" w:name="Tc_dH-ormIU2UmxCos6O5BooA_2_2"/>
      <w:bookmarkStart w:id="259" w:name="Tc_xxS39J3qg0mVkqlUEBgcAw_2_0"/>
      <w:bookmarkStart w:id="260" w:name="Tc_UggsxTInAUezfZOmP9x-EA_1_5"/>
      <w:bookmarkStart w:id="261" w:name="Tc_Tq53nwsLOUqcF-BBRXvXgg_1_2"/>
      <w:bookmarkStart w:id="262" w:name="_4e639415_3bef_4e1f_89c3_54bf7449adc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tbl>
      <w:tblPr>
        <w:tblW w:w="10205" w:type="dxa"/>
        <w:jc w:val="left"/>
        <w:tblInd w:w="0" w:type="dxa"/>
        <w:tblLayout w:type="fixed"/>
        <w:tblCellMar>
          <w:top w:w="0" w:type="dxa"/>
          <w:left w:w="0" w:type="dxa"/>
          <w:bottom w:w="0" w:type="dxa"/>
          <w:right w:w="0" w:type="dxa"/>
        </w:tblCellMar>
      </w:tblPr>
      <w:tblGrid>
        <w:gridCol w:w="7127"/>
        <w:gridCol w:w="326"/>
        <w:gridCol w:w="211"/>
        <w:gridCol w:w="721"/>
        <w:gridCol w:w="326"/>
        <w:gridCol w:w="253"/>
        <w:gridCol w:w="869"/>
        <w:gridCol w:w="372"/>
      </w:tblGrid>
      <w:tr>
        <w:trPr/>
        <w:tc>
          <w:tcPr>
            <w:tcW w:w="7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525645" cy="175260"/>
                      <wp:effectExtent l="0" t="0" r="0" b="0"/>
                      <wp:wrapNone/>
                      <wp:docPr id="15" name="Frame15"/>
                      <a:graphic xmlns:a="http://schemas.openxmlformats.org/drawingml/2006/main">
                        <a:graphicData uri="http://schemas.microsoft.com/office/word/2010/wordprocessingShape">
                          <wps:wsp>
                            <wps:cNvSpPr txBox="1"/>
                            <wps:spPr>
                              <a:xfrm>
                                <a:off x="0" y="0"/>
                                <a:ext cx="452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57835" cy="175260"/>
                      <wp:effectExtent l="0" t="0" r="0" b="0"/>
                      <wp:wrapNone/>
                      <wp:docPr id="18" name="Frame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60655" cy="175260"/>
                      <wp:effectExtent l="0" t="0" r="0" b="0"/>
                      <wp:wrapNone/>
                      <wp:docPr id="20" name="Frame2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51815" cy="175260"/>
                      <wp:effectExtent l="0" t="0" r="0" b="0"/>
                      <wp:wrapNone/>
                      <wp:docPr id="21" name="Frame2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36220" cy="175260"/>
                      <wp:effectExtent l="0" t="0" r="0" b="0"/>
                      <wp:wrapNone/>
                      <wp:docPr id="22" name="Frame2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2" w:type="dxa"/>
            <w:tcBorders/>
            <w:vAlign w:val="center"/>
          </w:tcPr>
          <w:p>
            <w:pPr>
              <w:pStyle w:val="TableContents"/>
              <w:bidi w:val="0"/>
              <w:spacing w:before="0" w:after="0"/>
              <w:ind w:left="0" w:right="0" w:hanging="0"/>
              <w:jc w:val="center"/>
              <w:rPr/>
            </w:pPr>
            <w:r>
              <w:rPr/>
              <w:t>​</w:t>
            </w:r>
          </w:p>
        </w:tc>
      </w:tr>
      <w:tr>
        <w:trPr/>
        <w:tc>
          <w:tcPr>
            <w:tcW w:w="71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2" w:type="dxa"/>
            <w:tcBorders/>
            <w:vAlign w:val="center"/>
          </w:tcPr>
          <w:p>
            <w:pPr>
              <w:pStyle w:val="TableContents"/>
              <w:bidi w:val="0"/>
              <w:spacing w:before="0" w:after="0"/>
              <w:ind w:left="0" w:right="0" w:hanging="0"/>
              <w:jc w:val="left"/>
              <w:rPr/>
            </w:pPr>
            <w:r>
              <w:rPr/>
              <w:t>    </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$11.6 million and $13.0 million,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241.3</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759.6</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2,029.0</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1,962.5</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costs,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3,640.3</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3,570.4</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4,218.1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4,330.0</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271.1</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143.6</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549.0</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581.6</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427.7</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643.9</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646.5</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1,379.1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1,451.5</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pPr>
            <w:r>
              <w:rPr/>
              <w:t>​</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1,988.9</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1,986.2</w:t>
            </w:r>
          </w:p>
        </w:tc>
        <w:tc>
          <w:tcPr>
            <w:tcW w:w="372" w:type="dxa"/>
            <w:tcBorders/>
            <w:shd w:fill="CCEEFF" w:val="clear"/>
            <w:vAlign w:val="center"/>
          </w:tcPr>
          <w:p>
            <w:pPr>
              <w:pStyle w:val="TableContents"/>
              <w:bidi w:val="0"/>
              <w:spacing w:before="0" w:after="0"/>
              <w:ind w:left="0" w:right="0" w:hanging="0"/>
              <w:jc w:val="left"/>
              <w:rPr/>
            </w:pPr>
            <w:r>
              <w:rPr/>
              <w:t>​</w:t>
            </w:r>
          </w:p>
        </w:tc>
      </w:tr>
      <w:tr>
        <w:trPr/>
        <w:tc>
          <w:tcPr>
            <w:tcW w:w="71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2,290.0</w:t>
            </w:r>
          </w:p>
        </w:tc>
        <w:tc>
          <w:tcPr>
            <w:tcW w:w="32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2,296.9</w:t>
            </w:r>
          </w:p>
        </w:tc>
        <w:tc>
          <w:tcPr>
            <w:tcW w:w="372" w:type="dxa"/>
            <w:tcBorders/>
            <w:vAlign w:val="center"/>
          </w:tcPr>
          <w:p>
            <w:pPr>
              <w:pStyle w:val="TableContents"/>
              <w:bidi w:val="0"/>
              <w:spacing w:before="0" w:after="0"/>
              <w:ind w:left="0" w:right="0" w:hanging="0"/>
              <w:jc w:val="left"/>
              <w:rPr/>
            </w:pPr>
            <w:r>
              <w:rPr/>
              <w:t>​</w:t>
            </w:r>
          </w:p>
        </w:tc>
      </w:tr>
      <w:tr>
        <w:trPr/>
        <w:tc>
          <w:tcPr>
            <w:tcW w:w="71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4,218.1</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4,330.0</w:t>
            </w:r>
          </w:p>
        </w:tc>
        <w:tc>
          <w:tcPr>
            <w:tcW w:w="37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3" w:name="_cc43644b_2ccc_4e04_8aaf_5f69fd1376ee"/>
      <w:bookmarkEnd w:id="263"/>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64" w:name="StatementsofCashFlows_473640"/>
      <w:bookmarkEnd w:id="264"/>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65" w:name="Tc_vUgnP1HRq0SOD8jfM7PgJA_55_5"/>
      <w:bookmarkStart w:id="266" w:name="Tc_KwiF0nnRdEmcBEEf2CsOvg_55_2"/>
      <w:bookmarkStart w:id="267" w:name="Tc_X9rxCS9yuU6JBal4vhXpAA_55_0"/>
      <w:bookmarkStart w:id="268" w:name="Tc_NAXKMIe-pEylfzSJ3MmeIA_54_6"/>
      <w:bookmarkStart w:id="269" w:name="Tc_pnrLltq5PkCYZMA4tWITlA_54_5"/>
      <w:bookmarkStart w:id="270" w:name="Tc_uyb2o9kxjEKu-VAX4dE_kg_54_2"/>
      <w:bookmarkStart w:id="271" w:name="Tc_gpfQa-fzcEGfIc_AtT-NLA_54_0"/>
      <w:bookmarkStart w:id="272" w:name="Tc_MsWDs5ANCEioFvtcC7dKNg_53_5"/>
      <w:bookmarkStart w:id="273" w:name="Tc_oyQE4DZDaEmfsrDzjie5sA_53_2"/>
      <w:bookmarkStart w:id="274" w:name="Tc_64pgyinwb0WcR8jzBnjoZA_53_0"/>
      <w:bookmarkStart w:id="275" w:name="Tc_-NLg8HFuNEWDgmAlhEGCxQ_52_0"/>
      <w:bookmarkStart w:id="276" w:name="Tc_dHGhuVwIZUuO5k5mHPEPog_50_5"/>
      <w:bookmarkStart w:id="277" w:name="Tc_Xzg-Eh-PkUexohM4WdcveQ_50_2"/>
      <w:bookmarkStart w:id="278" w:name="Tc_Sdqq4mSdEEC72S6Evi_E9g_50_0"/>
      <w:bookmarkStart w:id="279" w:name="Tc_59YICleKcE2hjeTDo51j9A_49_5"/>
      <w:bookmarkStart w:id="280" w:name="Tc_BGnFkmu_Qk-6remLwqzF0w_49_2"/>
      <w:bookmarkStart w:id="281" w:name="Tc_YaJ8SR-AhUeXKQ6XCMgImg_49_0"/>
      <w:bookmarkStart w:id="282" w:name="Tc_aNnfFb_hHUuWx3qnWi0ZJg_48_0"/>
      <w:bookmarkStart w:id="283" w:name="Tc_NLcN_6jNeUGRBqgsQulTZg_46_5"/>
      <w:bookmarkStart w:id="284" w:name="Tc_zohkPvP4bEC4ZqcHA16l4w_46_2"/>
      <w:bookmarkStart w:id="285" w:name="Tc_LU09i_Y0akGt6fJwJStXaw_46_0"/>
      <w:bookmarkStart w:id="286" w:name="Tc_lEt8oVWQlkaX63c8k6UE6g_45_0"/>
      <w:bookmarkStart w:id="287" w:name="Tc_omzoiCOw30afPWfeAqXRHQ_44_5"/>
      <w:bookmarkStart w:id="288" w:name="Tc_QNhUoryF-EyhFglhEB5Kpg_44_2"/>
      <w:bookmarkStart w:id="289" w:name="Tc_kIhqh4cyTUyBUKH2YTNd1w_44_0"/>
      <w:bookmarkStart w:id="290" w:name="Tc_94ZqRhXKBE-N8AZjhoKGfg_43_0"/>
      <w:bookmarkStart w:id="291" w:name="Tc_Vl2_G_rSTkG0WqAu_S1kLA_41_5"/>
      <w:bookmarkStart w:id="292" w:name="Tc_MSLF3-glp0GaCuNc-mASoQ_41_2"/>
      <w:bookmarkStart w:id="293" w:name="Tc_uT-aEePuf0OvxGFtTW1Cdg_41_0"/>
      <w:bookmarkStart w:id="294" w:name="Tc_dn0eYZuRp0SVssd3Q_neBQ_40_0"/>
      <w:bookmarkStart w:id="295" w:name="Tc_iqqSeJXK9U2_vlWu-qtIyg_39_0"/>
      <w:bookmarkStart w:id="296" w:name="Tc_efmwFlgB2U6thWnyoeqy2g_37_0"/>
      <w:bookmarkStart w:id="297" w:name="Tc_r6bpeZWuBkKkaSeI3qS8IA_36_0"/>
      <w:bookmarkStart w:id="298" w:name="Tc_9nzNdoQ0wUKooLbxQ4WeMg_35_0"/>
      <w:bookmarkStart w:id="299" w:name="Tc_QqE58w61HEC9JpjLF6cHPg_34_0"/>
      <w:bookmarkStart w:id="300" w:name="Tc_5yZbr9y6bEWB1jS3sbqveg_33_0"/>
      <w:bookmarkStart w:id="301" w:name="Tc_vJvCXxPYWEOlzoLm6kQdog_32_0"/>
      <w:bookmarkStart w:id="302" w:name="Tc_jLIsrsdBqkuIOrNmOKAUEQ_30_0"/>
      <w:bookmarkStart w:id="303" w:name="Tc_Q-DRCE7Vq06rOSG-F91L0Q_29_0"/>
      <w:bookmarkStart w:id="304" w:name="Tc_Oe_QfdyBfUaL7sXC5sfxsw_28_0"/>
      <w:bookmarkStart w:id="305" w:name="Tc_9gHefPerF0y2-qsaVM4hSw_27_6"/>
      <w:bookmarkStart w:id="306" w:name="Tc_bIZBrG9GaEWlYRvHpHDLhA_27_0"/>
      <w:bookmarkStart w:id="307" w:name="Tc_rl5J4I1qTEKHiT8RuZrEUw_26_0"/>
      <w:bookmarkStart w:id="308" w:name="Tc_DwpgL718h0azgAhsvu6xqw_25_0"/>
      <w:bookmarkStart w:id="309" w:name="Tc_rJIBk9mBnkyLCsirCosmwg_24_0"/>
      <w:bookmarkStart w:id="310" w:name="Tc_0Q6rxXWJWkO0NK7LiE5kkw_23_0"/>
      <w:bookmarkStart w:id="311" w:name="Tc_n_-DmmdklEuAEMU72We5yA_21_0"/>
      <w:bookmarkStart w:id="312" w:name="Tc_3v77_yJu_U6E2IORbMV6HA_20_0"/>
      <w:bookmarkStart w:id="313" w:name="Tc_hCSEqBdhm02u4dJl8nhjGw_19_0"/>
      <w:bookmarkStart w:id="314" w:name="Tc_1_zSod9OPkCiGO9vWPkCKg_18_0"/>
      <w:bookmarkStart w:id="315" w:name="Tc_rUbEF1dZe02mxfhViDL_0w_17_0"/>
      <w:bookmarkStart w:id="316" w:name="Tc_XgPxZsgIiUyFnvp6Ryrauw_16_0"/>
      <w:bookmarkStart w:id="317" w:name="Tc_yPSetd9-A0-k6mI85SPzyA_15_0"/>
      <w:bookmarkStart w:id="318" w:name="Tc_JX1DVjUH3Euf01AEDCwbOg_14_0"/>
      <w:bookmarkStart w:id="319" w:name="Tc_bpAuNmlo4k2qexnnBwKd8w_13_0"/>
      <w:bookmarkStart w:id="320" w:name="Tc_jrm2q56ZU02Wefsno9sRbw_12_0"/>
      <w:bookmarkStart w:id="321" w:name="Tc_dcz38UPG8kq9gMhTK9Dq6Q_11_3"/>
      <w:bookmarkStart w:id="322" w:name="Tc_pRgCVmtiVUOBF6vnE7sb1Q_11_0"/>
      <w:bookmarkStart w:id="323" w:name="Tc_W3G_IhcTM0KYO6mVXY2NPA_10_0"/>
      <w:bookmarkStart w:id="324" w:name="Tc_B-etfna5lkeq2NK_jTQM7A_9_0"/>
      <w:bookmarkStart w:id="325" w:name="Tc_xkdCCa6hVkueG9qrkh2FPA_8_0"/>
      <w:bookmarkStart w:id="326" w:name="Tc_4QevnrRQVEWvCjtB5HJ-aQ_7_0"/>
      <w:bookmarkStart w:id="327" w:name="Tc_8U4ppYvYMEClz_Sizryzfw_6_0"/>
      <w:bookmarkStart w:id="328" w:name="Tc_z8Wxa413QkiUP7_USZ2b2g_5_0"/>
      <w:bookmarkStart w:id="329" w:name="Tc_3BbLb1njyECnELvsvK3-cg_4_5"/>
      <w:bookmarkStart w:id="330" w:name="Tc_9jItdnwdgU2UU5jpkXMUCQ_4_2"/>
      <w:bookmarkStart w:id="331" w:name="Tc_aeQmkfGJ00GT9yPaj6Iz5A_4_0"/>
      <w:bookmarkStart w:id="332" w:name="Tc_4nCM32WeGUGCh3zUWWooQg_3_0"/>
      <w:bookmarkStart w:id="333" w:name="Tc_sE3J5f9MqEK5RF2xVEUYew_2_5"/>
      <w:bookmarkStart w:id="334" w:name="Tc_cLdh1AcMrUSaKntvERacsw_2_2"/>
      <w:bookmarkStart w:id="335" w:name="Tc_HJLYb45XwkO54CsUzWymBg_2_0"/>
      <w:bookmarkStart w:id="336" w:name="Tc_Llsk1Fhfb0y88VyAcK_UGA_1_2"/>
      <w:bookmarkStart w:id="337" w:name="_dcb652cd_b01d_4c77_8295_5774b4278ea0"/>
      <w:bookmarkStart w:id="338" w:name="Tc_vUgnP1HRq0SOD8jfM7PgJA_55_5"/>
      <w:bookmarkStart w:id="339" w:name="Tc_KwiF0nnRdEmcBEEf2CsOvg_55_2"/>
      <w:bookmarkStart w:id="340" w:name="Tc_X9rxCS9yuU6JBal4vhXpAA_55_0"/>
      <w:bookmarkStart w:id="341" w:name="Tc_NAXKMIe-pEylfzSJ3MmeIA_54_6"/>
      <w:bookmarkStart w:id="342" w:name="Tc_pnrLltq5PkCYZMA4tWITlA_54_5"/>
      <w:bookmarkStart w:id="343" w:name="Tc_uyb2o9kxjEKu-VAX4dE_kg_54_2"/>
      <w:bookmarkStart w:id="344" w:name="Tc_gpfQa-fzcEGfIc_AtT-NLA_54_0"/>
      <w:bookmarkStart w:id="345" w:name="Tc_MsWDs5ANCEioFvtcC7dKNg_53_5"/>
      <w:bookmarkStart w:id="346" w:name="Tc_oyQE4DZDaEmfsrDzjie5sA_53_2"/>
      <w:bookmarkStart w:id="347" w:name="Tc_64pgyinwb0WcR8jzBnjoZA_53_0"/>
      <w:bookmarkStart w:id="348" w:name="Tc_-NLg8HFuNEWDgmAlhEGCxQ_52_0"/>
      <w:bookmarkStart w:id="349" w:name="Tc_dHGhuVwIZUuO5k5mHPEPog_50_5"/>
      <w:bookmarkStart w:id="350" w:name="Tc_Xzg-Eh-PkUexohM4WdcveQ_50_2"/>
      <w:bookmarkStart w:id="351" w:name="Tc_Sdqq4mSdEEC72S6Evi_E9g_50_0"/>
      <w:bookmarkStart w:id="352" w:name="Tc_59YICleKcE2hjeTDo51j9A_49_5"/>
      <w:bookmarkStart w:id="353" w:name="Tc_BGnFkmu_Qk-6remLwqzF0w_49_2"/>
      <w:bookmarkStart w:id="354" w:name="Tc_YaJ8SR-AhUeXKQ6XCMgImg_49_0"/>
      <w:bookmarkStart w:id="355" w:name="Tc_aNnfFb_hHUuWx3qnWi0ZJg_48_0"/>
      <w:bookmarkStart w:id="356" w:name="Tc_NLcN_6jNeUGRBqgsQulTZg_46_5"/>
      <w:bookmarkStart w:id="357" w:name="Tc_zohkPvP4bEC4ZqcHA16l4w_46_2"/>
      <w:bookmarkStart w:id="358" w:name="Tc_LU09i_Y0akGt6fJwJStXaw_46_0"/>
      <w:bookmarkStart w:id="359" w:name="Tc_lEt8oVWQlkaX63c8k6UE6g_45_0"/>
      <w:bookmarkStart w:id="360" w:name="Tc_omzoiCOw30afPWfeAqXRHQ_44_5"/>
      <w:bookmarkStart w:id="361" w:name="Tc_QNhUoryF-EyhFglhEB5Kpg_44_2"/>
      <w:bookmarkStart w:id="362" w:name="Tc_kIhqh4cyTUyBUKH2YTNd1w_44_0"/>
      <w:bookmarkStart w:id="363" w:name="Tc_94ZqRhXKBE-N8AZjhoKGfg_43_0"/>
      <w:bookmarkStart w:id="364" w:name="Tc_Vl2_G_rSTkG0WqAu_S1kLA_41_5"/>
      <w:bookmarkStart w:id="365" w:name="Tc_MSLF3-glp0GaCuNc-mASoQ_41_2"/>
      <w:bookmarkStart w:id="366" w:name="Tc_uT-aEePuf0OvxGFtTW1Cdg_41_0"/>
      <w:bookmarkStart w:id="367" w:name="Tc_dn0eYZuRp0SVssd3Q_neBQ_40_0"/>
      <w:bookmarkStart w:id="368" w:name="Tc_iqqSeJXK9U2_vlWu-qtIyg_39_0"/>
      <w:bookmarkStart w:id="369" w:name="Tc_efmwFlgB2U6thWnyoeqy2g_37_0"/>
      <w:bookmarkStart w:id="370" w:name="Tc_r6bpeZWuBkKkaSeI3qS8IA_36_0"/>
      <w:bookmarkStart w:id="371" w:name="Tc_9nzNdoQ0wUKooLbxQ4WeMg_35_0"/>
      <w:bookmarkStart w:id="372" w:name="Tc_QqE58w61HEC9JpjLF6cHPg_34_0"/>
      <w:bookmarkStart w:id="373" w:name="Tc_5yZbr9y6bEWB1jS3sbqveg_33_0"/>
      <w:bookmarkStart w:id="374" w:name="Tc_vJvCXxPYWEOlzoLm6kQdog_32_0"/>
      <w:bookmarkStart w:id="375" w:name="Tc_jLIsrsdBqkuIOrNmOKAUEQ_30_0"/>
      <w:bookmarkStart w:id="376" w:name="Tc_Q-DRCE7Vq06rOSG-F91L0Q_29_0"/>
      <w:bookmarkStart w:id="377" w:name="Tc_Oe_QfdyBfUaL7sXC5sfxsw_28_0"/>
      <w:bookmarkStart w:id="378" w:name="Tc_9gHefPerF0y2-qsaVM4hSw_27_6"/>
      <w:bookmarkStart w:id="379" w:name="Tc_bIZBrG9GaEWlYRvHpHDLhA_27_0"/>
      <w:bookmarkStart w:id="380" w:name="Tc_rl5J4I1qTEKHiT8RuZrEUw_26_0"/>
      <w:bookmarkStart w:id="381" w:name="Tc_DwpgL718h0azgAhsvu6xqw_25_0"/>
      <w:bookmarkStart w:id="382" w:name="Tc_rJIBk9mBnkyLCsirCosmwg_24_0"/>
      <w:bookmarkStart w:id="383" w:name="Tc_0Q6rxXWJWkO0NK7LiE5kkw_23_0"/>
      <w:bookmarkStart w:id="384" w:name="Tc_n_-DmmdklEuAEMU72We5yA_21_0"/>
      <w:bookmarkStart w:id="385" w:name="Tc_3v77_yJu_U6E2IORbMV6HA_20_0"/>
      <w:bookmarkStart w:id="386" w:name="Tc_hCSEqBdhm02u4dJl8nhjGw_19_0"/>
      <w:bookmarkStart w:id="387" w:name="Tc_1_zSod9OPkCiGO9vWPkCKg_18_0"/>
      <w:bookmarkStart w:id="388" w:name="Tc_rUbEF1dZe02mxfhViDL_0w_17_0"/>
      <w:bookmarkStart w:id="389" w:name="Tc_XgPxZsgIiUyFnvp6Ryrauw_16_0"/>
      <w:bookmarkStart w:id="390" w:name="Tc_yPSetd9-A0-k6mI85SPzyA_15_0"/>
      <w:bookmarkStart w:id="391" w:name="Tc_JX1DVjUH3Euf01AEDCwbOg_14_0"/>
      <w:bookmarkStart w:id="392" w:name="Tc_bpAuNmlo4k2qexnnBwKd8w_13_0"/>
      <w:bookmarkStart w:id="393" w:name="Tc_jrm2q56ZU02Wefsno9sRbw_12_0"/>
      <w:bookmarkStart w:id="394" w:name="Tc_dcz38UPG8kq9gMhTK9Dq6Q_11_3"/>
      <w:bookmarkStart w:id="395" w:name="Tc_pRgCVmtiVUOBF6vnE7sb1Q_11_0"/>
      <w:bookmarkStart w:id="396" w:name="Tc_W3G_IhcTM0KYO6mVXY2NPA_10_0"/>
      <w:bookmarkStart w:id="397" w:name="Tc_B-etfna5lkeq2NK_jTQM7A_9_0"/>
      <w:bookmarkStart w:id="398" w:name="Tc_xkdCCa6hVkueG9qrkh2FPA_8_0"/>
      <w:bookmarkStart w:id="399" w:name="Tc_4QevnrRQVEWvCjtB5HJ-aQ_7_0"/>
      <w:bookmarkStart w:id="400" w:name="Tc_8U4ppYvYMEClz_Sizryzfw_6_0"/>
      <w:bookmarkStart w:id="401" w:name="Tc_z8Wxa413QkiUP7_USZ2b2g_5_0"/>
      <w:bookmarkStart w:id="402" w:name="Tc_3BbLb1njyECnELvsvK3-cg_4_5"/>
      <w:bookmarkStart w:id="403" w:name="Tc_9jItdnwdgU2UU5jpkXMUCQ_4_2"/>
      <w:bookmarkStart w:id="404" w:name="Tc_aeQmkfGJ00GT9yPaj6Iz5A_4_0"/>
      <w:bookmarkStart w:id="405" w:name="Tc_4nCM32WeGUGCh3zUWWooQg_3_0"/>
      <w:bookmarkStart w:id="406" w:name="Tc_sE3J5f9MqEK5RF2xVEUYew_2_5"/>
      <w:bookmarkStart w:id="407" w:name="Tc_cLdh1AcMrUSaKntvERacsw_2_2"/>
      <w:bookmarkStart w:id="408" w:name="Tc_HJLYb45XwkO54CsUzWymBg_2_0"/>
      <w:bookmarkStart w:id="409" w:name="Tc_Llsk1Fhfb0y88VyAcK_UGA_1_2"/>
      <w:bookmarkStart w:id="410" w:name="_dcb652cd_b01d_4c77_8295_5774b4278ea0"/>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tbl>
      <w:tblPr>
        <w:tblW w:w="8692" w:type="dxa"/>
        <w:jc w:val="left"/>
        <w:tblInd w:w="0" w:type="dxa"/>
        <w:tblLayout w:type="fixed"/>
        <w:tblCellMar>
          <w:top w:w="0" w:type="dxa"/>
          <w:left w:w="0" w:type="dxa"/>
          <w:bottom w:w="0" w:type="dxa"/>
          <w:right w:w="0" w:type="dxa"/>
        </w:tblCellMar>
      </w:tblPr>
      <w:tblGrid>
        <w:gridCol w:w="5881"/>
        <w:gridCol w:w="326"/>
        <w:gridCol w:w="209"/>
        <w:gridCol w:w="674"/>
        <w:gridCol w:w="348"/>
        <w:gridCol w:w="209"/>
        <w:gridCol w:w="674"/>
        <w:gridCol w:w="371"/>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34435" cy="175260"/>
                      <wp:effectExtent l="0" t="0" r="0" b="0"/>
                      <wp:wrapNone/>
                      <wp:docPr id="23" name="Frame23"/>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2715" cy="175260"/>
                      <wp:effectExtent l="0" t="0" r="0" b="0"/>
                      <wp:wrapNone/>
                      <wp:docPr id="25" name="Frame25"/>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27990" cy="175260"/>
                      <wp:effectExtent l="0" t="0" r="0" b="0"/>
                      <wp:wrapNone/>
                      <wp:docPr id="26" name="Frame2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20980" cy="175260"/>
                      <wp:effectExtent l="0" t="0" r="0" b="0"/>
                      <wp:wrapNone/>
                      <wp:docPr id="27" name="Frame27"/>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2715" cy="175260"/>
                      <wp:effectExtent l="0" t="0" r="0" b="0"/>
                      <wp:wrapNone/>
                      <wp:docPr id="28" name="Frame28"/>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27990" cy="175260"/>
                      <wp:effectExtent l="0" t="0" r="0" b="0"/>
                      <wp:wrapNone/>
                      <wp:docPr id="29" name="Frame29"/>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35585" cy="175260"/>
                      <wp:effectExtent l="0" t="0" r="0" b="0"/>
                      <wp:wrapNone/>
                      <wp:docPr id="30" name="Frame3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8"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left"/>
              <w:rPr/>
            </w:pPr>
            <w:r>
              <w:rPr/>
              <w:t>    </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operating lease right 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75.7</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(income) from SSAT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from SSAT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246.5</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691.1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Capitalized vessel construction expenditures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for intangible asset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deposits and interest into the Capital Construction Fund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Withdrawals from 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(201.8)</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Matson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(82.5)</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 related to net share settlements of restricted stock units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(172.5)</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(127.8)</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326.6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Beginning of the Period</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287.7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Reconciliation of Cash, Cash Equivalents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614.3</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net of capitalized interest (including debt prepaid fees)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payments (refunds),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Information: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included in accounts payable, accruals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payment for intangible asset acquisition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1" w:name="_7386f350_219b_448c_a0ce_48e21ce76203"/>
      <w:bookmarkEnd w:id="41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412" w:name="StatementsofShareholdersEquity"/>
      <w:bookmarkEnd w:id="412"/>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13" w:name="Tc_ym7foM2IiEGU3O3PKQitjQ_19_16"/>
      <w:bookmarkStart w:id="414" w:name="Tc_uPc6X5oPnUqclBGbfH6liA_19_13"/>
      <w:bookmarkStart w:id="415" w:name="Tc_d_OetR9atEimRyqp4F9vnQ_19_10"/>
      <w:bookmarkStart w:id="416" w:name="Tc_LvvCALgqqUWLdX7jO2gJDQ_19_7"/>
      <w:bookmarkStart w:id="417" w:name="Tc_tQwyjAeJvUOztT1dyHPqeQ_19_4"/>
      <w:bookmarkStart w:id="418" w:name="Tc_Xe01p9ndgEmQAlgx-q5fHw_19_0"/>
      <w:bookmarkStart w:id="419" w:name="Tc_ghcvNtixnUW3Mvrnfm-1mw_18_11"/>
      <w:bookmarkStart w:id="420" w:name="Tc_TVC9MAxDCk26ZqvGJGpbSQ_18_8"/>
      <w:bookmarkStart w:id="421" w:name="Tc_7RCSaW1bWU-5yBIolAPDgg_18_5"/>
      <w:bookmarkStart w:id="422" w:name="Tc_XEtS90n3YE-pGmjVGcedcA_18_2"/>
      <w:bookmarkStart w:id="423" w:name="Tc_tizHcD64I0-p57XtvuvHew_18_0"/>
      <w:bookmarkStart w:id="424" w:name="Tc_lJSVsYZHE0ioDpzfc4QB_g_17_11"/>
      <w:bookmarkStart w:id="425" w:name="Tc_NF8IrfU-0U2MXfFBzMpjfg_17_0"/>
      <w:bookmarkStart w:id="426" w:name="Tc_6tbX0v2QDk6aVHi7AOvTyA_16_14"/>
      <w:bookmarkStart w:id="427" w:name="Tc_EC6GuGco7kmSX9GkQiUZMw_16_11"/>
      <w:bookmarkStart w:id="428" w:name="Tc_1vw_j_bFSE2PqzYqAUAVdA_16_5"/>
      <w:bookmarkStart w:id="429" w:name="Tc_0I1392Tu3UijU564yI3i-g_16_2"/>
      <w:bookmarkStart w:id="430" w:name="Tc_KGxs7DWCyEGTIMarh6YqeQ_16_0"/>
      <w:bookmarkStart w:id="431" w:name="Tc_hTbvCMJG6EW4wDHDUP452w_15_14"/>
      <w:bookmarkStart w:id="432" w:name="Tc_nkxz_pP0vECZX8cBVgzK-w_15_11"/>
      <w:bookmarkStart w:id="433" w:name="Tc_JR0PUNW9GEKfNQs45LgoYA_15_5"/>
      <w:bookmarkStart w:id="434" w:name="Tc_SDSAjUzZIEm0TplF7qCBRw_15_2"/>
      <w:bookmarkStart w:id="435" w:name="Tc_HyZEvBin80yiWsQa80J7eA_15_0"/>
      <w:bookmarkStart w:id="436" w:name="Tc_FRr0de_pn0yDz3rT2LqCpQ_14_14"/>
      <w:bookmarkStart w:id="437" w:name="Tc_06ckWNufJkyApg27Nn77WA_14_8"/>
      <w:bookmarkStart w:id="438" w:name="Tc_kzdwvnvcKEuRU5Uk2OTkwQ_14_5"/>
      <w:bookmarkStart w:id="439" w:name="Tc_umsdyZoqw0OMZPKc0vkR2Q_14_2"/>
      <w:bookmarkStart w:id="440" w:name="Tc_rm_HZ2QiQ0qWwmW1CvSVzQ_14_0"/>
      <w:bookmarkStart w:id="441" w:name="Tc_NY99G3KDgk-WyQUMsWTK6A_13_11"/>
      <w:bookmarkStart w:id="442" w:name="Tc_9_IM_3X9gEWVH2VJSIj1ig_13_8"/>
      <w:bookmarkStart w:id="443" w:name="Tc_VSl0yWycLE6esK4JwB-6qg_13_5"/>
      <w:bookmarkStart w:id="444" w:name="Tc_O3bZrAnIK02XuGeemjpzfg_13_2"/>
      <w:bookmarkStart w:id="445" w:name="Tc_RZXhIaIQq06zWv65OLpwCA_13_0"/>
      <w:bookmarkStart w:id="446" w:name="Tc_NPJ9OVnqHUeXeKvhz6Al0w_12_0"/>
      <w:bookmarkStart w:id="447" w:name="Tc_H0iBUhqS80qfMX0kBFlBEQ_11_11"/>
      <w:bookmarkStart w:id="448" w:name="Tc_jvatki4X50KDEwRwEi06sw_11_8"/>
      <w:bookmarkStart w:id="449" w:name="Tc_cfGBF2isCkODnPMJPk5geQ_11_5"/>
      <w:bookmarkStart w:id="450" w:name="Tc_R-jdihlTZ0iiYYtiUqhc7g_11_2"/>
      <w:bookmarkStart w:id="451" w:name="Tc_T3RZGD8YrECfJf7SHpriCA_11_0"/>
      <w:bookmarkStart w:id="452" w:name="Tc_KVus2_p-F0287MLfsteXlA_10_11"/>
      <w:bookmarkStart w:id="453" w:name="Tc_zGWHdVQN40WtkUiPo8ekdA_10_0"/>
      <w:bookmarkStart w:id="454" w:name="Tc_wMY5C1ED2Umdn_P2YaAGbw_9_14"/>
      <w:bookmarkStart w:id="455" w:name="Tc_lfYiqoWqCUayeKih4vqarw_9_11"/>
      <w:bookmarkStart w:id="456" w:name="Tc_rOwCannPrEiZMJLeFOovJA_9_0"/>
      <w:bookmarkStart w:id="457" w:name="Tc_CaR-5gCSXEKHzQWUZFx6PQ_8_14"/>
      <w:bookmarkStart w:id="458" w:name="Tc_u-PzlJ5ZOEmVrgJuvK6TZw_8_11"/>
      <w:bookmarkStart w:id="459" w:name="Tc_y8blybKV5UOwZ85Vbn5hyw_8_5"/>
      <w:bookmarkStart w:id="460" w:name="Tc_s8qAnKjZ2kCtOPYUdGA_jg_8_2"/>
      <w:bookmarkStart w:id="461" w:name="Tc_YmwgDq2gcken3riyPxtFkw_8_0"/>
      <w:bookmarkStart w:id="462" w:name="Tc_odMJoveoSUOockq9_WzIhQ_7_14"/>
      <w:bookmarkStart w:id="463" w:name="Tc_6NzzP72rzkebbQlGm9Wl-w_7_8"/>
      <w:bookmarkStart w:id="464" w:name="Tc_kqxKVZWE_UWl5Hm2vOcqTw_7_5"/>
      <w:bookmarkStart w:id="465" w:name="Tc_ERmnNFgVIE222MOK9i2kmA_7_2"/>
      <w:bookmarkStart w:id="466" w:name="Tc_Yvi2VTYrnEyRjSEORdlbkA_7_0"/>
      <w:bookmarkStart w:id="467" w:name="Tc__R3TmA3Ze0asj9HvGy6KvA_6_11"/>
      <w:bookmarkStart w:id="468" w:name="Tc_KlV4i1AX-UyrZy96YSNJuw_6_8"/>
      <w:bookmarkStart w:id="469" w:name="Tc_ZXC2Y6Czy0ahxcjy_ztHSA_6_5"/>
      <w:bookmarkStart w:id="470" w:name="Tc_zYSidYPFkEqGrSBC_YWQzg_6_2"/>
      <w:bookmarkStart w:id="471" w:name="Tc_dEirfiSZJkWQud1kLIME0Q_6_0"/>
      <w:bookmarkStart w:id="472" w:name="Tc_eXwaR0zp9ka2kkGZLsuNDA_5_16"/>
      <w:bookmarkStart w:id="473" w:name="Tc_OBW3aprvykaPBTjs-6ybFg_5_13"/>
      <w:bookmarkStart w:id="474" w:name="Tc_q3WDFmqYw0WN_FqVuhFnVQ_5_10"/>
      <w:bookmarkStart w:id="475" w:name="Tc_zwVhPMq-skyoAWh_abD_Og_5_7"/>
      <w:bookmarkStart w:id="476" w:name="Tc_kb7__TTP20marjF3t8xe-Q_5_4"/>
      <w:bookmarkStart w:id="477" w:name="Tc_Usmlrym7Tk2GAiqjtxYcXQ_5_0"/>
      <w:bookmarkStart w:id="478" w:name="Tc_tkD21YKmGkKrQSm20xSatA_4_16"/>
      <w:bookmarkStart w:id="479" w:name="Tc_BGR9DJGrsECzAcfWM5xcAA_4_13"/>
      <w:bookmarkStart w:id="480" w:name="Tc_AvngacHa6UmZXHxX7aj_1g_4_10"/>
      <w:bookmarkStart w:id="481" w:name="Tc_NcqeNkIzd0GHoYvqIWCm0Q_4_7"/>
      <w:bookmarkStart w:id="482" w:name="Tc_Pomhq9bpTUqFQvJGizAg8g_4_4"/>
      <w:bookmarkStart w:id="483" w:name="Tc_XJClk0vN4UOXodTd_v8-Ag_4_2"/>
      <w:bookmarkStart w:id="484" w:name="Tc_rhUPPjWUCkySKuPS2OhYcQ_4_0"/>
      <w:bookmarkStart w:id="485" w:name="Tc_brYUL9muakeNwDC1_BDVYQ_3_13"/>
      <w:bookmarkStart w:id="486" w:name="Tc_TPF63Tp2lU61vRrKpZDq1w_3_10"/>
      <w:bookmarkStart w:id="487" w:name="Tc_od1OEqQLG0qPrRLoVrhEig_3_7"/>
      <w:bookmarkStart w:id="488" w:name="Tc_5g2OKhnPbUq2W7zAArp4fw_3_4"/>
      <w:bookmarkStart w:id="489" w:name="Tc_npu45Eqzyka3QHEv_BmAjg_2_10"/>
      <w:bookmarkStart w:id="490" w:name="Tc_eZbUkbnWlES5Mk8HA1DUHg_2_7"/>
      <w:bookmarkStart w:id="491" w:name="Tc_UrWJvQ3mpEC9ULj7cm6-NA_2_2"/>
      <w:bookmarkStart w:id="492" w:name="Tc_uffHmRi1P0uErymHLqry1w_1_10"/>
      <w:bookmarkStart w:id="493" w:name="_84d7cc09_d41a_43f0_b3da_141481ad90f8"/>
      <w:bookmarkStart w:id="494" w:name="Tc_ym7foM2IiEGU3O3PKQitjQ_19_16"/>
      <w:bookmarkStart w:id="495" w:name="Tc_uPc6X5oPnUqclBGbfH6liA_19_13"/>
      <w:bookmarkStart w:id="496" w:name="Tc_d_OetR9atEimRyqp4F9vnQ_19_10"/>
      <w:bookmarkStart w:id="497" w:name="Tc_LvvCALgqqUWLdX7jO2gJDQ_19_7"/>
      <w:bookmarkStart w:id="498" w:name="Tc_tQwyjAeJvUOztT1dyHPqeQ_19_4"/>
      <w:bookmarkStart w:id="499" w:name="Tc_Xe01p9ndgEmQAlgx-q5fHw_19_0"/>
      <w:bookmarkStart w:id="500" w:name="Tc_ghcvNtixnUW3Mvrnfm-1mw_18_11"/>
      <w:bookmarkStart w:id="501" w:name="Tc_TVC9MAxDCk26ZqvGJGpbSQ_18_8"/>
      <w:bookmarkStart w:id="502" w:name="Tc_7RCSaW1bWU-5yBIolAPDgg_18_5"/>
      <w:bookmarkStart w:id="503" w:name="Tc_XEtS90n3YE-pGmjVGcedcA_18_2"/>
      <w:bookmarkStart w:id="504" w:name="Tc_tizHcD64I0-p57XtvuvHew_18_0"/>
      <w:bookmarkStart w:id="505" w:name="Tc_lJSVsYZHE0ioDpzfc4QB_g_17_11"/>
      <w:bookmarkStart w:id="506" w:name="Tc_NF8IrfU-0U2MXfFBzMpjfg_17_0"/>
      <w:bookmarkStart w:id="507" w:name="Tc_6tbX0v2QDk6aVHi7AOvTyA_16_14"/>
      <w:bookmarkStart w:id="508" w:name="Tc_EC6GuGco7kmSX9GkQiUZMw_16_11"/>
      <w:bookmarkStart w:id="509" w:name="Tc_1vw_j_bFSE2PqzYqAUAVdA_16_5"/>
      <w:bookmarkStart w:id="510" w:name="Tc_0I1392Tu3UijU564yI3i-g_16_2"/>
      <w:bookmarkStart w:id="511" w:name="Tc_KGxs7DWCyEGTIMarh6YqeQ_16_0"/>
      <w:bookmarkStart w:id="512" w:name="Tc_hTbvCMJG6EW4wDHDUP452w_15_14"/>
      <w:bookmarkStart w:id="513" w:name="Tc_nkxz_pP0vECZX8cBVgzK-w_15_11"/>
      <w:bookmarkStart w:id="514" w:name="Tc_JR0PUNW9GEKfNQs45LgoYA_15_5"/>
      <w:bookmarkStart w:id="515" w:name="Tc_SDSAjUzZIEm0TplF7qCBRw_15_2"/>
      <w:bookmarkStart w:id="516" w:name="Tc_HyZEvBin80yiWsQa80J7eA_15_0"/>
      <w:bookmarkStart w:id="517" w:name="Tc_FRr0de_pn0yDz3rT2LqCpQ_14_14"/>
      <w:bookmarkStart w:id="518" w:name="Tc_06ckWNufJkyApg27Nn77WA_14_8"/>
      <w:bookmarkStart w:id="519" w:name="Tc_kzdwvnvcKEuRU5Uk2OTkwQ_14_5"/>
      <w:bookmarkStart w:id="520" w:name="Tc_umsdyZoqw0OMZPKc0vkR2Q_14_2"/>
      <w:bookmarkStart w:id="521" w:name="Tc_rm_HZ2QiQ0qWwmW1CvSVzQ_14_0"/>
      <w:bookmarkStart w:id="522" w:name="Tc_NY99G3KDgk-WyQUMsWTK6A_13_11"/>
      <w:bookmarkStart w:id="523" w:name="Tc_9_IM_3X9gEWVH2VJSIj1ig_13_8"/>
      <w:bookmarkStart w:id="524" w:name="Tc_VSl0yWycLE6esK4JwB-6qg_13_5"/>
      <w:bookmarkStart w:id="525" w:name="Tc_O3bZrAnIK02XuGeemjpzfg_13_2"/>
      <w:bookmarkStart w:id="526" w:name="Tc_RZXhIaIQq06zWv65OLpwCA_13_0"/>
      <w:bookmarkStart w:id="527" w:name="Tc_NPJ9OVnqHUeXeKvhz6Al0w_12_0"/>
      <w:bookmarkStart w:id="528" w:name="Tc_H0iBUhqS80qfMX0kBFlBEQ_11_11"/>
      <w:bookmarkStart w:id="529" w:name="Tc_jvatki4X50KDEwRwEi06sw_11_8"/>
      <w:bookmarkStart w:id="530" w:name="Tc_cfGBF2isCkODnPMJPk5geQ_11_5"/>
      <w:bookmarkStart w:id="531" w:name="Tc_R-jdihlTZ0iiYYtiUqhc7g_11_2"/>
      <w:bookmarkStart w:id="532" w:name="Tc_T3RZGD8YrECfJf7SHpriCA_11_0"/>
      <w:bookmarkStart w:id="533" w:name="Tc_KVus2_p-F0287MLfsteXlA_10_11"/>
      <w:bookmarkStart w:id="534" w:name="Tc_zGWHdVQN40WtkUiPo8ekdA_10_0"/>
      <w:bookmarkStart w:id="535" w:name="Tc_wMY5C1ED2Umdn_P2YaAGbw_9_14"/>
      <w:bookmarkStart w:id="536" w:name="Tc_lfYiqoWqCUayeKih4vqarw_9_11"/>
      <w:bookmarkStart w:id="537" w:name="Tc_rOwCannPrEiZMJLeFOovJA_9_0"/>
      <w:bookmarkStart w:id="538" w:name="Tc_CaR-5gCSXEKHzQWUZFx6PQ_8_14"/>
      <w:bookmarkStart w:id="539" w:name="Tc_u-PzlJ5ZOEmVrgJuvK6TZw_8_11"/>
      <w:bookmarkStart w:id="540" w:name="Tc_y8blybKV5UOwZ85Vbn5hyw_8_5"/>
      <w:bookmarkStart w:id="541" w:name="Tc_s8qAnKjZ2kCtOPYUdGA_jg_8_2"/>
      <w:bookmarkStart w:id="542" w:name="Tc_YmwgDq2gcken3riyPxtFkw_8_0"/>
      <w:bookmarkStart w:id="543" w:name="Tc_odMJoveoSUOockq9_WzIhQ_7_14"/>
      <w:bookmarkStart w:id="544" w:name="Tc_6NzzP72rzkebbQlGm9Wl-w_7_8"/>
      <w:bookmarkStart w:id="545" w:name="Tc_kqxKVZWE_UWl5Hm2vOcqTw_7_5"/>
      <w:bookmarkStart w:id="546" w:name="Tc_ERmnNFgVIE222MOK9i2kmA_7_2"/>
      <w:bookmarkStart w:id="547" w:name="Tc_Yvi2VTYrnEyRjSEORdlbkA_7_0"/>
      <w:bookmarkStart w:id="548" w:name="Tc__R3TmA3Ze0asj9HvGy6KvA_6_11"/>
      <w:bookmarkStart w:id="549" w:name="Tc_KlV4i1AX-UyrZy96YSNJuw_6_8"/>
      <w:bookmarkStart w:id="550" w:name="Tc_ZXC2Y6Czy0ahxcjy_ztHSA_6_5"/>
      <w:bookmarkStart w:id="551" w:name="Tc_zYSidYPFkEqGrSBC_YWQzg_6_2"/>
      <w:bookmarkStart w:id="552" w:name="Tc_dEirfiSZJkWQud1kLIME0Q_6_0"/>
      <w:bookmarkStart w:id="553" w:name="Tc_eXwaR0zp9ka2kkGZLsuNDA_5_16"/>
      <w:bookmarkStart w:id="554" w:name="Tc_OBW3aprvykaPBTjs-6ybFg_5_13"/>
      <w:bookmarkStart w:id="555" w:name="Tc_q3WDFmqYw0WN_FqVuhFnVQ_5_10"/>
      <w:bookmarkStart w:id="556" w:name="Tc_zwVhPMq-skyoAWh_abD_Og_5_7"/>
      <w:bookmarkStart w:id="557" w:name="Tc_kb7__TTP20marjF3t8xe-Q_5_4"/>
      <w:bookmarkStart w:id="558" w:name="Tc_Usmlrym7Tk2GAiqjtxYcXQ_5_0"/>
      <w:bookmarkStart w:id="559" w:name="Tc_tkD21YKmGkKrQSm20xSatA_4_16"/>
      <w:bookmarkStart w:id="560" w:name="Tc_BGR9DJGrsECzAcfWM5xcAA_4_13"/>
      <w:bookmarkStart w:id="561" w:name="Tc_AvngacHa6UmZXHxX7aj_1g_4_10"/>
      <w:bookmarkStart w:id="562" w:name="Tc_NcqeNkIzd0GHoYvqIWCm0Q_4_7"/>
      <w:bookmarkStart w:id="563" w:name="Tc_Pomhq9bpTUqFQvJGizAg8g_4_4"/>
      <w:bookmarkStart w:id="564" w:name="Tc_XJClk0vN4UOXodTd_v8-Ag_4_2"/>
      <w:bookmarkStart w:id="565" w:name="Tc_rhUPPjWUCkySKuPS2OhYcQ_4_0"/>
      <w:bookmarkStart w:id="566" w:name="Tc_brYUL9muakeNwDC1_BDVYQ_3_13"/>
      <w:bookmarkStart w:id="567" w:name="Tc_TPF63Tp2lU61vRrKpZDq1w_3_10"/>
      <w:bookmarkStart w:id="568" w:name="Tc_od1OEqQLG0qPrRLoVrhEig_3_7"/>
      <w:bookmarkStart w:id="569" w:name="Tc_5g2OKhnPbUq2W7zAArp4fw_3_4"/>
      <w:bookmarkStart w:id="570" w:name="Tc_npu45Eqzyka3QHEv_BmAjg_2_10"/>
      <w:bookmarkStart w:id="571" w:name="Tc_eZbUkbnWlES5Mk8HA1DUHg_2_7"/>
      <w:bookmarkStart w:id="572" w:name="Tc_UrWJvQ3mpEC9ULj7cm6-NA_2_2"/>
      <w:bookmarkStart w:id="573" w:name="Tc_uffHmRi1P0uErymHLqry1w_1_10"/>
      <w:bookmarkStart w:id="574" w:name="_84d7cc09_d41a_43f0_b3da_141481ad90f8"/>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339"/>
        <w:gridCol w:w="682"/>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7720" cy="175260"/>
                      <wp:effectExtent l="0" t="0" r="0" b="0"/>
                      <wp:wrapNone/>
                      <wp:docPr id="31" name="Frame31"/>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24485" cy="175260"/>
                      <wp:effectExtent l="0" t="0" r="0" b="0"/>
                      <wp:wrapNone/>
                      <wp:docPr id="33" name="Frame3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00990" cy="175260"/>
                      <wp:effectExtent l="0" t="0" r="0" b="0"/>
                      <wp:wrapNone/>
                      <wp:docPr id="36" name="Frame36"/>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7665" cy="175260"/>
                      <wp:effectExtent l="0" t="0" r="0" b="0"/>
                      <wp:wrapNone/>
                      <wp:docPr id="39" name="Frame3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5265" cy="175260"/>
                      <wp:effectExtent l="0" t="0" r="0" b="0"/>
                      <wp:wrapNone/>
                      <wp:docPr id="41" name="Frame4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33070" cy="175260"/>
                      <wp:effectExtent l="0" t="0" r="0" b="0"/>
                      <wp:wrapNone/>
                      <wp:docPr id="42" name="Frame42"/>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57835" cy="175260"/>
                      <wp:effectExtent l="0" t="0" r="0" b="0"/>
                      <wp:wrapNone/>
                      <wp:docPr id="45" name="Frame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25145" cy="175260"/>
                      <wp:effectExtent l="0" t="0" r="0" b="0"/>
                      <wp:wrapNone/>
                      <wp:docPr id="48" name="Frame48"/>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290.4</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2,296.9</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($0.31</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2023</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2,270.3</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80.8</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($0.31</w:t>
            </w:r>
            <w:r>
              <w:rPr>
                <w:rFonts w:ascii="Times New Roman;Times;serif" w:hAnsi="Times New Roman;Times;serif"/>
                <w:sz w:val="18"/>
              </w:rPr>
              <w:t xml:space="preserve"> </w:t>
            </w:r>
            <w:r>
              <w:rPr>
                <w:rFonts w:ascii="Times New Roman;Times;serif" w:hAnsi="Times New Roman;Times;serif"/>
                <w:sz w:val="19"/>
              </w:rPr>
              <w:t>per share and $0.32</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282.7</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2,290.0</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75" w:name="Tc_8tGAEkfIO0-20neJW6S_bA_19_16"/>
      <w:bookmarkStart w:id="576" w:name="Tc_pnHaPTtiH0GOBkJdj3dd_w_19_13"/>
      <w:bookmarkStart w:id="577" w:name="Tc_vh3Mj1Li80ijbk09SHszsw_19_10"/>
      <w:bookmarkStart w:id="578" w:name="Tc_jn7pFk1qGk2Ur_e1n4b_7A_19_7"/>
      <w:bookmarkStart w:id="579" w:name="Tc_JML__bwHmE6zODLlvaptLA_19_4"/>
      <w:bookmarkStart w:id="580" w:name="Tc_6HH96zoFL0K-dRtGWu5vSA_19_0"/>
      <w:bookmarkStart w:id="581" w:name="Tc_72BDqkmI4kGrmvtd9kVxow_18_11"/>
      <w:bookmarkStart w:id="582" w:name="Tc_8-Aub6uOL0mvLxfKejf1-A_18_8"/>
      <w:bookmarkStart w:id="583" w:name="Tc_2zeh60bCvEWgy_Ep3wYjzw_18_5"/>
      <w:bookmarkStart w:id="584" w:name="Tc_7o-qcSJ8jEyWmcghDHtPQA_18_2"/>
      <w:bookmarkStart w:id="585" w:name="Tc_Qrn8nl69LU2a8lc92Pxllg_18_0"/>
      <w:bookmarkStart w:id="586" w:name="Tc_S0pDxMVWOUmQ3IpwwZrSOA_17_11"/>
      <w:bookmarkStart w:id="587" w:name="Tc_RMG1XdHzxEOJazhmlUYR9Q_17_0"/>
      <w:bookmarkStart w:id="588" w:name="Tc_Hysi2OtS60GJVHE7-S4EFg_16_14"/>
      <w:bookmarkStart w:id="589" w:name="Tc_gdTMCvk1cUiOChrdmV5TFA_16_11"/>
      <w:bookmarkStart w:id="590" w:name="Tc_NcdKRCMoFE6MWuEMpQiJPQ_16_5"/>
      <w:bookmarkStart w:id="591" w:name="Tc_8SPV0GYtykutbl09AHifvA_16_0"/>
      <w:bookmarkStart w:id="592" w:name="Tc_xXRUvdDVlk6jtYD3cwHdMA_15_14"/>
      <w:bookmarkStart w:id="593" w:name="Tc_EBmue2xApUq-mlvUGd4vug_15_11"/>
      <w:bookmarkStart w:id="594" w:name="Tc_HF6yqWgiGESOvqHOjXdUFg_15_5"/>
      <w:bookmarkStart w:id="595" w:name="Tc_dzlnu_Rg6Eeo5qDlK9fE7w_15_2"/>
      <w:bookmarkStart w:id="596" w:name="Tc__wpFa9gms02R0DqSXuccbg_15_0"/>
      <w:bookmarkStart w:id="597" w:name="Tc_26ar3UbBUE6u0MkB-RIsCA_14_14"/>
      <w:bookmarkStart w:id="598" w:name="Tc_bJEIkrZCr0qlOQuXO325sw_14_8"/>
      <w:bookmarkStart w:id="599" w:name="Tc_FaBgZzR-A0qy54teoqIUXA_14_5"/>
      <w:bookmarkStart w:id="600" w:name="Tc_Bo7MrvKHGkGs-rvStNq41A_14_2"/>
      <w:bookmarkStart w:id="601" w:name="Tc_gHBc--07J0mdvFLbjJviiQ_14_0"/>
      <w:bookmarkStart w:id="602" w:name="Tc_sE8mGGlrLEGHZg7Ae7eTCQ_13_11"/>
      <w:bookmarkStart w:id="603" w:name="Tc_C1QS5OsdcUCKa6CIVBuGDw_13_8"/>
      <w:bookmarkStart w:id="604" w:name="Tc_5v1mc-c-L06ubFVwjyD7eg_13_5"/>
      <w:bookmarkStart w:id="605" w:name="Tc_qcOfh-KYBUSrtkAKMBsmZg_13_2"/>
      <w:bookmarkStart w:id="606" w:name="Tc_Br9PZE5kmEelg0hwh96pwQ_13_0"/>
      <w:bookmarkStart w:id="607" w:name="Tc_I2GdW5SqUECLs_L_Zi8PNw_12_0"/>
      <w:bookmarkStart w:id="608" w:name="Tc_bz_5L9DTcUu5hot0xykBHA_11_11"/>
      <w:bookmarkStart w:id="609" w:name="Tc_7EChAbQ4OkO6uMmXzDgtmA_11_8"/>
      <w:bookmarkStart w:id="610" w:name="Tc_ek0WfjUYTkuJC2c3kVuWiA_11_5"/>
      <w:bookmarkStart w:id="611" w:name="Tc_rzplw_5GVUC02JPGdjQ47Q_11_2"/>
      <w:bookmarkStart w:id="612" w:name="Tc_cI5SINu1fU-M7EnNfvROCg_11_0"/>
      <w:bookmarkStart w:id="613" w:name="Tc_Xz-j5PvEHEKcNp46mHzEtQ_10_11"/>
      <w:bookmarkStart w:id="614" w:name="Tc_LY2oPCMG5E27YVS6Zkl7jg_10_0"/>
      <w:bookmarkStart w:id="615" w:name="Tc_0wUmUdDE406A8Y5O1b4rkQ_9_14"/>
      <w:bookmarkStart w:id="616" w:name="Tc_Advb9LMH2EiX5GRMCNEaCg_9_11"/>
      <w:bookmarkStart w:id="617" w:name="Tc_dgqcFx9BUkqlLHUM69rY_w_9_0"/>
      <w:bookmarkStart w:id="618" w:name="Tc_h4NCJYXAN0CZZk39Nbt_iw_8_14"/>
      <w:bookmarkStart w:id="619" w:name="Tc_RFwssCsRGUuRRsgArJ5jmA_8_11"/>
      <w:bookmarkStart w:id="620" w:name="Tc_QlmC0u2ZB06pYQLSVvVUqw_8_5"/>
      <w:bookmarkStart w:id="621" w:name="Tc_0y_K771ZyUioX8m2ttfy1A_8_2"/>
      <w:bookmarkStart w:id="622" w:name="Tc_cwldWGx0sECLt80AskdABA_8_0"/>
      <w:bookmarkStart w:id="623" w:name="Tc_VsVlaYZySE23nyRsdEKvSw_7_14"/>
      <w:bookmarkStart w:id="624" w:name="Tc_cGeexCpUdUamyk16jQDcwg_7_8"/>
      <w:bookmarkStart w:id="625" w:name="Tc_7_uzAKz8wU27-8LtPWnycA_7_5"/>
      <w:bookmarkStart w:id="626" w:name="Tc_Ae5WHhVvI0a4dOtrLsz7oA_7_2"/>
      <w:bookmarkStart w:id="627" w:name="Tc_DEGO7f81lEiv0l3wO8rsLQ_7_0"/>
      <w:bookmarkStart w:id="628" w:name="Tc_lJrEdmgRi0igH2i_OBu_yA_6_11"/>
      <w:bookmarkStart w:id="629" w:name="Tc_iMMmmOT1PUCUY04GBrMEfg_6_8"/>
      <w:bookmarkStart w:id="630" w:name="Tc_nA4bZDKMIka4ELXdX8Vhhg_6_5"/>
      <w:bookmarkStart w:id="631" w:name="Tc_RbtX3htYXECHTMfsE2RE3w_6_2"/>
      <w:bookmarkStart w:id="632" w:name="Tc_38oe9Yq0XUGRXgoeSroOnQ_6_0"/>
      <w:bookmarkStart w:id="633" w:name="Tc_JX5iX3rjn0ShFThRhy9gqg_5_16"/>
      <w:bookmarkStart w:id="634" w:name="Tc_elLlt4YhGE2vQz3zA1rc3A_5_13"/>
      <w:bookmarkStart w:id="635" w:name="Tc_A0a-FPPWHkq6h0UuR2cPQg_5_10"/>
      <w:bookmarkStart w:id="636" w:name="Tc_w-_bBkB3cEWBLi2y6Z8R9A_5_7"/>
      <w:bookmarkStart w:id="637" w:name="Tc_qH05ovDqLk2kjggiQhYUNQ_5_4"/>
      <w:bookmarkStart w:id="638" w:name="Tc_rkHoc7ojEUaZS1pjcB7MZQ_5_0"/>
      <w:bookmarkStart w:id="639" w:name="Tc_45WEY2o0zEG2hslxgL-1Vw_4_16"/>
      <w:bookmarkStart w:id="640" w:name="Tc_cPxPdZpcEUmxiKnTY6z--Q_4_13"/>
      <w:bookmarkStart w:id="641" w:name="Tc_2dtbRqPM_06B4pjlQFp6zw_4_10"/>
      <w:bookmarkStart w:id="642" w:name="Tc_C7u_MIpDWkuvXUu9XrNo-A_4_7"/>
      <w:bookmarkStart w:id="643" w:name="Tc_SUESgoShVkuufESGSdUfnQ_4_4"/>
      <w:bookmarkStart w:id="644" w:name="Tc_p7Xh_Bdf7UWXqv0seEiXmg_4_2"/>
      <w:bookmarkStart w:id="645" w:name="Tc_YVoPQHxG-kWaXiTXOB15sQ_4_0"/>
      <w:bookmarkStart w:id="646" w:name="Tc_NovU-QHzOUeRh6W-_sHi8A_3_13"/>
      <w:bookmarkStart w:id="647" w:name="Tc_Wj6S1lo2Yki_907asYSAaA_3_10"/>
      <w:bookmarkStart w:id="648" w:name="Tc_HnS2v5UgfUuEuZVAMJjeqA_3_7"/>
      <w:bookmarkStart w:id="649" w:name="Tc_WKy-6n01SkmnyPmCvh5-0g_3_4"/>
      <w:bookmarkStart w:id="650" w:name="Tc_EkZoH96YrUeHxload2GLcg_2_10"/>
      <w:bookmarkStart w:id="651" w:name="Tc_ECEUW3jJPk-4PEycg8Yfzw_2_7"/>
      <w:bookmarkStart w:id="652" w:name="Tc_l5lhLRoV6Um5GzEIfn_Y3w_2_2"/>
      <w:bookmarkStart w:id="653" w:name="Tc_y-Jyt5V-gEqe89SG07YwWw_1_10"/>
      <w:bookmarkStart w:id="654" w:name="_b37e51c8_13fe_428b_9ad1_1dea474ee262"/>
      <w:bookmarkStart w:id="655" w:name="Tc_8tGAEkfIO0-20neJW6S_bA_19_16"/>
      <w:bookmarkStart w:id="656" w:name="Tc_pnHaPTtiH0GOBkJdj3dd_w_19_13"/>
      <w:bookmarkStart w:id="657" w:name="Tc_vh3Mj1Li80ijbk09SHszsw_19_10"/>
      <w:bookmarkStart w:id="658" w:name="Tc_jn7pFk1qGk2Ur_e1n4b_7A_19_7"/>
      <w:bookmarkStart w:id="659" w:name="Tc_JML__bwHmE6zODLlvaptLA_19_4"/>
      <w:bookmarkStart w:id="660" w:name="Tc_6HH96zoFL0K-dRtGWu5vSA_19_0"/>
      <w:bookmarkStart w:id="661" w:name="Tc_72BDqkmI4kGrmvtd9kVxow_18_11"/>
      <w:bookmarkStart w:id="662" w:name="Tc_8-Aub6uOL0mvLxfKejf1-A_18_8"/>
      <w:bookmarkStart w:id="663" w:name="Tc_2zeh60bCvEWgy_Ep3wYjzw_18_5"/>
      <w:bookmarkStart w:id="664" w:name="Tc_7o-qcSJ8jEyWmcghDHtPQA_18_2"/>
      <w:bookmarkStart w:id="665" w:name="Tc_Qrn8nl69LU2a8lc92Pxllg_18_0"/>
      <w:bookmarkStart w:id="666" w:name="Tc_S0pDxMVWOUmQ3IpwwZrSOA_17_11"/>
      <w:bookmarkStart w:id="667" w:name="Tc_RMG1XdHzxEOJazhmlUYR9Q_17_0"/>
      <w:bookmarkStart w:id="668" w:name="Tc_Hysi2OtS60GJVHE7-S4EFg_16_14"/>
      <w:bookmarkStart w:id="669" w:name="Tc_gdTMCvk1cUiOChrdmV5TFA_16_11"/>
      <w:bookmarkStart w:id="670" w:name="Tc_NcdKRCMoFE6MWuEMpQiJPQ_16_5"/>
      <w:bookmarkStart w:id="671" w:name="Tc_8SPV0GYtykutbl09AHifvA_16_0"/>
      <w:bookmarkStart w:id="672" w:name="Tc_xXRUvdDVlk6jtYD3cwHdMA_15_14"/>
      <w:bookmarkStart w:id="673" w:name="Tc_EBmue2xApUq-mlvUGd4vug_15_11"/>
      <w:bookmarkStart w:id="674" w:name="Tc_HF6yqWgiGESOvqHOjXdUFg_15_5"/>
      <w:bookmarkStart w:id="675" w:name="Tc_dzlnu_Rg6Eeo5qDlK9fE7w_15_2"/>
      <w:bookmarkStart w:id="676" w:name="Tc__wpFa9gms02R0DqSXuccbg_15_0"/>
      <w:bookmarkStart w:id="677" w:name="Tc_26ar3UbBUE6u0MkB-RIsCA_14_14"/>
      <w:bookmarkStart w:id="678" w:name="Tc_bJEIkrZCr0qlOQuXO325sw_14_8"/>
      <w:bookmarkStart w:id="679" w:name="Tc_FaBgZzR-A0qy54teoqIUXA_14_5"/>
      <w:bookmarkStart w:id="680" w:name="Tc_Bo7MrvKHGkGs-rvStNq41A_14_2"/>
      <w:bookmarkStart w:id="681" w:name="Tc_gHBc--07J0mdvFLbjJviiQ_14_0"/>
      <w:bookmarkStart w:id="682" w:name="Tc_sE8mGGlrLEGHZg7Ae7eTCQ_13_11"/>
      <w:bookmarkStart w:id="683" w:name="Tc_C1QS5OsdcUCKa6CIVBuGDw_13_8"/>
      <w:bookmarkStart w:id="684" w:name="Tc_5v1mc-c-L06ubFVwjyD7eg_13_5"/>
      <w:bookmarkStart w:id="685" w:name="Tc_qcOfh-KYBUSrtkAKMBsmZg_13_2"/>
      <w:bookmarkStart w:id="686" w:name="Tc_Br9PZE5kmEelg0hwh96pwQ_13_0"/>
      <w:bookmarkStart w:id="687" w:name="Tc_I2GdW5SqUECLs_L_Zi8PNw_12_0"/>
      <w:bookmarkStart w:id="688" w:name="Tc_bz_5L9DTcUu5hot0xykBHA_11_11"/>
      <w:bookmarkStart w:id="689" w:name="Tc_7EChAbQ4OkO6uMmXzDgtmA_11_8"/>
      <w:bookmarkStart w:id="690" w:name="Tc_ek0WfjUYTkuJC2c3kVuWiA_11_5"/>
      <w:bookmarkStart w:id="691" w:name="Tc_rzplw_5GVUC02JPGdjQ47Q_11_2"/>
      <w:bookmarkStart w:id="692" w:name="Tc_cI5SINu1fU-M7EnNfvROCg_11_0"/>
      <w:bookmarkStart w:id="693" w:name="Tc_Xz-j5PvEHEKcNp46mHzEtQ_10_11"/>
      <w:bookmarkStart w:id="694" w:name="Tc_LY2oPCMG5E27YVS6Zkl7jg_10_0"/>
      <w:bookmarkStart w:id="695" w:name="Tc_0wUmUdDE406A8Y5O1b4rkQ_9_14"/>
      <w:bookmarkStart w:id="696" w:name="Tc_Advb9LMH2EiX5GRMCNEaCg_9_11"/>
      <w:bookmarkStart w:id="697" w:name="Tc_dgqcFx9BUkqlLHUM69rY_w_9_0"/>
      <w:bookmarkStart w:id="698" w:name="Tc_h4NCJYXAN0CZZk39Nbt_iw_8_14"/>
      <w:bookmarkStart w:id="699" w:name="Tc_RFwssCsRGUuRRsgArJ5jmA_8_11"/>
      <w:bookmarkStart w:id="700" w:name="Tc_QlmC0u2ZB06pYQLSVvVUqw_8_5"/>
      <w:bookmarkStart w:id="701" w:name="Tc_0y_K771ZyUioX8m2ttfy1A_8_2"/>
      <w:bookmarkStart w:id="702" w:name="Tc_cwldWGx0sECLt80AskdABA_8_0"/>
      <w:bookmarkStart w:id="703" w:name="Tc_VsVlaYZySE23nyRsdEKvSw_7_14"/>
      <w:bookmarkStart w:id="704" w:name="Tc_cGeexCpUdUamyk16jQDcwg_7_8"/>
      <w:bookmarkStart w:id="705" w:name="Tc_7_uzAKz8wU27-8LtPWnycA_7_5"/>
      <w:bookmarkStart w:id="706" w:name="Tc_Ae5WHhVvI0a4dOtrLsz7oA_7_2"/>
      <w:bookmarkStart w:id="707" w:name="Tc_DEGO7f81lEiv0l3wO8rsLQ_7_0"/>
      <w:bookmarkStart w:id="708" w:name="Tc_lJrEdmgRi0igH2i_OBu_yA_6_11"/>
      <w:bookmarkStart w:id="709" w:name="Tc_iMMmmOT1PUCUY04GBrMEfg_6_8"/>
      <w:bookmarkStart w:id="710" w:name="Tc_nA4bZDKMIka4ELXdX8Vhhg_6_5"/>
      <w:bookmarkStart w:id="711" w:name="Tc_RbtX3htYXECHTMfsE2RE3w_6_2"/>
      <w:bookmarkStart w:id="712" w:name="Tc_38oe9Yq0XUGRXgoeSroOnQ_6_0"/>
      <w:bookmarkStart w:id="713" w:name="Tc_JX5iX3rjn0ShFThRhy9gqg_5_16"/>
      <w:bookmarkStart w:id="714" w:name="Tc_elLlt4YhGE2vQz3zA1rc3A_5_13"/>
      <w:bookmarkStart w:id="715" w:name="Tc_A0a-FPPWHkq6h0UuR2cPQg_5_10"/>
      <w:bookmarkStart w:id="716" w:name="Tc_w-_bBkB3cEWBLi2y6Z8R9A_5_7"/>
      <w:bookmarkStart w:id="717" w:name="Tc_qH05ovDqLk2kjggiQhYUNQ_5_4"/>
      <w:bookmarkStart w:id="718" w:name="Tc_rkHoc7ojEUaZS1pjcB7MZQ_5_0"/>
      <w:bookmarkStart w:id="719" w:name="Tc_45WEY2o0zEG2hslxgL-1Vw_4_16"/>
      <w:bookmarkStart w:id="720" w:name="Tc_cPxPdZpcEUmxiKnTY6z--Q_4_13"/>
      <w:bookmarkStart w:id="721" w:name="Tc_2dtbRqPM_06B4pjlQFp6zw_4_10"/>
      <w:bookmarkStart w:id="722" w:name="Tc_C7u_MIpDWkuvXUu9XrNo-A_4_7"/>
      <w:bookmarkStart w:id="723" w:name="Tc_SUESgoShVkuufESGSdUfnQ_4_4"/>
      <w:bookmarkStart w:id="724" w:name="Tc_p7Xh_Bdf7UWXqv0seEiXmg_4_2"/>
      <w:bookmarkStart w:id="725" w:name="Tc_YVoPQHxG-kWaXiTXOB15sQ_4_0"/>
      <w:bookmarkStart w:id="726" w:name="Tc_NovU-QHzOUeRh6W-_sHi8A_3_13"/>
      <w:bookmarkStart w:id="727" w:name="Tc_Wj6S1lo2Yki_907asYSAaA_3_10"/>
      <w:bookmarkStart w:id="728" w:name="Tc_HnS2v5UgfUuEuZVAMJjeqA_3_7"/>
      <w:bookmarkStart w:id="729" w:name="Tc_WKy-6n01SkmnyPmCvh5-0g_3_4"/>
      <w:bookmarkStart w:id="730" w:name="Tc_EkZoH96YrUeHxload2GLcg_2_10"/>
      <w:bookmarkStart w:id="731" w:name="Tc_ECEUW3jJPk-4PEycg8Yfzw_2_7"/>
      <w:bookmarkStart w:id="732" w:name="Tc_l5lhLRoV6Um5GzEIfn_Y3w_2_2"/>
      <w:bookmarkStart w:id="733" w:name="Tc_y-Jyt5V-gEqe89SG07YwWw_1_10"/>
      <w:bookmarkStart w:id="734" w:name="_b37e51c8_13fe_428b_9ad1_1dea474ee262"/>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291"/>
        <w:gridCol w:w="730"/>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7720" cy="175260"/>
                      <wp:effectExtent l="0" t="0" r="0" b="0"/>
                      <wp:wrapNone/>
                      <wp:docPr id="49" name="Frame49"/>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24485" cy="175260"/>
                      <wp:effectExtent l="0" t="0" r="0" b="0"/>
                      <wp:wrapNone/>
                      <wp:docPr id="51" name="Frame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00990" cy="175260"/>
                      <wp:effectExtent l="0" t="0" r="0" b="0"/>
                      <wp:wrapNone/>
                      <wp:docPr id="54" name="Frame5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367665" cy="175260"/>
                      <wp:effectExtent l="0" t="0" r="0" b="0"/>
                      <wp:wrapNone/>
                      <wp:docPr id="57" name="Frame57"/>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4785" cy="175260"/>
                      <wp:effectExtent l="0" t="0" r="0" b="0"/>
                      <wp:wrapNone/>
                      <wp:docPr id="59" name="Frame59"/>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63550" cy="175260"/>
                      <wp:effectExtent l="0" t="0" r="0" b="0"/>
                      <wp:wrapNone/>
                      <wp:docPr id="60" name="Frame6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57835" cy="175260"/>
                      <wp:effectExtent l="0" t="0" r="0" b="0"/>
                      <wp:wrapNone/>
                      <wp:docPr id="63" name="Frame6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25145" cy="175260"/>
                      <wp:effectExtent l="0" t="0" r="0" b="0"/>
                      <wp:wrapNone/>
                      <wp:docPr id="66" name="Frame66"/>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314.1</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1,353.5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1,667.4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339.2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(19.3)</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(68.6)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($0.30</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2022</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296.2</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1,910.7</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380.7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(0.8)</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(138.1)</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($0.30</w:t>
            </w:r>
            <w:r>
              <w:rPr>
                <w:rFonts w:ascii="Times New Roman;Times;serif" w:hAnsi="Times New Roman;Times;serif"/>
                <w:sz w:val="18"/>
              </w:rPr>
              <w:t xml:space="preserve"> </w:t>
            </w:r>
            <w:r>
              <w:rPr>
                <w:rFonts w:ascii="Times New Roman;Times;serif" w:hAnsi="Times New Roman;Times;serif"/>
                <w:sz w:val="19"/>
              </w:rPr>
              <w:t>per share and $0.31</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(24.4)</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294.7</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1,841.2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2,133.6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35" w:name="_14efc891_a251_4ff9_8379_64161fd6d610"/>
      <w:bookmarkEnd w:id="735"/>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736" w:name="NOTESTOTHECONDENSEDCONSOLIDATEDFINANICAL"/>
      <w:bookmarkEnd w:id="736"/>
      <w:r>
        <w:rPr>
          <w:rFonts w:ascii="Times New Roman;Times;serif" w:hAnsi="Times New Roman;Times;serif"/>
          <w:b/>
          <w:sz w:val="20"/>
        </w:rPr>
        <w:t>NOTES TO THE CONDENSED CONSOLIDATED FINANICAL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DESCRIPTION OF THE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 a holding company incorporated in the State of Hawaii, and its subsidiaries (“Matson” or the “Company”), is a leading provider of ocean transportation and logistics services. The Company consists of two segments, Ocean Transportation and Logistics: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ports in Alaska to Asia. In addition, subsidiaries of MatNav provide stevedoring, refrigerated cargo services, inland transportation and other terminal services for MatNav on the Hawaiian islands of Oahu, Hawaii, Maui and Kauai, and for MatNav and other ocean carriers in Alaska.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supply chain management, non-vessel operating common carrier (“NVOCC”) freight forwarding and other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GENERAL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Basis of Presentation:</w:t>
      </w:r>
      <w:r>
        <w:rPr>
          <w:rFonts w:ascii="Times New Roman;Times;serif" w:hAnsi="Times New Roman;Times;serif"/>
          <w:sz w:val="20"/>
        </w:rPr>
        <w:t xml:space="preserve"> The Condensed Consolidated Financial Statements are unaudited, and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should be read in conjunction with the Consolidated Financial Statements and notes thereto included in the Company’s Annual Report on Form 10-K for the year ended December 31, 2022, filed with the Securities and Exchange Commission (“SEC”) on February 24, 2023.</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37" w:name="Tc_6qEKtRyk_kuqVP1RZ8hNzA_8_11"/>
      <w:bookmarkStart w:id="738" w:name="Tc_HpwgTfMxfUWbkjIH9TK4bg_8_8"/>
      <w:bookmarkStart w:id="739" w:name="Tc_MDRPI72Ya0ehfsuGa89-kA_8_5"/>
      <w:bookmarkStart w:id="740" w:name="Tc_ye0br94ZA0qoVCw50JLCDw_8_2"/>
      <w:bookmarkStart w:id="741" w:name="Tc_V-rBp3g-SESRuzRxDy0GIA_8_0"/>
      <w:bookmarkStart w:id="742" w:name="Tc_GdIXJNneKE-H4DIHpiUSYQ_7_0"/>
      <w:bookmarkStart w:id="743" w:name="Tc_d0kJc008zUiKVLp_mPGVOA_6_0"/>
      <w:bookmarkStart w:id="744" w:name="Tc_I8uhXsaRVECRzLyVnR6ubQ_5_0"/>
      <w:bookmarkStart w:id="745" w:name="Tc_xn0L84kEOEeOJ9S2JJddnA_4_11"/>
      <w:bookmarkStart w:id="746" w:name="Tc_R9FzTlikUUCb9jIWqSy7cQ_4_8"/>
      <w:bookmarkStart w:id="747" w:name="Tc_D36rN3Ha706CEO3uifRcIw_4_5"/>
      <w:bookmarkStart w:id="748" w:name="Tc_kqrBzzTZsU2_zr-3MWEKqQ_4_2"/>
      <w:bookmarkStart w:id="749" w:name="Tc_cbSe-wfF-06sVUtoWDVYrg_4_0"/>
      <w:bookmarkStart w:id="750" w:name="Tc_At_x9YQmnk2iU_DvtrQTcQ_3_11"/>
      <w:bookmarkStart w:id="751" w:name="Tc_dZVnAIvqf0eeR6yws4pThA_3_8"/>
      <w:bookmarkStart w:id="752" w:name="Tc_Jr8Pbpc7E0K6ImZI91OHFw_3_5"/>
      <w:bookmarkStart w:id="753" w:name="Tc_F-aOQiHw30-I9HWaYH-bjQ_3_2"/>
      <w:bookmarkStart w:id="754" w:name="Tc_goUh1E6IGkaBbL5s17sBfA_3_0"/>
      <w:bookmarkStart w:id="755" w:name="Tc_A1_o_wdpoU26pYdTQVNiFg_2_8"/>
      <w:bookmarkStart w:id="756" w:name="Tc_GPDjNB1JFka2ZF1CYR9wGQ_2_2"/>
      <w:bookmarkStart w:id="757" w:name="Tc_mrUnrwlGbkeRnHhJbublWQ_1_8"/>
      <w:bookmarkStart w:id="758" w:name="Tc_MqbR2O-iQ0S9vB-N-Qwjew_1_2"/>
      <w:bookmarkStart w:id="759" w:name="_9c390c95_6a03_4dd1_88e9_a2cd103bb29e"/>
      <w:bookmarkStart w:id="760" w:name="Tc_UKW7gOEI9U2lFqmv62fgWw_8_5"/>
      <w:bookmarkStart w:id="761" w:name="Tc_Xq8MK5UjMkeoTPK3Qno9sw_8_2"/>
      <w:bookmarkStart w:id="762" w:name="Tc_DkmdI0VojkmBGRcIbIL0Nw_8_0"/>
      <w:bookmarkStart w:id="763" w:name="Tc_i-qDn41ymkCjz8tH5LerdA_7_0"/>
      <w:bookmarkStart w:id="764" w:name="Tc_YPM-9Bu6MUOpCpSrh-YB7w_6_0"/>
      <w:bookmarkStart w:id="765" w:name="Tc_yzsAHYf4l0-MVUM1Fwhn9g_5_0"/>
      <w:bookmarkStart w:id="766" w:name="Tc_jzkL_L725kCSL4HTDXZIRQ_4_0"/>
      <w:bookmarkStart w:id="767" w:name="Tc_eUygvDn6WEKEw4ECPAZm5A_3_5"/>
      <w:bookmarkStart w:id="768" w:name="Tc_ajeD4Txc_UOn81pvzB2H9g_3_2"/>
      <w:bookmarkStart w:id="769" w:name="Tc_Arn6DYrTYE26losGUt7ECg_3_0"/>
      <w:bookmarkStart w:id="770" w:name="Tc_7M7rh11NCUqKris1a_necg_2_5"/>
      <w:bookmarkStart w:id="771" w:name="Tc_SIZXqAZF0kKgqovSA37JDQ_2_2"/>
      <w:bookmarkStart w:id="772" w:name="Tc_14vx6HsEv0OQsgeoaIKh5g_2_0"/>
      <w:bookmarkStart w:id="773" w:name="Tc_T2J8_mjNhUC4HgkNIGWn1g_1_5"/>
      <w:bookmarkStart w:id="774" w:name="Tc_jbLxFrujO0WWKc3-8-P2bg_1_2"/>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r>
        <w:rPr>
          <w:rFonts w:ascii="Times New Roman;Times;serif" w:hAnsi="Times New Roman;Times;serif"/>
          <w:b/>
          <w:i/>
          <w:sz w:val="20"/>
        </w:rPr>
        <w:t>Fiscal Period:</w:t>
      </w:r>
      <w:r>
        <w:rPr>
          <w:rFonts w:ascii="Times New Roman;Times;serif" w:hAnsi="Times New Roman;Times;serif"/>
          <w:sz w:val="20"/>
        </w:rPr>
        <w:t xml:space="preserve"> The period end for Matson covered by this report is June 30, 2023. The period end for MatNav and its subsidiaries covered by this report is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Significant Accounting Policies:</w:t>
      </w:r>
      <w:r>
        <w:rPr>
          <w:rFonts w:ascii="Times New Roman;Times;serif" w:hAnsi="Times New Roman;Times;serif"/>
          <w:sz w:val="20"/>
        </w:rPr>
        <w:t xml:space="preserve"> The Company’s significant accounting policies are described in Note 2 to the Consolidated Financial Statements included in Part II, Item 8 of the Company’s Annual Report on Form 10-K for the year ended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xml:space="preserve"> The preparation of the interim Condensed Consolidated Financial Statements in conformity with 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accrual estimates; pension and post-retirement estimates; multi-employer withdrawal liabilities; operating lease assets and liabilities; income from SSAT; and income taxes. Future results could be materially affected if actual results differ from these estimates and assumptions.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Prepaid Expenses and Other Assets:</w:t>
      </w:r>
      <w:r>
        <w:rPr>
          <w:rFonts w:ascii="Times New Roman;Times;serif" w:hAnsi="Times New Roman;Times;serif"/>
          <w:sz w:val="20"/>
        </w:rPr>
        <w:t xml:space="preserve"> Prepaid expenses and other assets consisted of the following at June 30, 2023 and December 31, 2022:</w:t>
      </w:r>
    </w:p>
    <w:p>
      <w:pPr>
        <w:pStyle w:val="TextBody"/>
        <w:bidi w:val="0"/>
        <w:spacing w:before="0" w:after="0"/>
        <w:ind w:left="0" w:right="0" w:hanging="0"/>
        <w:jc w:val="left"/>
        <w:rPr/>
      </w:pPr>
      <w:r>
        <w:rPr/>
        <w:t>​</w:t>
      </w:r>
    </w:p>
    <w:tbl>
      <w:tblPr>
        <w:tblW w:w="6910" w:type="dxa"/>
        <w:jc w:val="left"/>
        <w:tblInd w:w="0" w:type="dxa"/>
        <w:tblLayout w:type="fixed"/>
        <w:tblCellMar>
          <w:top w:w="0" w:type="dxa"/>
          <w:left w:w="0" w:type="dxa"/>
          <w:bottom w:w="0" w:type="dxa"/>
          <w:right w:w="0" w:type="dxa"/>
        </w:tblCellMar>
      </w:tblPr>
      <w:tblGrid>
        <w:gridCol w:w="4291"/>
        <w:gridCol w:w="326"/>
        <w:gridCol w:w="211"/>
        <w:gridCol w:w="571"/>
        <w:gridCol w:w="326"/>
        <w:gridCol w:w="281"/>
        <w:gridCol w:w="904"/>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724785" cy="175260"/>
                      <wp:effectExtent l="0" t="0" r="0" b="0"/>
                      <wp:wrapNone/>
                      <wp:docPr id="67" name="Frame67"/>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62585" cy="175260"/>
                      <wp:effectExtent l="0" t="0" r="0" b="0"/>
                      <wp:wrapNone/>
                      <wp:docPr id="70" name="Frame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8435" cy="175260"/>
                      <wp:effectExtent l="0" t="0" r="0" b="0"/>
                      <wp:wrapNone/>
                      <wp:docPr id="72" name="Frame7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4040" cy="175260"/>
                      <wp:effectExtent l="0" t="0" r="0" b="0"/>
                      <wp:wrapNone/>
                      <wp:docPr id="73" name="Frame7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Prepaid Expenses and Other Assets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fuel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 and insurance related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vessel construction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include an expected federal income tax refund related to the Company’s 2021 federal tax return and other income tax receivables, offset by current federal income tax payables.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Recognition of Revenues and Expenses:</w:t>
      </w:r>
      <w:r>
        <w:rPr>
          <w:rFonts w:ascii="Times New Roman;Times;serif" w:hAnsi="Times New Roman;Times;serif"/>
          <w:sz w:val="20"/>
        </w:rPr>
        <w:t xml:space="preserve"> Revenue in the Company’s Condensed Consolidated Financial Statements is presented net of elimination of intercompany transactions. The following is a description of the Company’s principal revenue generating activities by segment, and the Company’s revenue recognition policy for each activity for the periods presented:</w:t>
      </w:r>
    </w:p>
    <w:p>
      <w:pPr>
        <w:pStyle w:val="TextBody"/>
        <w:bidi w:val="0"/>
        <w:spacing w:before="0" w:after="0"/>
        <w:ind w:left="0" w:right="0" w:hanging="0"/>
        <w:jc w:val="left"/>
        <w:rPr/>
      </w:pPr>
      <w:r>
        <w:rPr/>
        <w:t>​</w:t>
      </w:r>
    </w:p>
    <w:tbl>
      <w:tblPr>
        <w:tblW w:w="7951" w:type="dxa"/>
        <w:jc w:val="left"/>
        <w:tblInd w:w="0" w:type="dxa"/>
        <w:tblLayout w:type="fixed"/>
        <w:tblCellMar>
          <w:top w:w="0" w:type="dxa"/>
          <w:left w:w="0" w:type="dxa"/>
          <w:bottom w:w="0" w:type="dxa"/>
          <w:right w:w="0" w:type="dxa"/>
        </w:tblCellMar>
      </w:tblPr>
      <w:tblGrid>
        <w:gridCol w:w="3361"/>
        <w:gridCol w:w="109"/>
        <w:gridCol w:w="211"/>
        <w:gridCol w:w="571"/>
        <w:gridCol w:w="326"/>
        <w:gridCol w:w="211"/>
        <w:gridCol w:w="721"/>
        <w:gridCol w:w="146"/>
        <w:gridCol w:w="211"/>
        <w:gridCol w:w="721"/>
        <w:gridCol w:w="326"/>
        <w:gridCol w:w="211"/>
        <w:gridCol w:w="82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34235" cy="175260"/>
                      <wp:effectExtent l="0" t="0" r="0" b="0"/>
                      <wp:wrapNone/>
                      <wp:docPr id="74" name="Frame74"/>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2585" cy="175260"/>
                      <wp:effectExtent l="0" t="0" r="0" b="0"/>
                      <wp:wrapNone/>
                      <wp:docPr id="77" name="Frame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57835" cy="175260"/>
                      <wp:effectExtent l="0" t="0" r="0" b="0"/>
                      <wp:wrapNone/>
                      <wp:docPr id="80" name="Frame8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92710" cy="175260"/>
                      <wp:effectExtent l="0" t="0" r="0" b="0"/>
                      <wp:wrapNone/>
                      <wp:docPr id="81" name="Frame8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57835" cy="175260"/>
                      <wp:effectExtent l="0" t="0" r="0" b="0"/>
                      <wp:wrapNone/>
                      <wp:docPr id="83" name="Frame8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24510" cy="175260"/>
                      <wp:effectExtent l="0" t="0" r="0" b="0"/>
                      <wp:wrapNone/>
                      <wp:docPr id="86" name="Frame8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0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2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Ocean Transportation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1,976.9</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and other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management and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1,993.1</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9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Ocean Transportation revenues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Transportation services revenue is recognized ratably over the duration of a voyage based on the relative transit time completed in each reporting period. Vessel operating costs and other ocean transportation operating costs, such as terminal operating overhead and selling, general and administrative expenses, are charged to operating costs as incurred.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and other related services revenue is recognized as the services are performed. Related costs are recognized as incurred.</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revenue and related costs are recognized when the Company has completed delivery of the product to the customer in accordance with the terms and conditions of the contract.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management and related services revenue is recognized in proportion to the services completed. Related costs are recognized as incurred.</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75" w:name="Tc_ArWNzEvaWEmQE4yNlo67IQ_8_6"/>
      <w:bookmarkStart w:id="776" w:name="Tc_c6kO8ljKK0WaU9tQO9gzsA_8_5"/>
      <w:bookmarkStart w:id="777" w:name="Tc_kd_gSl0h9kuxfAL_8S7vEA_8_2"/>
      <w:bookmarkStart w:id="778" w:name="Tc_3Xh_sRl8ZECIQXN0lB7THw_8_0"/>
      <w:bookmarkStart w:id="779" w:name="Tc_GlAIOIAbTEW0WqQ8J5cu7A_7_0"/>
      <w:bookmarkStart w:id="780" w:name="Tc_KN1Zw_zbMUq9HmrprA7yZA_6_6"/>
      <w:bookmarkStart w:id="781" w:name="Tc_MG5IQeqXQEuKkIJs0fMx3g_6_0"/>
      <w:bookmarkStart w:id="782" w:name="Tc_2F33mfL1Yke9cgJVBF1mHA_5_0"/>
      <w:bookmarkStart w:id="783" w:name="Tc_ymWvPtrUHUiFFhlzVsBRyg_4_6"/>
      <w:bookmarkStart w:id="784" w:name="Tc_trkTnx-u5kGv85wqtgeGIg_4_5"/>
      <w:bookmarkStart w:id="785" w:name="Tc_ejfZ5386rEalYGdcGdNSmw_4_2"/>
      <w:bookmarkStart w:id="786" w:name="Tc_HN41HTyC1kOsbAynfCuGcQ_4_0"/>
      <w:bookmarkStart w:id="787" w:name="Tc_MP2CODRBQU-7RkAzEeankg_3_5"/>
      <w:bookmarkStart w:id="788" w:name="Tc_77t763UgEEKw-HEHZXbrqA_3_2"/>
      <w:bookmarkStart w:id="789" w:name="Tc_jn5Tc-vUnkK238bYrmmrhA_3_0"/>
      <w:bookmarkStart w:id="790" w:name="Tc__40roD8100SwBLGDL_nFoQ_2_2"/>
      <w:bookmarkStart w:id="791" w:name="Tc_Eyx9DbIts0GsM5YPfjdk6A_1_2"/>
      <w:bookmarkStart w:id="792" w:name="Tc_E2WFIZAxykqD-9M7j1-m-Q_7_11"/>
      <w:bookmarkStart w:id="793" w:name="Tc_mOzlKEPIw0Orv4SzSEUbCA_7_8"/>
      <w:bookmarkStart w:id="794" w:name="Tc_KTrpg6-GZkGyp0R84Y6_rw_7_5"/>
      <w:bookmarkStart w:id="795" w:name="Tc_86bJPe-HcU2Roy7Ni_13MA_7_2"/>
      <w:bookmarkStart w:id="796" w:name="Tc_8wXanZd6NUO98_ahMyemEQ_7_0"/>
      <w:bookmarkStart w:id="797" w:name="Tc_GuCov7SdWEObxZs9fZHUSg_6_0"/>
      <w:bookmarkStart w:id="798" w:name="Tc_S3XHvB4930Gv-l4uK-zM2g_5_0"/>
      <w:bookmarkStart w:id="799" w:name="Tc_imKGGGkxyk-AZDtnePLhpw_4_11"/>
      <w:bookmarkStart w:id="800" w:name="Tc_L4IrmnHlYUKctcNaseqg0g_4_8"/>
      <w:bookmarkStart w:id="801" w:name="Tc_X1H4k3YIrUmQYaqKMIjW5w_4_5"/>
      <w:bookmarkStart w:id="802" w:name="Tc_ddXR2BN7p0Cmmh8H9PEp1w_4_2"/>
      <w:bookmarkStart w:id="803" w:name="Tc_ZW5kdHEOp0CySM8qrV6_0A_4_0"/>
      <w:bookmarkStart w:id="804" w:name="Tc_1HbG1HXvwUmryyW1yowGqg_3_11"/>
      <w:bookmarkStart w:id="805" w:name="Tc__TduFP8-IUKKqXZbH-oCSg_3_8"/>
      <w:bookmarkStart w:id="806" w:name="Tc_GykNX7IKhUyju-P-w0cbbQ_3_5"/>
      <w:bookmarkStart w:id="807" w:name="Tc_OX3lyQha50Gj4aTbcsY0Ww_3_2"/>
      <w:bookmarkStart w:id="808" w:name="Tc_dZuz7yUY4EK9UAjgLGGtPQ_3_0"/>
      <w:bookmarkStart w:id="809" w:name="Tc_PE3LrHPdkEyBQdYf46cZtg_2_8"/>
      <w:bookmarkStart w:id="810" w:name="Tc_FRVSllNCrkiBg6qFOhPwbw_2_2"/>
      <w:bookmarkStart w:id="811" w:name="Tc_1TnLo6oiOUSyAEeC45cZHQ_1_8"/>
      <w:bookmarkStart w:id="812" w:name="Tc_gkxafEAP2EOM3_6nxldO7w_1_2"/>
      <w:bookmarkStart w:id="813" w:name="_76ce7040_9d75_4809_bd50_999968a13d07"/>
      <w:bookmarkStart w:id="814" w:name="Tc_ArWNzEvaWEmQE4yNlo67IQ_8_6"/>
      <w:bookmarkStart w:id="815" w:name="Tc_c6kO8ljKK0WaU9tQO9gzsA_8_5"/>
      <w:bookmarkStart w:id="816" w:name="Tc_kd_gSl0h9kuxfAL_8S7vEA_8_2"/>
      <w:bookmarkStart w:id="817" w:name="Tc_3Xh_sRl8ZECIQXN0lB7THw_8_0"/>
      <w:bookmarkStart w:id="818" w:name="Tc_GlAIOIAbTEW0WqQ8J5cu7A_7_0"/>
      <w:bookmarkStart w:id="819" w:name="Tc_KN1Zw_zbMUq9HmrprA7yZA_6_6"/>
      <w:bookmarkStart w:id="820" w:name="Tc_MG5IQeqXQEuKkIJs0fMx3g_6_0"/>
      <w:bookmarkStart w:id="821" w:name="Tc_2F33mfL1Yke9cgJVBF1mHA_5_0"/>
      <w:bookmarkStart w:id="822" w:name="Tc_ymWvPtrUHUiFFhlzVsBRyg_4_6"/>
      <w:bookmarkStart w:id="823" w:name="Tc_trkTnx-u5kGv85wqtgeGIg_4_5"/>
      <w:bookmarkStart w:id="824" w:name="Tc_ejfZ5386rEalYGdcGdNSmw_4_2"/>
      <w:bookmarkStart w:id="825" w:name="Tc_HN41HTyC1kOsbAynfCuGcQ_4_0"/>
      <w:bookmarkStart w:id="826" w:name="Tc_MP2CODRBQU-7RkAzEeankg_3_5"/>
      <w:bookmarkStart w:id="827" w:name="Tc_77t763UgEEKw-HEHZXbrqA_3_2"/>
      <w:bookmarkStart w:id="828" w:name="Tc_jn5Tc-vUnkK238bYrmmrhA_3_0"/>
      <w:bookmarkStart w:id="829" w:name="Tc__40roD8100SwBLGDL_nFoQ_2_2"/>
      <w:bookmarkStart w:id="830" w:name="Tc_Eyx9DbIts0GsM5YPfjdk6A_1_2"/>
      <w:bookmarkStart w:id="831" w:name="Tc_E2WFIZAxykqD-9M7j1-m-Q_7_11"/>
      <w:bookmarkStart w:id="832" w:name="Tc_mOzlKEPIw0Orv4SzSEUbCA_7_8"/>
      <w:bookmarkStart w:id="833" w:name="Tc_KTrpg6-GZkGyp0R84Y6_rw_7_5"/>
      <w:bookmarkStart w:id="834" w:name="Tc_86bJPe-HcU2Roy7Ni_13MA_7_2"/>
      <w:bookmarkStart w:id="835" w:name="Tc_8wXanZd6NUO98_ahMyemEQ_7_0"/>
      <w:bookmarkStart w:id="836" w:name="Tc_GuCov7SdWEObxZs9fZHUSg_6_0"/>
      <w:bookmarkStart w:id="837" w:name="Tc_S3XHvB4930Gv-l4uK-zM2g_5_0"/>
      <w:bookmarkStart w:id="838" w:name="Tc_imKGGGkxyk-AZDtnePLhpw_4_11"/>
      <w:bookmarkStart w:id="839" w:name="Tc_L4IrmnHlYUKctcNaseqg0g_4_8"/>
      <w:bookmarkStart w:id="840" w:name="Tc_X1H4k3YIrUmQYaqKMIjW5w_4_5"/>
      <w:bookmarkStart w:id="841" w:name="Tc_ddXR2BN7p0Cmmh8H9PEp1w_4_2"/>
      <w:bookmarkStart w:id="842" w:name="Tc_ZW5kdHEOp0CySM8qrV6_0A_4_0"/>
      <w:bookmarkStart w:id="843" w:name="Tc_1HbG1HXvwUmryyW1yowGqg_3_11"/>
      <w:bookmarkStart w:id="844" w:name="Tc__TduFP8-IUKKqXZbH-oCSg_3_8"/>
      <w:bookmarkStart w:id="845" w:name="Tc_GykNX7IKhUyju-P-w0cbbQ_3_5"/>
      <w:bookmarkStart w:id="846" w:name="Tc_OX3lyQha50Gj4aTbcsY0Ww_3_2"/>
      <w:bookmarkStart w:id="847" w:name="Tc_dZuz7yUY4EK9UAjgLGGtPQ_3_0"/>
      <w:bookmarkStart w:id="848" w:name="Tc_PE3LrHPdkEyBQdYf46cZtg_2_8"/>
      <w:bookmarkStart w:id="849" w:name="Tc_FRVSllNCrkiBg6qFOhPwbw_2_2"/>
      <w:bookmarkStart w:id="850" w:name="Tc_1TnLo6oiOUSyAEeC45cZHQ_1_8"/>
      <w:bookmarkStart w:id="851" w:name="Tc_gkxafEAP2EOM3_6nxldO7w_1_2"/>
      <w:bookmarkStart w:id="852" w:name="_76ce7040_9d75_4809_bd50_999968a13d07"/>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tbl>
      <w:tblPr>
        <w:tblW w:w="8552" w:type="dxa"/>
        <w:jc w:val="left"/>
        <w:tblInd w:w="0" w:type="dxa"/>
        <w:tblLayout w:type="fixed"/>
        <w:tblCellMar>
          <w:top w:w="0" w:type="dxa"/>
          <w:left w:w="0" w:type="dxa"/>
          <w:bottom w:w="0" w:type="dxa"/>
          <w:right w:w="0" w:type="dxa"/>
        </w:tblCellMar>
      </w:tblPr>
      <w:tblGrid>
        <w:gridCol w:w="4846"/>
        <w:gridCol w:w="109"/>
        <w:gridCol w:w="211"/>
        <w:gridCol w:w="571"/>
        <w:gridCol w:w="109"/>
        <w:gridCol w:w="211"/>
        <w:gridCol w:w="571"/>
        <w:gridCol w:w="146"/>
        <w:gridCol w:w="211"/>
        <w:gridCol w:w="571"/>
        <w:gridCol w:w="109"/>
        <w:gridCol w:w="211"/>
        <w:gridCol w:w="67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077210" cy="175260"/>
                      <wp:effectExtent l="0" t="0" r="0" b="0"/>
                      <wp:wrapNone/>
                      <wp:docPr id="87" name="Frame87"/>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92710" cy="175260"/>
                      <wp:effectExtent l="0" t="0" r="0" b="0"/>
                      <wp:wrapNone/>
                      <wp:docPr id="94"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62585" cy="175260"/>
                      <wp:effectExtent l="0" t="0" r="0" b="0"/>
                      <wp:wrapNone/>
                      <wp:docPr id="96" name="Frame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9260" cy="175260"/>
                      <wp:effectExtent l="0" t="0" r="0" b="0"/>
                      <wp:wrapNone/>
                      <wp:docPr id="99" name="Frame9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Logistics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Brokerage and Freight Forwarding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379.3</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Warehousing and distribution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management and other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433.5</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Logistics revenues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management and other services revenue, and related costs are recognized in proportion to the services performed.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w:t>
      </w:r>
      <w:r>
        <w:rPr>
          <w:rFonts w:ascii="Times New Roman;Times;serif" w:hAnsi="Times New Roman;Times;serif"/>
          <w:sz w:val="20"/>
        </w:rPr>
        <w:t xml:space="preserve"> The Company’s Capital Construction Fund (“CCF”) is described in Note 7 to the Consolidated Financial Statements included in Part II, Item 8 of the Company’s Annual Report on Form 10-K for the year ended December 31, 2022. A summary of the CCF cash account for the six months ended June 30, 2023 and 2022 consisted of the following: </w:t>
      </w:r>
    </w:p>
    <w:p>
      <w:pPr>
        <w:pStyle w:val="TextBody"/>
        <w:bidi w:val="0"/>
        <w:spacing w:before="0" w:after="0"/>
        <w:ind w:left="0" w:right="0" w:hanging="0"/>
        <w:jc w:val="left"/>
        <w:rPr/>
      </w:pPr>
      <w:r>
        <w:rPr/>
        <w:t>​</w:t>
      </w:r>
    </w:p>
    <w:tbl>
      <w:tblPr>
        <w:tblW w:w="5431" w:type="dxa"/>
        <w:jc w:val="left"/>
        <w:tblInd w:w="0" w:type="dxa"/>
        <w:tblLayout w:type="fixed"/>
        <w:tblCellMar>
          <w:top w:w="0" w:type="dxa"/>
          <w:left w:w="0" w:type="dxa"/>
          <w:bottom w:w="0" w:type="dxa"/>
          <w:right w:w="0" w:type="dxa"/>
        </w:tblCellMar>
      </w:tblPr>
      <w:tblGrid>
        <w:gridCol w:w="3031"/>
        <w:gridCol w:w="326"/>
        <w:gridCol w:w="211"/>
        <w:gridCol w:w="586"/>
        <w:gridCol w:w="326"/>
        <w:gridCol w:w="211"/>
        <w:gridCol w:w="586"/>
        <w:gridCol w:w="154"/>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924685" cy="175260"/>
                      <wp:effectExtent l="0" t="0" r="0" b="0"/>
                      <wp:wrapNone/>
                      <wp:docPr id="100" name="Frame100"/>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72110" cy="175260"/>
                      <wp:effectExtent l="0" t="0" r="0" b="0"/>
                      <wp:wrapNone/>
                      <wp:docPr id="103" name="Frame1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72110" cy="175260"/>
                      <wp:effectExtent l="0" t="0" r="0" b="0"/>
                      <wp:wrapNone/>
                      <wp:docPr id="106" name="Frame10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97790" cy="175260"/>
                      <wp:effectExtent l="0" t="0" r="0" b="0"/>
                      <wp:wrapNone/>
                      <wp:docPr id="107" name="Frame10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into CCF</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Qualifying withdrawal payments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54" w:type="dxa"/>
            <w:tcBorders/>
            <w:vAlign w:val="center"/>
          </w:tcPr>
          <w:p>
            <w:pPr>
              <w:pStyle w:val="TableContents"/>
              <w:bidi w:val="0"/>
              <w:spacing w:before="0" w:after="0"/>
              <w:ind w:left="0" w:right="0" w:hanging="0"/>
              <w:jc w:val="left"/>
              <w:rPr/>
            </w:pPr>
            <w:r>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had $583.9 million and $518.2 million on deposit in the CCF as of June 30, 2023, and December 31, 2022, respectively. Cash on deposit in the CCF is invested in a U.S. Treasury obligations fund with daily liquidity. At June 30, 2023, securities held within this fund had a weighted average life of </w:t>
      </w:r>
      <w:r>
        <w:rPr>
          <w:rFonts w:ascii="Times New Roman;Times;serif" w:hAnsi="Times New Roman;Times;serif"/>
          <w:b w:val="false"/>
          <w:i w:val="false"/>
          <w:caps w:val="false"/>
          <w:smallCaps w:val="false"/>
          <w:sz w:val="20"/>
        </w:rPr>
        <w:t>41 days</w:t>
      </w:r>
      <w:r>
        <w:rPr>
          <w:rFonts w:ascii="Times New Roman;Times;serif" w:hAnsi="Times New Roman;Times;serif"/>
          <w:sz w:val="20"/>
        </w:rPr>
        <w:t xml:space="preserve">. Cash on deposit in the CCF is classified as a long-term asset on the Company’s Condensed Consolidated Balance Sheets, as the Company intends to use withdrawals to fund qualified milestone progress payments for the construction of three new Jones Act vessels.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2023, the Company pledged $200.0 million of accounts receivable into the CCF. There were no pledged amounts during the six months ended June 30, 2022. As of June 30, 2023 and December 31, 2022, $210.0 million and $9.9 million of eligible accounts receivable were assigned to the CCF, respectively. Due to the nature of the assignment of eligible accounts receivable into the CCF, such assigned amounts are classified as part of accounts receivable in the Condensed Consolidated Balance Sheets.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53" w:name="Tc_umgNCYKMXUC75J4Ztf5PxQ_8_11"/>
      <w:bookmarkStart w:id="854" w:name="Tc_lfZO33-gu0yiW_kSZWDvOA_8_8"/>
      <w:bookmarkStart w:id="855" w:name="Tc_qHI6BgPiv029Q-YWGuAx-Q_8_5"/>
      <w:bookmarkStart w:id="856" w:name="Tc_12Av5Z39406USzBsCty0cQ_8_2"/>
      <w:bookmarkStart w:id="857" w:name="Tc_62SoQTens023lqfQYJxEUw_8_0"/>
      <w:bookmarkStart w:id="858" w:name="Tc_EqyCnT3kzEeEN50X2bpFCQ_7_11"/>
      <w:bookmarkStart w:id="859" w:name="Tc_S9x_5T8j5EKghXgOXqATyw_7_8"/>
      <w:bookmarkStart w:id="860" w:name="Tc_jC-sRhn1QUqovRg3VCmx8g_7_5"/>
      <w:bookmarkStart w:id="861" w:name="Tc_o5ApOFKq10ihe1SwKOb70w_7_2"/>
      <w:bookmarkStart w:id="862" w:name="Tc_c8ot4Y4YwUOwyOOPFVJDog_7_0"/>
      <w:bookmarkStart w:id="863" w:name="Tc_Ub-bERtDc0S1VIH05VROyA_6_0"/>
      <w:bookmarkStart w:id="864" w:name="Tc_qc0zxQjr9kKLuAOGaH87bg_5_0"/>
      <w:bookmarkStart w:id="865" w:name="Tc_ELA5KQObh0-U1H2hSjj1-Q_4_11"/>
      <w:bookmarkStart w:id="866" w:name="Tc_dDLB_32ZcUW_tlwYdn1-aA_4_8"/>
      <w:bookmarkStart w:id="867" w:name="Tc_UUFvYCUNUUy2YyL2uPx0aQ_4_5"/>
      <w:bookmarkStart w:id="868" w:name="Tc_mJh24sgb_k6vSKOzD7oV7Q_4_2"/>
      <w:bookmarkStart w:id="869" w:name="Tc_8j8vB2KJ2ES7Vm12BgMv-Q_4_0"/>
      <w:bookmarkStart w:id="870" w:name="Tc_uU9ka0HUN0-e42kkYMB22g_3_11"/>
      <w:bookmarkStart w:id="871" w:name="Tc_tT-9rekIK0yIEd4dsMA40A_3_8"/>
      <w:bookmarkStart w:id="872" w:name="Tc_1TsGmXoqe0Kk_Izgh_uvkg_3_5"/>
      <w:bookmarkStart w:id="873" w:name="Tc_C2lSK1nmgECLPyas8xu30A_3_2"/>
      <w:bookmarkStart w:id="874" w:name="Tc_UaAP5jpBMkSnzN5yl3oLDQ_3_0"/>
      <w:bookmarkStart w:id="875" w:name="Tc_WVVMWxLni0e7lSvjnEU38w_2_8"/>
      <w:bookmarkStart w:id="876" w:name="Tc_3DiIAtIEdEO69pe7DF_c3Q_2_2"/>
      <w:bookmarkStart w:id="877" w:name="Tc_qRUUhoEd50a8DGCUeHTTMg_1_8"/>
      <w:bookmarkStart w:id="878" w:name="Tc_ruuPT1pb20OhJr4J9QW_cA_1_2"/>
      <w:bookmarkStart w:id="879" w:name="_260e04ed_32e8_476a_a05b_87f858296c59"/>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r>
        <w:rPr>
          <w:rFonts w:ascii="Times New Roman;Times;serif" w:hAnsi="Times New Roman;Times;serif"/>
          <w:b/>
          <w:i/>
          <w:sz w:val="20"/>
        </w:rPr>
        <w:t>Investment in SSAT:</w:t>
      </w:r>
      <w:r>
        <w:rPr>
          <w:rFonts w:ascii="Times New Roman;Times;serif" w:hAnsi="Times New Roman;Times;serif"/>
          <w:sz w:val="20"/>
        </w:rPr>
        <w:t xml:space="preserve"> Condensed income statement information for SSAT for the three and six months ended June 30, 2023 and 2022 consisted of the following:</w:t>
      </w:r>
    </w:p>
    <w:p>
      <w:pPr>
        <w:pStyle w:val="TextBody"/>
        <w:bidi w:val="0"/>
        <w:spacing w:before="0" w:after="0"/>
        <w:ind w:left="0" w:right="0" w:hanging="0"/>
        <w:jc w:val="left"/>
        <w:rPr/>
      </w:pPr>
      <w:r>
        <w:rPr/>
        <w:t>​</w:t>
      </w:r>
    </w:p>
    <w:tbl>
      <w:tblPr>
        <w:tblW w:w="8757" w:type="dxa"/>
        <w:jc w:val="left"/>
        <w:tblInd w:w="0" w:type="dxa"/>
        <w:tblLayout w:type="fixed"/>
        <w:tblCellMar>
          <w:top w:w="0" w:type="dxa"/>
          <w:left w:w="0" w:type="dxa"/>
          <w:bottom w:w="0" w:type="dxa"/>
          <w:right w:w="0" w:type="dxa"/>
        </w:tblCellMar>
      </w:tblPr>
      <w:tblGrid>
        <w:gridCol w:w="4051"/>
        <w:gridCol w:w="109"/>
        <w:gridCol w:w="211"/>
        <w:gridCol w:w="691"/>
        <w:gridCol w:w="326"/>
        <w:gridCol w:w="211"/>
        <w:gridCol w:w="691"/>
        <w:gridCol w:w="146"/>
        <w:gridCol w:w="211"/>
        <w:gridCol w:w="691"/>
        <w:gridCol w:w="326"/>
        <w:gridCol w:w="211"/>
        <w:gridCol w:w="691"/>
        <w:gridCol w:w="19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572385" cy="175260"/>
                      <wp:effectExtent l="0" t="0" r="0" b="0"/>
                      <wp:wrapNone/>
                      <wp:docPr id="108" name="Frame108"/>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38785" cy="175260"/>
                      <wp:effectExtent l="0" t="0" r="0" b="0"/>
                      <wp:wrapNone/>
                      <wp:docPr id="111" name="Frame1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38785" cy="175260"/>
                      <wp:effectExtent l="0" t="0" r="0" b="0"/>
                      <wp:wrapNone/>
                      <wp:docPr id="114" name="Frame1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2710" cy="175260"/>
                      <wp:effectExtent l="0" t="0" r="0" b="0"/>
                      <wp:wrapNone/>
                      <wp:docPr id="115" name="Frame1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38785" cy="175260"/>
                      <wp:effectExtent l="0" t="0" r="0" b="0"/>
                      <wp:wrapNone/>
                      <wp:docPr id="117" name="Frame11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38785" cy="175260"/>
                      <wp:effectExtent l="0" t="0" r="0" b="0"/>
                      <wp:wrapNone/>
                      <wp:docPr id="120" name="Frame1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21285" cy="175260"/>
                      <wp:effectExtent l="0" t="0" r="0" b="0"/>
                      <wp:wrapNone/>
                      <wp:docPr id="121" name="Frame12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(607.4)</w:t>
            </w:r>
          </w:p>
        </w:tc>
        <w:tc>
          <w:tcPr>
            <w:tcW w:w="1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 income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w:t>
            </w:r>
          </w:p>
        </w:tc>
        <w:tc>
          <w:tcPr>
            <w:tcW w:w="1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Share of SSAT’s Net (Loss) Income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8597" w:type="dxa"/>
        <w:jc w:val="left"/>
        <w:tblInd w:w="0" w:type="dxa"/>
        <w:tblLayout w:type="fixed"/>
        <w:tblCellMar>
          <w:top w:w="0" w:type="dxa"/>
          <w:left w:w="0" w:type="dxa"/>
          <w:bottom w:w="0" w:type="dxa"/>
          <w:right w:w="0" w:type="dxa"/>
        </w:tblCellMar>
      </w:tblPr>
      <w:tblGrid>
        <w:gridCol w:w="331"/>
        <w:gridCol w:w="826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8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earnings from equity method investments held by SSAT less earnings allocated to non-controlling interests.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The Company records its share of net (loss) income from SSAT in costs and expenses in the Condensed Consolidated Statement of Income and Comprehensive Income due to the nature of SSAT’s operations.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investment in SSAT was $80.1 million and $81.2 million at June 30, 2023 and December 31, 2022,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xml:space="preserve"> The Company’s second quarter 2023 cash dividend of $0.31 per share was paid on June 1, 2023. On June 22, 2023, the Company’s Board of Directors declared a cash dividend of $0.32 per share payable on September 7, 2023 to shareholders of record on August 3,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months ended June 30, 2023, the Company repurchased approximately 0.6 million shares for a total cost of $42.4 million. As of June 30, 2023, the maximum number of remaining shares that may be repurchased under the Company’s share repurchase program was approximately 3.3 million shares.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Company’s Ocean Transportation segment provides ocean transportation services to the Logistics segment, and the Logistics segment provides logistics services to the Ocean Transportation segment in certain transactions. Accordingly, inter-segment revenue of $54.4 million and $69.2 million for the three months ended June 30, 2023 and 2022, and $94.5 million and $142.4 million for the six months ended June 30, 2023 and 2022, respectively, have been eliminated from operating revenues in the table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80" w:name="Tc_EDbhReHSY0SO6ySxHlvzxg_17_11"/>
      <w:bookmarkStart w:id="881" w:name="Tc_9KhuHE0Uo0W_LcDq3u7XEA_17_8"/>
      <w:bookmarkStart w:id="882" w:name="Tc_kNorE_t-9kadpick16yFnw_17_5"/>
      <w:bookmarkStart w:id="883" w:name="Tc_4bA97dqfYkqbcrNewLDIFg_17_2"/>
      <w:bookmarkStart w:id="884" w:name="Tc_HZZlXLcTFU60sqvfd9UJow_17_0"/>
      <w:bookmarkStart w:id="885" w:name="Tc_7sYzkVosQkaAZO0JvQG1uQ_16_0"/>
      <w:bookmarkStart w:id="886" w:name="Tc_nCFzoKF3Ik-dMTqC-M3YBQ_15_0"/>
      <w:bookmarkStart w:id="887" w:name="Tc_qgj8yEUZXUKA_a-pfbsf-Q_14_0"/>
      <w:bookmarkStart w:id="888" w:name="Tc_D3s_JJwtxkOc5WpcAGlkjg_13_0"/>
      <w:bookmarkStart w:id="889" w:name="Tc_xzU69XCDrUKI1h696M5rHQ_12_12"/>
      <w:bookmarkStart w:id="890" w:name="Tc_z9tBpk-J8EWkMgPXBtg5rA_12_6"/>
      <w:bookmarkStart w:id="891" w:name="Tc_IU0yEeKjBkueNe5JRS6elA_12_0"/>
      <w:bookmarkStart w:id="892" w:name="Tc_r7RQeXi6rUifps5VqB-vUA_11_0"/>
      <w:bookmarkStart w:id="893" w:name="Tc_ZMu2cF-cPUaLqmTO_7WLxw_10_0"/>
      <w:bookmarkStart w:id="894" w:name="Tc_EvjWdhZw60eF0IvL2U3vPQ_9_11"/>
      <w:bookmarkStart w:id="895" w:name="Tc_zYVYwcVuJUej44_1OdOHSA_9_8"/>
      <w:bookmarkStart w:id="896" w:name="Tc_l4cjjZj9kkKmTCv95hGBzg_9_5"/>
      <w:bookmarkStart w:id="897" w:name="Tc_sgv7-_0DOU-Q0I5H6P5qtw_9_2"/>
      <w:bookmarkStart w:id="898" w:name="Tc_RDr1T7w750mbHesLuT8CJQ_9_0"/>
      <w:bookmarkStart w:id="899" w:name="Tc_J5SddCugxUi3UT1VQyAm6A_8_0"/>
      <w:bookmarkStart w:id="900" w:name="Tc_x2tkmxmbcEyIwf6e3fauHA_7_11"/>
      <w:bookmarkStart w:id="901" w:name="Tc_o0J7zV9tLE6JG6Fq_3Uc0g_7_8"/>
      <w:bookmarkStart w:id="902" w:name="Tc_40D-3SfuZUSt7JK7bWkqNQ_7_5"/>
      <w:bookmarkStart w:id="903" w:name="Tc_EbUHNM7fJUiZtmrpGF6nJA_7_2"/>
      <w:bookmarkStart w:id="904" w:name="Tc_sZ8M6k04mEOoitRn-lQ4uQ_7_0"/>
      <w:bookmarkStart w:id="905" w:name="Tc_2_tr4waEAkGoO36AmUAcQw_6_0"/>
      <w:bookmarkStart w:id="906" w:name="Tc_LT__zwPOCk68JHAmYECd-A_5_11"/>
      <w:bookmarkStart w:id="907" w:name="Tc_N_hxhWKlqU27qlysuIPfkQ_5_8"/>
      <w:bookmarkStart w:id="908" w:name="Tc_xpQLDl5w4E2doQqoQa7fvw_5_5"/>
      <w:bookmarkStart w:id="909" w:name="Tc_qoqDzxr79USZJgjTcGlgiA_5_2"/>
      <w:bookmarkStart w:id="910" w:name="Tc_fhhpyEwRn0KL6Y_gY0ebyg_5_0"/>
      <w:bookmarkStart w:id="911" w:name="Tc_qK0B8jAuI0WfhI-ehL8luA_4_0"/>
      <w:bookmarkStart w:id="912" w:name="Tc_S0hom7Hnq0eDeXtfKKwV3A_3_11"/>
      <w:bookmarkStart w:id="913" w:name="Tc_F0px7ifNCEGCpFGJw5yx1Q_3_8"/>
      <w:bookmarkStart w:id="914" w:name="Tc_Em_jXSrBhkiUu6aEhNbETQ_3_5"/>
      <w:bookmarkStart w:id="915" w:name="Tc_sb0LVKPCY0GGTGMys0L2yw_3_2"/>
      <w:bookmarkStart w:id="916" w:name="Tc_8ZT4IPNLyUqN7dEP4NvSXQ_3_0"/>
      <w:bookmarkStart w:id="917" w:name="Tc_Zi2IUp5QlEOuIcWqDED7-A_2_8"/>
      <w:bookmarkStart w:id="918" w:name="Tc_vmqwyYW2GkmnKIEgGn0ssQ_2_2"/>
      <w:bookmarkStart w:id="919" w:name="Tc_Ej1WEmwuG0W7SgRsKqaPtw_1_8"/>
      <w:bookmarkStart w:id="920" w:name="Tc_lfNwO3A5pEusRc4NFslWjA_1_2"/>
      <w:bookmarkStart w:id="921" w:name="_0d7445f0_de78_4027_9356_82ced491309f"/>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rFonts w:ascii="Times New Roman;Times;serif" w:hAnsi="Times New Roman;Times;serif"/>
          <w:sz w:val="20"/>
        </w:rPr>
        <w:t>Reportable segment financial information for the three and six months ended June 30, 2023 and 2022 are as follows:</w:t>
      </w:r>
    </w:p>
    <w:p>
      <w:pPr>
        <w:pStyle w:val="TextBody"/>
        <w:bidi w:val="0"/>
        <w:spacing w:before="0" w:after="0"/>
        <w:ind w:left="0" w:right="0" w:hanging="0"/>
        <w:jc w:val="left"/>
        <w:rPr/>
      </w:pPr>
      <w:r>
        <w:rPr/>
        <w:t>​</w:t>
      </w:r>
    </w:p>
    <w:tbl>
      <w:tblPr>
        <w:tblW w:w="7328" w:type="dxa"/>
        <w:jc w:val="left"/>
        <w:tblInd w:w="0" w:type="dxa"/>
        <w:tblLayout w:type="fixed"/>
        <w:tblCellMar>
          <w:top w:w="0" w:type="dxa"/>
          <w:left w:w="0" w:type="dxa"/>
          <w:bottom w:w="0" w:type="dxa"/>
          <w:right w:w="0" w:type="dxa"/>
        </w:tblCellMar>
      </w:tblPr>
      <w:tblGrid>
        <w:gridCol w:w="2386"/>
        <w:gridCol w:w="326"/>
        <w:gridCol w:w="211"/>
        <w:gridCol w:w="586"/>
        <w:gridCol w:w="326"/>
        <w:gridCol w:w="211"/>
        <w:gridCol w:w="721"/>
        <w:gridCol w:w="326"/>
        <w:gridCol w:w="211"/>
        <w:gridCol w:w="721"/>
        <w:gridCol w:w="326"/>
        <w:gridCol w:w="211"/>
        <w:gridCol w:w="76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515110" cy="175260"/>
                      <wp:effectExtent l="0" t="0" r="0" b="0"/>
                      <wp:wrapNone/>
                      <wp:docPr id="122" name="Frame12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72110" cy="175260"/>
                      <wp:effectExtent l="0" t="0" r="0" b="0"/>
                      <wp:wrapNone/>
                      <wp:docPr id="125" name="Frame12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57835" cy="175260"/>
                      <wp:effectExtent l="0" t="0" r="0" b="0"/>
                      <wp:wrapNone/>
                      <wp:docPr id="128" name="Frame12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57835" cy="175260"/>
                      <wp:effectExtent l="0" t="0" r="0" b="0"/>
                      <wp:wrapNone/>
                      <wp:docPr id="131" name="Frame13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86410" cy="175260"/>
                      <wp:effectExtent l="0" t="0" r="0" b="0"/>
                      <wp:wrapNone/>
                      <wp:docPr id="134" name="Frame13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1,993.1</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2,426.6</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925.7</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719.9</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$19.0</w:t>
            </w:r>
            <w:r>
              <w:rPr>
                <w:caps w:val="false"/>
                <w:smallCaps w:val="false"/>
              </w:rPr>
              <w:t> </w:t>
            </w:r>
            <w:r>
              <w:rPr>
                <w:rFonts w:ascii="Times New Roman;Times;serif" w:hAnsi="Times New Roman;Times;serif"/>
                <w:b w:val="false"/>
                <w:i w:val="false"/>
                <w:caps w:val="false"/>
                <w:smallCaps w:val="false"/>
                <w:sz w:val="16"/>
              </w:rPr>
              <w:t>million and $24.0</w:t>
            </w:r>
            <w:r>
              <w:rPr>
                <w:caps w:val="false"/>
                <w:smallCaps w:val="false"/>
              </w:rPr>
              <w:t> </w:t>
            </w:r>
            <w:r>
              <w:rPr>
                <w:rFonts w:ascii="Times New Roman;Times;serif" w:hAnsi="Times New Roman;Times;serif"/>
                <w:b w:val="false"/>
                <w:i w:val="false"/>
                <w:caps w:val="false"/>
                <w:smallCaps w:val="false"/>
                <w:sz w:val="16"/>
              </w:rPr>
              <w:t>million for the three months ended June 30, 2023 and 2022, and $35.1</w:t>
            </w:r>
            <w:r>
              <w:rPr>
                <w:caps w:val="false"/>
                <w:smallCaps w:val="false"/>
              </w:rPr>
              <w:t> </w:t>
            </w:r>
            <w:r>
              <w:rPr>
                <w:rFonts w:ascii="Times New Roman;Times;serif" w:hAnsi="Times New Roman;Times;serif"/>
                <w:b w:val="false"/>
                <w:i w:val="false"/>
                <w:caps w:val="false"/>
                <w:smallCaps w:val="false"/>
                <w:sz w:val="16"/>
              </w:rPr>
              <w:t>million and $45.8</w:t>
            </w:r>
            <w:r>
              <w:rPr>
                <w:caps w:val="false"/>
                <w:smallCaps w:val="false"/>
              </w:rPr>
              <w:t> </w:t>
            </w:r>
            <w:r>
              <w:rPr>
                <w:rFonts w:ascii="Times New Roman;Times;serif" w:hAnsi="Times New Roman;Times;serif"/>
                <w:b w:val="false"/>
                <w:i w:val="false"/>
                <w:caps w:val="false"/>
                <w:smallCaps w:val="false"/>
                <w:sz w:val="16"/>
              </w:rPr>
              <w:t>million for the six months ended June 30, 2023 and 2022, respectively.</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$35.4</w:t>
            </w:r>
            <w:r>
              <w:rPr>
                <w:caps w:val="false"/>
                <w:smallCaps w:val="false"/>
              </w:rPr>
              <w:t> </w:t>
            </w:r>
            <w:r>
              <w:rPr>
                <w:rFonts w:ascii="Times New Roman;Times;serif" w:hAnsi="Times New Roman;Times;serif"/>
                <w:b w:val="false"/>
                <w:i w:val="false"/>
                <w:caps w:val="false"/>
                <w:smallCaps w:val="false"/>
                <w:sz w:val="16"/>
              </w:rPr>
              <w:t>million and $45.2</w:t>
            </w:r>
            <w:r>
              <w:rPr>
                <w:caps w:val="false"/>
                <w:smallCaps w:val="false"/>
              </w:rPr>
              <w:t> </w:t>
            </w:r>
            <w:r>
              <w:rPr>
                <w:rFonts w:ascii="Times New Roman;Times;serif" w:hAnsi="Times New Roman;Times;serif"/>
                <w:b w:val="false"/>
                <w:i w:val="false"/>
                <w:caps w:val="false"/>
                <w:smallCaps w:val="false"/>
                <w:sz w:val="16"/>
              </w:rPr>
              <w:t>million for the three months ended June 30, 2023 and 2022, and $59.4</w:t>
            </w:r>
            <w:r>
              <w:rPr>
                <w:caps w:val="false"/>
                <w:smallCaps w:val="false"/>
              </w:rPr>
              <w:t> </w:t>
            </w:r>
            <w:r>
              <w:rPr>
                <w:rFonts w:ascii="Times New Roman;Times;serif" w:hAnsi="Times New Roman;Times;serif"/>
                <w:b w:val="false"/>
                <w:i w:val="false"/>
                <w:caps w:val="false"/>
                <w:smallCaps w:val="false"/>
                <w:sz w:val="16"/>
              </w:rPr>
              <w:t>million and $96.6</w:t>
            </w:r>
            <w:r>
              <w:rPr>
                <w:caps w:val="false"/>
                <w:smallCaps w:val="false"/>
              </w:rPr>
              <w:t> </w:t>
            </w:r>
            <w:r>
              <w:rPr>
                <w:rFonts w:ascii="Times New Roman;Times;serif" w:hAnsi="Times New Roman;Times;serif"/>
                <w:b w:val="false"/>
                <w:i w:val="false"/>
                <w:caps w:val="false"/>
                <w:smallCaps w:val="false"/>
                <w:sz w:val="16"/>
              </w:rPr>
              <w:t xml:space="preserve">million for the six months ended June 30, 2023 and 2022, respectively.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segment information includes $(1.4)</w:t>
            </w:r>
            <w:r>
              <w:rPr>
                <w:caps w:val="false"/>
                <w:smallCaps w:val="false"/>
              </w:rPr>
              <w:t> </w:t>
            </w:r>
            <w:r>
              <w:rPr>
                <w:rFonts w:ascii="Times New Roman;Times;serif" w:hAnsi="Times New Roman;Times;serif"/>
                <w:b w:val="false"/>
                <w:i w:val="false"/>
                <w:caps w:val="false"/>
                <w:smallCaps w:val="false"/>
                <w:sz w:val="16"/>
              </w:rPr>
              <w:t>million and $24.7</w:t>
            </w:r>
            <w:r>
              <w:rPr>
                <w:caps w:val="false"/>
                <w:smallCaps w:val="false"/>
              </w:rPr>
              <w:t> </w:t>
            </w:r>
            <w:r>
              <w:rPr>
                <w:rFonts w:ascii="Times New Roman;Times;serif" w:hAnsi="Times New Roman;Times;serif"/>
                <w:b w:val="false"/>
                <w:i w:val="false"/>
                <w:caps w:val="false"/>
                <w:smallCaps w:val="false"/>
                <w:sz w:val="16"/>
              </w:rPr>
              <w:t>million of equity in income from the Company’s equity investment in SSAT for the three months ended June 30, 2023 and 2022, and $(3.2)</w:t>
            </w:r>
            <w:r>
              <w:rPr>
                <w:caps w:val="false"/>
                <w:smallCaps w:val="false"/>
              </w:rPr>
              <w:t> </w:t>
            </w:r>
            <w:r>
              <w:rPr>
                <w:rFonts w:ascii="Times New Roman;Times;serif" w:hAnsi="Times New Roman;Times;serif"/>
                <w:b w:val="false"/>
                <w:i w:val="false"/>
                <w:caps w:val="false"/>
                <w:smallCaps w:val="false"/>
                <w:sz w:val="16"/>
              </w:rPr>
              <w:t>million and $58.7</w:t>
            </w:r>
            <w:r>
              <w:rPr>
                <w:caps w:val="false"/>
                <w:smallCaps w:val="false"/>
              </w:rPr>
              <w:t> </w:t>
            </w:r>
            <w:r>
              <w:rPr>
                <w:rFonts w:ascii="Times New Roman;Times;serif" w:hAnsi="Times New Roman;Times;serif"/>
                <w:b w:val="false"/>
                <w:i w:val="false"/>
                <w:caps w:val="false"/>
                <w:smallCaps w:val="false"/>
                <w:sz w:val="16"/>
              </w:rPr>
              <w:t>million for the six months ended June 30, 2023 and 2022,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22" w:name="Tc_s5i3ENLuhE69oxVJ9m_9ag_11_5"/>
      <w:bookmarkStart w:id="923" w:name="Tc_K5qspmn_o0-8pU4R2nyGIA_11_2"/>
      <w:bookmarkStart w:id="924" w:name="Tc_zW4DEDoy1EKapkxGwsK3Qg_11_0"/>
      <w:bookmarkStart w:id="925" w:name="Tc_mz1fmMcRwU-JbgdQReBvug_10_0"/>
      <w:bookmarkStart w:id="926" w:name="Tc_wMY62RcSlUy9VkBqN6iWzg_9_0"/>
      <w:bookmarkStart w:id="927" w:name="Tc_oVe0IFKLkUuVtC-w9gZYTA_8_0"/>
      <w:bookmarkStart w:id="928" w:name="Tc_Np0BKRTbwkydfHXIETdIZg_7_0"/>
      <w:bookmarkStart w:id="929" w:name="Tc_L9ujcf6UpECsYMswxr4Egw_6_0"/>
      <w:bookmarkStart w:id="930" w:name="Tc_jB9lbn9anEWueJDqR7dTkA_5_0"/>
      <w:bookmarkStart w:id="931" w:name="Tc_3i3apphdtUOS5eRsVtBS1A_4_5"/>
      <w:bookmarkStart w:id="932" w:name="Tc_eyd96RSOHUSogKJgn1YsuQ_4_2"/>
      <w:bookmarkStart w:id="933" w:name="Tc_M8zAweNMJ0ygJKuS05bRrA_4_0"/>
      <w:bookmarkStart w:id="934" w:name="Tc_h2jV4HPbGEOsCPpd1kzFAA_3_0"/>
      <w:bookmarkStart w:id="935" w:name="Tc_yWcWhQukdk6W9JcztU7xLQ_2_5"/>
      <w:bookmarkStart w:id="936" w:name="Tc_5rag937mz0-407Ev9z9czg_2_2"/>
      <w:bookmarkStart w:id="937" w:name="Tc_2bu9nZ8VCEG6NHxdmH57Fg_2_0"/>
      <w:bookmarkStart w:id="938" w:name="Tc_TItbgDw1XEyr2kFu5TtSZQ_1_5"/>
      <w:bookmarkStart w:id="939" w:name="Tc_s8crUmBmuEqSceQhe5aIzw_1_2"/>
      <w:bookmarkStart w:id="940" w:name="_contentSection_391a0d21_2631_4624_b9dc_"/>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Times New Roman;Times;serif" w:hAnsi="Times New Roman;Times;serif"/>
          <w:b/>
          <w:sz w:val="20"/>
        </w:rPr>
        <w:t>4.          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June 30, 2023 and December 31, 2022 consisted of the following:</w:t>
      </w:r>
    </w:p>
    <w:p>
      <w:pPr>
        <w:pStyle w:val="TextBody"/>
        <w:bidi w:val="0"/>
        <w:spacing w:before="0" w:after="0"/>
        <w:ind w:left="0" w:right="0" w:hanging="0"/>
        <w:jc w:val="left"/>
        <w:rPr/>
      </w:pPr>
      <w:r>
        <w:rPr/>
        <w:t>​</w:t>
      </w:r>
    </w:p>
    <w:tbl>
      <w:tblPr>
        <w:tblW w:w="6040" w:type="dxa"/>
        <w:jc w:val="left"/>
        <w:tblInd w:w="0" w:type="dxa"/>
        <w:tblLayout w:type="fixed"/>
        <w:tblCellMar>
          <w:top w:w="0" w:type="dxa"/>
          <w:left w:w="0" w:type="dxa"/>
          <w:bottom w:w="0" w:type="dxa"/>
          <w:right w:w="0" w:type="dxa"/>
        </w:tblCellMar>
      </w:tblPr>
      <w:tblGrid>
        <w:gridCol w:w="3151"/>
        <w:gridCol w:w="326"/>
        <w:gridCol w:w="211"/>
        <w:gridCol w:w="841"/>
        <w:gridCol w:w="326"/>
        <w:gridCol w:w="228"/>
        <w:gridCol w:w="957"/>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00885" cy="175260"/>
                      <wp:effectExtent l="0" t="0" r="0" b="0"/>
                      <wp:wrapNone/>
                      <wp:docPr id="135" name="Frame135"/>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34035" cy="175260"/>
                      <wp:effectExtent l="0" t="0" r="0" b="0"/>
                      <wp:wrapNone/>
                      <wp:docPr id="138" name="Frame13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4780" cy="175260"/>
                      <wp:effectExtent l="0" t="0" r="0" b="0"/>
                      <wp:wrapNone/>
                      <wp:docPr id="140" name="Frame14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07695" cy="175260"/>
                      <wp:effectExtent l="0" t="0" r="0" b="0"/>
                      <wp:wrapNone/>
                      <wp:docPr id="141" name="Frame14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2,258.6</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2,278.6</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Containers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762.7</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facilities and other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construction in progress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3,374.6</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3,288.7</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(1,345.6)</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(1,326.2)</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2,029.0</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1,962.5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 at June 30, 2023 and December 31, 2022 includes milestone progress payments, capitalized interest and other costs related to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41" w:name="Tc_BlZqGYzl6UizdZOiHBNWEg_3_8"/>
      <w:bookmarkStart w:id="942" w:name="Tc_ljnYqYnID0K0HP0ijnUsLg_3_5"/>
      <w:bookmarkStart w:id="943" w:name="Tc_4x5IGvu2m0KE9tQtmwYQOg_3_2"/>
      <w:bookmarkStart w:id="944" w:name="Tc_lMm6AmLHQ06sYCgTAWhUsQ_3_0"/>
      <w:bookmarkStart w:id="945" w:name="Tc_UJmmGWgCQECCtZwIdT-KAA_2_8"/>
      <w:bookmarkStart w:id="946" w:name="Tc_q7V774Kluk2oofW3loqKBw_2_5"/>
      <w:bookmarkStart w:id="947" w:name="Tc_3vFGXbsTqEG4Rwxv_upA8g_2_2"/>
      <w:bookmarkStart w:id="948" w:name="Tc_BtZ0CUvr-Ea1lET6esnlPw_2_0"/>
      <w:bookmarkStart w:id="949" w:name="Tc_piTmMdNMO0KX1su5SJE4Qg_1_2"/>
      <w:bookmarkEnd w:id="941"/>
      <w:bookmarkEnd w:id="942"/>
      <w:bookmarkEnd w:id="943"/>
      <w:bookmarkEnd w:id="944"/>
      <w:bookmarkEnd w:id="945"/>
      <w:bookmarkEnd w:id="946"/>
      <w:bookmarkEnd w:id="947"/>
      <w:bookmarkEnd w:id="948"/>
      <w:bookmarkEnd w:id="949"/>
      <w:r>
        <w:rPr>
          <w:rFonts w:ascii="Times New Roman;Times;serif" w:hAnsi="Times New Roman;Times;serif"/>
          <w:b/>
          <w:sz w:val="20"/>
        </w:rPr>
        <w:t>5.          GOODWILL AND INTANGIBLES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by segment as of June 30, 2023 and December 31, 2022 consisted of the following:</w:t>
      </w:r>
    </w:p>
    <w:p>
      <w:pPr>
        <w:pStyle w:val="TextBody"/>
        <w:bidi w:val="0"/>
        <w:spacing w:before="0" w:after="0"/>
        <w:ind w:left="0" w:right="0" w:hanging="0"/>
        <w:jc w:val="left"/>
        <w:rPr/>
      </w:pPr>
      <w:r>
        <w:rPr/>
        <w:t>​</w:t>
      </w:r>
    </w:p>
    <w:tbl>
      <w:tblPr>
        <w:tblW w:w="4940" w:type="dxa"/>
        <w:jc w:val="left"/>
        <w:tblInd w:w="0" w:type="dxa"/>
        <w:tblLayout w:type="fixed"/>
        <w:tblCellMar>
          <w:top w:w="0" w:type="dxa"/>
          <w:left w:w="0" w:type="dxa"/>
          <w:bottom w:w="0" w:type="dxa"/>
          <w:right w:w="0" w:type="dxa"/>
        </w:tblCellMar>
      </w:tblPr>
      <w:tblGrid>
        <w:gridCol w:w="991"/>
        <w:gridCol w:w="326"/>
        <w:gridCol w:w="328"/>
        <w:gridCol w:w="888"/>
        <w:gridCol w:w="326"/>
        <w:gridCol w:w="211"/>
        <w:gridCol w:w="571"/>
        <w:gridCol w:w="326"/>
        <w:gridCol w:w="211"/>
        <w:gridCol w:w="571"/>
        <w:gridCol w:w="1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29285" cy="175260"/>
                      <wp:effectExtent l="0" t="0" r="0" b="0"/>
                      <wp:wrapNone/>
                      <wp:docPr id="142" name="Frame1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8280" cy="175260"/>
                      <wp:effectExtent l="0" t="0" r="0" b="0"/>
                      <wp:wrapNone/>
                      <wp:docPr id="144" name="Frame14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63880" cy="175260"/>
                      <wp:effectExtent l="0" t="0" r="0" b="0"/>
                      <wp:wrapNone/>
                      <wp:docPr id="145" name="Frame145"/>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362585" cy="175260"/>
                      <wp:effectExtent l="0" t="0" r="0" b="0"/>
                      <wp:wrapNone/>
                      <wp:docPr id="148" name="Frame1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62585" cy="175260"/>
                      <wp:effectExtent l="0" t="0" r="0" b="0"/>
                      <wp:wrapNone/>
                      <wp:docPr id="151" name="Frame15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21285" cy="175260"/>
                      <wp:effectExtent l="0" t="0" r="0" b="0"/>
                      <wp:wrapNone/>
                      <wp:docPr id="152" name="Frame15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50" w:name="Tc_QA1-ENbrFUSVgycfSZwCgQ_10_5"/>
      <w:bookmarkStart w:id="951" w:name="Tc_Y4KGyyUMT0qXqtj1ySy9YQ_10_2"/>
      <w:bookmarkStart w:id="952" w:name="Tc_LFPCPcbMp0WJ0-v4j78Zjg_10_0"/>
      <w:bookmarkStart w:id="953" w:name="Tc_eS-ViwAGsUCU5_AumneArQ_9_0"/>
      <w:bookmarkStart w:id="954" w:name="Tc_MTwQ_czlm0qaFsNKVv2iow_8_0"/>
      <w:bookmarkStart w:id="955" w:name="Tc_0fa4vjhEx0aR42zQIkOl6w_7_0"/>
      <w:bookmarkStart w:id="956" w:name="Tc_p1B3xQpMiUCiMTuTVZMiVw_6_0"/>
      <w:bookmarkStart w:id="957" w:name="Tc_CIsltEs8I0q2v1kjp45b8w_5_0"/>
      <w:bookmarkStart w:id="958" w:name="Tc_qEkuYRVKI0CPlUI1I4qLfQ_4_5"/>
      <w:bookmarkStart w:id="959" w:name="Tc_LZ7edLU8L0O_0Igxf3R-9g_4_2"/>
      <w:bookmarkStart w:id="960" w:name="Tc_A5qxvrAjD0yxG9C88MqgFg_4_0"/>
      <w:bookmarkStart w:id="961" w:name="Tc_jCPZYidAzUmNLRiGSkhDtA_3_0"/>
      <w:bookmarkStart w:id="962" w:name="Tc_bb-neqh13U2LuPQwcghEjw_2_5"/>
      <w:bookmarkStart w:id="963" w:name="Tc_wDWkEwqwdEOolN3l3h0Jew_2_2"/>
      <w:bookmarkStart w:id="964" w:name="Tc_Z8HWUVr5uEyWh5vG14KRsw_2_0"/>
      <w:bookmarkStart w:id="965" w:name="Tc_PxcHwSWnfEuOhsQREY0fBQ_1_5"/>
      <w:bookmarkStart w:id="966" w:name="Tc_26W2XFwUeUqyOGpfu-lEfQ_1_2"/>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r>
        <w:rPr>
          <w:rFonts w:ascii="Times New Roman;Times;serif" w:hAnsi="Times New Roman;Times;serif"/>
          <w:sz w:val="20"/>
        </w:rPr>
        <w:t xml:space="preserve">Intangible assets as of June 30, 2023 and December 31, 2022 consisted of the following: </w:t>
      </w:r>
    </w:p>
    <w:p>
      <w:pPr>
        <w:pStyle w:val="TextBody"/>
        <w:bidi w:val="0"/>
        <w:spacing w:lineRule="atLeast" w:line="200" w:before="0" w:after="0"/>
        <w:ind w:left="0" w:right="0" w:hanging="0"/>
        <w:jc w:val="left"/>
        <w:rPr/>
      </w:pPr>
      <w:r>
        <w:rPr/>
        <w:t>​</w:t>
      </w:r>
    </w:p>
    <w:tbl>
      <w:tblPr>
        <w:tblW w:w="5639" w:type="dxa"/>
        <w:jc w:val="left"/>
        <w:tblInd w:w="0" w:type="dxa"/>
        <w:tblLayout w:type="fixed"/>
        <w:tblCellMar>
          <w:top w:w="0" w:type="dxa"/>
          <w:left w:w="0" w:type="dxa"/>
          <w:bottom w:w="0" w:type="dxa"/>
          <w:right w:w="0" w:type="dxa"/>
        </w:tblCellMar>
      </w:tblPr>
      <w:tblGrid>
        <w:gridCol w:w="2896"/>
        <w:gridCol w:w="326"/>
        <w:gridCol w:w="211"/>
        <w:gridCol w:w="586"/>
        <w:gridCol w:w="326"/>
        <w:gridCol w:w="307"/>
        <w:gridCol w:w="833"/>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838960" cy="175260"/>
                      <wp:effectExtent l="0" t="0" r="0" b="0"/>
                      <wp:wrapNone/>
                      <wp:docPr id="153" name="Frame153"/>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72110" cy="175260"/>
                      <wp:effectExtent l="0" t="0" r="0" b="0"/>
                      <wp:wrapNone/>
                      <wp:docPr id="156" name="Frame1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94945" cy="175260"/>
                      <wp:effectExtent l="0" t="0" r="0" b="0"/>
                      <wp:wrapNone/>
                      <wp:docPr id="158" name="Frame15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28955" cy="175260"/>
                      <wp:effectExtent l="0" t="0" r="0" b="0"/>
                      <wp:wrapNone/>
                      <wp:docPr id="159" name="Frame159"/>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97790" cy="175260"/>
                      <wp:effectExtent l="0" t="0" r="0" b="0"/>
                      <wp:wrapNone/>
                      <wp:docPr id="160" name="Frame16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33"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Customer Relationships,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 – 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On February 27, 2023, the Company completed an asset acquisition consisting of customer relationship intangible assets for $16.5 million, which are being amortized over seven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2022 annual impairment tests, the Company concluded that an impairment triggering event did not occur during the three months ended June 30,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967" w:name="Tc_Tp7iDCR3dkSkS3DkvxiZvA_16_5"/>
      <w:bookmarkStart w:id="968" w:name="Tc_BTidwSvkvkemEE9dftdz9Q_16_2"/>
      <w:bookmarkStart w:id="969" w:name="Tc_8hWhDYSc40aqHiHWX36mKg_16_0"/>
      <w:bookmarkStart w:id="970" w:name="Tc_L6kCdTJgTkGDB7II4VGUxQ_15_0"/>
      <w:bookmarkStart w:id="971" w:name="Tc_vZy1vpDzBkGp0pZq21wRnw_14_0"/>
      <w:bookmarkStart w:id="972" w:name="Tc_q_-dmGtUsUu8QrGHlVBVrA_13_0"/>
      <w:bookmarkStart w:id="973" w:name="Tc_mV2u-bNgQ0ikr0qUe2o0nQ_12_0"/>
      <w:bookmarkStart w:id="974" w:name="Tc_9sXMwBKECU2n8e9us2h6_A_11_0"/>
      <w:bookmarkStart w:id="975" w:name="Tc_vZqFD3hhPEGHLXA_XH4kBQ_10_0"/>
      <w:bookmarkStart w:id="976" w:name="Tc_fN2s2snTHE6Qa_SkcC5UfA_9_3"/>
      <w:bookmarkStart w:id="977" w:name="Tc_todZ66htd0uuVpHRIoW_yw_9_0"/>
      <w:bookmarkStart w:id="978" w:name="Tc_VMT71jx8Q0KjP0br99Hksw_8_3"/>
      <w:bookmarkStart w:id="979" w:name="Tc_gKe9svDvsUG2HROF7hp2WA_8_0"/>
      <w:bookmarkStart w:id="980" w:name="Tc_KcPkmcwRmEiHCZxPPufJoQ_7_0"/>
      <w:bookmarkStart w:id="981" w:name="Tc_ZrCND6Q8b0qAnr_6dKWfYA_6_0"/>
      <w:bookmarkStart w:id="982" w:name="Tc_awnNBmAmGEWNXWR9XPxwVA_5_0"/>
      <w:bookmarkStart w:id="983" w:name="Tc_9W7p6bj6wkyhSHVysfaoxA_4_5"/>
      <w:bookmarkStart w:id="984" w:name="Tc_ScVTrMJ42EyhgDY-CT0e6w_4_3"/>
      <w:bookmarkStart w:id="985" w:name="Tc_wud5nNz1MEWL-0FV9-Duyg_4_2"/>
      <w:bookmarkStart w:id="986" w:name="Tc_Z0ek2aEStES9FDN8_zmjZg_4_0"/>
      <w:bookmarkStart w:id="987" w:name="Tc_VUX4IlOiCUa8t9AJjjTJOg_3_0"/>
      <w:bookmarkStart w:id="988" w:name="Tc_QpaMqumnMEqewCV3RljJng_2_5"/>
      <w:bookmarkStart w:id="989" w:name="Tc_CZYEpftZuE6IobNkfEjn6g_2_2"/>
      <w:bookmarkStart w:id="990" w:name="Tc_PVf0scQmQEWCTm_rwUs2kA_2_0"/>
      <w:bookmarkStart w:id="991" w:name="Tc_EJk_tNAECkSW0SZvdNqUlA_1_5"/>
      <w:bookmarkStart w:id="992" w:name="Tc_CeZuXxczvkKQTremjIGvlw_1_2"/>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r>
        <w:rPr>
          <w:rFonts w:ascii="Times New Roman;Times;serif" w:hAnsi="Times New Roman;Times;serif"/>
          <w:b/>
          <w:sz w:val="20"/>
        </w:rPr>
        <w:t>6.</w:t>
      </w:r>
      <w:r>
        <w:rPr>
          <w:rFonts w:ascii="Times New Roman;Times;serif" w:hAnsi="Times New Roman;Times;serif"/>
          <w:sz w:val="20"/>
        </w:rPr>
        <w:t>          </w:t>
      </w:r>
      <w:r>
        <w:rPr>
          <w:rFonts w:ascii="Times New Roman;Times;serif" w:hAnsi="Times New Roman;Times;serif"/>
          <w:b/>
          <w:sz w:val="20"/>
        </w:rPr>
        <w:t>DEBT</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2023 and December 31, 2022, the Company’s debt consisted of the following:</w:t>
      </w:r>
    </w:p>
    <w:p>
      <w:pPr>
        <w:pStyle w:val="TextBody"/>
        <w:bidi w:val="0"/>
        <w:spacing w:lineRule="atLeast" w:line="200" w:before="0" w:after="0"/>
        <w:ind w:left="0" w:right="0" w:hanging="0"/>
        <w:jc w:val="left"/>
        <w:rPr/>
      </w:pPr>
      <w:r>
        <w:rPr/>
        <w:t>​</w:t>
      </w:r>
    </w:p>
    <w:tbl>
      <w:tblPr>
        <w:tblW w:w="6580" w:type="dxa"/>
        <w:jc w:val="left"/>
        <w:tblInd w:w="0" w:type="dxa"/>
        <w:tblLayout w:type="fixed"/>
        <w:tblCellMar>
          <w:top w:w="0" w:type="dxa"/>
          <w:left w:w="0" w:type="dxa"/>
          <w:bottom w:w="0" w:type="dxa"/>
          <w:right w:w="0" w:type="dxa"/>
        </w:tblCellMar>
      </w:tblPr>
      <w:tblGrid>
        <w:gridCol w:w="3916"/>
        <w:gridCol w:w="326"/>
        <w:gridCol w:w="211"/>
        <w:gridCol w:w="616"/>
        <w:gridCol w:w="326"/>
        <w:gridCol w:w="281"/>
        <w:gridCol w:w="904"/>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486660" cy="175260"/>
                      <wp:effectExtent l="0" t="0" r="0" b="0"/>
                      <wp:wrapNone/>
                      <wp:docPr id="161" name="Frame161"/>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91160" cy="175260"/>
                      <wp:effectExtent l="0" t="0" r="0" b="0"/>
                      <wp:wrapNone/>
                      <wp:docPr id="164" name="Frame16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78435" cy="175260"/>
                      <wp:effectExtent l="0" t="0" r="0" b="0"/>
                      <wp:wrapNone/>
                      <wp:docPr id="166" name="Frame16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74040" cy="175260"/>
                      <wp:effectExtent l="0" t="0" r="0" b="0"/>
                      <wp:wrapNone/>
                      <wp:docPr id="167" name="Frame167"/>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3.66 %, payable through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3.37 %, payable through 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3.14 %, payable through 2031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123.6 </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132.8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XI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5.34 %, payable through 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13.2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5.27 %, payable through 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15.4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1.22 %, payable through 2043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162.2 </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166.2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1.35 %, payable through 2044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124.7 </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127.7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deferred loan fees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408.5</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427.7</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described below, the Company’s debt is described in Note 8 to the Consolidated Financial Statements included in the Company’s Annual Report on Form 10-K for the year ended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Revolving Credit Facility:</w:t>
      </w:r>
      <w:r>
        <w:rPr>
          <w:rFonts w:ascii="Times New Roman;Times;serif" w:hAnsi="Times New Roman;Times;serif"/>
          <w:sz w:val="20"/>
        </w:rPr>
        <w:t xml:space="preserve"> The Company’s revolving credit facility has committed available borrowing of up to $650 million and matures on March 31, 2026. As of June 30, 2023, the Company had $642.5 million of remaining borrowing availability under the revolving credit facility. The Company used $7.5 million of the revolving credit facility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93" w:name="Tc_EivD5tnlekKhul42WBCWxA_9_2"/>
      <w:bookmarkStart w:id="994" w:name="Tc_krC2ImB4N0m0eRXjBdLynw_9_0"/>
      <w:bookmarkStart w:id="995" w:name="Tc_fWMm1CZkWEueCZH8w5HekA_8_0"/>
      <w:bookmarkStart w:id="996" w:name="Tc_HCzN58fUJ0-XtsRiErLzrg_7_0"/>
      <w:bookmarkStart w:id="997" w:name="Tc_kcftE7oK0U20IIa0rU_RUg_6_0"/>
      <w:bookmarkStart w:id="998" w:name="Tc_f60Z70olYUOb7Z1qzfWlDQ_5_0"/>
      <w:bookmarkStart w:id="999" w:name="Tc_WdifCIOkb0mMCuZHFu6uIQ_4_0"/>
      <w:bookmarkStart w:id="1000" w:name="Tc_uvThiyNWd023qpSklOTfUw_3_2"/>
      <w:bookmarkStart w:id="1001" w:name="Tc__hovIvcAl0iH3cAdtHxWyw_3_0"/>
      <w:bookmarkStart w:id="1002" w:name="Tc_2ee4wMHAn0K01rRYFlvbfw_2_2"/>
      <w:bookmarkStart w:id="1003" w:name="Tc_36J0L4mH40qBwmY8yw8YWw_2_0"/>
      <w:bookmarkStart w:id="1004" w:name="Tc_FIY-ve9agUWoYzDwFlJhNA_1_2"/>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sz w:val="20"/>
        </w:rPr>
        <w:t>for letters of credit outstanding as of June 30, 2023. There were no outstanding borrowings under the revolving credit facility as of June 30, 2023 and December 31,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9, 2023, the Company amended the revolving credit facility to replace LIBOR with a new benchmark interest rate, the Secured Overnight Financing Rate (“SOFR”). There were no other significant changes to the revolving credit facility as a result of this amendment.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Title XI Bonds:</w:t>
      </w:r>
      <w:r>
        <w:rPr>
          <w:rFonts w:ascii="Times New Roman;Times;serif" w:hAnsi="Times New Roman;Times;serif"/>
          <w:sz w:val="20"/>
        </w:rPr>
        <w:t xml:space="preserve"> On January 27, 2023, the Company prepaid $14.3 million of outstanding principal on the 5.27 percent Title XI Bond representing all of the remaining outstanding principal for this bond. On March 3, 2023, the Company also prepaid $12.1 million of outstanding principal on the 5.34 percent Title XI Bond representing all of the outstanding principal for this bond.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Security and Guarantees:</w:t>
      </w:r>
      <w:r>
        <w:rPr>
          <w:rFonts w:ascii="Times New Roman;Times;serif" w:hAnsi="Times New Roman;Times;serif"/>
          <w:sz w:val="20"/>
        </w:rPr>
        <w:t xml:space="preserve"> All of the debt of the Company and MatNav, including related guarantees, as of June 30, 2023 was unsecured, except for the Title XI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Maturities:</w:t>
      </w:r>
      <w:r>
        <w:rPr>
          <w:rFonts w:ascii="Times New Roman;Times;serif" w:hAnsi="Times New Roman;Times;serif"/>
          <w:sz w:val="20"/>
        </w:rPr>
        <w:t xml:space="preserve"> As of June 30, 2023, debt maturities during the next five years and thereafter are as follows:</w:t>
      </w:r>
    </w:p>
    <w:p>
      <w:pPr>
        <w:pStyle w:val="TextBody"/>
        <w:bidi w:val="0"/>
        <w:spacing w:before="0" w:after="0"/>
        <w:ind w:left="0" w:right="0" w:hanging="0"/>
        <w:jc w:val="left"/>
        <w:rPr/>
      </w:pPr>
      <w:r>
        <w:rPr/>
        <w:t>​</w:t>
      </w:r>
    </w:p>
    <w:tbl>
      <w:tblPr>
        <w:tblW w:w="3178" w:type="dxa"/>
        <w:jc w:val="left"/>
        <w:tblInd w:w="0" w:type="dxa"/>
        <w:tblLayout w:type="fixed"/>
        <w:tblCellMar>
          <w:top w:w="0" w:type="dxa"/>
          <w:left w:w="0" w:type="dxa"/>
          <w:bottom w:w="0" w:type="dxa"/>
          <w:right w:w="0" w:type="dxa"/>
        </w:tblCellMar>
      </w:tblPr>
      <w:tblGrid>
        <w:gridCol w:w="1681"/>
        <w:gridCol w:w="326"/>
        <w:gridCol w:w="278"/>
        <w:gridCol w:w="893"/>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067435" cy="175260"/>
                      <wp:effectExtent l="0" t="0" r="0" b="0"/>
                      <wp:wrapNone/>
                      <wp:docPr id="168" name="Frame168"/>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76530" cy="175260"/>
                      <wp:effectExtent l="0" t="0" r="0" b="0"/>
                      <wp:wrapNone/>
                      <wp:docPr id="170" name="Frame17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67055" cy="175260"/>
                      <wp:effectExtent l="0" t="0" r="0" b="0"/>
                      <wp:wrapNone/>
                      <wp:docPr id="171" name="Frame171"/>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462.4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05" w:name="Tc_F2QrH60A40OF0YUOJIZw6Q_13_2"/>
      <w:bookmarkStart w:id="1006" w:name="Tc_BdJ9RB-qjkymD-uoRq15xw_13_0"/>
      <w:bookmarkStart w:id="1007" w:name="Tc_U--Gps4qN0eQ7op4zoFCOQ_12_0"/>
      <w:bookmarkStart w:id="1008" w:name="Tc_kwrxgqktUkebPGfpwZ-Kfg_11_0"/>
      <w:bookmarkStart w:id="1009" w:name="Tc_V0jJbJ4YaECNAxSYf65tuw_10_0"/>
      <w:bookmarkStart w:id="1010" w:name="Tc_QjV2yLNIEUuc9w9mHeAEVg_9_0"/>
      <w:bookmarkStart w:id="1011" w:name="Tc_hl354J1jT0ujugJv3bKHFA_8_0"/>
      <w:bookmarkStart w:id="1012" w:name="Tc_dn6ntQTeFEKXrqNZAbk3zg_7_0"/>
      <w:bookmarkStart w:id="1013" w:name="Tc_mpqD2hgOSEmhdFubZANALQ_6_0"/>
      <w:bookmarkStart w:id="1014" w:name="Tc_4dMNiSA7CUCZNDkIP6Yf_A_5_0"/>
      <w:bookmarkStart w:id="1015" w:name="Tc_pr6MMfLx8kyvYh-ZlmS2Yw_4_0"/>
      <w:bookmarkStart w:id="1016" w:name="Tc_HNNIl6q5B0S8_IDWpXw1bg_3_2"/>
      <w:bookmarkStart w:id="1017" w:name="Tc_wGb1nJ3lk0KzCkOMdZqw2A_3_0"/>
      <w:bookmarkStart w:id="1018" w:name="Tc_XJnXBpaZSUOF4KBndc0vzg_2_2"/>
      <w:bookmarkStart w:id="1019" w:name="Tc_N8hgd-9WRkKprpNJRoPzbg_2_0"/>
      <w:bookmarkStart w:id="1020" w:name="Tc_B2ddF9yFJUKBF1FlLuiE7A_1_2"/>
      <w:bookmarkStart w:id="1021" w:name="Tc_5IYb4RSqJ06gNozCaLOwGA_7_11"/>
      <w:bookmarkStart w:id="1022" w:name="Tc_p3eGEKFKMkqfopaz2L9-9A_7_8"/>
      <w:bookmarkStart w:id="1023" w:name="Tc_0utOUjf_okqnn8K5oO-CVg_7_5"/>
      <w:bookmarkStart w:id="1024" w:name="Tc_urf9OwIpOUOv3yuP93DmcA_7_2"/>
      <w:bookmarkStart w:id="1025" w:name="Tc_v-QP9nybv0i1DswjYFrnUQ_7_0"/>
      <w:bookmarkStart w:id="1026" w:name="Tc_rgeIJmbUlkqK46CywdW-Rg_6_0"/>
      <w:bookmarkStart w:id="1027" w:name="Tc_aenXlxSDxkugIyaySgBBnA_5_0"/>
      <w:bookmarkStart w:id="1028" w:name="Tc_bZ31litOJ0C0RmQki8hxlA_4_11"/>
      <w:bookmarkStart w:id="1029" w:name="Tc_H4WGDN_E1EmCcR8isHyfbA_4_8"/>
      <w:bookmarkStart w:id="1030" w:name="Tc_DXB0hAari0eh8s8maW7cfw_4_5"/>
      <w:bookmarkStart w:id="1031" w:name="Tc_No2Rv21WcU2tU4zfXS5eog_4_2"/>
      <w:bookmarkStart w:id="1032" w:name="Tc_ldOfmpr0qk2NT-iBOPbw-g_4_0"/>
      <w:bookmarkStart w:id="1033" w:name="Tc_L8tYuWAXsUK9-V9hVIWESA_3_11"/>
      <w:bookmarkStart w:id="1034" w:name="Tc_ND4xwcPSaEOPKCPnlyaNrg_3_8"/>
      <w:bookmarkStart w:id="1035" w:name="Tc_mGP8f0T91EyEHdqPJMwFhA_3_5"/>
      <w:bookmarkStart w:id="1036" w:name="Tc_jJO1_t1bxkCNZKDPkyuR5w_3_2"/>
      <w:bookmarkStart w:id="1037" w:name="Tc_Jw3Toto5Ek-heg_IQI73YA_3_0"/>
      <w:bookmarkStart w:id="1038" w:name="Tc_NIfI0L9-pkiOAa-E_XuSIw_2_8"/>
      <w:bookmarkStart w:id="1039" w:name="Tc_gacGHPL2skKiu7OXYUS_EQ_2_2"/>
      <w:bookmarkStart w:id="1040" w:name="Tc_iUzb-Ag6N0e7Xn4-MHZZQQ_1_8"/>
      <w:bookmarkStart w:id="1041" w:name="Tc_yoU0DzauG0-wbgb1iBKnVA_1_2"/>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ascii="Times New Roman;Times;serif" w:hAnsi="Times New Roman;Times;serif"/>
          <w:b/>
          <w:sz w:val="20"/>
        </w:rPr>
        <w:t>7.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leases are described in Note 9 to the Consolidated Financial Statements included in Part II, Item 8 of the Company’s Annual Report on Form 10-K for the year ended December 31,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Components of Lease Cost:</w:t>
      </w:r>
      <w:r>
        <w:rPr>
          <w:rFonts w:ascii="Times New Roman;Times;serif" w:hAnsi="Times New Roman;Times;serif"/>
          <w:sz w:val="20"/>
        </w:rPr>
        <w:t xml:space="preserve"> Components of lease cost recorded in the Company’s Condensed Consolidated Statement of Income and Comprehensive Income for the three and six months ended June 30, 2023 and 2022 consisted of the following: </w:t>
      </w:r>
    </w:p>
    <w:p>
      <w:pPr>
        <w:pStyle w:val="TextBody"/>
        <w:bidi w:val="0"/>
        <w:spacing w:before="0" w:after="0"/>
        <w:ind w:left="0" w:right="0" w:hanging="0"/>
        <w:jc w:val="left"/>
        <w:rPr/>
      </w:pPr>
      <w:r>
        <w:rPr/>
        <w:t>​</w:t>
      </w:r>
    </w:p>
    <w:tbl>
      <w:tblPr>
        <w:tblW w:w="5453" w:type="dxa"/>
        <w:jc w:val="left"/>
        <w:tblInd w:w="0" w:type="dxa"/>
        <w:tblLayout w:type="fixed"/>
        <w:tblCellMar>
          <w:top w:w="0" w:type="dxa"/>
          <w:left w:w="0" w:type="dxa"/>
          <w:bottom w:w="0" w:type="dxa"/>
          <w:right w:w="0" w:type="dxa"/>
        </w:tblCellMar>
      </w:tblPr>
      <w:tblGrid>
        <w:gridCol w:w="1801"/>
        <w:gridCol w:w="326"/>
        <w:gridCol w:w="238"/>
        <w:gridCol w:w="525"/>
        <w:gridCol w:w="123"/>
        <w:gridCol w:w="238"/>
        <w:gridCol w:w="525"/>
        <w:gridCol w:w="109"/>
        <w:gridCol w:w="211"/>
        <w:gridCol w:w="466"/>
        <w:gridCol w:w="109"/>
        <w:gridCol w:w="211"/>
        <w:gridCol w:w="5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143635" cy="175260"/>
                      <wp:effectExtent l="0" t="0" r="0" b="0"/>
                      <wp:wrapNone/>
                      <wp:docPr id="172" name="Frame17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51130" cy="175260"/>
                      <wp:effectExtent l="0" t="0" r="0" b="0"/>
                      <wp:wrapNone/>
                      <wp:docPr id="174" name="Frame174"/>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33375" cy="175260"/>
                      <wp:effectExtent l="0" t="0" r="0" b="0"/>
                      <wp:wrapNone/>
                      <wp:docPr id="175" name="Frame175"/>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78105" cy="175260"/>
                      <wp:effectExtent l="0" t="0" r="0" b="0"/>
                      <wp:wrapNone/>
                      <wp:docPr id="176" name="Frame176"/>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1130" cy="175260"/>
                      <wp:effectExtent l="0" t="0" r="0" b="0"/>
                      <wp:wrapNone/>
                      <wp:docPr id="177" name="Frame17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33375" cy="175260"/>
                      <wp:effectExtent l="0" t="0" r="0" b="0"/>
                      <wp:wrapNone/>
                      <wp:docPr id="178" name="Frame178"/>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95910" cy="175260"/>
                      <wp:effectExtent l="0" t="0" r="0" b="0"/>
                      <wp:wrapNone/>
                      <wp:docPr id="181" name="Frame18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362585" cy="175260"/>
                      <wp:effectExtent l="0" t="0" r="0" b="0"/>
                      <wp:wrapNone/>
                      <wp:docPr id="184" name="Frame18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5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5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3" w:type="dxa"/>
            <w:tcBorders/>
            <w:vAlign w:val="center"/>
          </w:tcPr>
          <w:p>
            <w:pPr>
              <w:pStyle w:val="TableContents"/>
              <w:bidi w:val="0"/>
              <w:spacing w:before="0" w:after="0"/>
              <w:ind w:left="0" w:right="0" w:hanging="0"/>
              <w:jc w:val="left"/>
              <w:rPr/>
            </w:pPr>
            <w:r>
              <w:rPr/>
              <w:t>​</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center"/>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23"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at June 30, 2023 are as follows:</w:t>
      </w:r>
    </w:p>
    <w:p>
      <w:pPr>
        <w:pStyle w:val="TextBody"/>
        <w:bidi w:val="0"/>
        <w:spacing w:before="0" w:after="0"/>
        <w:ind w:left="0" w:right="0" w:hanging="0"/>
        <w:jc w:val="left"/>
        <w:rPr/>
      </w:pPr>
      <w:r>
        <w:rPr/>
        <w:t>​</w:t>
      </w:r>
    </w:p>
    <w:tbl>
      <w:tblPr>
        <w:tblW w:w="5008" w:type="dxa"/>
        <w:jc w:val="left"/>
        <w:tblInd w:w="0" w:type="dxa"/>
        <w:tblLayout w:type="fixed"/>
        <w:tblCellMar>
          <w:top w:w="0" w:type="dxa"/>
          <w:left w:w="0" w:type="dxa"/>
          <w:bottom w:w="0" w:type="dxa"/>
          <w:right w:w="0" w:type="dxa"/>
        </w:tblCellMar>
      </w:tblPr>
      <w:tblGrid>
        <w:gridCol w:w="3511"/>
        <w:gridCol w:w="326"/>
        <w:gridCol w:w="278"/>
        <w:gridCol w:w="893"/>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29485" cy="175260"/>
                      <wp:effectExtent l="0" t="0" r="0" b="0"/>
                      <wp:wrapNone/>
                      <wp:docPr id="185" name="Frame185"/>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76530" cy="175260"/>
                      <wp:effectExtent l="0" t="0" r="0" b="0"/>
                      <wp:wrapNone/>
                      <wp:docPr id="187" name="Frame187"/>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67055" cy="175260"/>
                      <wp:effectExtent l="0" t="0" r="0" b="0"/>
                      <wp:wrapNone/>
                      <wp:docPr id="188" name="Frame188"/>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339.8</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Short-term portion</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42" w:name="Tc_Yg56_UD5jE-XAJSiy2rDew_14_14"/>
      <w:bookmarkStart w:id="1043" w:name="Tc_Imy0iCPpWUucnpx3x-OKDA_14_11"/>
      <w:bookmarkStart w:id="1044" w:name="Tc_p1XAtPG5LUGRatSkilh5mA_14_8"/>
      <w:bookmarkStart w:id="1045" w:name="Tc_vMczngIC0U-NVgysmrje7A_14_5"/>
      <w:bookmarkStart w:id="1046" w:name="Tc_TzofE9_HDkug682-DAK_bQ_14_2"/>
      <w:bookmarkStart w:id="1047" w:name="Tc_ZtvDqwhEG0SulMstDwfaaw_14_0"/>
      <w:bookmarkStart w:id="1048" w:name="Tc_mbHUqKZiukaew0gPOu6OHA_13_9"/>
      <w:bookmarkStart w:id="1049" w:name="Tc_PPe2vTq_A0S34DWM2urlHw_13_6"/>
      <w:bookmarkStart w:id="1050" w:name="Tc_PhBUUvZT10u5oxhYACJ2HQ_13_3"/>
      <w:bookmarkStart w:id="1051" w:name="Tc_QvZ9qTDklUuyPWRSkrWeLA_13_0"/>
      <w:bookmarkStart w:id="1052" w:name="Tc_khMVcrYOlEiPVw7GRCc5-w_12_9"/>
      <w:bookmarkStart w:id="1053" w:name="Tc_BgXd7H47_kaHIdJr7cEzOg_12_6"/>
      <w:bookmarkStart w:id="1054" w:name="Tc_KGTzDo0ziUSF1ozkg2rnfQ_12_3"/>
      <w:bookmarkStart w:id="1055" w:name="Tc_aysAUDW6YkSrMAG7HMPc1Q_12_0"/>
      <w:bookmarkStart w:id="1056" w:name="Tc_joRnSuxgZEeBn3GaORf-Xw_11_9"/>
      <w:bookmarkStart w:id="1057" w:name="Tc_VH18W6yRMUiNsSzU5gQp3w_11_0"/>
      <w:bookmarkStart w:id="1058" w:name="Tc_JY4Krk1mskq4GfkpH-8PbQ_10_12"/>
      <w:bookmarkStart w:id="1059" w:name="Tc_OzStsB69E0ef74nZsxC4Vg_10_9"/>
      <w:bookmarkStart w:id="1060" w:name="Tc_yRWQy6V_oUyCne08MS3AwQ_10_0"/>
      <w:bookmarkStart w:id="1061" w:name="Tc_qGW6fhW5zkie39XJscjXkQ_9_0"/>
      <w:bookmarkStart w:id="1062" w:name="Tc_TaAYea0CVEGMK4deDSoiCg_8_9"/>
      <w:bookmarkStart w:id="1063" w:name="Tc_2UFl2rCkBEa_ahhbTi-2tg_8_6"/>
      <w:bookmarkStart w:id="1064" w:name="Tc_ucIjlxO-K0ml7l6Fb_vQ9Q_8_3"/>
      <w:bookmarkStart w:id="1065" w:name="Tc_CrqFTInp3U6UQEQNvipOMQ_8_0"/>
      <w:bookmarkStart w:id="1066" w:name="Tc_WpEbOBjkP0yM9h_hIhQmKw_7_12"/>
      <w:bookmarkStart w:id="1067" w:name="Tc_vmhNKlXHsUi_a1kj_mS0yA_7_9"/>
      <w:bookmarkStart w:id="1068" w:name="Tc_DWt3Mx41skWimoPIxlSFYA_7_0"/>
      <w:bookmarkStart w:id="1069" w:name="Tc_wogse1GLeEWOwEvRt3SHvg_6_12"/>
      <w:bookmarkStart w:id="1070" w:name="Tc_kzaBuEXW60CuxuiTKJ98KQ_6_9"/>
      <w:bookmarkStart w:id="1071" w:name="Tc_l86jVkcPFk2xukdkw12piQ_6_0"/>
      <w:bookmarkStart w:id="1072" w:name="Tc_vSxWyn03ukeAy7qFgy5nyQ_5_14"/>
      <w:bookmarkStart w:id="1073" w:name="Tc_60WTK-NX7kWZrNZ-3X68Tw_5_11"/>
      <w:bookmarkStart w:id="1074" w:name="Tc_vZVgFGOXXEabZ-h512yajg_5_8"/>
      <w:bookmarkStart w:id="1075" w:name="Tc_N1oRMnPcd0GY3oAynINo1w_5_5"/>
      <w:bookmarkStart w:id="1076" w:name="Tc_4_6jfvDd20CCSTHeaIRzoQ_5_2"/>
      <w:bookmarkStart w:id="1077" w:name="Tc_BZmAWjGZ0Uu18U7C_NeYxA_5_0"/>
      <w:bookmarkStart w:id="1078" w:name="Tc_u5CcTsVu9kCcplFdjKDAaw_4_14"/>
      <w:bookmarkStart w:id="1079" w:name="Tc_q2roohjnME-vKV0nfdwFKw_4_11"/>
      <w:bookmarkStart w:id="1080" w:name="Tc_wvD1l_5OW0uzcb7waOCMJA_4_8"/>
      <w:bookmarkStart w:id="1081" w:name="Tc_bc_ziK-Cq0emIhGiHqt3BQ_4_5"/>
      <w:bookmarkStart w:id="1082" w:name="Tc_7vgBfAo9Z0GGCP8-9WrXAg_4_2"/>
      <w:bookmarkStart w:id="1083" w:name="Tc_6zgQ7i20hE2cu54scDuqPg_4_0"/>
      <w:bookmarkStart w:id="1084" w:name="Tc_UyDTlEY8K0m8OmCE3AqmXw_3_14"/>
      <w:bookmarkStart w:id="1085" w:name="Tc_kg1YZejaS0yJ99T5GoFzgg_3_8"/>
      <w:bookmarkStart w:id="1086" w:name="Tc_CPd5xH8TZk-Mv48lMVzDcQ_3_5"/>
      <w:bookmarkStart w:id="1087" w:name="Tc_abNz_78LQkmsrdY57BxRUw_3_2"/>
      <w:bookmarkStart w:id="1088" w:name="Tc_S202SK-weUuQMQvSqPneaQ_2_14"/>
      <w:bookmarkStart w:id="1089" w:name="Tc_RhZZi-0chkyrbimrsHLBrQ_2_8"/>
      <w:bookmarkStart w:id="1090" w:name="Tc_U4Oj4PCC0EWbYApps06EXw_2_5"/>
      <w:bookmarkStart w:id="1091" w:name="Tc_ev0YowjNK022vM_PE_SNLg_1_14"/>
      <w:bookmarkStart w:id="1092" w:name="_24824587_02f3_40af_a17f_16138927bde4"/>
      <w:bookmarkStart w:id="1093" w:name="Tc_VD8-6QK_wUKV7--lfB127A_14_14"/>
      <w:bookmarkStart w:id="1094" w:name="Tc_mJ66wELAt0qyJjQM1-59zA_14_11"/>
      <w:bookmarkStart w:id="1095" w:name="Tc_OxxbDWd4N0iyW3GH5GAbMA_14_8"/>
      <w:bookmarkStart w:id="1096" w:name="Tc_-KXdPq5HEk-NbsBHEzujiA_14_5"/>
      <w:bookmarkStart w:id="1097" w:name="Tc_700G-Q8DEEqTSeV7ZoDbpQ_14_2"/>
      <w:bookmarkStart w:id="1098" w:name="Tc_X6SSBXNSyki68ALhuw8XWA_14_0"/>
      <w:bookmarkStart w:id="1099" w:name="Tc_I2ggkmWq4UyT_tfYN0yfcQ_13_9"/>
      <w:bookmarkStart w:id="1100" w:name="Tc_OXdFZxnq_UCfPU7Dayt7vw_13_6"/>
      <w:bookmarkStart w:id="1101" w:name="Tc_OuPupIRIR0Giw__CXv802w_13_3"/>
      <w:bookmarkStart w:id="1102" w:name="Tc_sMfQwQyjEEmjiw_TQrwKEw_13_0"/>
      <w:bookmarkStart w:id="1103" w:name="Tc_3WzwwpzaU0eLoQuaJlsalQ_12_12"/>
      <w:bookmarkStart w:id="1104" w:name="Tc_UGh8ZcoaH0GLmLz9Fi6kNA_12_9"/>
      <w:bookmarkStart w:id="1105" w:name="Tc_hm53BZ6NnUS1r8l_IF2bKA_12_0"/>
      <w:bookmarkStart w:id="1106" w:name="Tc_l_ssgWe0EUqRgtrRMFqkKA_11_12"/>
      <w:bookmarkStart w:id="1107" w:name="Tc_-h50WKjHU0Kx7CFTEX34WA_11_9"/>
      <w:bookmarkStart w:id="1108" w:name="Tc_DCk8glk0D0KbvYb7tlytdw_11_3"/>
      <w:bookmarkStart w:id="1109" w:name="Tc_pcpioqbh6Eu5H9IWJ-qZTw_11_0"/>
      <w:bookmarkStart w:id="1110" w:name="Tc_5cLK-2XeR0SegzxPgZdVyA_10_0"/>
      <w:bookmarkStart w:id="1111" w:name="Tc_CwqyQ8HzXkSoLndAnorcQA_9_9"/>
      <w:bookmarkStart w:id="1112" w:name="Tc_GmUqM_K0uEG-F79YeUyoQQ_9_6"/>
      <w:bookmarkStart w:id="1113" w:name="Tc_JrDjffq2ZkagycCEw8q-UQ_9_3"/>
      <w:bookmarkStart w:id="1114" w:name="Tc_iFyfoGj7xUu1fFdtqf7PrQ_9_0"/>
      <w:bookmarkStart w:id="1115" w:name="Tc_hEz55n0cgUWWpOX8U743UQ_8_9"/>
      <w:bookmarkStart w:id="1116" w:name="Tc_l55x1wt6tECheW--rx0Y9Q_8_6"/>
      <w:bookmarkStart w:id="1117" w:name="Tc_u0Rx2lAm9UWZvo2G1gfRzg_8_3"/>
      <w:bookmarkStart w:id="1118" w:name="Tc_2QR8NYRfWU2c36Trzz2ApA_8_0"/>
      <w:bookmarkStart w:id="1119" w:name="Tc_hlrUJwNGhUu5Ws1iUDnr0A_7_12"/>
      <w:bookmarkStart w:id="1120" w:name="Tc_ZbOW7gHkHUGv1_dQkKai4A_7_9"/>
      <w:bookmarkStart w:id="1121" w:name="Tc_4lIY4WZNc0yxx_JH9bCHaQ_7_0"/>
      <w:bookmarkStart w:id="1122" w:name="Tc_ZvZs8fO9SE2zUYLPs6AnJg_6_12"/>
      <w:bookmarkStart w:id="1123" w:name="Tc_HvsTd09UmU-R9QfYKn_VTg_6_9"/>
      <w:bookmarkStart w:id="1124" w:name="Tc_75t5cLbgtE-yqB8kfZReWg_6_3"/>
      <w:bookmarkStart w:id="1125" w:name="Tc_AZolCFBO9EuTTOuCKjhgCQ_6_0"/>
      <w:bookmarkStart w:id="1126" w:name="Tc_iaSfP9AjDUKOccduoQyjZw_5_14"/>
      <w:bookmarkStart w:id="1127" w:name="Tc_-h_7NaOckU2Rn-5cPRgGKA_5_11"/>
      <w:bookmarkStart w:id="1128" w:name="Tc_H3Omygrgwk-KfLRBL-TW6w_5_8"/>
      <w:bookmarkStart w:id="1129" w:name="Tc_nVE__FZsr0G23-cxtMZn3w_5_5"/>
      <w:bookmarkStart w:id="1130" w:name="Tc_R7AnqoivNES7qvmP1ydVjA_5_2"/>
      <w:bookmarkStart w:id="1131" w:name="Tc_kKj8duLZvUemGC3q9IzCcQ_5_0"/>
      <w:bookmarkStart w:id="1132" w:name="Tc_rUaOryvQFUiUXjwkaAa7AA_4_14"/>
      <w:bookmarkStart w:id="1133" w:name="Tc_eL6O_LErCUurtcyZnLwkYw_4_11"/>
      <w:bookmarkStart w:id="1134" w:name="Tc_VXg4w5FA0ESlexCWsDGckQ_4_8"/>
      <w:bookmarkStart w:id="1135" w:name="Tc_VDdvG-zJ9UqiobXFQf1xwQ_4_5"/>
      <w:bookmarkStart w:id="1136" w:name="Tc_tvdEcmaql0qsQ1i1pmfXsQ_4_2"/>
      <w:bookmarkStart w:id="1137" w:name="Tc_mMOS6_TOo0SgyhG-HRz-rg_4_0"/>
      <w:bookmarkStart w:id="1138" w:name="Tc_mKV90GSrqEmtQo_JXaeg6w_3_14"/>
      <w:bookmarkStart w:id="1139" w:name="Tc_EKFEPTrOJk-M6qbwguS0TQ_3_8"/>
      <w:bookmarkStart w:id="1140" w:name="Tc_bcwmSLvWMEi94Kh60fanLg_3_5"/>
      <w:bookmarkStart w:id="1141" w:name="Tc_6pp95b_XkUK5gwjz_bgEBA_3_2"/>
      <w:bookmarkStart w:id="1142" w:name="Tc_EFktSoJah0KNiC69NZJimA_2_14"/>
      <w:bookmarkStart w:id="1143" w:name="Tc_g2tZqgsO3kKM1Eac_dKyXg_2_8"/>
      <w:bookmarkStart w:id="1144" w:name="Tc_HvuCP02JkkiFBDwqkXLB1A_2_5"/>
      <w:bookmarkStart w:id="1145" w:name="Tc_D71jPb63r0CgNW6bXRJhtg_1_14"/>
      <w:bookmarkStart w:id="1146" w:name="_e1001717_62d6_4e4c_82f1_b7415064dd16"/>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Times New Roman;Times;serif" w:hAnsi="Times New Roman;Times;serif"/>
          <w:b/>
          <w:sz w:val="20"/>
        </w:rPr>
        <w:t>8.          ACCUMULATED OTHER COMPREHENSIVE INCOME (LOSS)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six months ended June 30, 2023 consisted of the following:</w:t>
      </w:r>
    </w:p>
    <w:tbl>
      <w:tblPr>
        <w:tblW w:w="9104" w:type="dxa"/>
        <w:jc w:val="left"/>
        <w:tblInd w:w="0" w:type="dxa"/>
        <w:tblLayout w:type="fixed"/>
        <w:tblCellMar>
          <w:top w:w="0" w:type="dxa"/>
          <w:left w:w="0" w:type="dxa"/>
          <w:bottom w:w="0" w:type="dxa"/>
          <w:right w:w="0" w:type="dxa"/>
        </w:tblCellMar>
      </w:tblPr>
      <w:tblGrid>
        <w:gridCol w:w="2881"/>
        <w:gridCol w:w="326"/>
        <w:gridCol w:w="211"/>
        <w:gridCol w:w="586"/>
        <w:gridCol w:w="326"/>
        <w:gridCol w:w="285"/>
        <w:gridCol w:w="631"/>
        <w:gridCol w:w="326"/>
        <w:gridCol w:w="288"/>
        <w:gridCol w:w="493"/>
        <w:gridCol w:w="326"/>
        <w:gridCol w:w="211"/>
        <w:gridCol w:w="481"/>
        <w:gridCol w:w="326"/>
        <w:gridCol w:w="404"/>
        <w:gridCol w:w="812"/>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829435" cy="175895"/>
                      <wp:effectExtent l="0" t="0" r="0" b="0"/>
                      <wp:wrapNone/>
                      <wp:docPr id="189" name="Frame189"/>
                      <a:graphic xmlns:a="http://schemas.openxmlformats.org/drawingml/2006/main">
                        <a:graphicData uri="http://schemas.microsoft.com/office/word/2010/wordprocessingShape">
                          <wps:wsp>
                            <wps:cNvSpPr txBox="1"/>
                            <wps:spPr>
                              <a:xfrm>
                                <a:off x="0" y="0"/>
                                <a:ext cx="182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895"/>
                      <wp:effectExtent l="0" t="0" r="0" b="0"/>
                      <wp:wrapNone/>
                      <wp:docPr id="190" name="Frame19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895"/>
                      <wp:effectExtent l="0" t="0" r="0" b="0"/>
                      <wp:wrapNone/>
                      <wp:docPr id="191" name="Frame19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72110" cy="175895"/>
                      <wp:effectExtent l="0" t="0" r="0" b="0"/>
                      <wp:wrapNone/>
                      <wp:docPr id="192" name="Frame192"/>
                      <a:graphic xmlns:a="http://schemas.openxmlformats.org/drawingml/2006/main">
                        <a:graphicData uri="http://schemas.microsoft.com/office/word/2010/wordprocessingShape">
                          <wps:wsp>
                            <wps:cNvSpPr txBox="1"/>
                            <wps:spPr>
                              <a:xfrm>
                                <a:off x="0" y="0"/>
                                <a:ext cx="372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895"/>
                      <wp:effectExtent l="0" t="0" r="0" b="0"/>
                      <wp:wrapNone/>
                      <wp:docPr id="193" name="Frame19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80975" cy="175895"/>
                      <wp:effectExtent l="0" t="0" r="0" b="0"/>
                      <wp:wrapNone/>
                      <wp:docPr id="194" name="Frame194"/>
                      <a:graphic xmlns:a="http://schemas.openxmlformats.org/drawingml/2006/main">
                        <a:graphicData uri="http://schemas.microsoft.com/office/word/2010/wordprocessingShape">
                          <wps:wsp>
                            <wps:cNvSpPr txBox="1"/>
                            <wps:spPr>
                              <a:xfrm>
                                <a:off x="0" y="0"/>
                                <a:ext cx="1809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00685" cy="175895"/>
                      <wp:effectExtent l="0" t="0" r="0" b="0"/>
                      <wp:wrapNone/>
                      <wp:docPr id="195" name="Frame195"/>
                      <a:graphic xmlns:a="http://schemas.openxmlformats.org/drawingml/2006/main">
                        <a:graphicData uri="http://schemas.microsoft.com/office/word/2010/wordprocessingShape">
                          <wps:wsp>
                            <wps:cNvSpPr txBox="1"/>
                            <wps:spPr>
                              <a:xfrm>
                                <a:off x="0" y="0"/>
                                <a:ext cx="400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895"/>
                      <wp:effectExtent l="0" t="0" r="0" b="0"/>
                      <wp:wrapNone/>
                      <wp:docPr id="196" name="Frame19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2880" cy="175895"/>
                      <wp:effectExtent l="0" t="0" r="0" b="0"/>
                      <wp:wrapNone/>
                      <wp:docPr id="197" name="Frame197"/>
                      <a:graphic xmlns:a="http://schemas.openxmlformats.org/drawingml/2006/main">
                        <a:graphicData uri="http://schemas.microsoft.com/office/word/2010/wordprocessingShape">
                          <wps:wsp>
                            <wps:cNvSpPr txBox="1"/>
                            <wps:spPr>
                              <a:xfrm>
                                <a:off x="0" y="0"/>
                                <a:ext cx="18288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13055" cy="175895"/>
                      <wp:effectExtent l="0" t="0" r="0" b="0"/>
                      <wp:wrapNone/>
                      <wp:docPr id="198" name="Frame198"/>
                      <a:graphic xmlns:a="http://schemas.openxmlformats.org/drawingml/2006/main">
                        <a:graphicData uri="http://schemas.microsoft.com/office/word/2010/wordprocessingShape">
                          <wps:wsp>
                            <wps:cNvSpPr txBox="1"/>
                            <wps:spPr>
                              <a:xfrm>
                                <a:off x="0" y="0"/>
                                <a:ext cx="31305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895"/>
                      <wp:effectExtent l="0" t="0" r="0" b="0"/>
                      <wp:wrapNone/>
                      <wp:docPr id="199" name="Frame199"/>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895"/>
                      <wp:effectExtent l="0" t="0" r="0" b="0"/>
                      <wp:wrapNone/>
                      <wp:docPr id="200" name="Frame200"/>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05435" cy="175895"/>
                      <wp:effectExtent l="0" t="0" r="0" b="0"/>
                      <wp:wrapNone/>
                      <wp:docPr id="201" name="Frame201"/>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895"/>
                      <wp:effectExtent l="0" t="0" r="0" b="0"/>
                      <wp:wrapNone/>
                      <wp:docPr id="202" name="Frame20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56540" cy="175895"/>
                      <wp:effectExtent l="0" t="0" r="0" b="0"/>
                      <wp:wrapNone/>
                      <wp:docPr id="203" name="Frame203"/>
                      <a:graphic xmlns:a="http://schemas.openxmlformats.org/drawingml/2006/main">
                        <a:graphicData uri="http://schemas.microsoft.com/office/word/2010/wordprocessingShape">
                          <wps:wsp>
                            <wps:cNvSpPr txBox="1"/>
                            <wps:spPr>
                              <a:xfrm>
                                <a:off x="0" y="0"/>
                                <a:ext cx="25654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15620" cy="175895"/>
                      <wp:effectExtent l="0" t="0" r="0" b="0"/>
                      <wp:wrapNone/>
                      <wp:docPr id="204" name="Frame204"/>
                      <a:graphic xmlns:a="http://schemas.openxmlformats.org/drawingml/2006/main">
                        <a:graphicData uri="http://schemas.microsoft.com/office/word/2010/wordprocessingShape">
                          <wps:wsp>
                            <wps:cNvSpPr txBox="1"/>
                            <wps:spPr>
                              <a:xfrm>
                                <a:off x="0" y="0"/>
                                <a:ext cx="51562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21285" cy="175895"/>
                      <wp:effectExtent l="0" t="0" r="0" b="0"/>
                      <wp:wrapNone/>
                      <wp:docPr id="205" name="Frame205"/>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9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1"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1"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1"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1" w:after="1"/>
              <w:ind w:left="0" w:right="0" w:hanging="0"/>
              <w:jc w:val="left"/>
              <w:rPr/>
            </w:pPr>
            <w:r>
              <w:rPr/>
              <w:t> </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pPr>
            <w:r>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shd w:fill="CCEEFF" w:val="clear"/>
            <w:vAlign w:val="center"/>
          </w:tcPr>
          <w:p>
            <w:pPr>
              <w:pStyle w:val="TableContents"/>
              <w:bidi w:val="0"/>
              <w:spacing w:before="1" w:after="1"/>
              <w:ind w:left="0" w:right="0" w:hanging="0"/>
              <w:jc w:val="left"/>
              <w:rPr/>
            </w:pPr>
            <w:r>
              <w:rPr/>
              <w:t>​</w:t>
            </w:r>
          </w:p>
        </w:tc>
        <w:tc>
          <w:tcPr>
            <w:tcW w:w="493"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pPr>
            <w:r>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shd w:fill="CCEEFF" w:val="clear"/>
            <w:vAlign w:val="center"/>
          </w:tcPr>
          <w:p>
            <w:pPr>
              <w:pStyle w:val="TableContents"/>
              <w:bidi w:val="0"/>
              <w:spacing w:before="1" w:after="1"/>
              <w:ind w:left="0" w:right="0" w:hanging="0"/>
              <w:jc w:val="left"/>
              <w:rPr/>
            </w:pPr>
            <w:r>
              <w:rPr/>
              <w:t>​</w:t>
            </w:r>
          </w:p>
        </w:tc>
        <w:tc>
          <w:tcPr>
            <w:tcW w:w="493"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shd w:fill="CCEEFF" w:val="clear"/>
            <w:vAlign w:val="center"/>
          </w:tcPr>
          <w:p>
            <w:pPr>
              <w:pStyle w:val="TableContents"/>
              <w:bidi w:val="0"/>
              <w:spacing w:before="1" w:after="1"/>
              <w:ind w:left="0" w:right="0" w:hanging="0"/>
              <w:jc w:val="left"/>
              <w:rPr/>
            </w:pPr>
            <w:r>
              <w:rPr/>
              <w:t>​</w:t>
            </w:r>
          </w:p>
        </w:tc>
        <w:tc>
          <w:tcPr>
            <w:tcW w:w="812"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1" w:after="1"/>
              <w:ind w:left="0" w:right="0" w:hanging="0"/>
              <w:jc w:val="left"/>
              <w:rPr/>
            </w:pPr>
            <w:r>
              <w:rPr/>
              <w:t>​</w:t>
            </w:r>
          </w:p>
        </w:tc>
        <w:tc>
          <w:tcPr>
            <w:tcW w:w="288" w:type="dxa"/>
            <w:tcBorders/>
            <w:vAlign w:val="center"/>
          </w:tcPr>
          <w:p>
            <w:pPr>
              <w:pStyle w:val="TableContents"/>
              <w:bidi w:val="0"/>
              <w:spacing w:before="1" w:after="1"/>
              <w:ind w:left="0" w:right="0" w:hanging="0"/>
              <w:jc w:val="left"/>
              <w:rPr/>
            </w:pPr>
            <w:r>
              <w:rPr/>
              <w:t>​</w:t>
            </w:r>
          </w:p>
        </w:tc>
        <w:tc>
          <w:tcPr>
            <w:tcW w:w="493"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404" w:type="dxa"/>
            <w:tcBorders/>
            <w:vAlign w:val="center"/>
          </w:tcPr>
          <w:p>
            <w:pPr>
              <w:pStyle w:val="TableContents"/>
              <w:bidi w:val="0"/>
              <w:spacing w:before="1" w:after="1"/>
              <w:ind w:left="0" w:right="0" w:hanging="0"/>
              <w:jc w:val="left"/>
              <w:rPr/>
            </w:pPr>
            <w:r>
              <w:rPr/>
              <w:t>​</w:t>
            </w:r>
          </w:p>
        </w:tc>
        <w:tc>
          <w:tcPr>
            <w:tcW w:w="812"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1" w:after="1"/>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1"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1" w:after="1"/>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1"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six months ended June 30, 2022 consisted of the following:</w:t>
      </w:r>
    </w:p>
    <w:tbl>
      <w:tblPr>
        <w:tblW w:w="9104" w:type="dxa"/>
        <w:jc w:val="left"/>
        <w:tblInd w:w="0" w:type="dxa"/>
        <w:tblLayout w:type="fixed"/>
        <w:tblCellMar>
          <w:top w:w="0" w:type="dxa"/>
          <w:left w:w="0" w:type="dxa"/>
          <w:bottom w:w="0" w:type="dxa"/>
          <w:right w:w="0" w:type="dxa"/>
        </w:tblCellMar>
      </w:tblPr>
      <w:tblGrid>
        <w:gridCol w:w="2881"/>
        <w:gridCol w:w="326"/>
        <w:gridCol w:w="211"/>
        <w:gridCol w:w="586"/>
        <w:gridCol w:w="326"/>
        <w:gridCol w:w="285"/>
        <w:gridCol w:w="631"/>
        <w:gridCol w:w="326"/>
        <w:gridCol w:w="260"/>
        <w:gridCol w:w="521"/>
        <w:gridCol w:w="326"/>
        <w:gridCol w:w="211"/>
        <w:gridCol w:w="481"/>
        <w:gridCol w:w="326"/>
        <w:gridCol w:w="347"/>
        <w:gridCol w:w="869"/>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29435" cy="175260"/>
                      <wp:effectExtent l="0" t="0" r="0" b="0"/>
                      <wp:wrapNone/>
                      <wp:docPr id="206" name="Frame206"/>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72110" cy="175260"/>
                      <wp:effectExtent l="0" t="0" r="0" b="0"/>
                      <wp:wrapNone/>
                      <wp:docPr id="209" name="Frame20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0975" cy="175260"/>
                      <wp:effectExtent l="0" t="0" r="0" b="0"/>
                      <wp:wrapNone/>
                      <wp:docPr id="211" name="Frame21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00685" cy="175260"/>
                      <wp:effectExtent l="0" t="0" r="0" b="0"/>
                      <wp:wrapNone/>
                      <wp:docPr id="212" name="Frame21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5100" cy="175260"/>
                      <wp:effectExtent l="0" t="0" r="0" b="0"/>
                      <wp:wrapNone/>
                      <wp:docPr id="214" name="Frame21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30835" cy="175260"/>
                      <wp:effectExtent l="0" t="0" r="0" b="0"/>
                      <wp:wrapNone/>
                      <wp:docPr id="215" name="Frame215"/>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05435" cy="175260"/>
                      <wp:effectExtent l="0" t="0" r="0" b="0"/>
                      <wp:wrapNone/>
                      <wp:docPr id="218" name="Frame21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20345" cy="175260"/>
                      <wp:effectExtent l="0" t="0" r="0" b="0"/>
                      <wp:wrapNone/>
                      <wp:docPr id="220" name="Frame220"/>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51815" cy="175260"/>
                      <wp:effectExtent l="0" t="0" r="0" b="0"/>
                      <wp:wrapNone/>
                      <wp:docPr id="221" name="Frame221"/>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21285" cy="175260"/>
                      <wp:effectExtent l="0" t="0" r="0" b="0"/>
                      <wp:wrapNone/>
                      <wp:docPr id="222" name="Frame2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0" w:after="0"/>
              <w:ind w:left="0" w:right="0" w:hanging="0"/>
              <w:jc w:val="left"/>
              <w:rPr/>
            </w:pPr>
            <w:r>
              <w:rPr/>
              <w:t>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9.</w:t>
      </w:r>
      <w:r>
        <w:rPr>
          <w:rFonts w:ascii="Times New Roman;Times;serif" w:hAnsi="Times New Roman;Times;serif"/>
          <w:sz w:val="20"/>
        </w:rPr>
        <w:t>          </w:t>
      </w:r>
      <w:r>
        <w:rPr>
          <w:rFonts w:ascii="Times New Roman;Times;serif" w:hAnsi="Times New Roman;Times;serif"/>
          <w:b/>
          <w:sz w:val="20"/>
        </w:rPr>
        <w:t>FAIR VALUE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uses Level 1 inputs for the fair values of its cash, cash equivalents, restricted cash and cash in the CCF, and Level 2 inputs for its variable and fixed rate debt. The fair values of cash, cash equivalents, restricted cash and cash on deposit in the CCF, and variable rate debt approximate their carrying values due to the nature of the instruments. The fair value of fixed rate debt is calculated based upon interest rates available for debt with terms and maturities similar to the Company’s existing debt arrangements.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47" w:name="Tc_LkDsTDhgS0W0TfftrLSGVg_14_15"/>
      <w:bookmarkStart w:id="1148" w:name="Tc_oN99PRBnZECF6WOWA7LW0Q_14_14"/>
      <w:bookmarkStart w:id="1149" w:name="Tc_pCocA4OsA0KdD3hGwi8tKA_14_11"/>
      <w:bookmarkStart w:id="1150" w:name="Tc_lFQV8kc2L0GlJae_GGO6iQ_14_9"/>
      <w:bookmarkStart w:id="1151" w:name="Tc_BJwfj0URPU6x_-m0RZvBlw_14_8"/>
      <w:bookmarkStart w:id="1152" w:name="Tc_eEmUvQHndkydJNv0YC5WCQ_14_5"/>
      <w:bookmarkStart w:id="1153" w:name="Tc_ZL_DD2Z71E-k4zvcrdTaRQ_14_2"/>
      <w:bookmarkStart w:id="1154" w:name="Tc_bG-mxaj_MEm0Qo1OVq1Vvg_14_0"/>
      <w:bookmarkStart w:id="1155" w:name="Tc_q7G1kPNoyku7-NI7D8c3uQ_13_15"/>
      <w:bookmarkStart w:id="1156" w:name="Tc_vTQG09w7W0iQUfg06d_hmA_13_14"/>
      <w:bookmarkStart w:id="1157" w:name="Tc_hnrxQlBVZkWS1WatKnLR8Q_13_12"/>
      <w:bookmarkStart w:id="1158" w:name="Tc_YmOlgqJSLEeaa1md-CdRTQ_13_11"/>
      <w:bookmarkStart w:id="1159" w:name="Tc_4bOrQYNUYEed3OXotxh24Q_13_8"/>
      <w:bookmarkStart w:id="1160" w:name="Tc_dc6--C0ys02_rqv1UTQJZA_13_5"/>
      <w:bookmarkStart w:id="1161" w:name="Tc_KQJiKd6Jy0G4Xng0VLE_8A_13_2"/>
      <w:bookmarkStart w:id="1162" w:name="Tc_tfEfEUt6wESI1yEmmDU4WA_13_0"/>
      <w:bookmarkStart w:id="1163" w:name="Tc_m3wcXHYhx02T-DmvsQTvkQ_12_15"/>
      <w:bookmarkStart w:id="1164" w:name="Tc_oBCroe_MWEWfSWCOVLnE2w_12_14"/>
      <w:bookmarkStart w:id="1165" w:name="Tc_ZKsdk0rCNkqtgSYXJEq0Jw_12_12"/>
      <w:bookmarkStart w:id="1166" w:name="Tc_M8QkTxkqQ0SfoCO5555ssg_12_11"/>
      <w:bookmarkStart w:id="1167" w:name="Tc_trDavT_naEy4FgYUbph3Kg_12_8"/>
      <w:bookmarkStart w:id="1168" w:name="Tc_lH16IInOzkqLAfs7Fod0Vg_12_5"/>
      <w:bookmarkStart w:id="1169" w:name="Tc_hVED5yFv5Eqqi4M6A5Ys2w_12_2"/>
      <w:bookmarkStart w:id="1170" w:name="Tc_JMj7cW_pAUWNN3qmc0UCDg_12_0"/>
      <w:bookmarkStart w:id="1171" w:name="Tc_sx_vIkhZrEa3y6NnZZkYeQ_11_15"/>
      <w:bookmarkStart w:id="1172" w:name="Tc_nkvcejqClUu7RXPkerK9SQ_11_14"/>
      <w:bookmarkStart w:id="1173" w:name="Tc_W7m5-mXaJUSU38c_AYGvSA_11_12"/>
      <w:bookmarkStart w:id="1174" w:name="Tc_SZP89TQIBkOVFv_Eo8lCVw_11_11"/>
      <w:bookmarkStart w:id="1175" w:name="Tc_m6j2Oa0C1Eq0h5WMhzwxkw_11_8"/>
      <w:bookmarkStart w:id="1176" w:name="Tc_t8xYLgXp50iTvBrpnR31CA_11_5"/>
      <w:bookmarkStart w:id="1177" w:name="Tc_4eocloAdbkyoXRJaYomRbg_11_2"/>
      <w:bookmarkStart w:id="1178" w:name="Tc_uepw-eJrLEeg0NGFJUtp-w_11_0"/>
      <w:bookmarkStart w:id="1179" w:name="Tc_eIV3q-9xBUKUCbC3uGHN9A_10_5"/>
      <w:bookmarkStart w:id="1180" w:name="Tc_SheaZD8uz06QaxK5Q9R57A_10_2"/>
      <w:bookmarkStart w:id="1181" w:name="Tc_Xn71_kqIMEugoNISXIDBDA_10_0"/>
      <w:bookmarkStart w:id="1182" w:name="Tc_Oq-Kc0uqQUqjhdilWLsNQQ_8_15"/>
      <w:bookmarkStart w:id="1183" w:name="Tc_nN4pgGZAeEip4SCPyfEx4A_8_14"/>
      <w:bookmarkStart w:id="1184" w:name="Tc_hlSyzHi1DUq6YSjK8NBQ6Q_8_11"/>
      <w:bookmarkStart w:id="1185" w:name="Tc_z3QgSkRFW0OUKFIUYpP3HQ_8_9"/>
      <w:bookmarkStart w:id="1186" w:name="Tc_g3_tlVEnsUCOIFfHgVGasA_8_8"/>
      <w:bookmarkStart w:id="1187" w:name="Tc_C4JF-DF-10yG6AfPwR9hAA_8_5"/>
      <w:bookmarkStart w:id="1188" w:name="Tc_F2XNv13vy0C5DWFahJPmWQ_8_2"/>
      <w:bookmarkStart w:id="1189" w:name="Tc_xAaqXWyiAkSXu2h30P2QaA_8_0"/>
      <w:bookmarkStart w:id="1190" w:name="Tc_LgCCU2YvEUCPMS-602UKdg_7_15"/>
      <w:bookmarkStart w:id="1191" w:name="Tc_EgP1fnvvY0yo9phDcnYqqA_7_14"/>
      <w:bookmarkStart w:id="1192" w:name="Tc_VbzwJV0Rt0m8WlalAqgqZA_7_12"/>
      <w:bookmarkStart w:id="1193" w:name="Tc_Q96empo-O0SIR7Pm0fpoPw_7_11"/>
      <w:bookmarkStart w:id="1194" w:name="Tc_EXzG5JZwa0WVltr64swHIg_7_8"/>
      <w:bookmarkStart w:id="1195" w:name="Tc_lKVExQK6F0eOKb1ZFxldVg_7_5"/>
      <w:bookmarkStart w:id="1196" w:name="Tc_NPCPuEYyKkafS-zbo4Wyvw_7_2"/>
      <w:bookmarkStart w:id="1197" w:name="Tc_r5cXZ1uryEqTN6uWjWxB7w_7_0"/>
      <w:bookmarkStart w:id="1198" w:name="Tc_F12gHrCF80WIfAVWllty5Q_6_15"/>
      <w:bookmarkStart w:id="1199" w:name="Tc_dir3rgwEhkK94tTJN4Gr8A_6_14"/>
      <w:bookmarkStart w:id="1200" w:name="Tc_8WKt-b60rU6-uJ4GcLWhug_6_12"/>
      <w:bookmarkStart w:id="1201" w:name="Tc_NnW7BtI2wkikh61Dl22sJQ_6_11"/>
      <w:bookmarkStart w:id="1202" w:name="Tc_eYlfWcJ1qESB2U1eBGNrDQ_6_8"/>
      <w:bookmarkStart w:id="1203" w:name="Tc_hI6Ixpyh9kS3Qe27EZ_RwA_6_5"/>
      <w:bookmarkStart w:id="1204" w:name="Tc_vL5hYGBOgkmf6d_u32tduw_6_2"/>
      <w:bookmarkStart w:id="1205" w:name="Tc_tb7HXbx7JkGJecM1Od4W6g_6_0"/>
      <w:bookmarkStart w:id="1206" w:name="Tc_A5tZ1wNTqUmpjOG1f-2XRw_5_15"/>
      <w:bookmarkStart w:id="1207" w:name="Tc_m26F5Fi0ukGLlB8j5xYOyQ_5_14"/>
      <w:bookmarkStart w:id="1208" w:name="Tc_WFLdUE6ezkiD5fCo0vHkDQ_5_12"/>
      <w:bookmarkStart w:id="1209" w:name="Tc_b-v1IbMlmkymjQcNrSLc-w_5_11"/>
      <w:bookmarkStart w:id="1210" w:name="Tc_SrsqKyvG2EyFdnK3_YGWYA_5_8"/>
      <w:bookmarkStart w:id="1211" w:name="Tc_JfukiVXFSk6Ha8weDFc1BA_5_5"/>
      <w:bookmarkStart w:id="1212" w:name="Tc_DQARjZ8tUE6NrpnGn9Do1Q_5_2"/>
      <w:bookmarkStart w:id="1213" w:name="Tc_CuVdbzjXPE6MDUMefVGyjg_5_0"/>
      <w:bookmarkStart w:id="1214" w:name="Tc_ujzo5RAeNEOA7lXxz-p5IA_4_5"/>
      <w:bookmarkStart w:id="1215" w:name="Tc_NTbpUSAkAUm-I7ExCo01vA_4_2"/>
      <w:bookmarkStart w:id="1216" w:name="Tc_FXdA1ZXYC0SzIAfkFYLK5A_4_0"/>
      <w:bookmarkStart w:id="1217" w:name="Tc_3GC0cMmLd0CMSLqf90nbyg_3_14"/>
      <w:bookmarkStart w:id="1218" w:name="Tc_1Ijc7DcWEECfBMad97gRGg_3_11"/>
      <w:bookmarkStart w:id="1219" w:name="Tc_6lm21iPmnEimnp6d3kG7YQ_3_8"/>
      <w:bookmarkStart w:id="1220" w:name="Tc_CVMivO_TikCIkwdUXIbsog_3_5"/>
      <w:bookmarkStart w:id="1221" w:name="Tc_0MJ1AkfFzU-9Vk7fWZuDoQ_3_2"/>
      <w:bookmarkStart w:id="1222" w:name="Tc_OSF6jayu1EGZRZNK7cermw_2_14"/>
      <w:bookmarkStart w:id="1223" w:name="Tc_DRaLaRf9VECxM3MoP3v-ig_2_11"/>
      <w:bookmarkStart w:id="1224" w:name="Tc_hkk5IZC5y0S-MCi2eH92kA_2_8"/>
      <w:bookmarkStart w:id="1225" w:name="Tc_CJyVxcUCHESGYotb74Ry0g_2_2"/>
      <w:bookmarkStart w:id="1226" w:name="Tc_e5hRD0VfWka8SM25zyvR_Q_1_14"/>
      <w:bookmarkStart w:id="1227" w:name="Tc_Gg7w31qAX0-jq1pkZcCF4Q_1_11"/>
      <w:bookmarkStart w:id="1228" w:name="Tc_b1rv4d8wRECVN3lZ_ZiJLg_1_8"/>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r>
        <w:rPr>
          <w:rFonts w:ascii="Times New Roman;Times;serif" w:hAnsi="Times New Roman;Times;serif"/>
          <w:sz w:val="20"/>
        </w:rPr>
        <w:t>The carrying value and fair value of the Company’s financial instruments as of June 30, 2023 and December 31, 2022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58"/>
        <w:gridCol w:w="326"/>
        <w:gridCol w:w="449"/>
        <w:gridCol w:w="1217"/>
        <w:gridCol w:w="326"/>
        <w:gridCol w:w="372"/>
        <w:gridCol w:w="1009"/>
        <w:gridCol w:w="326"/>
        <w:gridCol w:w="352"/>
        <w:gridCol w:w="954"/>
        <w:gridCol w:w="326"/>
        <w:gridCol w:w="300"/>
        <w:gridCol w:w="814"/>
        <w:gridCol w:w="326"/>
        <w:gridCol w:w="451"/>
        <w:gridCol w:w="743"/>
        <w:gridCol w:w="156"/>
      </w:tblGrid>
      <w:tr>
        <w:trPr/>
        <w:tc>
          <w:tcPr>
            <w:tcW w:w="1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116330" cy="175260"/>
                      <wp:effectExtent l="0" t="0" r="0" b="0"/>
                      <wp:wrapNone/>
                      <wp:docPr id="223" name="Frame223"/>
                      <a:graphic xmlns:a="http://schemas.openxmlformats.org/drawingml/2006/main">
                        <a:graphicData uri="http://schemas.microsoft.com/office/word/2010/wordprocessingShape">
                          <wps:wsp>
                            <wps:cNvSpPr txBox="1"/>
                            <wps:spPr>
                              <a:xfrm>
                                <a:off x="0" y="0"/>
                                <a:ext cx="1116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85115" cy="175260"/>
                      <wp:effectExtent l="0" t="0" r="0" b="0"/>
                      <wp:wrapNone/>
                      <wp:docPr id="225" name="Frame225"/>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72795" cy="175260"/>
                      <wp:effectExtent l="0" t="0" r="0" b="0"/>
                      <wp:wrapNone/>
                      <wp:docPr id="226" name="Frame226"/>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36220" cy="175260"/>
                      <wp:effectExtent l="0" t="0" r="0" b="0"/>
                      <wp:wrapNone/>
                      <wp:docPr id="228" name="Frame228"/>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0715" cy="175260"/>
                      <wp:effectExtent l="0" t="0" r="0" b="0"/>
                      <wp:wrapNone/>
                      <wp:docPr id="229" name="Frame229"/>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23520" cy="175260"/>
                      <wp:effectExtent l="0" t="0" r="0" b="0"/>
                      <wp:wrapNone/>
                      <wp:docPr id="231" name="Frame23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05790" cy="175260"/>
                      <wp:effectExtent l="0" t="0" r="0" b="0"/>
                      <wp:wrapNone/>
                      <wp:docPr id="232" name="Frame232"/>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90500" cy="175260"/>
                      <wp:effectExtent l="0" t="0" r="0" b="0"/>
                      <wp:wrapNone/>
                      <wp:docPr id="234" name="Frame234"/>
                      <a:graphic xmlns:a="http://schemas.openxmlformats.org/drawingml/2006/main">
                        <a:graphicData uri="http://schemas.microsoft.com/office/word/2010/wordprocessingShape">
                          <wps:wsp>
                            <wps:cNvSpPr txBox="1"/>
                            <wps:spPr>
                              <a:xfrm>
                                <a:off x="0" y="0"/>
                                <a:ext cx="190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16890" cy="175260"/>
                      <wp:effectExtent l="0" t="0" r="0" b="0"/>
                      <wp:wrapNone/>
                      <wp:docPr id="235" name="Frame235"/>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86385" cy="175260"/>
                      <wp:effectExtent l="0" t="0" r="0" b="0"/>
                      <wp:wrapNone/>
                      <wp:docPr id="237" name="Frame23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71805" cy="175260"/>
                      <wp:effectExtent l="0" t="0" r="0" b="0"/>
                      <wp:wrapNone/>
                      <wp:docPr id="238" name="Frame238"/>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99060" cy="175260"/>
                      <wp:effectExtent l="0" t="0" r="0" b="0"/>
                      <wp:wrapNone/>
                      <wp:docPr id="239" name="Frame239"/>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11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0"/>
              <w:ind w:left="0" w:right="0" w:hanging="0"/>
              <w:jc w:val="left"/>
              <w:rPr/>
            </w:pPr>
            <w:r>
              <w:rPr/>
              <w:t>​</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w:t>
            </w:r>
          </w:p>
        </w:tc>
        <w:tc>
          <w:tcPr>
            <w:tcW w:w="326" w:type="dxa"/>
            <w:tcBorders/>
            <w:vAlign w:val="center"/>
          </w:tcPr>
          <w:p>
            <w:pPr>
              <w:pStyle w:val="TableContents"/>
              <w:bidi w:val="0"/>
              <w:spacing w:before="0" w:after="0"/>
              <w:ind w:left="0" w:right="0" w:hanging="0"/>
              <w:jc w:val="left"/>
              <w:rPr/>
            </w:pPr>
            <w:r>
              <w:rPr/>
              <w:t>​</w:t>
            </w:r>
          </w:p>
        </w:tc>
        <w:tc>
          <w:tcPr>
            <w:tcW w:w="11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Carrying Value    </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         </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26" w:type="dxa"/>
            <w:tcBorders/>
            <w:vAlign w:val="center"/>
          </w:tcPr>
          <w:p>
            <w:pPr>
              <w:pStyle w:val="TableContents"/>
              <w:bidi w:val="0"/>
              <w:spacing w:before="0" w:after="0"/>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56" w:type="dxa"/>
            <w:tcBorders/>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w:t>
            </w:r>
          </w:p>
        </w:tc>
        <w:tc>
          <w:tcPr>
            <w:tcW w:w="597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30, 2023</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377.6</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377.6</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0"/>
              <w:ind w:left="0" w:right="0" w:hanging="0"/>
              <w:jc w:val="left"/>
              <w:rPr/>
            </w:pPr>
            <w:r>
              <w:rPr/>
              <w:t>​</w:t>
            </w:r>
          </w:p>
        </w:tc>
        <w:tc>
          <w:tcPr>
            <w:tcW w:w="5973"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Fair Value Measurements at December 31, 2022           </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r>
        <w:trPr/>
        <w:tc>
          <w:tcPr>
            <w:tcW w:w="17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c>
          <w:tcPr>
            <w:tcW w:w="326" w:type="dxa"/>
            <w:tcBorders/>
            <w:shd w:fill="CCEEFF" w:val="clear"/>
            <w:vAlign w:val="center"/>
          </w:tcPr>
          <w:p>
            <w:pPr>
              <w:pStyle w:val="TableContents"/>
              <w:bidi w:val="0"/>
              <w:spacing w:before="0" w:after="0"/>
              <w:ind w:left="0" w:right="0" w:hanging="0"/>
              <w:jc w:val="left"/>
              <w:rPr/>
            </w:pPr>
            <w:r>
              <w:rPr/>
              <w:t>​</w:t>
            </w:r>
          </w:p>
        </w:tc>
        <w:tc>
          <w:tcPr>
            <w:tcW w:w="3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r>
      <w:tr>
        <w:trPr/>
        <w:tc>
          <w:tcPr>
            <w:tcW w:w="1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w:t>
            </w:r>
          </w:p>
        </w:tc>
        <w:tc>
          <w:tcPr>
            <w:tcW w:w="32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29" w:name="Tc_RNcdrnD3PkGBtSUSyS4VWA_8_15"/>
      <w:bookmarkStart w:id="1230" w:name="Tc_js2eRo8PuUe3jAuGnCHS-Q_8_10"/>
      <w:bookmarkStart w:id="1231" w:name="Tc_TKUsQpItPEi5hSfRtK06YA_8_7"/>
      <w:bookmarkStart w:id="1232" w:name="Tc_CLnLBVPCiUqxBHeNF9sFNA_8_2"/>
      <w:bookmarkStart w:id="1233" w:name="Tc_l5FUjmPQ9UOh2qyV7VzRLg_8_0"/>
      <w:bookmarkStart w:id="1234" w:name="Tc_KtNKlRtEn0mQCkUrBCuV6A_7_0"/>
      <w:bookmarkStart w:id="1235" w:name="Tc_aypgjjDiwESM5nM0LuqFPQ_6_15"/>
      <w:bookmarkStart w:id="1236" w:name="Tc_ZzeUqpj8uU2ZJ5c1CNSuBQ_6_10"/>
      <w:bookmarkStart w:id="1237" w:name="Tc_WgZR8i4sJEGL0lt5bn06Kw_6_7"/>
      <w:bookmarkStart w:id="1238" w:name="Tc_PvK4MIofzEqK3NcLVJZqkQ_6_2"/>
      <w:bookmarkStart w:id="1239" w:name="Tc_rJfJGePkEkGuwVTq66yNOA_6_0"/>
      <w:bookmarkStart w:id="1240" w:name="Tc_mX4anRuYvE-GWeWn6yFIsA_5_15"/>
      <w:bookmarkStart w:id="1241" w:name="Tc_VKKbWPlfg0Wy6rdObvwRCQ_5_13"/>
      <w:bookmarkStart w:id="1242" w:name="Tc_N-PCo9nxqkK2NukHMg6nlQ_5_10"/>
      <w:bookmarkStart w:id="1243" w:name="Tc_6Vg49MljS0OoMp46CHms8Q_5_7"/>
      <w:bookmarkStart w:id="1244" w:name="Tc_yVSlj3ySIUmidyYEvn1zCw_5_5"/>
      <w:bookmarkStart w:id="1245" w:name="Tc_rs7YCgCm60Ooy5bQMJJLvQ_5_2"/>
      <w:bookmarkStart w:id="1246" w:name="Tc_b3h-EoPqlkmSNyrYcXXO1w_5_0"/>
      <w:bookmarkStart w:id="1247" w:name="Tc_r_2ftzUEqkKMz2REt6ZPxg_4_15"/>
      <w:bookmarkStart w:id="1248" w:name="Tc_dSWRx549qEer2C3VdyWFqA_4_13"/>
      <w:bookmarkStart w:id="1249" w:name="Tc_jOqYUJtu5EWM78PoK9E4LA_4_10"/>
      <w:bookmarkStart w:id="1250" w:name="Tc_PQhNqxNdgUKsINg5HBk5pQ_4_7"/>
      <w:bookmarkStart w:id="1251" w:name="Tc_9_I2HabTg061PdT2SWFUug_4_5"/>
      <w:bookmarkStart w:id="1252" w:name="Tc_WuOZuwJb5kqHeuK7KkMFxw_4_2"/>
      <w:bookmarkStart w:id="1253" w:name="Tc_hmet50b820K4NV7DXaibDA_3_15"/>
      <w:bookmarkStart w:id="1254" w:name="Tc_UfN40O2QoEyHdSNip7ktCg_3_13"/>
      <w:bookmarkStart w:id="1255" w:name="Tc_sCnWU4QY_E66isjoCuh4Gg_3_7"/>
      <w:bookmarkStart w:id="1256" w:name="Tc_JV_TzaLlUkuWr8GJs74IPQ_3_5"/>
      <w:bookmarkStart w:id="1257" w:name="Tc_6g-T5M6RsEuNhPqxpIgqxA_2_15"/>
      <w:bookmarkStart w:id="1258" w:name="Tc_Z8nCjSvfrE-l5Jsk0bEgbQ_2_13"/>
      <w:bookmarkStart w:id="1259" w:name="Tc_rxF9RvxU1kSUh6gbV-MfoQ_2_7"/>
      <w:bookmarkStart w:id="1260" w:name="Tc_okrVOxmyLEGbHJHWJZdCxw_2_5"/>
      <w:bookmarkStart w:id="1261" w:name="Tc_jGgWZXTEyU-QWPxzJtUBHg_1_10"/>
      <w:bookmarkStart w:id="1262" w:name="Tc_r-vPtSbdHkOzMkYvrgvpmg_1_2"/>
      <w:bookmarkStart w:id="1263" w:name="_61ee3bf7_d4a2_40e8_998c_f24f624c6125"/>
      <w:bookmarkStart w:id="1264" w:name="Tc_9oFgUFa1pE20ovtB28_OmQ_8_15"/>
      <w:bookmarkStart w:id="1265" w:name="Tc_DGFyUCPfskirdTVIHdH9bA_8_10"/>
      <w:bookmarkStart w:id="1266" w:name="Tc_XfVPkYLF0Eak4mIKA4GSCg_8_7"/>
      <w:bookmarkStart w:id="1267" w:name="Tc_qdBEpmp8BU-GWlDZIzL5FA_8_2"/>
      <w:bookmarkStart w:id="1268" w:name="Tc_lUrAu9jylUeNzU010IvETQ_8_0"/>
      <w:bookmarkStart w:id="1269" w:name="Tc_uHrH6hd2o0S6pUYnKN4bRQ_7_0"/>
      <w:bookmarkStart w:id="1270" w:name="Tc_moLu-MAX3E6SWx2xGnuW1g_6_15"/>
      <w:bookmarkStart w:id="1271" w:name="Tc_pCwm66ScxUWT4psOFDEEhQ_6_10"/>
      <w:bookmarkStart w:id="1272" w:name="Tc_IsjX3wJiYUCgrd68S2pOBQ_6_7"/>
      <w:bookmarkStart w:id="1273" w:name="Tc_VPbVFZi_IkOTsX4aONX1zQ_6_2"/>
      <w:bookmarkStart w:id="1274" w:name="Tc_AOOvh4NC60GdwyU7TMNXcw_6_0"/>
      <w:bookmarkStart w:id="1275" w:name="Tc_tty1t5neRUyVRiLH-VtyVw_5_15"/>
      <w:bookmarkStart w:id="1276" w:name="Tc_wQnganZ5Z06ghnFS34RGOw_5_13"/>
      <w:bookmarkStart w:id="1277" w:name="Tc_qYZqlZGHykWAx5jsXlw_Lw_5_10"/>
      <w:bookmarkStart w:id="1278" w:name="Tc_SaQFQeF_Ek20w9_stC19hg_5_7"/>
      <w:bookmarkStart w:id="1279" w:name="Tc_PFthUNQEyECEDW34Nc5w-w_5_5"/>
      <w:bookmarkStart w:id="1280" w:name="Tc_N0NoxXGR7U64qNkITAtrVQ_5_2"/>
      <w:bookmarkStart w:id="1281" w:name="Tc_Iw34oJ_RIEWlnLpzo1Splw_5_0"/>
      <w:bookmarkStart w:id="1282" w:name="Tc_5wHr8WdQakeanzQDWfEnsA_4_15"/>
      <w:bookmarkStart w:id="1283" w:name="Tc_s-U_8L9emUS3_VFctRAoLg_4_13"/>
      <w:bookmarkStart w:id="1284" w:name="Tc_ktYMRhWx50-Ip6WhU0suGQ_4_10"/>
      <w:bookmarkStart w:id="1285" w:name="Tc_LuzZjJOOHkO7haTW8YRtXw_4_7"/>
      <w:bookmarkStart w:id="1286" w:name="Tc_JJATHEdP3U2viMilyRSsYg_4_5"/>
      <w:bookmarkStart w:id="1287" w:name="Tc_TlgoW_mlw0-O7QezxUGe-A_4_2"/>
      <w:bookmarkStart w:id="1288" w:name="Tc_4PFY2ivskkyynR733ZGwbQ_3_15"/>
      <w:bookmarkStart w:id="1289" w:name="Tc_ngCvf8A8yky7qPdHTgP59g_3_13"/>
      <w:bookmarkStart w:id="1290" w:name="Tc_49HVIcSgr0yYWTiBNFsipQ_3_7"/>
      <w:bookmarkStart w:id="1291" w:name="Tc_ywTcycK2x0qigAbWOeOjCg_3_5"/>
      <w:bookmarkStart w:id="1292" w:name="Tc_vW3kmSQtLEO4QuOo_BGHrA_2_15"/>
      <w:bookmarkStart w:id="1293" w:name="Tc_8mYE_BL-t0-GzbG77Pzamg_2_13"/>
      <w:bookmarkStart w:id="1294" w:name="Tc_971pPXsUAUqtB94g7NiFjw_2_7"/>
      <w:bookmarkStart w:id="1295" w:name="Tc_vVVC0BV7Ak-26-gWtiz72g_2_5"/>
      <w:bookmarkStart w:id="1296" w:name="Tc_2wXJq120P0iBNksIKxVQxQ_1_10"/>
      <w:bookmarkStart w:id="1297" w:name="Tc_DfPeDIsFQECb0w9Nl_Pp3g_1_2"/>
      <w:bookmarkStart w:id="1298" w:name="_54fd95e7_76ac_4fa7_9cf0_c23378702d03"/>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r>
        <w:rPr>
          <w:rFonts w:ascii="Times New Roman;Times;serif" w:hAnsi="Times New Roman;Times;serif"/>
          <w:b/>
          <w:sz w:val="20"/>
        </w:rPr>
        <w:t>10.</w:t>
      </w:r>
      <w:r>
        <w:rPr>
          <w:rFonts w:ascii="Times New Roman;Times;serif" w:hAnsi="Times New Roman;Times;serif"/>
          <w:sz w:val="20"/>
        </w:rPr>
        <w:t>          </w:t>
      </w:r>
      <w:r>
        <w:rPr>
          <w:rFonts w:ascii="Times New Roman;Times;serif" w:hAnsi="Times New Roman;Times;serif"/>
          <w:b/>
          <w:sz w:val="20"/>
        </w:rPr>
        <w:t>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is determined by dividing net income by the weighted average common shares outstanding during the period. The calculation of diluted earnings per share includes the dilutive effect of unexercised non-qualified stock options and non-vested restricted stock units. The computation of weighted average common shares outstanding excluded a nominal amount of anti-dilutive non-qualified stock options for each period ended June 30, 2023 and 2022.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computations for basic and diluted earnings per share for the three and six months ended June 30, 2023 and 2022 are as follows:</w:t>
      </w:r>
    </w:p>
    <w:p>
      <w:pPr>
        <w:pStyle w:val="TextBody"/>
        <w:bidi w:val="0"/>
        <w:spacing w:before="0" w:after="0"/>
        <w:ind w:left="0" w:right="0" w:hanging="0"/>
        <w:jc w:val="left"/>
        <w:rPr/>
      </w:pPr>
      <w:r>
        <w:rPr/>
        <w:t>​</w:t>
      </w:r>
    </w:p>
    <w:tbl>
      <w:tblPr>
        <w:tblW w:w="8897" w:type="dxa"/>
        <w:jc w:val="left"/>
        <w:tblInd w:w="0" w:type="dxa"/>
        <w:tblLayout w:type="fixed"/>
        <w:tblCellMar>
          <w:top w:w="0" w:type="dxa"/>
          <w:left w:w="0" w:type="dxa"/>
          <w:bottom w:w="0" w:type="dxa"/>
          <w:right w:w="0" w:type="dxa"/>
        </w:tblCellMar>
      </w:tblPr>
      <w:tblGrid>
        <w:gridCol w:w="2656"/>
        <w:gridCol w:w="326"/>
        <w:gridCol w:w="196"/>
        <w:gridCol w:w="421"/>
        <w:gridCol w:w="326"/>
        <w:gridCol w:w="721"/>
        <w:gridCol w:w="326"/>
        <w:gridCol w:w="196"/>
        <w:gridCol w:w="541"/>
        <w:gridCol w:w="326"/>
        <w:gridCol w:w="196"/>
        <w:gridCol w:w="511"/>
        <w:gridCol w:w="326"/>
        <w:gridCol w:w="721"/>
        <w:gridCol w:w="326"/>
        <w:gridCol w:w="196"/>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686560" cy="175260"/>
                      <wp:effectExtent l="0" t="0" r="0" b="0"/>
                      <wp:wrapNone/>
                      <wp:docPr id="240" name="Frame240"/>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24460" cy="175260"/>
                      <wp:effectExtent l="0" t="0" r="0" b="0"/>
                      <wp:wrapNone/>
                      <wp:docPr id="242" name="Frame2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67335" cy="175260"/>
                      <wp:effectExtent l="0" t="0" r="0" b="0"/>
                      <wp:wrapNone/>
                      <wp:docPr id="243" name="Frame24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57835" cy="175260"/>
                      <wp:effectExtent l="0" t="0" r="0" b="0"/>
                      <wp:wrapNone/>
                      <wp:docPr id="245" name="Frame2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24460" cy="175260"/>
                      <wp:effectExtent l="0" t="0" r="0" b="0"/>
                      <wp:wrapNone/>
                      <wp:docPr id="247" name="Frame2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43535" cy="175260"/>
                      <wp:effectExtent l="0" t="0" r="0" b="0"/>
                      <wp:wrapNone/>
                      <wp:docPr id="248" name="Frame24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24460" cy="175260"/>
                      <wp:effectExtent l="0" t="0" r="0" b="0"/>
                      <wp:wrapNone/>
                      <wp:docPr id="250" name="Frame2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324485" cy="175260"/>
                      <wp:effectExtent l="0" t="0" r="0" b="0"/>
                      <wp:wrapNone/>
                      <wp:docPr id="251" name="Frame25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57835" cy="175260"/>
                      <wp:effectExtent l="0" t="0" r="0" b="0"/>
                      <wp:wrapNone/>
                      <wp:docPr id="253" name="Frame25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24460" cy="175260"/>
                      <wp:effectExtent l="0" t="0" r="0" b="0"/>
                      <wp:wrapNone/>
                      <wp:docPr id="255" name="Frame2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72110" cy="175260"/>
                      <wp:effectExtent l="0" t="0" r="0" b="0"/>
                      <wp:wrapNone/>
                      <wp:docPr id="256" name="Frame2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2023</w:t>
            </w:r>
          </w:p>
        </w:tc>
        <w:tc>
          <w:tcPr>
            <w:tcW w:w="326" w:type="dxa"/>
            <w:tcBorders/>
            <w:vAlign w:val="center"/>
          </w:tcPr>
          <w:p>
            <w:pPr>
              <w:pStyle w:val="TableContents"/>
              <w:bidi w:val="0"/>
              <w:spacing w:before="0" w:after="0"/>
              <w:ind w:left="0" w:right="0" w:hanging="0"/>
              <w:jc w:val="left"/>
              <w:rPr/>
            </w:pPr>
            <w:r>
              <w:rPr/>
              <w:t>​</w:t>
            </w:r>
          </w:p>
        </w:tc>
        <w:tc>
          <w:tcPr>
            <w:tcW w:w="28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2023</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3.19</w:t>
            </w:r>
          </w:p>
        </w:tc>
      </w:tr>
    </w:tbl>
    <w:p>
      <w:pPr>
        <w:pStyle w:val="TextBody"/>
        <w:bidi w:val="0"/>
        <w:spacing w:before="0" w:after="0"/>
        <w:ind w:left="0" w:right="0" w:hanging="0"/>
        <w:jc w:val="left"/>
        <w:rPr/>
      </w:pPr>
      <w:r>
        <w:rPr/>
        <w:t>​</w:t>
      </w:r>
    </w:p>
    <w:tbl>
      <w:tblPr>
        <w:tblW w:w="8957" w:type="dxa"/>
        <w:jc w:val="left"/>
        <w:tblInd w:w="0" w:type="dxa"/>
        <w:tblLayout w:type="fixed"/>
        <w:tblCellMar>
          <w:top w:w="0" w:type="dxa"/>
          <w:left w:w="0" w:type="dxa"/>
          <w:bottom w:w="0" w:type="dxa"/>
          <w:right w:w="0" w:type="dxa"/>
        </w:tblCellMar>
      </w:tblPr>
      <w:tblGrid>
        <w:gridCol w:w="2656"/>
        <w:gridCol w:w="266"/>
        <w:gridCol w:w="196"/>
        <w:gridCol w:w="511"/>
        <w:gridCol w:w="326"/>
        <w:gridCol w:w="721"/>
        <w:gridCol w:w="326"/>
        <w:gridCol w:w="196"/>
        <w:gridCol w:w="541"/>
        <w:gridCol w:w="326"/>
        <w:gridCol w:w="196"/>
        <w:gridCol w:w="511"/>
        <w:gridCol w:w="326"/>
        <w:gridCol w:w="721"/>
        <w:gridCol w:w="326"/>
        <w:gridCol w:w="196"/>
        <w:gridCol w:w="61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686560" cy="175260"/>
                      <wp:effectExtent l="0" t="0" r="0" b="0"/>
                      <wp:wrapNone/>
                      <wp:docPr id="257" name="Frame257"/>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68910" cy="175260"/>
                      <wp:effectExtent l="0" t="0" r="0" b="0"/>
                      <wp:wrapNone/>
                      <wp:docPr id="258" name="Frame25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4460" cy="175260"/>
                      <wp:effectExtent l="0" t="0" r="0" b="0"/>
                      <wp:wrapNone/>
                      <wp:docPr id="259" name="Frame2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24485" cy="175260"/>
                      <wp:effectExtent l="0" t="0" r="0" b="0"/>
                      <wp:wrapNone/>
                      <wp:docPr id="260" name="Frame2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57835" cy="175260"/>
                      <wp:effectExtent l="0" t="0" r="0" b="0"/>
                      <wp:wrapNone/>
                      <wp:docPr id="262" name="Frame26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24460" cy="175260"/>
                      <wp:effectExtent l="0" t="0" r="0" b="0"/>
                      <wp:wrapNone/>
                      <wp:docPr id="264" name="Frame2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43535" cy="175260"/>
                      <wp:effectExtent l="0" t="0" r="0" b="0"/>
                      <wp:wrapNone/>
                      <wp:docPr id="265" name="Frame265"/>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67"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24485" cy="175260"/>
                      <wp:effectExtent l="0" t="0" r="0" b="0"/>
                      <wp:wrapNone/>
                      <wp:docPr id="268" name="Frame26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57835" cy="175260"/>
                      <wp:effectExtent l="0" t="0" r="0" b="0"/>
                      <wp:wrapNone/>
                      <wp:docPr id="270" name="Frame27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4460" cy="175260"/>
                      <wp:effectExtent l="0" t="0" r="0" b="0"/>
                      <wp:wrapNone/>
                      <wp:docPr id="272" name="Frame2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91160" cy="175260"/>
                      <wp:effectExtent l="0" t="0" r="0" b="0"/>
                      <wp:wrapNone/>
                      <wp:docPr id="273" name="Frame27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8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2022</w:t>
            </w:r>
          </w:p>
        </w:tc>
        <w:tc>
          <w:tcPr>
            <w:tcW w:w="326" w:type="dxa"/>
            <w:tcBorders/>
            <w:vAlign w:val="center"/>
          </w:tcPr>
          <w:p>
            <w:pPr>
              <w:pStyle w:val="TableContents"/>
              <w:bidi w:val="0"/>
              <w:spacing w:before="0" w:after="0"/>
              <w:ind w:left="0" w:right="0" w:hanging="0"/>
              <w:jc w:val="left"/>
              <w:rPr/>
            </w:pPr>
            <w:r>
              <w:rPr/>
              <w:t>​</w:t>
            </w:r>
          </w:p>
        </w:tc>
        <w:tc>
          <w:tcPr>
            <w:tcW w:w="28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2022</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26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380.7</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719.9</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(0.13)</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380.7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719.9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17.69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11.</w:t>
      </w:r>
      <w:r>
        <w:rPr>
          <w:rFonts w:ascii="Times New Roman;Times;serif" w:hAnsi="Times New Roman;Times;serif"/>
          <w:sz w:val="20"/>
        </w:rPr>
        <w:t>          </w:t>
      </w:r>
      <w:r>
        <w:rPr>
          <w:rFonts w:ascii="Times New Roman;Times;serif" w:hAnsi="Times New Roman;Times;serif"/>
          <w:b/>
          <w:sz w:val="20"/>
        </w:rPr>
        <w:t>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granted time-based restricted stock units and performance-based shares to certain of its employees totaling approximately 12,600 and 265,900 shares with a weighted average grant date fair value of $63.78 and $65.84 per share during the three and six months ended June 30, 2023,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 cost recognized in the Condensed Consolidated Statements of Income and Comprehensive Income as a component of selling, general and administrative expenses was $5.2 million and $5.8 million for the three months ended June 30, 2023 and 2022, and $9.8 million and $10.5 million for the six months ended June 30, 2023 and 2022, respectively. Total unrecognized compensation cost related to unvested share-based compensation arrangements was $28.1 million at June 30, 2023, and is expected to be recognized over a weighted average period of approximately 2.0 years. Total unrecognized compensation cost may be adjusted for any unearned performance shares or forfeited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99" w:name="Tc_5M7Pbgr4TUKZbtZ8bzTE2Q_10_11"/>
      <w:bookmarkStart w:id="1300" w:name="Tc_D022ZrdToUe42z8oV41LNA_10_8"/>
      <w:bookmarkStart w:id="1301" w:name="Tc_TsGUhCM54EuVrZsuyzlKPA_10_5"/>
      <w:bookmarkStart w:id="1302" w:name="Tc_XeccAM2p3EW9CJ2CjJS90w_10_2"/>
      <w:bookmarkStart w:id="1303" w:name="Tc_mtN6HGePj0iLaHE8izkhww_10_0"/>
      <w:bookmarkStart w:id="1304" w:name="Tc_mdDvHt07yEiDxlT6C0KiLw_9_3"/>
      <w:bookmarkStart w:id="1305" w:name="Tc_QadUkDdH7EOfzzRCwOKOkQ_9_0"/>
      <w:bookmarkStart w:id="1306" w:name="Tc_-404KVcQHUq7t7a373XQCA_8_0"/>
      <w:bookmarkStart w:id="1307" w:name="Tc_oMFPbtw0cEG_0sHKGZOOew_7_12"/>
      <w:bookmarkStart w:id="1308" w:name="Tc_AsDazFAnNUyoGlk6cGqo_g_7_9"/>
      <w:bookmarkStart w:id="1309" w:name="Tc_0zQI1PwLc02tsfq80ICEEQ_7_0"/>
      <w:bookmarkStart w:id="1310" w:name="Tc_Cuf-h3DY7EmwTnAVdl7kIQ_6_0"/>
      <w:bookmarkStart w:id="1311" w:name="Tc_Us33_xFe_0qy5PgldOoOQA_5_11"/>
      <w:bookmarkStart w:id="1312" w:name="Tc_5_1lpgRlqkqnb8uBlgm1Tw_5_8"/>
      <w:bookmarkStart w:id="1313" w:name="Tc_rPrpKhL5DUOgVYDc1nhnmg_5_5"/>
      <w:bookmarkStart w:id="1314" w:name="Tc_4dXQqyK5lkuJ6Lt2da5mSQ_5_2"/>
      <w:bookmarkStart w:id="1315" w:name="Tc_mrTBNFujgUWxj8DYRyDf0w_5_0"/>
      <w:bookmarkStart w:id="1316" w:name="Tc_Nd5odZvV6EOAk6aA5y_lkA_4_0"/>
      <w:bookmarkStart w:id="1317" w:name="Tc_YUj2nxa4IUO0IIeai7HKhw_3_11"/>
      <w:bookmarkStart w:id="1318" w:name="Tc_Q4jL31_MHEmlwQaQLaaJAg_3_8"/>
      <w:bookmarkStart w:id="1319" w:name="Tc_3AKKaHCgYUe88AhuHmcjog_3_5"/>
      <w:bookmarkStart w:id="1320" w:name="Tc_DcAlHH5Y5kyhWwIqLI07Yg_3_2"/>
      <w:bookmarkStart w:id="1321" w:name="Tc_jBr9WUq_sEK_KWM-CcxK-w_3_0"/>
      <w:bookmarkStart w:id="1322" w:name="Tc_TPM9kiUe-E-iUcZqIVRX5g_2_8"/>
      <w:bookmarkStart w:id="1323" w:name="Tc_vjVbT9BvOky4NAq8pHruVg_2_2"/>
      <w:bookmarkStart w:id="1324" w:name="Tc_nGMllW1V3USco1gh2kNAYg_1_8"/>
      <w:bookmarkStart w:id="1325" w:name="Tc_ksDVIUhzWkSoQ8m-WCT7fg_1_2"/>
      <w:bookmarkStart w:id="1326" w:name="Tc_9qk_2cDLW0SEToBoq-jrFA_10_11"/>
      <w:bookmarkStart w:id="1327" w:name="Tc_DVh1rBgD40OWgJRdIoT4ug_10_8"/>
      <w:bookmarkStart w:id="1328" w:name="Tc_MDlA9tI1I0COpYaP9qk2wg_10_5"/>
      <w:bookmarkStart w:id="1329" w:name="Tc_5gES0i4hvkygvmYO3Fv6pA_10_2"/>
      <w:bookmarkStart w:id="1330" w:name="Tc_HYHwfl21OEaDrv8AKsUSSw_10_0"/>
      <w:bookmarkStart w:id="1331" w:name="Tc_gdOhhCiLjUK2rGzciaGzWg_9_3"/>
      <w:bookmarkStart w:id="1332" w:name="Tc_XsrLE2YV6ki6aibbR30jag_9_0"/>
      <w:bookmarkStart w:id="1333" w:name="Tc_et3VwCe9g0S4X2pJ0L0Bpw_8_0"/>
      <w:bookmarkStart w:id="1334" w:name="Tc_XvKc43GApUiCYrt3z-LAVw_7_12"/>
      <w:bookmarkStart w:id="1335" w:name="Tc_LUKEO8ZtskeTHHt5LU6B8g_7_9"/>
      <w:bookmarkStart w:id="1336" w:name="Tc_pmc0evqk0EuEQwQ3s9Jn7Q_7_0"/>
      <w:bookmarkStart w:id="1337" w:name="Tc_jLZUkGwan0S0il4RLOt4Iw_6_0"/>
      <w:bookmarkStart w:id="1338" w:name="Tc_PoAB9hiKHkGZd2o3CnqIPA_5_11"/>
      <w:bookmarkStart w:id="1339" w:name="Tc_0S_8EFIx2EKnRHWvDmNQqg_5_9"/>
      <w:bookmarkStart w:id="1340" w:name="Tc_XOJrIR_0N0mxdyqdsPMkRg_5_8"/>
      <w:bookmarkStart w:id="1341" w:name="Tc_6QUFdJ9BAk-J2uhYbuqB9A_5_5"/>
      <w:bookmarkStart w:id="1342" w:name="Tc_usGnvlClq02wF34t4DkRKw_5_2"/>
      <w:bookmarkStart w:id="1343" w:name="Tc_WhJNsXZro0-_LcLfb8nC9w_5_0"/>
      <w:bookmarkStart w:id="1344" w:name="Tc_kSNWDe1jy0i30zrrdNlDng_4_0"/>
      <w:bookmarkStart w:id="1345" w:name="Tc_KwjnBvrbYEO7NmTmpBWfaw_3_11"/>
      <w:bookmarkStart w:id="1346" w:name="Tc_dgipY6MR-0ajDFP-RhKemg_3_8"/>
      <w:bookmarkStart w:id="1347" w:name="Tc_oU_x0FxuQ0a8CBAH1G2hfg_3_5"/>
      <w:bookmarkStart w:id="1348" w:name="Tc_vS-zBOEV-UuYYj2gRjO6cg_3_2"/>
      <w:bookmarkStart w:id="1349" w:name="Tc_Pcst_jZUnEe_7_l5ays03Q_3_0"/>
      <w:bookmarkStart w:id="1350" w:name="Tc_5pCJA6gKmUObMj2Z1l6Dbg_2_8"/>
      <w:bookmarkStart w:id="1351" w:name="Tc_8647vYFjd0WiFnK4Vgt5wA_2_2"/>
      <w:bookmarkStart w:id="1352" w:name="Tc_Oj3hcN5bf0-UPyWG6_KT-Q_1_8"/>
      <w:bookmarkStart w:id="1353" w:name="Tc_6B08r2b1PEudWZcduVqEcQ_1_2"/>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r>
        <w:rPr>
          <w:rFonts w:ascii="Times New Roman;Times;serif" w:hAnsi="Times New Roman;Times;serif"/>
          <w:b/>
          <w:sz w:val="20"/>
        </w:rPr>
        <w:t>12.</w:t>
      </w:r>
      <w:r>
        <w:rPr>
          <w:rFonts w:ascii="Times New Roman;Times;serif" w:hAnsi="Times New Roman;Times;serif"/>
          <w:sz w:val="20"/>
        </w:rPr>
        <w:t>          </w:t>
      </w:r>
      <w:r>
        <w:rPr>
          <w:rFonts w:ascii="Times New Roman;Times;serif" w:hAnsi="Times New Roman;Times;serif"/>
          <w:b/>
          <w:sz w:val="20"/>
        </w:rPr>
        <w:t>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pension and post-retirement plans are described in Note 11 to the Consolidated Financial Statements included in Part II, Item 8 of the Company’s Annual Report on Form 10-K for the year ended December 31, 2022. Components of net periodic benefit cost and other amounts recognized in Other Comprehensive Income (Loss) for the qualified pension plans and the post-retirement benefit plans for the three and six months ended June 30, 2023 and 2022 consisted of the following:</w:t>
      </w:r>
    </w:p>
    <w:p>
      <w:pPr>
        <w:pStyle w:val="TextBody"/>
        <w:bidi w:val="0"/>
        <w:spacing w:before="0" w:after="0"/>
        <w:ind w:left="0" w:right="0" w:hanging="0"/>
        <w:jc w:val="left"/>
        <w:rPr/>
      </w:pPr>
      <w:r>
        <w:rPr/>
        <w:t>​</w:t>
      </w:r>
    </w:p>
    <w:tbl>
      <w:tblPr>
        <w:tblW w:w="9485" w:type="dxa"/>
        <w:jc w:val="left"/>
        <w:tblInd w:w="0" w:type="dxa"/>
        <w:tblLayout w:type="fixed"/>
        <w:tblCellMar>
          <w:top w:w="0" w:type="dxa"/>
          <w:left w:w="0" w:type="dxa"/>
          <w:bottom w:w="0" w:type="dxa"/>
          <w:right w:w="0" w:type="dxa"/>
        </w:tblCellMar>
      </w:tblPr>
      <w:tblGrid>
        <w:gridCol w:w="4171"/>
        <w:gridCol w:w="326"/>
        <w:gridCol w:w="285"/>
        <w:gridCol w:w="650"/>
        <w:gridCol w:w="440"/>
        <w:gridCol w:w="285"/>
        <w:gridCol w:w="650"/>
        <w:gridCol w:w="326"/>
        <w:gridCol w:w="302"/>
        <w:gridCol w:w="605"/>
        <w:gridCol w:w="469"/>
        <w:gridCol w:w="302"/>
        <w:gridCol w:w="674"/>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648585" cy="175260"/>
                      <wp:effectExtent l="0" t="0" r="0" b="0"/>
                      <wp:wrapNone/>
                      <wp:docPr id="274" name="Frame274"/>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80975" cy="175260"/>
                      <wp:effectExtent l="0" t="0" r="0" b="0"/>
                      <wp:wrapNone/>
                      <wp:docPr id="276" name="Frame27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12750" cy="175260"/>
                      <wp:effectExtent l="0" t="0" r="0" b="0"/>
                      <wp:wrapNone/>
                      <wp:docPr id="277" name="Frame277"/>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79400" cy="175260"/>
                      <wp:effectExtent l="0" t="0" r="0" b="0"/>
                      <wp:wrapNone/>
                      <wp:docPr id="278" name="Frame278"/>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80975" cy="175260"/>
                      <wp:effectExtent l="0" t="0" r="0" b="0"/>
                      <wp:wrapNone/>
                      <wp:docPr id="279" name="Frame27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12750" cy="175260"/>
                      <wp:effectExtent l="0" t="0" r="0" b="0"/>
                      <wp:wrapNone/>
                      <wp:docPr id="280" name="Frame280"/>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91770" cy="175260"/>
                      <wp:effectExtent l="0" t="0" r="0" b="0"/>
                      <wp:wrapNone/>
                      <wp:docPr id="282" name="Frame282"/>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84175" cy="175260"/>
                      <wp:effectExtent l="0" t="0" r="0" b="0"/>
                      <wp:wrapNone/>
                      <wp:docPr id="283" name="Frame283"/>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97815" cy="175260"/>
                      <wp:effectExtent l="0" t="0" r="0" b="0"/>
                      <wp:wrapNone/>
                      <wp:docPr id="284" name="Frame284"/>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91770" cy="175260"/>
                      <wp:effectExtent l="0" t="0" r="0" b="0"/>
                      <wp:wrapNone/>
                      <wp:docPr id="285" name="Frame285"/>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27990" cy="175260"/>
                      <wp:effectExtent l="0" t="0" r="0" b="0"/>
                      <wp:wrapNone/>
                      <wp:docPr id="286" name="Frame286"/>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3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4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0"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9"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650" w:type="dxa"/>
            <w:tcBorders/>
            <w:shd w:fill="CCEEFF" w:val="clear"/>
            <w:vAlign w:val="center"/>
          </w:tcPr>
          <w:p>
            <w:pPr>
              <w:pStyle w:val="TableContents"/>
              <w:bidi w:val="0"/>
              <w:spacing w:before="0" w:after="0"/>
              <w:ind w:left="0" w:right="0" w:hanging="0"/>
              <w:jc w:val="center"/>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65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center"/>
              <w:rPr/>
            </w:pPr>
            <w:r>
              <w:rPr/>
              <w:t>​</w:t>
            </w:r>
          </w:p>
        </w:tc>
        <w:tc>
          <w:tcPr>
            <w:tcW w:w="605" w:type="dxa"/>
            <w:tcBorders/>
            <w:shd w:fill="CCEEFF" w:val="clear"/>
            <w:vAlign w:val="center"/>
          </w:tcPr>
          <w:p>
            <w:pPr>
              <w:pStyle w:val="TableContents"/>
              <w:bidi w:val="0"/>
              <w:spacing w:before="0" w:after="0"/>
              <w:ind w:left="0" w:right="0" w:hanging="0"/>
              <w:jc w:val="center"/>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center"/>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6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bl>
    <w:p>
      <w:pPr>
        <w:pStyle w:val="TextBody"/>
        <w:bidi w:val="0"/>
        <w:spacing w:before="0" w:after="0"/>
        <w:ind w:left="0" w:right="0" w:hanging="0"/>
        <w:jc w:val="left"/>
        <w:rPr/>
      </w:pPr>
      <w:r>
        <w:rPr/>
        <w:t>​</w:t>
      </w:r>
    </w:p>
    <w:tbl>
      <w:tblPr>
        <w:tblW w:w="9096" w:type="dxa"/>
        <w:jc w:val="left"/>
        <w:tblInd w:w="0" w:type="dxa"/>
        <w:tblLayout w:type="fixed"/>
        <w:tblCellMar>
          <w:top w:w="0" w:type="dxa"/>
          <w:left w:w="0" w:type="dxa"/>
          <w:bottom w:w="0" w:type="dxa"/>
          <w:right w:w="0" w:type="dxa"/>
        </w:tblCellMar>
      </w:tblPr>
      <w:tblGrid>
        <w:gridCol w:w="4171"/>
        <w:gridCol w:w="326"/>
        <w:gridCol w:w="261"/>
        <w:gridCol w:w="595"/>
        <w:gridCol w:w="403"/>
        <w:gridCol w:w="261"/>
        <w:gridCol w:w="595"/>
        <w:gridCol w:w="326"/>
        <w:gridCol w:w="277"/>
        <w:gridCol w:w="555"/>
        <w:gridCol w:w="430"/>
        <w:gridCol w:w="277"/>
        <w:gridCol w:w="619"/>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648585" cy="175260"/>
                      <wp:effectExtent l="0" t="0" r="0" b="0"/>
                      <wp:wrapNone/>
                      <wp:docPr id="287" name="Frame287"/>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65735" cy="175260"/>
                      <wp:effectExtent l="0" t="0" r="0" b="0"/>
                      <wp:wrapNone/>
                      <wp:docPr id="289" name="Frame289"/>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77825" cy="175260"/>
                      <wp:effectExtent l="0" t="0" r="0" b="0"/>
                      <wp:wrapNone/>
                      <wp:docPr id="290" name="Frame290"/>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55905" cy="175260"/>
                      <wp:effectExtent l="0" t="0" r="0" b="0"/>
                      <wp:wrapNone/>
                      <wp:docPr id="291" name="Frame291"/>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65735" cy="175260"/>
                      <wp:effectExtent l="0" t="0" r="0" b="0"/>
                      <wp:wrapNone/>
                      <wp:docPr id="292" name="Frame29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77825" cy="175260"/>
                      <wp:effectExtent l="0" t="0" r="0" b="0"/>
                      <wp:wrapNone/>
                      <wp:docPr id="293" name="Frame293"/>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75895" cy="175260"/>
                      <wp:effectExtent l="0" t="0" r="0" b="0"/>
                      <wp:wrapNone/>
                      <wp:docPr id="295" name="Frame295"/>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52425" cy="175260"/>
                      <wp:effectExtent l="0" t="0" r="0" b="0"/>
                      <wp:wrapNone/>
                      <wp:docPr id="296" name="Frame296"/>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73050" cy="175260"/>
                      <wp:effectExtent l="0" t="0" r="0" b="0"/>
                      <wp:wrapNone/>
                      <wp:docPr id="297" name="Frame29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75895" cy="175260"/>
                      <wp:effectExtent l="0" t="0" r="0" b="0"/>
                      <wp:wrapNone/>
                      <wp:docPr id="298" name="Frame298"/>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93065" cy="175260"/>
                      <wp:effectExtent l="0" t="0" r="0" b="0"/>
                      <wp:wrapNone/>
                      <wp:docPr id="299" name="Frame299"/>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3"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0" w:type="dxa"/>
            <w:tcBorders/>
            <w:vAlign w:val="center"/>
          </w:tcPr>
          <w:p>
            <w:pPr>
              <w:pStyle w:val="TableContents"/>
              <w:bidi w:val="0"/>
              <w:spacing w:before="0" w:after="0"/>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555" w:type="dxa"/>
            <w:tcBorders/>
            <w:shd w:fill="CCEEFF" w:val="clear"/>
            <w:vAlign w:val="center"/>
          </w:tcPr>
          <w:p>
            <w:pPr>
              <w:pStyle w:val="TableContents"/>
              <w:bidi w:val="0"/>
              <w:spacing w:before="0" w:after="0"/>
              <w:ind w:left="0" w:right="0" w:hanging="0"/>
              <w:jc w:val="center"/>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center"/>
              <w:rPr/>
            </w:pPr>
            <w:r>
              <w:rPr/>
              <w:t>​</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403"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30"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403"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30"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54" w:name="ITEM_2_MDA"/>
      <w:bookmarkStart w:id="1355" w:name="_4e3e3fdc_442a_4aae_8e27_90ebffa6d7d8"/>
      <w:bookmarkEnd w:id="1354"/>
      <w:bookmarkEnd w:id="1355"/>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the Condensed Consolidated Financial Statements and related notes, and other financial information appearing elsewhere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 filings, such as reports on Forms 10-K, 10-Q and 8-K, the Annual Report to Shareholders, press releases made by the Company, the Company’s Internet Websites (including Websites of its subsidiaries), and oral statements made by officers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report, and other statements that the Company may make, may contain forward-looking statements with respect to the Company’s future financial, business or environmental, social and governance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“design,” “goal,” “plan,” or similar expressions, or future or conditional verbs such as “will,” “would,” “should,” “could,” “may” or similar expressions.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cautions that forward-looking statements are subject to numerous assumptions, risks and uncertainties, which change over time, including, but not limited to, the risk factors that are described in Part I, Item 1A, “Risk Factors” of Matson’s Annual Report on Form 10-K for the year ended December 31, 2022. Forward-looking statements speak only as of the date they are made, and the Company assumes no duty to and does not undertake any obligation to update forward-looking statements. Actual results could differ materially from those anticipated in forward-looking statements and future results could differ materially from historical performance.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 the Company’s Condensed Consolidated Financial Statements. MD&amp;A is provided as a supplement to the Condensed Consolidated Financial Statements and notes herein, and should be read in conjunction with the Company’s </w:t>
      </w:r>
      <w:hyperlink r:id="rId2">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 the Company’s reports on Forms 10-Q and 8-K, and other publicly available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SECOND QUARTER 2023 DISCUSSION AND UPDATE ON BUSINESS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Ocean Transportation: </w:t>
      </w:r>
      <w:r>
        <w:rPr>
          <w:rFonts w:ascii="Times New Roman;Times;serif" w:hAnsi="Times New Roman;Times;serif"/>
          <w:sz w:val="20"/>
        </w:rPr>
        <w:t>The Company’s container volume in the Hawaii service in the second quarter 2023 was 7.1 percent lower year-over-year. The decrease was primarily due to lower retail-related volume. During the quarter, the Company saw retail customers continue to manage inventories to weaker consumer demand levels despite continued economic growth in Hawaii supported by a low unemployment rate and relatively strong visitor arrivals. In the second half of 2023, Matson expects continued improvement in the Hawaii economy supported by continued growth in visitor arrivals and a low unemployment rate.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China, the Company’s container volume in the second quarter 2023 decreased 24.6 percent year-over-year. The decrease was primarily due to (i) CCX volume in the second quarter 2022 (CCX service was discontinued in the third quarter 2022), (ii) lower capacity in the CLX service due to the dry-docking of </w:t>
      </w:r>
      <w:r>
        <w:rPr>
          <w:rFonts w:ascii="Times New Roman;Times;serif" w:hAnsi="Times New Roman;Times;serif"/>
          <w:i/>
          <w:sz w:val="20"/>
        </w:rPr>
        <w:t>Daniel K. Inouye</w:t>
      </w:r>
      <w:r>
        <w:rPr>
          <w:rFonts w:ascii="Times New Roman;Times;serif" w:hAnsi="Times New Roman;Times;serif"/>
          <w:sz w:val="20"/>
        </w:rPr>
        <w:t xml:space="preserve"> and (iii) one less CLX+ sailing. Matson continued to realize a significant rate premium over the Shanghai Containerized Freight Index (“SCFI”) in the second quarter 2023 but achieved average freight rates that were lower than in the year ago period. Currently in the Transpacific marketplace, the Company is seeing modest reductions in deployed capacity and retail inventories are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relatively better position than earlier in the year, but retailers continue to carefully manage inventory levels in the face of lower consumer demand. The Company further expects the tradelane to experience a muted peak season, but for Matson, the Company expects its China service to be near full during the traditional peak season. Absent an economic “hard landing” in the U.S., the Company continues to expect trade dynamics to gradually improve for the remainder of the year as the Transpacific marketplace transitions to a more normalized level of consumer demand and retail inventory stocking levels. Regardless of the economic environment, the Company expects to continue to earn a significant rate premium to the SCFI reflecting its fast and reliable ocean services and unmatched destination services.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Guam, the Company’s container volume in the second quarter 2023 decreased 7.5 percent year-over-year primarily due to lower general demand. In the second half of 2023, the Company expects continued improvement in the Guam economy with a low unemployment rate and a modest increase in tourism from low levels.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Alaska, the Company’s container volume for the second quarter 2023 decreased 7.2 percent year-over-year due to (i) lower export seafood volume from the Alaska-Asia Express service (“AAX”), (ii) lower northbound volume due to one less sailing and (iii) lower southbound volume primarily due to lower household goods and domestic seafood volume. In the second half of 2023, the Company expects the Alaska economy to continue to benefit from low unemployment and increased energy-related exploration and production activity as a result of elevated oil prices.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contribution in the second quarter 2023 from the Company’s SSAT joint venture investment was $(1.4) million, or $26.1 million lower than the second quarter 2022. The decrease was primarily driven by lower demurrage revenue and lower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In the second quarter 2023, operating income for the Company’s Logistics segment was $14.3 million, or $8.8 million lower compared to the level achieved in the second quarter 2022. The decrease was primarily due to lower contributions from transportation brokerage and supply chain management.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Three months ended June 30, 2023 compared with 2022:</w:t>
      </w:r>
    </w:p>
    <w:p>
      <w:pPr>
        <w:pStyle w:val="TextBody"/>
        <w:bidi w:val="0"/>
        <w:spacing w:before="0" w:after="0"/>
        <w:ind w:left="0" w:right="0" w:hanging="0"/>
        <w:jc w:val="left"/>
        <w:rPr/>
      </w:pPr>
      <w:r>
        <w:rPr/>
        <w:t>​</w:t>
      </w:r>
    </w:p>
    <w:tbl>
      <w:tblPr>
        <w:tblW w:w="8453" w:type="dxa"/>
        <w:jc w:val="left"/>
        <w:tblInd w:w="0" w:type="dxa"/>
        <w:tblLayout w:type="fixed"/>
        <w:tblCellMar>
          <w:top w:w="0" w:type="dxa"/>
          <w:left w:w="0" w:type="dxa"/>
          <w:bottom w:w="0" w:type="dxa"/>
          <w:right w:w="0" w:type="dxa"/>
        </w:tblCellMar>
      </w:tblPr>
      <w:tblGrid>
        <w:gridCol w:w="3481"/>
        <w:gridCol w:w="326"/>
        <w:gridCol w:w="211"/>
        <w:gridCol w:w="691"/>
        <w:gridCol w:w="326"/>
        <w:gridCol w:w="211"/>
        <w:gridCol w:w="721"/>
        <w:gridCol w:w="326"/>
        <w:gridCol w:w="211"/>
        <w:gridCol w:w="691"/>
        <w:gridCol w:w="326"/>
        <w:gridCol w:w="61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210435" cy="175260"/>
                      <wp:effectExtent l="0" t="0" r="0" b="0"/>
                      <wp:wrapNone/>
                      <wp:docPr id="300" name="Frame300"/>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38785" cy="175260"/>
                      <wp:effectExtent l="0" t="0" r="0" b="0"/>
                      <wp:wrapNone/>
                      <wp:docPr id="303" name="Frame3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57835" cy="175260"/>
                      <wp:effectExtent l="0" t="0" r="0" b="0"/>
                      <wp:wrapNone/>
                      <wp:docPr id="306" name="Frame30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8785" cy="175260"/>
                      <wp:effectExtent l="0" t="0" r="0" b="0"/>
                      <wp:wrapNone/>
                      <wp:docPr id="309" name="Frame3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91160" cy="175260"/>
                      <wp:effectExtent l="0" t="0" r="0" b="0"/>
                      <wp:wrapNone/>
                      <wp:docPr id="311" name="Frame31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0660" cy="175260"/>
                      <wp:effectExtent l="0" t="0" r="0" b="0"/>
                      <wp:wrapNone/>
                      <wp:docPr id="312" name="Frame31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8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(487.7)</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(768.0)</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493.1</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(386.1)</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interest income for the three months ended June 30, 2023, compared to the three months ended June 30, 2022, was due to increased amounts of cash and CCF funds that are invested in interest bearing accounts, and higher interest rates during the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three months ended June 30, 2023, compared to the three months ended June 30, 2022, was due to lower outstanding debt during the period, and a higher offset of capitalized interest associated with new vessels construction.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was $23.5 million or 22.5 percent of income before taxes for the three months ended June 30, 2023, compared to $109.7 million or 22.4 percent of income before taxes for the three months ended June 30, 2022. The effective tax rate for the three months ended June 30, 2023 benefited from a 1.7 percent deduction related to foreign-derived intangible income (“FDII”) under Section 250 of the Internal Revenue Code that lowered the effective tax rate for the current period, compared to a 1.6 percent deduction related to FDII for the three months ended June 30, 2022.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Six months ended June 30, 2023 compared with 2022:</w:t>
      </w:r>
    </w:p>
    <w:p>
      <w:pPr>
        <w:pStyle w:val="TextBody"/>
        <w:bidi w:val="0"/>
        <w:spacing w:before="0" w:after="0"/>
        <w:ind w:left="0" w:right="0" w:hanging="0"/>
        <w:jc w:val="left"/>
        <w:rPr/>
      </w:pPr>
      <w:r>
        <w:rPr/>
        <w:t>​</w:t>
      </w:r>
    </w:p>
    <w:tbl>
      <w:tblPr>
        <w:tblW w:w="8723" w:type="dxa"/>
        <w:jc w:val="left"/>
        <w:tblInd w:w="0" w:type="dxa"/>
        <w:tblLayout w:type="fixed"/>
        <w:tblCellMar>
          <w:top w:w="0" w:type="dxa"/>
          <w:left w:w="0" w:type="dxa"/>
          <w:bottom w:w="0" w:type="dxa"/>
          <w:right w:w="0" w:type="dxa"/>
        </w:tblCellMar>
      </w:tblPr>
      <w:tblGrid>
        <w:gridCol w:w="3481"/>
        <w:gridCol w:w="326"/>
        <w:gridCol w:w="211"/>
        <w:gridCol w:w="841"/>
        <w:gridCol w:w="326"/>
        <w:gridCol w:w="211"/>
        <w:gridCol w:w="841"/>
        <w:gridCol w:w="326"/>
        <w:gridCol w:w="211"/>
        <w:gridCol w:w="691"/>
        <w:gridCol w:w="326"/>
        <w:gridCol w:w="61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210435" cy="175260"/>
                      <wp:effectExtent l="0" t="0" r="0" b="0"/>
                      <wp:wrapNone/>
                      <wp:docPr id="313" name="Frame313"/>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534035" cy="175260"/>
                      <wp:effectExtent l="0" t="0" r="0" b="0"/>
                      <wp:wrapNone/>
                      <wp:docPr id="316" name="Frame31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34035" cy="175260"/>
                      <wp:effectExtent l="0" t="0" r="0" b="0"/>
                      <wp:wrapNone/>
                      <wp:docPr id="319" name="Frame31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38785" cy="175260"/>
                      <wp:effectExtent l="0" t="0" r="0" b="0"/>
                      <wp:wrapNone/>
                      <wp:docPr id="322" name="Frame32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07010" cy="175260"/>
                      <wp:effectExtent l="0" t="0" r="0" b="0"/>
                      <wp:wrapNone/>
                      <wp:docPr id="323" name="Frame3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91160" cy="175260"/>
                      <wp:effectExtent l="0" t="0" r="0" b="0"/>
                      <wp:wrapNone/>
                      <wp:docPr id="324" name="Frame32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0660" cy="175260"/>
                      <wp:effectExtent l="0" t="0" r="0" b="0"/>
                      <wp:wrapNone/>
                      <wp:docPr id="325" name="Frame32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8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(948.4)</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(1,500.9)</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100.0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920.2</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(771.7)</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(200.3)</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(605.1)</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interest income for the six months ended June 30, 2023, compared to the six months ended June 30, 2022, was due to increased amounts of cash and CCF funds that are invested in interest bearing accounts, and higher interest rates during the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six months ended June 30, 2023, compared to the six months ended June 30, 2022, was due to lower outstanding debt during the period, and a higher offset of capitalized interest associated with new vessels construction.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was $33.7 million or 22.7 percent of income before taxes for the six months ended June 30, 2023, compared to $200.3 million or 21.8 percent of income before taxes for the six months ended June 30, 2022. The effective tax rate for the six months ended June 30, 2023 benefited from a 1.8 percent deduction related to FDII that lowered the effective tax rate for the current period, compared to a 2.3 percent deduction related to FDII for the six months ended June 30, 2022. The reduction in the FDII for the six months ended June 30, 2023 was primarily due to lower income generated from the Company’s China service.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Three months ended June 30, 2023 compared with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389"/>
        <w:gridCol w:w="326"/>
        <w:gridCol w:w="211"/>
        <w:gridCol w:w="689"/>
        <w:gridCol w:w="326"/>
        <w:gridCol w:w="211"/>
        <w:gridCol w:w="721"/>
        <w:gridCol w:w="326"/>
        <w:gridCol w:w="211"/>
        <w:gridCol w:w="789"/>
        <w:gridCol w:w="109"/>
        <w:gridCol w:w="579"/>
        <w:gridCol w:w="318"/>
      </w:tblGrid>
      <w:tr>
        <w:trPr/>
        <w:tc>
          <w:tcPr>
            <w:tcW w:w="5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422015" cy="175260"/>
                      <wp:effectExtent l="0" t="0" r="0" b="0"/>
                      <wp:wrapNone/>
                      <wp:docPr id="326" name="Frame326"/>
                      <a:graphic xmlns:a="http://schemas.openxmlformats.org/drawingml/2006/main">
                        <a:graphicData uri="http://schemas.microsoft.com/office/word/2010/wordprocessingShape">
                          <wps:wsp>
                            <wps:cNvSpPr txBox="1"/>
                            <wps:spPr>
                              <a:xfrm>
                                <a:off x="0" y="0"/>
                                <a:ext cx="3422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3985" cy="175260"/>
                      <wp:effectExtent l="0" t="0" r="0" b="0"/>
                      <wp:wrapNone/>
                      <wp:docPr id="328"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37515" cy="175260"/>
                      <wp:effectExtent l="0" t="0" r="0" b="0"/>
                      <wp:wrapNone/>
                      <wp:docPr id="329" name="Frame329"/>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57835" cy="175260"/>
                      <wp:effectExtent l="0" t="0" r="0" b="0"/>
                      <wp:wrapNone/>
                      <wp:docPr id="332" name="Frame33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01015" cy="175260"/>
                      <wp:effectExtent l="0" t="0" r="0" b="0"/>
                      <wp:wrapNone/>
                      <wp:docPr id="335" name="Frame335"/>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260"/>
                      <wp:effectExtent l="0" t="0" r="0" b="0"/>
                      <wp:wrapNone/>
                      <wp:docPr id="336" name="Frame3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67665" cy="175260"/>
                      <wp:effectExtent l="0" t="0" r="0" b="0"/>
                      <wp:wrapNone/>
                      <wp:docPr id="337" name="Frame337"/>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1930" cy="175260"/>
                      <wp:effectExtent l="0" t="0" r="0" b="0"/>
                      <wp:wrapNone/>
                      <wp:docPr id="338" name="Frame33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7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8" w:type="dxa"/>
            <w:tcBorders/>
            <w:vAlign w:val="center"/>
          </w:tcPr>
          <w:p>
            <w:pPr>
              <w:pStyle w:val="TableContents"/>
              <w:bidi w:val="0"/>
              <w:spacing w:before="0" w:after="0"/>
              <w:ind w:left="0" w:right="0" w:hanging="0"/>
              <w:jc w:val="left"/>
              <w:rPr/>
            </w:pPr>
            <w:r>
              <w:rPr/>
              <w:t> </w:t>
            </w:r>
          </w:p>
        </w:tc>
      </w:tr>
      <w:tr>
        <w:trPr/>
        <w:tc>
          <w:tcPr>
            <w:tcW w:w="53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6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8" w:type="dxa"/>
            <w:tcBorders/>
            <w:vAlign w:val="center"/>
          </w:tcPr>
          <w:p>
            <w:pPr>
              <w:pStyle w:val="TableContents"/>
              <w:bidi w:val="0"/>
              <w:spacing w:before="0" w:after="0"/>
              <w:ind w:left="0" w:right="0" w:hanging="0"/>
              <w:jc w:val="left"/>
              <w:rPr/>
            </w:pPr>
            <w:r>
              <w:rPr/>
              <w:t> </w:t>
            </w:r>
          </w:p>
        </w:tc>
      </w:tr>
      <w:tr>
        <w:trPr/>
        <w:tc>
          <w:tcPr>
            <w:tcW w:w="5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(432.3)</w:t>
            </w:r>
          </w:p>
        </w:tc>
        <w:tc>
          <w:tcPr>
            <w:tcW w:w="109"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w:t>
            </w:r>
          </w:p>
        </w:tc>
        <w:tc>
          <w:tcPr>
            <w:tcW w:w="109" w:type="dxa"/>
            <w:tcBorders/>
            <w:vAlign w:val="center"/>
          </w:tcPr>
          <w:p>
            <w:pPr>
              <w:pStyle w:val="TableContents"/>
              <w:bidi w:val="0"/>
              <w:spacing w:before="0" w:after="0"/>
              <w:ind w:left="0" w:right="0" w:hanging="0"/>
              <w:jc w:val="left"/>
              <w:rPr/>
            </w:pPr>
            <w:r>
              <w:rPr/>
              <w:t>​</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(387.6)</w:t>
            </w:r>
          </w:p>
        </w:tc>
        <w:tc>
          <w:tcPr>
            <w:tcW w:w="109"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53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except for automobiles)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5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(2,800)</w:t>
            </w:r>
          </w:p>
        </w:tc>
        <w:tc>
          <w:tcPr>
            <w:tcW w:w="109" w:type="dxa"/>
            <w:tcBorders/>
            <w:shd w:fill="CCEEFF" w:val="clear"/>
            <w:vAlign w:val="center"/>
          </w:tcPr>
          <w:p>
            <w:pPr>
              <w:pStyle w:val="TableContents"/>
              <w:bidi w:val="0"/>
              <w:spacing w:before="0" w:after="0"/>
              <w:ind w:left="0" w:right="0" w:hanging="0"/>
              <w:jc w:val="righ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automobiles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109" w:type="dxa"/>
            <w:tcBorders/>
            <w:vAlign w:val="center"/>
          </w:tcPr>
          <w:p>
            <w:pPr>
              <w:pStyle w:val="TableContents"/>
              <w:bidi w:val="0"/>
              <w:spacing w:before="0" w:after="0"/>
              <w:ind w:left="0" w:right="0" w:hanging="0"/>
              <w:jc w:val="righ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109" w:type="dxa"/>
            <w:tcBorders/>
            <w:shd w:fill="CCEEFF" w:val="clear"/>
            <w:vAlign w:val="center"/>
          </w:tcPr>
          <w:p>
            <w:pPr>
              <w:pStyle w:val="TableContents"/>
              <w:bidi w:val="0"/>
              <w:spacing w:before="0" w:after="0"/>
              <w:ind w:left="0" w:right="0" w:hanging="0"/>
              <w:jc w:val="righ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w:t>
            </w:r>
          </w:p>
        </w:tc>
        <w:tc>
          <w:tcPr>
            <w:tcW w:w="109" w:type="dxa"/>
            <w:tcBorders/>
            <w:vAlign w:val="center"/>
          </w:tcPr>
          <w:p>
            <w:pPr>
              <w:pStyle w:val="TableContents"/>
              <w:bidi w:val="0"/>
              <w:spacing w:before="0" w:after="0"/>
              <w:ind w:left="0" w:right="0" w:hanging="0"/>
              <w:jc w:val="righ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shd w:fill="CCEEFF" w:val="clear"/>
            <w:vAlign w:val="center"/>
          </w:tcPr>
          <w:p>
            <w:pPr>
              <w:pStyle w:val="TableContents"/>
              <w:bidi w:val="0"/>
              <w:spacing w:before="0" w:after="0"/>
              <w:ind w:left="0" w:right="0" w:hanging="0"/>
              <w:jc w:val="righ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w:t>
            </w:r>
          </w:p>
        </w:tc>
        <w:tc>
          <w:tcPr>
            <w:tcW w:w="109" w:type="dxa"/>
            <w:tcBorders/>
            <w:vAlign w:val="center"/>
          </w:tcPr>
          <w:p>
            <w:pPr>
              <w:pStyle w:val="TableContents"/>
              <w:bidi w:val="0"/>
              <w:spacing w:before="0" w:after="0"/>
              <w:ind w:left="0" w:right="0" w:hanging="0"/>
              <w:jc w:val="righ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decreased $432.3 million, or 41.2 percent, during the three months ended June 30, 2023, compared with the three months ended June 30, 2022. The decrease was primarily due to lower average freight rates and volume in China.</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 year-over-year FEU basis, Hawaii container volume decreased 7.1 percent primarily due to lower retail-related volume; Alaska volume decreased 7.2 percent due to (i) lower export seafood volume from the AAX, (ii) lower northbound volume due to one less sailing and (iii) lower southbound volume primarily due to lower household goods and domestic seafood volume; China volume was 24.6 percent lower primarily due to (a) CCX volume in the second quarter 2022 (CCX service was discontinued in the third quarter 2022), (b) lower capacity in the CLX service due to the dry-docking of </w:t>
      </w:r>
      <w:r>
        <w:rPr>
          <w:rFonts w:ascii="Times New Roman;Times;serif" w:hAnsi="Times New Roman;Times;serif"/>
          <w:i/>
          <w:sz w:val="20"/>
        </w:rPr>
        <w:t>Daniel K. Inouye</w:t>
      </w:r>
      <w:r>
        <w:rPr>
          <w:rFonts w:ascii="Times New Roman;Times;serif" w:hAnsi="Times New Roman;Times;serif"/>
          <w:sz w:val="20"/>
        </w:rPr>
        <w:t xml:space="preserve"> and (c) one less CLX+ sailing; Guam volume was 7.5 percent lower primarily due to lower general demand; and Other containers volume decreased 29.0 percent.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decreased $387.6 million during the three months ended June 30, 2023, compared with the three months ended June 30, 2022. The decrease was primarily due to lower freight rates and volume in China and a lower contribution from SSAT, partially offset by (i) lower operating costs and expenses (including fuel-related expenses) primarily related to the discontinuation of the CCX service and (ii) lower fuel costs and the timing of fuel-related surcharge collections.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$(1.4) million during the three months ended June 30, 2023, compared to a contribution of $24.7 million during the three months ended June 30, 2022. The decrease was primarily driven by lower demurrage revenue and lower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Six months ended June 30, 2023 compared with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95"/>
        <w:gridCol w:w="326"/>
        <w:gridCol w:w="211"/>
        <w:gridCol w:w="829"/>
        <w:gridCol w:w="326"/>
        <w:gridCol w:w="211"/>
        <w:gridCol w:w="829"/>
        <w:gridCol w:w="326"/>
        <w:gridCol w:w="211"/>
        <w:gridCol w:w="784"/>
        <w:gridCol w:w="266"/>
        <w:gridCol w:w="574"/>
        <w:gridCol w:w="317"/>
      </w:tblGrid>
      <w:tr>
        <w:trPr/>
        <w:tc>
          <w:tcPr>
            <w:tcW w:w="4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171825" cy="175260"/>
                      <wp:effectExtent l="0" t="0" r="0" b="0"/>
                      <wp:wrapNone/>
                      <wp:docPr id="339" name="Frame339"/>
                      <a:graphic xmlns:a="http://schemas.openxmlformats.org/drawingml/2006/main">
                        <a:graphicData uri="http://schemas.microsoft.com/office/word/2010/wordprocessingShape">
                          <wps:wsp>
                            <wps:cNvSpPr txBox="1"/>
                            <wps:spPr>
                              <a:xfrm>
                                <a:off x="0" y="0"/>
                                <a:ext cx="317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40" name="Frame3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260"/>
                      <wp:effectExtent l="0" t="0" r="0" b="0"/>
                      <wp:wrapNone/>
                      <wp:docPr id="341"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526415" cy="175260"/>
                      <wp:effectExtent l="0" t="0" r="0" b="0"/>
                      <wp:wrapNone/>
                      <wp:docPr id="342" name="Frame342"/>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26415" cy="175260"/>
                      <wp:effectExtent l="0" t="0" r="0" b="0"/>
                      <wp:wrapNone/>
                      <wp:docPr id="345" name="Frame345"/>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7840" cy="175260"/>
                      <wp:effectExtent l="0" t="0" r="0" b="0"/>
                      <wp:wrapNone/>
                      <wp:docPr id="348" name="Frame34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8910" cy="175260"/>
                      <wp:effectExtent l="0" t="0" r="0" b="0"/>
                      <wp:wrapNone/>
                      <wp:docPr id="349" name="Frame349"/>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64490" cy="175260"/>
                      <wp:effectExtent l="0" t="0" r="0" b="0"/>
                      <wp:wrapNone/>
                      <wp:docPr id="350" name="Frame350"/>
                      <a:graphic xmlns:a="http://schemas.openxmlformats.org/drawingml/2006/main">
                        <a:graphicData uri="http://schemas.microsoft.com/office/word/2010/wordprocessingShape">
                          <wps:wsp>
                            <wps:cNvSpPr txBox="1"/>
                            <wps:spPr>
                              <a:xfrm>
                                <a:off x="0" y="0"/>
                                <a:ext cx="364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1295" cy="175260"/>
                      <wp:effectExtent l="0" t="0" r="0" b="0"/>
                      <wp:wrapNone/>
                      <wp:docPr id="351" name="Frame35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6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7" w:type="dxa"/>
            <w:tcBorders/>
            <w:vAlign w:val="center"/>
          </w:tcPr>
          <w:p>
            <w:pPr>
              <w:pStyle w:val="TableContents"/>
              <w:bidi w:val="0"/>
              <w:spacing w:before="0" w:after="0"/>
              <w:ind w:left="0" w:right="0" w:hanging="0"/>
              <w:jc w:val="left"/>
              <w:rPr/>
            </w:pPr>
            <w:r>
              <w:rPr/>
              <w:t> </w:t>
            </w:r>
          </w:p>
        </w:tc>
      </w:tr>
      <w:tr>
        <w:trPr/>
        <w:tc>
          <w:tcPr>
            <w:tcW w:w="49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835"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7" w:type="dxa"/>
            <w:tcBorders/>
            <w:vAlign w:val="center"/>
          </w:tcPr>
          <w:p>
            <w:pPr>
              <w:pStyle w:val="TableContents"/>
              <w:bidi w:val="0"/>
              <w:spacing w:before="0" w:after="0"/>
              <w:ind w:left="0" w:right="0" w:hanging="0"/>
              <w:jc w:val="left"/>
              <w:rPr/>
            </w:pPr>
            <w:r>
              <w:rPr/>
              <w:t> </w:t>
            </w:r>
          </w:p>
        </w:tc>
      </w:tr>
      <w:tr>
        <w:trPr/>
        <w:tc>
          <w:tcPr>
            <w:tcW w:w="49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(825.2)</w:t>
            </w:r>
          </w:p>
        </w:tc>
        <w:tc>
          <w:tcPr>
            <w:tcW w:w="266"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266" w:type="dxa"/>
            <w:tcBorders/>
            <w:vAlign w:val="center"/>
          </w:tcPr>
          <w:p>
            <w:pPr>
              <w:pStyle w:val="TableContents"/>
              <w:bidi w:val="0"/>
              <w:spacing w:before="0" w:after="0"/>
              <w:ind w:left="0" w:right="0" w:hanging="0"/>
              <w:jc w:val="left"/>
              <w:rPr/>
            </w:pPr>
            <w:r>
              <w:rPr/>
              <w:t>​</w:t>
            </w:r>
          </w:p>
        </w:tc>
        <w:tc>
          <w:tcPr>
            <w:tcW w:w="5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(776.0)</w:t>
            </w:r>
          </w:p>
        </w:tc>
        <w:tc>
          <w:tcPr>
            <w:tcW w:w="26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9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74" w:type="dxa"/>
            <w:tcBorders/>
            <w:shd w:fill="CCEEFF" w:val="clear"/>
            <w:vAlign w:val="center"/>
          </w:tcPr>
          <w:p>
            <w:pPr>
              <w:pStyle w:val="TableContents"/>
              <w:bidi w:val="0"/>
              <w:spacing w:before="0" w:after="0"/>
              <w:ind w:left="0" w:right="0" w:hanging="0"/>
              <w:jc w:val="right"/>
              <w:rPr/>
            </w:pPr>
            <w:r>
              <w:rPr/>
              <w:t>​</w:t>
            </w:r>
          </w:p>
        </w:tc>
        <w:tc>
          <w:tcPr>
            <w:tcW w:w="317" w:type="dxa"/>
            <w:tcBorders/>
            <w:shd w:fill="CCEEFF" w:val="clear"/>
            <w:vAlign w:val="center"/>
          </w:tcPr>
          <w:p>
            <w:pPr>
              <w:pStyle w:val="TableContents"/>
              <w:bidi w:val="0"/>
              <w:spacing w:before="0" w:after="0"/>
              <w:ind w:left="0" w:right="0" w:hanging="0"/>
              <w:jc w:val="left"/>
              <w:rPr/>
            </w:pPr>
            <w:r>
              <w:rPr/>
              <w:t>​</w:t>
            </w:r>
          </w:p>
        </w:tc>
      </w:tr>
      <w:tr>
        <w:trPr/>
        <w:tc>
          <w:tcPr>
            <w:tcW w:w="4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except for automobiles)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74"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pPr>
            <w:r>
              <w:rPr/>
              <w:t>​</w:t>
            </w:r>
          </w:p>
        </w:tc>
      </w:tr>
      <w:tr>
        <w:trPr/>
        <w:tc>
          <w:tcPr>
            <w:tcW w:w="49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(3,100)</w:t>
            </w:r>
          </w:p>
        </w:tc>
        <w:tc>
          <w:tcPr>
            <w:tcW w:w="266"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automobiles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pPr>
            <w:r>
              <w:rPr/>
              <w:t>—</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(2,600)</w:t>
            </w:r>
          </w:p>
        </w:tc>
        <w:tc>
          <w:tcPr>
            <w:tcW w:w="266"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(28,500)</w:t>
            </w:r>
          </w:p>
        </w:tc>
        <w:tc>
          <w:tcPr>
            <w:tcW w:w="26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66" w:type="dxa"/>
            <w:tcBorders/>
            <w:shd w:fill="CCEEFF" w:val="clear"/>
            <w:vAlign w:val="center"/>
          </w:tcPr>
          <w:p>
            <w:pPr>
              <w:pStyle w:val="TableContents"/>
              <w:bidi w:val="0"/>
              <w:spacing w:before="0" w:after="0"/>
              <w:ind w:left="0" w:right="0" w:hanging="0"/>
              <w:jc w:val="right"/>
              <w:rPr/>
            </w:pPr>
            <w:r>
              <w:rPr/>
              <w:t>​</w:t>
            </w:r>
          </w:p>
        </w:tc>
        <w:tc>
          <w:tcPr>
            <w:tcW w:w="5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266" w:type="dxa"/>
            <w:tcBorders/>
            <w:vAlign w:val="center"/>
          </w:tcPr>
          <w:p>
            <w:pPr>
              <w:pStyle w:val="TableContents"/>
              <w:bidi w:val="0"/>
              <w:spacing w:before="0" w:after="0"/>
              <w:ind w:left="0" w:right="0" w:hanging="0"/>
              <w:jc w:val="right"/>
              <w:rPr/>
            </w:pPr>
            <w:r>
              <w:rPr/>
              <w:t>​</w:t>
            </w:r>
          </w:p>
        </w:tc>
        <w:tc>
          <w:tcPr>
            <w:tcW w:w="5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decreased $825.2 million, or 41.4 percent, during the six months ended June 30, 2023, compared with the six months ended June 30, 2022. The decrease was primarily due to lower average freight rates and volume in China.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 year-over-year FEU basis, Hawaii container volume decreased 4.1 percent primarily due to lower eastbound and retail-related volume; Alaska volume decreased 6.1 percent due to (i) lower export seafood volume from the AAX including the impact of three less sailings and (ii) lower southbound volume primarily due to lower household goods and domestic seafood volume, partially offset by higher northbound volume primarily due to an additional sailing; China volume was 29.9 percent lower primarily due to (a) CCX volume in the first half of 2022 (CCX service was discontinued in the third quarter 2022), (b) lower demand for the CLX and CLX+ services including one less CLX+ sailing and (c) lower capacity in the CLX service due to the dry-docking of </w:t>
      </w:r>
      <w:r>
        <w:rPr>
          <w:rFonts w:ascii="Times New Roman;Times;serif" w:hAnsi="Times New Roman;Times;serif"/>
          <w:i/>
          <w:sz w:val="20"/>
        </w:rPr>
        <w:t>Daniel K. Inouye</w:t>
      </w:r>
      <w:r>
        <w:rPr>
          <w:rFonts w:ascii="Times New Roman;Times;serif" w:hAnsi="Times New Roman;Times;serif"/>
          <w:sz w:val="20"/>
        </w:rPr>
        <w:t>; Guam volume was 9.3 percent lower primarily due to lower retail-related demand; and Other containers volume decreased 26.1 percent.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decreased $776.0 million during the six months ended June 30, 2023, compared with the six months ended June 30, 2022. The decrease was primarily due to lower freight rates and volume in China and a lower contribution from SSAT, partially offset by (i) lower operating costs and expenses (including fuel-related expenses) primarily related to the discontinuation of the CCX service and (ii) lower fuel costs and the timing of fuel-related surcharge collections.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$(3.2) million during the six months ended June 30, 2023, compared to a contribution of $58.7 million during the six months ended June 30, 2022. The decrease was primarily driven by lower demurrage revenue and lower lift volume.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Three months ended June 30, 2023 compared with 2022:</w:t>
      </w:r>
    </w:p>
    <w:p>
      <w:pPr>
        <w:pStyle w:val="TextBody"/>
        <w:bidi w:val="0"/>
        <w:spacing w:before="0" w:after="0"/>
        <w:ind w:left="0" w:right="0" w:hanging="0"/>
        <w:jc w:val="left"/>
        <w:rPr/>
      </w:pPr>
      <w:r>
        <w:rPr/>
        <w:t>​</w:t>
      </w:r>
    </w:p>
    <w:tbl>
      <w:tblPr>
        <w:tblW w:w="7096"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586"/>
        <w:gridCol w:w="109"/>
        <w:gridCol w:w="586"/>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591310" cy="175260"/>
                      <wp:effectExtent l="0" t="0" r="0" b="0"/>
                      <wp:wrapNone/>
                      <wp:docPr id="352" name="Frame35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3985" cy="175260"/>
                      <wp:effectExtent l="0" t="0" r="0" b="0"/>
                      <wp:wrapNone/>
                      <wp:docPr id="354"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38785" cy="175260"/>
                      <wp:effectExtent l="0" t="0" r="0" b="0"/>
                      <wp:wrapNone/>
                      <wp:docPr id="355" name="Frame3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38785" cy="175260"/>
                      <wp:effectExtent l="0" t="0" r="0" b="0"/>
                      <wp:wrapNone/>
                      <wp:docPr id="358" name="Frame3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372110" cy="175260"/>
                      <wp:effectExtent l="0" t="0" r="0" b="0"/>
                      <wp:wrapNone/>
                      <wp:docPr id="361" name="Frame36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72110" cy="175260"/>
                      <wp:effectExtent l="0" t="0" r="0" b="0"/>
                      <wp:wrapNone/>
                      <wp:docPr id="363" name="Frame36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0660" cy="175260"/>
                      <wp:effectExtent l="0" t="0" r="0" b="0"/>
                      <wp:wrapNone/>
                      <wp:docPr id="364" name="Frame36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4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49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$55.4 million, or 26.1 percent, during the three months ended June 30, 2023, compared with the three months ended June 30, 2022. The decrease was primarily due to lower revenue in transportation brokerage and supply chain management.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$8.8 million, or 38.1 percent, during the three months ended June 30, 2023, compared with the three months ended June 30, 2022. The decrease was primarily due to lower contributions from transportation brokerage and supply chain management.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Six months ended June 30, 2023 compared with 2022:</w:t>
      </w:r>
    </w:p>
    <w:p>
      <w:pPr>
        <w:pStyle w:val="TextBody"/>
        <w:bidi w:val="0"/>
        <w:spacing w:before="0" w:after="0"/>
        <w:ind w:left="0" w:right="0" w:hanging="0"/>
        <w:jc w:val="left"/>
        <w:rPr/>
      </w:pPr>
      <w:r>
        <w:rPr/>
        <w:t>​</w:t>
      </w:r>
    </w:p>
    <w:tbl>
      <w:tblPr>
        <w:tblW w:w="7358"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691"/>
        <w:gridCol w:w="266"/>
        <w:gridCol w:w="586"/>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591310" cy="175260"/>
                      <wp:effectExtent l="0" t="0" r="0" b="0"/>
                      <wp:wrapNone/>
                      <wp:docPr id="365" name="Frame36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38785" cy="175260"/>
                      <wp:effectExtent l="0" t="0" r="0" b="0"/>
                      <wp:wrapNone/>
                      <wp:docPr id="368" name="Frame3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438785" cy="175260"/>
                      <wp:effectExtent l="0" t="0" r="0" b="0"/>
                      <wp:wrapNone/>
                      <wp:docPr id="371" name="Frame37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33985" cy="175260"/>
                      <wp:effectExtent l="0" t="0" r="0" b="0"/>
                      <wp:wrapNone/>
                      <wp:docPr id="373"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38785" cy="175260"/>
                      <wp:effectExtent l="0" t="0" r="0" b="0"/>
                      <wp:wrapNone/>
                      <wp:docPr id="374" name="Frame37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8910" cy="175260"/>
                      <wp:effectExtent l="0" t="0" r="0" b="0"/>
                      <wp:wrapNone/>
                      <wp:docPr id="375" name="Frame37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72110" cy="175260"/>
                      <wp:effectExtent l="0" t="0" r="0" b="0"/>
                      <wp:wrapNone/>
                      <wp:docPr id="376" name="Frame37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0660" cy="175260"/>
                      <wp:effectExtent l="0" t="0" r="0" b="0"/>
                      <wp:wrapNone/>
                      <wp:docPr id="377" name="Frame3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7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(123.2)</w:t>
            </w:r>
          </w:p>
        </w:tc>
        <w:tc>
          <w:tcPr>
            <w:tcW w:w="26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26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26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$123.2 million, or 28.4 percent, during the six months ended June 30, 2023, compared with the six months ended June 30, 2022. The decrease was primarily due to lower revenue in transportation brokerage and supply chain management.</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$14.3 million, or 36.2 percent, during the six months ended June 30, 2023, compared with the six months ended June 30, 2022. The decrease was primarily due to lower contributions from transportation brokerage and supply chain management.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Sources of liquidity available to the Company as of June 30, 2023, compared to December 31, 2022 were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Cash, Cash Equivalents, Restricted Cash and Accounts Receivable:</w:t>
      </w:r>
      <w:r>
        <w:rPr>
          <w:rFonts w:ascii="Times New Roman;Times;serif" w:hAnsi="Times New Roman;Times;serif"/>
          <w:sz w:val="20"/>
        </w:rPr>
        <w:t xml:space="preserve"> Cash and cash equivalents, restricted cash and accounts receivable as of June 30, 2023, compared to December 31, 2022 were as follows:</w:t>
      </w:r>
    </w:p>
    <w:p>
      <w:pPr>
        <w:pStyle w:val="TextBody"/>
        <w:bidi w:val="0"/>
        <w:spacing w:before="0" w:after="0"/>
        <w:ind w:left="0" w:right="0" w:hanging="0"/>
        <w:jc w:val="left"/>
        <w:rPr/>
      </w:pPr>
      <w:r>
        <w:rPr/>
        <w:t>​</w:t>
      </w:r>
    </w:p>
    <w:tbl>
      <w:tblPr>
        <w:tblW w:w="6379" w:type="dxa"/>
        <w:jc w:val="left"/>
        <w:tblInd w:w="0" w:type="dxa"/>
        <w:tblLayout w:type="fixed"/>
        <w:tblCellMar>
          <w:top w:w="0" w:type="dxa"/>
          <w:left w:w="0" w:type="dxa"/>
          <w:bottom w:w="0" w:type="dxa"/>
          <w:right w:w="0" w:type="dxa"/>
        </w:tblCellMar>
      </w:tblPr>
      <w:tblGrid>
        <w:gridCol w:w="2386"/>
        <w:gridCol w:w="326"/>
        <w:gridCol w:w="211"/>
        <w:gridCol w:w="571"/>
        <w:gridCol w:w="326"/>
        <w:gridCol w:w="307"/>
        <w:gridCol w:w="833"/>
        <w:gridCol w:w="326"/>
        <w:gridCol w:w="211"/>
        <w:gridCol w:w="691"/>
        <w:gridCol w:w="19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515110" cy="175260"/>
                      <wp:effectExtent l="0" t="0" r="0" b="0"/>
                      <wp:wrapNone/>
                      <wp:docPr id="378" name="Frame37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9"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62585" cy="175260"/>
                      <wp:effectExtent l="0" t="0" r="0" b="0"/>
                      <wp:wrapNone/>
                      <wp:docPr id="381" name="Frame38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82" name="Frame3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94945" cy="175260"/>
                      <wp:effectExtent l="0" t="0" r="0" b="0"/>
                      <wp:wrapNone/>
                      <wp:docPr id="383" name="Frame38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528955" cy="175260"/>
                      <wp:effectExtent l="0" t="0" r="0" b="0"/>
                      <wp:wrapNone/>
                      <wp:docPr id="384" name="Frame384"/>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38785" cy="175260"/>
                      <wp:effectExtent l="0" t="0" r="0" b="0"/>
                      <wp:wrapNone/>
                      <wp:docPr id="387" name="Frame3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1285" cy="175260"/>
                      <wp:effectExtent l="0" t="0" r="0" b="0"/>
                      <wp:wrapNone/>
                      <wp:docPr id="388" name="Frame3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left"/>
              <w:rPr/>
            </w:pPr>
            <w:r>
              <w:rPr/>
              <w:t> </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7"/>
        <w:gridCol w:w="9878"/>
      </w:tblGrid>
      <w:tr>
        <w:trPr/>
        <w:tc>
          <w:tcPr>
            <w:tcW w:w="327"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of June 30, 2023 and December 31, 2022, $210.0 million and $9.9 million of eligible accounts receivable were assigned to the CCF,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Company’s cash, cash equivalents and restricted cash for the six months ended June 30, 2023, compared to the six months ended June 30, 2022 were as follows:</w:t>
      </w:r>
    </w:p>
    <w:p>
      <w:pPr>
        <w:pStyle w:val="TextBody"/>
        <w:bidi w:val="0"/>
        <w:spacing w:before="0" w:after="0"/>
        <w:ind w:left="0" w:right="0" w:hanging="0"/>
        <w:jc w:val="left"/>
        <w:rPr/>
      </w:pPr>
      <w:r>
        <w:rPr/>
        <w:t>​</w:t>
      </w:r>
    </w:p>
    <w:tbl>
      <w:tblPr>
        <w:tblW w:w="9295" w:type="dxa"/>
        <w:jc w:val="left"/>
        <w:tblInd w:w="0" w:type="dxa"/>
        <w:tblLayout w:type="fixed"/>
        <w:tblCellMar>
          <w:top w:w="0" w:type="dxa"/>
          <w:left w:w="0" w:type="dxa"/>
          <w:bottom w:w="0" w:type="dxa"/>
          <w:right w:w="0" w:type="dxa"/>
        </w:tblCellMar>
      </w:tblPr>
      <w:tblGrid>
        <w:gridCol w:w="5566"/>
        <w:gridCol w:w="326"/>
        <w:gridCol w:w="211"/>
        <w:gridCol w:w="691"/>
        <w:gridCol w:w="326"/>
        <w:gridCol w:w="211"/>
        <w:gridCol w:w="691"/>
        <w:gridCol w:w="326"/>
        <w:gridCol w:w="211"/>
        <w:gridCol w:w="736"/>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3534410" cy="175260"/>
                      <wp:effectExtent l="0" t="0" r="0" b="0"/>
                      <wp:wrapNone/>
                      <wp:docPr id="389" name="Frame389"/>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438785" cy="175260"/>
                      <wp:effectExtent l="0" t="0" r="0" b="0"/>
                      <wp:wrapNone/>
                      <wp:docPr id="392" name="Frame3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07010" cy="175260"/>
                      <wp:effectExtent l="0" t="0" r="0" b="0"/>
                      <wp:wrapNone/>
                      <wp:docPr id="393"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38785" cy="175260"/>
                      <wp:effectExtent l="0" t="0" r="0" b="0"/>
                      <wp:wrapNone/>
                      <wp:docPr id="395" name="Frame3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67360" cy="175260"/>
                      <wp:effectExtent l="0" t="0" r="0" b="0"/>
                      <wp:wrapNone/>
                      <wp:docPr id="398" name="Frame39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5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operating activities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(444.6)</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investing activities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(122.8)</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financing activities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113.0</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(decrease) 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326.6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(454.4)</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614.3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(488.4)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(1) Changes in net cash provided by operating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provided by operating activities for the six months ended June 30, 2023, compared to the six months ended June 30, 2022, were due to the following:</w:t>
      </w:r>
    </w:p>
    <w:p>
      <w:pPr>
        <w:pStyle w:val="TextBody"/>
        <w:bidi w:val="0"/>
        <w:spacing w:before="0" w:after="0"/>
        <w:ind w:left="0" w:right="0" w:hanging="0"/>
        <w:jc w:val="left"/>
        <w:rPr/>
      </w:pPr>
      <w:r>
        <w:rPr/>
        <w:t>​</w:t>
      </w:r>
    </w:p>
    <w:tbl>
      <w:tblPr>
        <w:tblW w:w="6194" w:type="dxa"/>
        <w:jc w:val="left"/>
        <w:tblInd w:w="0" w:type="dxa"/>
        <w:tblLayout w:type="fixed"/>
        <w:tblCellMar>
          <w:top w:w="0" w:type="dxa"/>
          <w:left w:w="0" w:type="dxa"/>
          <w:bottom w:w="0" w:type="dxa"/>
          <w:right w:w="0" w:type="dxa"/>
        </w:tblCellMar>
      </w:tblPr>
      <w:tblGrid>
        <w:gridCol w:w="4921"/>
        <w:gridCol w:w="326"/>
        <w:gridCol w:w="211"/>
        <w:gridCol w:w="736"/>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3124835" cy="175260"/>
                      <wp:effectExtent l="0" t="0" r="0" b="0"/>
                      <wp:wrapNone/>
                      <wp:docPr id="399" name="Frame399"/>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67360" cy="175260"/>
                      <wp:effectExtent l="0" t="0" r="0" b="0"/>
                      <wp:wrapNone/>
                      <wp:docPr id="402" name="Frame4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(605.1)</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related changes,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and distributions from SSAT,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amortization of 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deferred dry-docking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was $114.8 million for the six months ended June 30, 2023, compared to $719.9 million for the six months ended June 30, 2022. Loss from SSAT was $(3.2) million for the six months ended June 30, 2023, compared to income of $58.7 million for the six months ended June 30, 2022. The decrease in income from SSAT was due to lower operating profits generated by SSAT during the six months ended June 30, 2023 as compared to the same prior year period. There were no distributions from SSAT during the six months ended June 30, 2023, compared to $26.3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of cash distributions received from SSAT during the six months ended June 30, 2022. Cash distributions from SSAT are dependent on the level of cash available for distribution after SSAT’s operational and capital needs. Changes in accounts receivable were primarily due to lower accounts receivable outstanding as of June 30, 2023, as compared to the same prior year period, and also due to the timing of collections associated with those receivables. Changes in prepaid expenses and other assets were primarily due to a decrease in prepaid income taxes for the six months ended June 30, 2023 as compared to the same prior year period. Changes in accounts payable, accruals and other liabilities were due to the timing of payments associated with those liabilities. Changes in operating lease liabilities were primarily due to new operating lease additions and renewals, offset by operating lease payments and terminations during the six months ended June 30, 2023, compared to the same prior year period. Deferred dry-docking payments for the six months ended June 30, 2023 were $8.9 million, compared to $14.7 million for the six months ended June 30, 2022. The decrease in deferred dry-docking payments was due to less dry-dock related activity during the six months ended June 30, 2023 as compared to the same prior year period.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 Changes in net cash used in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investing activities for the six months ended June 30, 2023, compared to the six months ended June 30, 2022, were due to the following:</w:t>
      </w:r>
    </w:p>
    <w:p>
      <w:pPr>
        <w:pStyle w:val="TextBody"/>
        <w:bidi w:val="0"/>
        <w:spacing w:before="0" w:after="0"/>
        <w:ind w:left="0" w:right="0" w:hanging="0"/>
        <w:jc w:val="left"/>
        <w:rPr/>
      </w:pPr>
      <w:r>
        <w:rPr/>
        <w:t>​</w:t>
      </w:r>
    </w:p>
    <w:tbl>
      <w:tblPr>
        <w:tblW w:w="6659" w:type="dxa"/>
        <w:jc w:val="left"/>
        <w:tblInd w:w="0" w:type="dxa"/>
        <w:tblLayout w:type="fixed"/>
        <w:tblCellMar>
          <w:top w:w="0" w:type="dxa"/>
          <w:left w:w="0" w:type="dxa"/>
          <w:bottom w:w="0" w:type="dxa"/>
          <w:right w:w="0" w:type="dxa"/>
        </w:tblCellMar>
      </w:tblPr>
      <w:tblGrid>
        <w:gridCol w:w="5386"/>
        <w:gridCol w:w="326"/>
        <w:gridCol w:w="211"/>
        <w:gridCol w:w="736"/>
      </w:tblGrid>
      <w:tr>
        <w:trPr/>
        <w:tc>
          <w:tcPr>
            <w:tcW w:w="5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420110" cy="175260"/>
                      <wp:effectExtent l="0" t="0" r="0" b="0"/>
                      <wp:wrapNone/>
                      <wp:docPr id="403" name="Frame403"/>
                      <a:graphic xmlns:a="http://schemas.openxmlformats.org/drawingml/2006/main">
                        <a:graphicData uri="http://schemas.microsoft.com/office/word/2010/wordprocessingShape">
                          <wps:wsp>
                            <wps:cNvSpPr txBox="1"/>
                            <wps:spPr>
                              <a:xfrm>
                                <a:off x="0" y="0"/>
                                <a:ext cx="342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33985" cy="175260"/>
                      <wp:effectExtent l="0" t="0" r="0" b="0"/>
                      <wp:wrapNone/>
                      <wp:docPr id="405"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67360" cy="175260"/>
                      <wp:effectExtent l="0" t="0" r="0" b="0"/>
                      <wp:wrapNone/>
                      <wp:docPr id="406" name="Frame40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and interest into the CCF</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Withdrawals from CCF</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intangible asset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vessel construction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capital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5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 net,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5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56" w:name="_Hlk140611037"/>
      <w:bookmarkEnd w:id="1356"/>
      <w:r>
        <w:rPr>
          <w:rFonts w:ascii="Times New Roman;Times;serif" w:hAnsi="Times New Roman;Times;serif"/>
          <w:sz w:val="20"/>
        </w:rPr>
        <w:t xml:space="preserve">The Company deposited $100.0 million of cash and received $13.1 million of interest in the CCF, and made $49.9 million of qualifying withdrawals from the CCF during the six months ended June 30, 2023, compared to $10.7 million of cash deposited into the CCF and $10.7 million of qualifying withdrawals from the CCF during the six months ended June 30, 2022. There was no interest deposited into the CCF during the six months ended June 30, 2022. Cash and interest deposits into the CCF are intended to fund milestone payments for the construction of three new Jones Act vessels. During the six months ended June 30, 2023, the Company paid $12.4 million related to an intangible asset acquisition. There were no acquisitions during the six months ended June 30, 2022. Capitalized vessel construction expenditures (including capitalized interest) were $50.8 million for the six months ended June 30, 2023, compared to $11.4 million for the six months ended June 30, 2022. Capitalized vessel construction expenditures relate to milestone payments for the construction of three new Jones Act vessels. Other capital expenditures payments were $75.5 million for the six months ended June 30, 2023, compared to $68.4 million for the six months ended June 30, 2022. Other capital expenditures primarily relate to vessel related expenditures, the acquisition of containers, chassis and other equipment, and expenditures on other capital related projects. Vessel related expenditures includes payments for the installation of tanks, piping and cryogenic equipment on </w:t>
      </w:r>
      <w:r>
        <w:rPr>
          <w:rFonts w:ascii="Times New Roman;Times;serif" w:hAnsi="Times New Roman;Times;serif"/>
          <w:i/>
          <w:sz w:val="20"/>
        </w:rPr>
        <w:t>Daniel K. Inouye</w:t>
      </w:r>
      <w:r>
        <w:rPr>
          <w:rFonts w:ascii="Times New Roman;Times;serif" w:hAnsi="Times New Roman;Times;serif"/>
          <w:sz w:val="20"/>
        </w:rPr>
        <w:t xml:space="preserve"> during the six months ended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(3) Changes in net cash used in financing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financing activities for the six months ended June 30, 2023, compared to the six months ended June 30, 2022, were due to the following:</w:t>
      </w:r>
    </w:p>
    <w:p>
      <w:pPr>
        <w:pStyle w:val="TextBody"/>
        <w:bidi w:val="0"/>
        <w:spacing w:before="0" w:after="0"/>
        <w:ind w:left="0" w:right="0" w:hanging="0"/>
        <w:jc w:val="left"/>
        <w:rPr/>
      </w:pPr>
      <w:r>
        <w:rPr/>
        <w:t>​</w:t>
      </w:r>
    </w:p>
    <w:tbl>
      <w:tblPr>
        <w:tblW w:w="7154" w:type="dxa"/>
        <w:jc w:val="left"/>
        <w:tblInd w:w="0" w:type="dxa"/>
        <w:tblLayout w:type="fixed"/>
        <w:tblCellMar>
          <w:top w:w="0" w:type="dxa"/>
          <w:left w:w="0" w:type="dxa"/>
          <w:bottom w:w="0" w:type="dxa"/>
          <w:right w:w="0" w:type="dxa"/>
        </w:tblCellMar>
      </w:tblPr>
      <w:tblGrid>
        <w:gridCol w:w="5941"/>
        <w:gridCol w:w="326"/>
        <w:gridCol w:w="211"/>
        <w:gridCol w:w="676"/>
      </w:tblGrid>
      <w:tr>
        <w:trPr/>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772535" cy="175260"/>
                      <wp:effectExtent l="0" t="0" r="0" b="0"/>
                      <wp:wrapNone/>
                      <wp:docPr id="407" name="Frame407"/>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29260" cy="175260"/>
                      <wp:effectExtent l="0" t="0" r="0" b="0"/>
                      <wp:wrapNone/>
                      <wp:docPr id="410" name="Frame4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Matson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fixed interest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tax related to net share settlements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113.0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2023, the Company paid $82.5 million to repurchase Matson common stock, compared to $208.5 million during the six months ended June 30, 2022. During the six months ended June 30, 2023, the Company prepaid $26.4 million of Title XI debt and paid $28.7 million in scheduled fixed debt payments, compared to $32.5 million in scheduled fixed debt payments during the six months ended June 30, 2022. During the six months ended June 30, 2023, the Company paid $12.5 million in payroll taxes related to vested restricted stock units, compared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 $19.5 million for the six months ended June 30, 2022. The decrease in withholding tax was primarily due to the decrease of the Company’s stock price as of the vesting date of the restricted stock units. During the six months ended June 30, 2023, the Company paid $22.4 million in dividends, compared to $25.0 million during the six months ended June 30, 2022. The decrease in dividend payments was due to the reduction in common stock outstanding, offset by an increase in dividends declared per share of common stock by the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Capital Construction Fund: </w:t>
      </w:r>
      <w:r>
        <w:rPr>
          <w:rFonts w:ascii="Times New Roman;Times;serif" w:hAnsi="Times New Roman;Times;serif"/>
          <w:sz w:val="20"/>
        </w:rPr>
        <w:t>Cash on deposit and assigned accounts receivables in the Capital Construction Fund as of June 30, 2023 and December 31, 2022 was as follows:</w:t>
      </w:r>
    </w:p>
    <w:tbl>
      <w:tblPr>
        <w:tblW w:w="5215" w:type="dxa"/>
        <w:jc w:val="left"/>
        <w:tblInd w:w="0" w:type="dxa"/>
        <w:tblLayout w:type="fixed"/>
        <w:tblCellMar>
          <w:top w:w="0" w:type="dxa"/>
          <w:left w:w="0" w:type="dxa"/>
          <w:bottom w:w="0" w:type="dxa"/>
          <w:right w:w="0" w:type="dxa"/>
        </w:tblCellMar>
      </w:tblPr>
      <w:tblGrid>
        <w:gridCol w:w="2596"/>
        <w:gridCol w:w="326"/>
        <w:gridCol w:w="211"/>
        <w:gridCol w:w="571"/>
        <w:gridCol w:w="326"/>
        <w:gridCol w:w="301"/>
        <w:gridCol w:w="884"/>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648460" cy="175260"/>
                      <wp:effectExtent l="0" t="0" r="0" b="0"/>
                      <wp:wrapNone/>
                      <wp:docPr id="411" name="Frame41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362585" cy="175260"/>
                      <wp:effectExtent l="0" t="0" r="0" b="0"/>
                      <wp:wrapNone/>
                      <wp:docPr id="414" name="Frame41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91135" cy="175260"/>
                      <wp:effectExtent l="0" t="0" r="0" b="0"/>
                      <wp:wrapNone/>
                      <wp:docPr id="416" name="Frame416"/>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61340" cy="175260"/>
                      <wp:effectExtent l="0" t="0" r="0" b="0"/>
                      <wp:wrapNone/>
                      <wp:docPr id="417" name="Frame417"/>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Construction Fund: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center"/>
              <w:rPr/>
            </w:pPr>
            <w:r>
              <w:rPr/>
              <w:t>​</w:t>
            </w:r>
          </w:p>
        </w:tc>
        <w:tc>
          <w:tcPr>
            <w:tcW w:w="884" w:type="dxa"/>
            <w:tcBorders/>
            <w:shd w:fill="CCEEFF" w:val="clear"/>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on deposit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583.9</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Assigned accounts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2023, the Company deposited $100.0 million of cash and accumulated $15.6 million of interest into the CCF. Cash on deposit in the CCF is invested in a U.S. Treasury obligations fund with daily liquidity. At June 30, 2023, securities held within this fund had a weighted average life of 41 days. Cash on deposit in the CCF is classified as a long-term asset on the Company’s Condensed Consolidated Balance Sheets, as the Company intends to use withdrawals to fund qualified milestone progress payments for the construction of three new Jones Act vessels.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2023, the Company pledged $200.0 million of accounts receivable into the CCF. Assigned accounts receivable in the CCF are classified as part of accounts receivable on the Company’s Condensed Consolidated Balance sheets due to the nature of the assignment.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Total Debt as of June 30, 2023 and December 31, 2022 is as follows:</w:t>
      </w:r>
    </w:p>
    <w:p>
      <w:pPr>
        <w:pStyle w:val="TextBody"/>
        <w:bidi w:val="0"/>
        <w:spacing w:before="0" w:after="0"/>
        <w:ind w:left="0" w:right="0" w:hanging="0"/>
        <w:jc w:val="left"/>
        <w:rPr/>
      </w:pPr>
      <w:r>
        <w:rPr/>
        <w:t>​</w:t>
      </w:r>
    </w:p>
    <w:tbl>
      <w:tblPr>
        <w:tblW w:w="4836" w:type="dxa"/>
        <w:jc w:val="left"/>
        <w:tblInd w:w="0" w:type="dxa"/>
        <w:tblLayout w:type="fixed"/>
        <w:tblCellMar>
          <w:top w:w="0" w:type="dxa"/>
          <w:left w:w="0" w:type="dxa"/>
          <w:bottom w:w="0" w:type="dxa"/>
          <w:right w:w="0" w:type="dxa"/>
        </w:tblCellMar>
      </w:tblPr>
      <w:tblGrid>
        <w:gridCol w:w="1636"/>
        <w:gridCol w:w="109"/>
        <w:gridCol w:w="211"/>
        <w:gridCol w:w="571"/>
        <w:gridCol w:w="109"/>
        <w:gridCol w:w="307"/>
        <w:gridCol w:w="833"/>
        <w:gridCol w:w="109"/>
        <w:gridCol w:w="211"/>
        <w:gridCol w:w="586"/>
        <w:gridCol w:w="154"/>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1038860" cy="175260"/>
                      <wp:effectExtent l="0" t="0" r="0" b="0"/>
                      <wp:wrapNone/>
                      <wp:docPr id="418" name="Frame418"/>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9215" cy="175260"/>
                      <wp:effectExtent l="0" t="0" r="0" b="0"/>
                      <wp:wrapNone/>
                      <wp:docPr id="419" name="Frame4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362585" cy="175260"/>
                      <wp:effectExtent l="0" t="0" r="0" b="0"/>
                      <wp:wrapNone/>
                      <wp:docPr id="421" name="Frame4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9215" cy="175260"/>
                      <wp:effectExtent l="0" t="0" r="0" b="0"/>
                      <wp:wrapNone/>
                      <wp:docPr id="422" name="Frame4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94945" cy="175260"/>
                      <wp:effectExtent l="0" t="0" r="0" b="0"/>
                      <wp:wrapNone/>
                      <wp:docPr id="423" name="Frame42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528955" cy="175260"/>
                      <wp:effectExtent l="0" t="0" r="0" b="0"/>
                      <wp:wrapNone/>
                      <wp:docPr id="424" name="Frame424"/>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425" name="Frame4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33985" cy="175260"/>
                      <wp:effectExtent l="0" t="0" r="0" b="0"/>
                      <wp:wrapNone/>
                      <wp:docPr id="426" name="Frame4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72110" cy="175260"/>
                      <wp:effectExtent l="0" t="0" r="0" b="0"/>
                      <wp:wrapNone/>
                      <wp:docPr id="427" name="Frame42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97790" cy="175260"/>
                      <wp:effectExtent l="0" t="0" r="0" b="0"/>
                      <wp:wrapNone/>
                      <wp:docPr id="428" name="Frame4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462.4</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Debt decreased by $55.1 million during the six months ended June 30, 2023. The decrease in fixed interest debt was due to prepayments of $26.4 million of outstanding principal of Title XI debt, and scheduled repayments of private placement term loans and Title XI debt during the six months ended June 30,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June 30, 2023, the Company had $642.5 million of remaining borrowing availability under the revolving credit facility, with a maturity date of March 31, 2026. The Company’s debt is described in Note 6 of Part I, Item 1 above.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1357" w:name="_ebd7e7c6_8c50_455f_b2af_63336834b626"/>
      <w:bookmarkEnd w:id="1357"/>
      <w:r>
        <w:rPr>
          <w:rFonts w:ascii="Times New Roman;Times;serif" w:hAnsi="Times New Roman;Times;serif"/>
          <w:b/>
          <w:i/>
          <w:sz w:val="20"/>
        </w:rPr>
        <w:t>Working Capital:</w:t>
      </w:r>
      <w:r>
        <w:rPr>
          <w:rFonts w:ascii="Times New Roman;Times;serif" w:hAnsi="Times New Roman;Times;serif"/>
          <w:sz w:val="20"/>
        </w:rPr>
        <w:t xml:space="preserve"> The Company had a working capital surplus of $28.8 million and $178.0 million at June 30, 2023 and December 31, 2022, respectively.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working capital surplus at June 30, 2023 compared to December 31, 2022 is primarily due to the decrease in cash generated from operating activities, and cash deposited into the CCF during the six months ended June 30,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b/>
          <w:i/>
          <w:sz w:val="20"/>
        </w:rPr>
        <w:t>Capital Expenditures:</w:t>
      </w:r>
      <w:r>
        <w:rPr>
          <w:rFonts w:ascii="Times New Roman;Times;serif" w:hAnsi="Times New Roman;Times;serif"/>
          <w:sz w:val="20"/>
        </w:rPr>
        <w:t xml:space="preserve"> There were no material changes during the quarter ended June 30, 2023 to the Company’s expected capital expenditures for the years ending December 31, 2023 and 2024 that are described in Part II, Item 7 of the Company’s </w:t>
      </w:r>
      <w:hyperlink r:id="rId3">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 following represents the estimated timing of future milestone payments under the vessel construction agreements as of June 30, 2023, as described in Part II, Item 7 of the Company’s </w:t>
      </w:r>
      <w:hyperlink r:id="rId4">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6"/>
        <w:gridCol w:w="326"/>
        <w:gridCol w:w="350"/>
        <w:gridCol w:w="776"/>
        <w:gridCol w:w="326"/>
        <w:gridCol w:w="490"/>
        <w:gridCol w:w="804"/>
        <w:gridCol w:w="326"/>
        <w:gridCol w:w="229"/>
        <w:gridCol w:w="620"/>
        <w:gridCol w:w="326"/>
        <w:gridCol w:w="229"/>
        <w:gridCol w:w="620"/>
        <w:gridCol w:w="326"/>
        <w:gridCol w:w="276"/>
        <w:gridCol w:w="610"/>
        <w:gridCol w:w="326"/>
        <w:gridCol w:w="211"/>
        <w:gridCol w:w="678"/>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496060" cy="175260"/>
                      <wp:effectExtent l="0" t="0" r="0" b="0"/>
                      <wp:wrapNone/>
                      <wp:docPr id="429" name="Frame429"/>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22250" cy="175260"/>
                      <wp:effectExtent l="0" t="0" r="0" b="0"/>
                      <wp:wrapNone/>
                      <wp:docPr id="431" name="Frame43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492760" cy="175260"/>
                      <wp:effectExtent l="0" t="0" r="0" b="0"/>
                      <wp:wrapNone/>
                      <wp:docPr id="432" name="Frame432"/>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11150" cy="175260"/>
                      <wp:effectExtent l="0" t="0" r="0" b="0"/>
                      <wp:wrapNone/>
                      <wp:docPr id="434" name="Frame434"/>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510540" cy="175260"/>
                      <wp:effectExtent l="0" t="0" r="0" b="0"/>
                      <wp:wrapNone/>
                      <wp:docPr id="435" name="Frame435"/>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45415" cy="175260"/>
                      <wp:effectExtent l="0" t="0" r="0" b="0"/>
                      <wp:wrapNone/>
                      <wp:docPr id="437" name="Frame43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393700" cy="175260"/>
                      <wp:effectExtent l="0" t="0" r="0" b="0"/>
                      <wp:wrapNone/>
                      <wp:docPr id="438" name="Frame43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45415" cy="175260"/>
                      <wp:effectExtent l="0" t="0" r="0" b="0"/>
                      <wp:wrapNone/>
                      <wp:docPr id="440" name="Frame44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393700" cy="175260"/>
                      <wp:effectExtent l="0" t="0" r="0" b="0"/>
                      <wp:wrapNone/>
                      <wp:docPr id="441" name="Frame441"/>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75260" cy="175260"/>
                      <wp:effectExtent l="0" t="0" r="0" b="0"/>
                      <wp:wrapNone/>
                      <wp:docPr id="443" name="Frame443"/>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87350" cy="175260"/>
                      <wp:effectExtent l="0" t="0" r="0" b="0"/>
                      <wp:wrapNone/>
                      <wp:docPr id="444" name="Frame444"/>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430530" cy="175260"/>
                      <wp:effectExtent l="0" t="0" r="0" b="0"/>
                      <wp:wrapNone/>
                      <wp:docPr id="447" name="Frame447"/>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as of</w:t>
            </w:r>
          </w:p>
        </w:tc>
        <w:tc>
          <w:tcPr>
            <w:tcW w:w="326" w:type="dxa"/>
            <w:tcBorders/>
            <w:vAlign w:val="center"/>
          </w:tcPr>
          <w:p>
            <w:pPr>
              <w:pStyle w:val="TableContents"/>
              <w:bidi w:val="0"/>
              <w:spacing w:before="0" w:after="0"/>
              <w:ind w:left="0" w:right="0" w:hanging="0"/>
              <w:jc w:val="left"/>
              <w:rPr/>
            </w:pPr>
            <w:r>
              <w:rPr/>
              <w:t>​</w:t>
            </w:r>
          </w:p>
        </w:tc>
        <w:tc>
          <w:tcPr>
            <w:tcW w:w="485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Milestone Payments By Period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8" w:type="dxa"/>
            <w:tcBorders/>
            <w:vAlign w:val="center"/>
          </w:tcPr>
          <w:p>
            <w:pPr>
              <w:pStyle w:val="TableContents"/>
              <w:bidi w:val="0"/>
              <w:spacing w:before="0" w:after="0"/>
              <w:ind w:left="0" w:right="0" w:hanging="0"/>
              <w:jc w:val="center"/>
              <w:rPr/>
            </w:pPr>
            <w:r>
              <w:rPr/>
              <w:t>​</w:t>
            </w:r>
          </w:p>
        </w:tc>
      </w:tr>
      <w:tr>
        <w:trPr/>
        <w:tc>
          <w:tcPr>
            <w:tcW w:w="23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Remainder of 2023</w:t>
            </w:r>
          </w:p>
        </w:tc>
        <w:tc>
          <w:tcPr>
            <w:tcW w:w="326" w:type="dxa"/>
            <w:tcBorders/>
            <w:vAlign w:val="center"/>
          </w:tcPr>
          <w:p>
            <w:pPr>
              <w:pStyle w:val="TableContents"/>
              <w:bidi w:val="0"/>
              <w:spacing w:before="0" w:after="0"/>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2024-2025</w:t>
            </w:r>
          </w:p>
        </w:tc>
        <w:tc>
          <w:tcPr>
            <w:tcW w:w="326" w:type="dxa"/>
            <w:tcBorders/>
            <w:vAlign w:val="center"/>
          </w:tcPr>
          <w:p>
            <w:pPr>
              <w:pStyle w:val="TableContents"/>
              <w:bidi w:val="0"/>
              <w:spacing w:before="0" w:after="0"/>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2026-2027</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Aloha Class Containerships</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w:t>
            </w:r>
          </w:p>
        </w:tc>
        <w:tc>
          <w:tcPr>
            <w:tcW w:w="326" w:type="dxa"/>
            <w:tcBorders/>
            <w:shd w:fill="CCEEFF" w:val="clear"/>
            <w:vAlign w:val="center"/>
          </w:tcPr>
          <w:p>
            <w:pPr>
              <w:pStyle w:val="TableContents"/>
              <w:bidi w:val="0"/>
              <w:spacing w:before="0" w:after="0"/>
              <w:ind w:left="0" w:right="0" w:hanging="0"/>
              <w:jc w:val="left"/>
              <w:rPr/>
            </w:pPr>
            <w:r>
              <w:rPr/>
              <w:t>​</w:t>
            </w:r>
          </w:p>
        </w:tc>
        <w:tc>
          <w:tcPr>
            <w:tcW w:w="4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464.0</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999.0</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months ended June 30, 2023, the Company repurchased approximately 0.6 million shares for a total cost of $42.4 million. The maximum number of remaining shares that may be purchased under the Company’s share repurchase program was approximately 3.3 million shares at June 30, 2023.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rFonts w:ascii="Times New Roman;Times;serif" w:hAnsi="Times New Roman;Times;serif"/>
          <w:b/>
          <w:i/>
          <w:sz w:val="20"/>
        </w:rPr>
        <w:t>Other Material Cash Requirements:</w:t>
      </w:r>
      <w:r>
        <w:rPr>
          <w:rFonts w:ascii="Times New Roman;Times;serif" w:hAnsi="Times New Roman;Times;serif"/>
          <w:sz w:val="20"/>
        </w:rPr>
        <w:t xml:space="preserve"> There were no other material changes during the quarter ended June 30, 2023 to the Company’s other cash requirements that are described in Part II, Item 7 of the Company’s </w:t>
      </w:r>
      <w:hyperlink r:id="rId5">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changes during this quarter to the Company’s critical accounting policies and estimates as discussed in Part II, Item 7 of the Company’s </w:t>
      </w:r>
      <w:hyperlink r:id="rId6">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second quarter 2023 cash dividend of $0.31 per share was paid on June 1, 2023. On June 22, 2023, the Company’s Board of Directors declared a cash dividend of $0.32 per share payable on September 7, 2023 to shareholders of record on August 3,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58" w:name="ITEM3QUANTITATIVEANDQUALITATIVEDISCLOSUR"/>
      <w:bookmarkStart w:id="1359" w:name="_1939bc94_f877_4b33_87b2_f85d6fa704af"/>
      <w:bookmarkEnd w:id="1358"/>
      <w:bookmarkEnd w:id="1359"/>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material changes to the Company’s market risk position from the information provided under Part II, Item 7A, “Quantitative and Qualitative Disclosures About Market Risk,” of its </w:t>
      </w:r>
      <w:hyperlink r:id="rId7">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60" w:name="ITEM4CONTROLSANDPROCEDURES_278454"/>
      <w:bookmarkStart w:id="1361" w:name="_701bf92b_bbb7_44a2_9797_63b58c9c4ab2"/>
      <w:bookmarkEnd w:id="1360"/>
      <w:bookmarkEnd w:id="1361"/>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pBdr/>
        <w:bidi w:val="0"/>
        <w:spacing w:before="0" w:after="0"/>
        <w:ind w:left="0" w:right="0" w:hanging="54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2023, the Company’s disclosure controls and procedures are effective.</w:t>
      </w:r>
    </w:p>
    <w:p>
      <w:pPr>
        <w:pStyle w:val="TextBody"/>
        <w:bidi w:val="0"/>
        <w:spacing w:before="0" w:after="0"/>
        <w:ind w:left="0" w:right="0" w:hanging="0"/>
        <w:jc w:val="left"/>
        <w:rPr/>
      </w:pPr>
      <w:r>
        <w:rPr/>
        <w:t>​</w:t>
      </w:r>
    </w:p>
    <w:p>
      <w:pPr>
        <w:pStyle w:val="TextBody"/>
        <w:pBdr/>
        <w:bidi w:val="0"/>
        <w:spacing w:before="0" w:after="0"/>
        <w:ind w:left="0" w:right="0" w:hanging="54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and 15d-15(f) under the Exchange Act) that occurred during the three months ended June 30, 2023,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362" w:name="PARTIIOTHERINFORMATION_744928"/>
      <w:bookmarkStart w:id="1363" w:name="_5babe7ef_507b_49a8_89f3_0f0644ac5a4b"/>
      <w:bookmarkEnd w:id="1362"/>
      <w:bookmarkEnd w:id="1363"/>
      <w:r>
        <w:rPr>
          <w:rFonts w:ascii="Times New Roman;Times;serif" w:hAnsi="Times New Roman;Times;serif"/>
          <w:b/>
          <w:sz w:val="20"/>
        </w:rPr>
        <w:t>PART II. OTHER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1364" w:name="ITEM1LEGALPROCEEDINGS_436162"/>
      <w:bookmarkEnd w:id="1364"/>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threshold is reasonably designed to result in disclosure of environmental proceedings that are material to its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65" w:name="ITEM1ARISKFACTORS_897747"/>
      <w:bookmarkStart w:id="1366" w:name="_3dce50ee_9181_4bf2_afa0_fd6b82806662"/>
      <w:bookmarkEnd w:id="1365"/>
      <w:bookmarkEnd w:id="1366"/>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367" w:name="_Hlk117024577"/>
      <w:bookmarkEnd w:id="1367"/>
      <w:r>
        <w:rPr>
          <w:rFonts w:ascii="Times New Roman;Times;serif" w:hAnsi="Times New Roman;Times;serif"/>
          <w:sz w:val="20"/>
        </w:rPr>
        <w:t xml:space="preserve">There were no material changes to the Company’s risk factors previously described in Part I, Item 1A, “Risk Factors” of the Company’s </w:t>
      </w:r>
      <w:hyperlink r:id="rId8">
        <w:r>
          <w:rPr>
            <w:rStyle w:val="InternetLink"/>
            <w:rFonts w:ascii="Times New Roman;Times;serif" w:hAnsi="Times New Roman;Times;serif"/>
            <w:b w:val="false"/>
            <w:i w:val="false"/>
            <w:caps w:val="false"/>
            <w:smallCaps w:val="false"/>
            <w:sz w:val="20"/>
          </w:rPr>
          <w:t>Annual Report on Form 10-K for the year ended December 31, 2022</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68" w:name="ITEM2UNREGISTEREDSALESOFEQUITYSECURITIES"/>
      <w:bookmarkStart w:id="1369" w:name="_b50476d8_0dd3_4300_92e2_e4d35555b4d5"/>
      <w:bookmarkEnd w:id="1368"/>
      <w:bookmarkEnd w:id="1369"/>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Purchases of Equity Securities by the Issuer and Affiliated Purchases.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the summary of Matson shares that were repurchased under the Company’s share repurchase program during the three months ended June 30, 2023:</w:t>
      </w:r>
    </w:p>
    <w:tbl>
      <w:tblPr>
        <w:tblW w:w="8357" w:type="dxa"/>
        <w:jc w:val="left"/>
        <w:tblInd w:w="0" w:type="dxa"/>
        <w:tblLayout w:type="fixed"/>
        <w:tblCellMar>
          <w:top w:w="0" w:type="dxa"/>
          <w:left w:w="0" w:type="dxa"/>
          <w:bottom w:w="0" w:type="dxa"/>
          <w:right w:w="0" w:type="dxa"/>
        </w:tblCellMar>
      </w:tblPr>
      <w:tblGrid>
        <w:gridCol w:w="1041"/>
        <w:gridCol w:w="564"/>
        <w:gridCol w:w="1321"/>
        <w:gridCol w:w="326"/>
        <w:gridCol w:w="323"/>
        <w:gridCol w:w="877"/>
        <w:gridCol w:w="326"/>
        <w:gridCol w:w="1561"/>
        <w:gridCol w:w="326"/>
        <w:gridCol w:w="1501"/>
        <w:gridCol w:w="191"/>
      </w:tblGrid>
      <w:tr>
        <w:trPr/>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61035" cy="175260"/>
                      <wp:effectExtent l="0" t="0" r="0" b="0"/>
                      <wp:wrapNone/>
                      <wp:docPr id="448" name="Frame448"/>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58140" cy="175260"/>
                      <wp:effectExtent l="0" t="0" r="0" b="0"/>
                      <wp:wrapNone/>
                      <wp:docPr id="449" name="Frame449"/>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838835" cy="175260"/>
                      <wp:effectExtent l="0" t="0" r="0" b="0"/>
                      <wp:wrapNone/>
                      <wp:docPr id="450" name="Frame450"/>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5105" cy="175260"/>
                      <wp:effectExtent l="0" t="0" r="0" b="0"/>
                      <wp:wrapNone/>
                      <wp:docPr id="452" name="Frame45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556895" cy="175260"/>
                      <wp:effectExtent l="0" t="0" r="0" b="0"/>
                      <wp:wrapNone/>
                      <wp:docPr id="453" name="Frame453"/>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991235" cy="175260"/>
                      <wp:effectExtent l="0" t="0" r="0" b="0"/>
                      <wp:wrapNone/>
                      <wp:docPr id="455" name="Frame45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953135" cy="175260"/>
                      <wp:effectExtent l="0" t="0" r="0" b="0"/>
                      <wp:wrapNone/>
                      <wp:docPr id="457" name="Frame45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21285" cy="175260"/>
                      <wp:effectExtent l="0" t="0" r="0" b="0"/>
                      <wp:wrapNone/>
                      <wp:docPr id="458" name="Frame45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4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c>
          <w:tcPr>
            <w:tcW w:w="191" w:type="dxa"/>
            <w:tcBorders/>
            <w:vAlign w:val="center"/>
          </w:tcPr>
          <w:p>
            <w:pPr>
              <w:pStyle w:val="TableContents"/>
              <w:bidi w:val="0"/>
              <w:spacing w:before="0" w:after="0"/>
              <w:ind w:left="0" w:right="0" w:hanging="0"/>
              <w:jc w:val="left"/>
              <w:rPr/>
            </w:pPr>
            <w:r>
              <w:rPr/>
              <w:t> </w:t>
            </w:r>
          </w:p>
        </w:tc>
      </w:tr>
      <w:tr>
        <w:trPr/>
        <w:tc>
          <w:tcPr>
            <w:tcW w:w="104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c>
          <w:tcPr>
            <w:tcW w:w="191" w:type="dxa"/>
            <w:tcBorders/>
            <w:vAlign w:val="center"/>
          </w:tcPr>
          <w:p>
            <w:pPr>
              <w:pStyle w:val="TableContents"/>
              <w:bidi w:val="0"/>
              <w:spacing w:before="0" w:after="0"/>
              <w:ind w:left="0" w:right="0" w:hanging="0"/>
              <w:jc w:val="left"/>
              <w:rPr/>
            </w:pPr>
            <w:r>
              <w:rPr/>
              <w:t> </w:t>
            </w:r>
          </w:p>
        </w:tc>
      </w:tr>
      <w:tr>
        <w:trPr/>
        <w:tc>
          <w:tcPr>
            <w:tcW w:w="104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 Purchased</w:t>
            </w:r>
          </w:p>
        </w:tc>
        <w:tc>
          <w:tcPr>
            <w:tcW w:w="191" w:type="dxa"/>
            <w:tcBorders/>
            <w:vAlign w:val="center"/>
          </w:tcPr>
          <w:p>
            <w:pPr>
              <w:pStyle w:val="TableContents"/>
              <w:bidi w:val="0"/>
              <w:spacing w:before="0" w:after="0"/>
              <w:ind w:left="0" w:right="0" w:hanging="0"/>
              <w:jc w:val="left"/>
              <w:rPr/>
            </w:pPr>
            <w:r>
              <w:rPr/>
              <w:t> </w:t>
            </w:r>
          </w:p>
        </w:tc>
      </w:tr>
      <w:tr>
        <w:trPr/>
        <w:tc>
          <w:tcPr>
            <w:tcW w:w="104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c>
          <w:tcPr>
            <w:tcW w:w="191" w:type="dxa"/>
            <w:tcBorders/>
            <w:vAlign w:val="center"/>
          </w:tcPr>
          <w:p>
            <w:pPr>
              <w:pStyle w:val="TableContents"/>
              <w:bidi w:val="0"/>
              <w:spacing w:before="0" w:after="0"/>
              <w:ind w:left="0" w:right="0" w:hanging="0"/>
              <w:jc w:val="left"/>
              <w:rPr/>
            </w:pPr>
            <w:r>
              <w:rPr/>
              <w:t> </w:t>
            </w:r>
          </w:p>
        </w:tc>
      </w:tr>
      <w:tr>
        <w:trPr/>
        <w:tc>
          <w:tcPr>
            <w:tcW w:w="1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564"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2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w:t>
            </w:r>
          </w:p>
        </w:tc>
        <w:tc>
          <w:tcPr>
            <w:tcW w:w="32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91" w:type="dxa"/>
            <w:tcBorders/>
            <w:vAlign w:val="center"/>
          </w:tcPr>
          <w:p>
            <w:pPr>
              <w:pStyle w:val="TableContents"/>
              <w:bidi w:val="0"/>
              <w:spacing w:before="0" w:after="0"/>
              <w:ind w:left="0" w:right="0" w:hanging="0"/>
              <w:jc w:val="left"/>
              <w:rPr/>
            </w:pPr>
            <w:r>
              <w:rPr/>
              <w:t> </w:t>
            </w:r>
          </w:p>
        </w:tc>
      </w:tr>
      <w:tr>
        <w:trPr/>
        <w:tc>
          <w:tcPr>
            <w:tcW w:w="16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30, 2023</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187,013</w:t>
            </w:r>
          </w:p>
        </w:tc>
        <w:tc>
          <w:tcPr>
            <w:tcW w:w="326" w:type="dxa"/>
            <w:tcBorders/>
            <w:shd w:fill="CCEEFF" w:val="clear"/>
            <w:vAlign w:val="center"/>
          </w:tcPr>
          <w:p>
            <w:pPr>
              <w:pStyle w:val="TableContents"/>
              <w:bidi w:val="0"/>
              <w:spacing w:before="0" w:after="0"/>
              <w:ind w:left="0" w:right="0" w:hanging="0"/>
              <w:jc w:val="left"/>
              <w:rPr/>
            </w:pPr>
            <w:r>
              <w:rPr/>
              <w:t> </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61.73</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187,013</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3,693,358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6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31, 2023</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235,509</w:t>
            </w:r>
          </w:p>
        </w:tc>
        <w:tc>
          <w:tcPr>
            <w:tcW w:w="326"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67.87</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235,509</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3,457,849</w:t>
            </w:r>
          </w:p>
        </w:tc>
        <w:tc>
          <w:tcPr>
            <w:tcW w:w="191" w:type="dxa"/>
            <w:tcBorders/>
            <w:vAlign w:val="center"/>
          </w:tcPr>
          <w:p>
            <w:pPr>
              <w:pStyle w:val="TableContents"/>
              <w:bidi w:val="0"/>
              <w:spacing w:before="0" w:after="0"/>
              <w:ind w:left="0" w:right="0" w:hanging="0"/>
              <w:jc w:val="left"/>
              <w:rPr/>
            </w:pPr>
            <w:r>
              <w:rPr/>
              <w:t>​</w:t>
            </w:r>
          </w:p>
        </w:tc>
      </w:tr>
      <w:tr>
        <w:trPr/>
        <w:tc>
          <w:tcPr>
            <w:tcW w:w="16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30, 2023</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195,138</w:t>
            </w:r>
          </w:p>
        </w:tc>
        <w:tc>
          <w:tcPr>
            <w:tcW w:w="326" w:type="dxa"/>
            <w:tcBorders/>
            <w:shd w:fill="CCEE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74.10</w:t>
            </w:r>
          </w:p>
        </w:tc>
        <w:tc>
          <w:tcPr>
            <w:tcW w:w="326" w:type="dxa"/>
            <w:tcBorders/>
            <w:shd w:fill="CCEEFF" w:val="cle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195,138</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3,262,711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564"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617,660</w:t>
            </w:r>
          </w:p>
        </w:tc>
        <w:tc>
          <w:tcPr>
            <w:tcW w:w="326" w:type="dxa"/>
            <w:tcBorders/>
            <w:vAlign w:val="center"/>
          </w:tcPr>
          <w:p>
            <w:pPr>
              <w:pStyle w:val="TableContents"/>
              <w:bidi w:val="0"/>
              <w:spacing w:before="0" w:after="0"/>
              <w:ind w:left="0" w:right="0" w:hanging="0"/>
              <w:jc w:val="left"/>
              <w:rPr/>
            </w:pPr>
            <w:r>
              <w:rPr/>
              <w:t>​</w:t>
            </w:r>
          </w:p>
        </w:tc>
        <w:tc>
          <w:tcPr>
            <w:tcW w:w="3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67.98</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617,660</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June 24, 2021, the Company announced that Matson’s Board of Directors had approved a share repurchase program of up to 3.0 million shares of common stock from August 3, 2021 through August 2, 2024. On January 27, 2022, the Company’s Board of Directors approved an addition of 3.0 million shares to the Company’s existing share repurchase program. On August 23, 2022, the Company’s Board of Directors approved an addition of 3.0 million shares to the Company’s existing share repurchase program. On April 27, 2023, the Company’s Board of Directors approved an addition of 3.0 million shares to the Company’s existing share repurchase program, for a total of 12.0 million shares of common stock in the program since it was established, and extended the program to December 31, 2025. Shares will be repurchased in the open market from time to time, and may be made pursuant to a trading plan in accordance with Rule 10b5-1 of the Security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70" w:name="ITEM3DEFAULTSUPONSENIORSECURITIES_766025"/>
      <w:bookmarkStart w:id="1371" w:name="_aab06d6c_9e15_43fe_9e67_893803b33836"/>
      <w:bookmarkEnd w:id="1370"/>
      <w:bookmarkEnd w:id="1371"/>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72" w:name="ITEM4MINESAFETYDISCLOSURES_922547"/>
      <w:bookmarkStart w:id="1373" w:name="_ccc6384c_f967_47e5_b055_c3e05fe5c173"/>
      <w:bookmarkEnd w:id="1372"/>
      <w:bookmarkEnd w:id="1373"/>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74" w:name="ITEM5OTHERINFORMATION_110834"/>
      <w:bookmarkStart w:id="1375" w:name="_111d7ff5_b57d_4efc_9015_567f5c09fff6"/>
      <w:bookmarkEnd w:id="1374"/>
      <w:bookmarkEnd w:id="1375"/>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Trading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quarter ended June 30, 2023, no director or Section 16 officer adopted or terminated any Rule 10b5-1 trading arrangements or non-Rule 10b5-1 trading arrangements.</w:t>
      </w:r>
    </w:p>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76" w:name="ITEM6EXHIBITS_599668"/>
      <w:bookmarkStart w:id="1377" w:name="_19a44872_6750_4060_99fc_f39b1fd3981a"/>
      <w:bookmarkEnd w:id="1376"/>
      <w:bookmarkEnd w:id="1377"/>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65"/>
        <w:gridCol w:w="9340"/>
      </w:tblGrid>
      <w:tr>
        <w:trPr/>
        <w:tc>
          <w:tcPr>
            <w:tcW w:w="865" w:type="dxa"/>
            <w:tcBorders/>
            <w:vAlign w:val="center"/>
          </w:tcPr>
          <w:p>
            <w:pPr>
              <w:pStyle w:val="TableContents"/>
              <w:pBdr/>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340" w:type="dxa"/>
            <w:tcBorders/>
            <w:vAlign w:val="center"/>
          </w:tcPr>
          <w:p>
            <w:pPr>
              <w:pStyle w:val="TableContents"/>
              <w:bidi w:val="0"/>
              <w:spacing w:lineRule="auto" w:line="328" w:before="0" w:after="0"/>
              <w:ind w:left="0" w:right="0" w:hanging="0"/>
              <w:jc w:val="left"/>
              <w:rPr/>
            </w:pPr>
            <w:hyperlink w:anchor="matx-2023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340" w:type="dxa"/>
            <w:tcBorders/>
            <w:vAlign w:val="center"/>
          </w:tcPr>
          <w:p>
            <w:pPr>
              <w:pStyle w:val="TableContents"/>
              <w:bidi w:val="0"/>
              <w:spacing w:lineRule="auto" w:line="328" w:before="0" w:after="0"/>
              <w:ind w:left="0" w:right="0" w:hanging="0"/>
              <w:jc w:val="left"/>
              <w:rPr/>
            </w:pPr>
            <w:hyperlink w:anchor="matx-20230630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1934.</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340" w:type="dxa"/>
            <w:tcBorders/>
            <w:vAlign w:val="center"/>
          </w:tcPr>
          <w:p>
            <w:pPr>
              <w:pStyle w:val="TableContents"/>
              <w:bidi w:val="0"/>
              <w:spacing w:lineRule="auto" w:line="328" w:before="0" w:after="0"/>
              <w:ind w:left="0" w:right="0" w:hanging="0"/>
              <w:jc w:val="left"/>
              <w:rPr/>
            </w:pPr>
            <w:hyperlink w:anchor="matx-20230630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5" w:type="dxa"/>
            <w:tcBorders/>
            <w:vAlign w:val="center"/>
          </w:tcPr>
          <w:p>
            <w:pPr>
              <w:pStyle w:val="TableContents"/>
              <w:pBdr/>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78" w:name="SIGNATURES_841218"/>
      <w:bookmarkStart w:id="1379" w:name="_d41679ac_64aa_4c4c_88ca_32979c25750c"/>
      <w:bookmarkEnd w:id="1378"/>
      <w:bookmarkEnd w:id="1379"/>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397" w:type="dxa"/>
        <w:jc w:val="left"/>
        <w:tblInd w:w="0" w:type="dxa"/>
        <w:tblLayout w:type="fixed"/>
        <w:tblCellMar>
          <w:top w:w="0" w:type="dxa"/>
          <w:left w:w="0" w:type="dxa"/>
          <w:bottom w:w="0" w:type="dxa"/>
          <w:right w:w="0" w:type="dxa"/>
        </w:tblCellMar>
      </w:tblPr>
      <w:tblGrid>
        <w:gridCol w:w="1846"/>
        <w:gridCol w:w="2551"/>
      </w:tblGrid>
      <w:tr>
        <w:trPr/>
        <w:tc>
          <w:tcPr>
            <w:tcW w:w="18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MATSON, INC.</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Joel M. Wine</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Joel M. Wine</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Kevin L. Stuck</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Kevin L. Stuck</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Vice President and Controller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0"/>
        <w:ind w:left="0" w:right="0" w:hanging="0"/>
        <w:jc w:val="right"/>
        <w:rPr>
          <w:rFonts w:ascii="Times New Roman;Times;serif" w:hAnsi="Times New Roman;Times;serif"/>
          <w:b/>
          <w:sz w:val="20"/>
        </w:rPr>
      </w:pPr>
      <w:bookmarkStart w:id="1380" w:name="matx-20230630xex31d1.htm"/>
      <w:bookmarkStart w:id="1381" w:name="ksmatx20230630xex31d1"/>
      <w:bookmarkEnd w:id="1380"/>
      <w:bookmarkEnd w:id="1381"/>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Matthew J. Cox,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4957" w:type="dxa"/>
        <w:jc w:val="left"/>
        <w:tblInd w:w="0" w:type="dxa"/>
        <w:tblLayout w:type="fixed"/>
        <w:tblCellMar>
          <w:top w:w="0" w:type="dxa"/>
          <w:left w:w="0" w:type="dxa"/>
          <w:bottom w:w="0" w:type="dxa"/>
          <w:right w:w="0" w:type="dxa"/>
        </w:tblCellMar>
      </w:tblPr>
      <w:tblGrid>
        <w:gridCol w:w="1846"/>
        <w:gridCol w:w="109"/>
        <w:gridCol w:w="346"/>
        <w:gridCol w:w="2656"/>
      </w:tblGrid>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 Chairman 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382" w:name="matx-20230630xex31d2.htm"/>
      <w:bookmarkStart w:id="1383" w:name="ksmatx20230630xex31d2"/>
      <w:bookmarkEnd w:id="1382"/>
      <w:bookmarkEnd w:id="1383"/>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Joel M. Wine,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6007" w:type="dxa"/>
        <w:jc w:val="left"/>
        <w:tblInd w:w="0" w:type="dxa"/>
        <w:tblLayout w:type="fixed"/>
        <w:tblCellMar>
          <w:top w:w="0" w:type="dxa"/>
          <w:left w:w="0" w:type="dxa"/>
          <w:bottom w:w="0" w:type="dxa"/>
          <w:right w:w="0" w:type="dxa"/>
        </w:tblCellMar>
      </w:tblPr>
      <w:tblGrid>
        <w:gridCol w:w="1846"/>
        <w:gridCol w:w="109"/>
        <w:gridCol w:w="346"/>
        <w:gridCol w:w="3706"/>
      </w:tblGrid>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 Executive Vice President 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 2023</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384" w:name="matx-20230630xex32.htm"/>
      <w:bookmarkStart w:id="1385" w:name="ksmatx20230630xex32"/>
      <w:bookmarkEnd w:id="1384"/>
      <w:bookmarkEnd w:id="1385"/>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Section 1350</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Matson, Inc. (the “Company”) for the quarterly period ended June 30, 2023,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646"/>
        <w:gridCol w:w="4396"/>
        <w:gridCol w:w="109"/>
        <w:gridCol w:w="154"/>
      </w:tblGrid>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 2023</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 2023</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3453/000155837023001961/matx-20221231x10k.htm" TargetMode="External"/><Relationship Id="rId3" Type="http://schemas.openxmlformats.org/officeDocument/2006/relationships/hyperlink" Target="https://www.sec.gov/ix?doc=/Archives/edgar/data/3453/000155837023001961/matx-20221231x10k.htm" TargetMode="External"/><Relationship Id="rId4" Type="http://schemas.openxmlformats.org/officeDocument/2006/relationships/hyperlink" Target="https://www.sec.gov/ix?doc=/Archives/edgar/data/3453/000155837023001961/matx-20221231x10k.htm" TargetMode="External"/><Relationship Id="rId5" Type="http://schemas.openxmlformats.org/officeDocument/2006/relationships/hyperlink" Target="https://www.sec.gov/ix?doc=/Archives/edgar/data/3453/000155837023001961/matx-20221231x10k.htm" TargetMode="External"/><Relationship Id="rId6" Type="http://schemas.openxmlformats.org/officeDocument/2006/relationships/hyperlink" Target="https://www.sec.gov/ix?doc=/Archives/edgar/data/3453/000155837023001961/matx-20221231x10k.htm" TargetMode="External"/><Relationship Id="rId7" Type="http://schemas.openxmlformats.org/officeDocument/2006/relationships/hyperlink" Target="https://www.sec.gov/ix?doc=/Archives/edgar/data/3453/000155837023001961/matx-20221231x10k.htm" TargetMode="External"/><Relationship Id="rId8" Type="http://schemas.openxmlformats.org/officeDocument/2006/relationships/hyperlink" Target="https://www.sec.gov/ix?doc=/Archives/edgar/data/3453/000155837023001961/matx-20221231x10k.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13934</Words>
  <Characters>75602</Characters>
  <CharactersWithSpaces>91662</CharactersWithSpaces>
  <Paragraphs>6609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