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1"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0240"/>
          </w:cols>
          <w:pgMar w:left="840" w:top="661" w:right="819" w:bottom="1440" w:gutter="0" w:footer="0" w:header="0"/>
        </w:sectPr>
      </w:pPr>
    </w:p>
    <w:p>
      <w:pPr>
        <w:spacing w:after="0" w:line="9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sectPr>
          <w:pgSz w:w="11900" w:h="16838" w:orient="portrait"/>
          <w:cols w:equalWidth="0" w:num="2">
            <w:col w:w="5520" w:space="580"/>
            <w:col w:w="4140"/>
          </w:cols>
          <w:pgMar w:left="840" w:top="661" w:right="81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 file number 001-34187</w:t>
      </w:r>
    </w:p>
    <w:p>
      <w:pPr>
        <w:sectPr>
          <w:pgSz w:w="11900" w:h="16838" w:orient="portrait"/>
          <w:cols w:equalWidth="0" w:num="1">
            <w:col w:w="10240"/>
          </w:cols>
          <w:pgMar w:left="840" w:top="661" w:right="819" w:bottom="1440" w:gutter="0" w:footer="0" w:header="0"/>
          <w:type w:val="continuous"/>
        </w:sectPr>
      </w:pPr>
    </w:p>
    <w:p>
      <w:pPr>
        <w:spacing w:after="0" w:line="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Matson,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240"/>
          </w:cols>
          <w:pgMar w:left="840" w:top="661" w:right="819" w:bottom="1440" w:gutter="0" w:footer="0" w:header="0"/>
          <w:type w:val="continuous"/>
        </w:sectPr>
      </w:pPr>
    </w:p>
    <w:p>
      <w:pPr>
        <w:spacing w:after="0" w:line="5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Hawaii</w:t>
      </w:r>
    </w:p>
    <w:p>
      <w:pPr>
        <w:ind w:left="1660"/>
        <w:spacing w:after="0" w:line="229" w:lineRule="auto"/>
        <w:rPr>
          <w:sz w:val="20"/>
          <w:szCs w:val="20"/>
          <w:color w:val="auto"/>
        </w:rPr>
      </w:pPr>
      <w:r>
        <w:rPr>
          <w:rFonts w:ascii="Times New Roman" w:cs="Times New Roman" w:eastAsia="Times New Roman" w:hAnsi="Times New Roman"/>
          <w:sz w:val="14"/>
          <w:szCs w:val="14"/>
          <w:color w:val="auto"/>
        </w:rPr>
        <w:t>(State or other jurisdiction of</w:t>
      </w:r>
    </w:p>
    <w:p>
      <w:pPr>
        <w:ind w:left="16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99-0032630</w:t>
      </w:r>
    </w:p>
    <w:p>
      <w:pPr>
        <w:jc w:val="center"/>
        <w:ind w:right="2000"/>
        <w:spacing w:after="0" w:line="229" w:lineRule="auto"/>
        <w:rPr>
          <w:sz w:val="20"/>
          <w:szCs w:val="20"/>
          <w:color w:val="auto"/>
        </w:rPr>
      </w:pPr>
      <w:r>
        <w:rPr>
          <w:rFonts w:ascii="Times New Roman" w:cs="Times New Roman" w:eastAsia="Times New Roman" w:hAnsi="Times New Roman"/>
          <w:sz w:val="14"/>
          <w:szCs w:val="14"/>
          <w:color w:val="auto"/>
        </w:rPr>
        <w:t>(I.R.S. Employer</w:t>
      </w:r>
    </w:p>
    <w:p>
      <w:pPr>
        <w:jc w:val="center"/>
        <w:ind w:right="20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91" w:lineRule="exact"/>
        <w:rPr>
          <w:sz w:val="24"/>
          <w:szCs w:val="24"/>
          <w:color w:val="auto"/>
        </w:rPr>
      </w:pPr>
    </w:p>
    <w:p>
      <w:pPr>
        <w:sectPr>
          <w:pgSz w:w="11900" w:h="16838" w:orient="portrait"/>
          <w:cols w:equalWidth="0" w:num="2">
            <w:col w:w="6460" w:space="720"/>
            <w:col w:w="3060"/>
          </w:cols>
          <w:pgMar w:left="840" w:top="661" w:right="8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1411 Sand Island Parkway</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Honolulu, HI 96819</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(808) 848-1211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Common Stock, without par value</w:t>
            </w:r>
          </w:p>
        </w:tc>
        <w:tc>
          <w:tcPr>
            <w:tcW w:w="29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MATX</w:t>
            </w:r>
          </w:p>
        </w:tc>
        <w:tc>
          <w:tcPr>
            <w:tcW w:w="36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456"/>
        </w:trPr>
        <w:tc>
          <w:tcPr>
            <w:tcW w:w="3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246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6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type w:val="continuous"/>
        </w:sectPr>
      </w:pPr>
    </w:p>
    <w:p>
      <w:pPr>
        <w:spacing w:after="0" w:line="18" w:lineRule="exact"/>
        <w:rPr>
          <w:sz w:val="24"/>
          <w:szCs w:val="24"/>
          <w:color w:val="auto"/>
        </w:rPr>
      </w:pPr>
    </w:p>
    <w:p>
      <w:pPr>
        <w:ind w:left="214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86"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sectPr>
          <w:pgSz w:w="11900" w:h="16838" w:orient="portrait"/>
          <w:cols w:equalWidth="0" w:num="2">
            <w:col w:w="6400" w:space="720"/>
            <w:col w:w="3120"/>
          </w:cols>
          <w:pgMar w:left="840" w:top="661" w:right="819" w:bottom="1440" w:gutter="0" w:footer="0" w:header="0"/>
          <w:type w:val="continuous"/>
        </w:sectPr>
      </w:pPr>
    </w:p>
    <w:p>
      <w:pPr>
        <w:spacing w:after="0" w:line="11" w:lineRule="exact"/>
        <w:rPr>
          <w:sz w:val="24"/>
          <w:szCs w:val="24"/>
          <w:color w:val="auto"/>
        </w:rPr>
      </w:pPr>
    </w:p>
    <w:p>
      <w:pPr>
        <w:ind w:left="218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87"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41" w:lineRule="exact"/>
        <w:rPr>
          <w:sz w:val="24"/>
          <w:szCs w:val="24"/>
          <w:color w:val="auto"/>
        </w:rPr>
      </w:pPr>
    </w:p>
    <w:p>
      <w:pPr>
        <w:sectPr>
          <w:pgSz w:w="11900" w:h="16838" w:orient="portrait"/>
          <w:cols w:equalWidth="0" w:num="2">
            <w:col w:w="6100" w:space="720"/>
            <w:col w:w="3420"/>
          </w:cols>
          <w:pgMar w:left="840" w:top="661" w:right="819" w:bottom="1440" w:gutter="0" w:footer="0" w:header="0"/>
          <w:type w:val="continuous"/>
        </w:sectPr>
      </w:pPr>
    </w:p>
    <w:p>
      <w:pPr>
        <w:ind w:right="2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highlight w:val="black"/>
        </w:rPr>
        <w:t>☒</w:t>
      </w:r>
    </w:p>
    <w:p>
      <w:pPr>
        <w:spacing w:after="0" w:line="32"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highlight w:val="black"/>
        </w:rPr>
        <w:t>☒</w:t>
      </w:r>
    </w:p>
    <w:p>
      <w:pPr>
        <w:spacing w:after="0" w:line="7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color w:val="auto"/>
        </w:rPr>
        <w:t>Aggregate market value of Common Stock held by non-affiliates at June 30, 2022:</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$2,788,983,218</w:t>
      </w:r>
    </w:p>
    <w:p>
      <w:pPr>
        <w:spacing w:after="0" w:line="1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Number of shares of Common Stock outstanding at February 17, 2023:</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36,107,352</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4"/>
          <w:szCs w:val="24"/>
          <w:color w:val="auto"/>
        </w:rPr>
      </w:pPr>
    </w:p>
    <w:p>
      <w:pPr>
        <w:ind w:right="200"/>
        <w:spacing w:after="0" w:line="264" w:lineRule="auto"/>
        <w:rPr>
          <w:sz w:val="20"/>
          <w:szCs w:val="20"/>
          <w:color w:val="auto"/>
        </w:rPr>
      </w:pPr>
      <w:r>
        <w:rPr>
          <w:rFonts w:ascii="Times New Roman" w:cs="Times New Roman" w:eastAsia="Times New Roman" w:hAnsi="Times New Roman"/>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596900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31115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82550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Pr>
          <w:p>
            <w:pPr>
              <w:spacing w:after="0"/>
              <w:rPr>
                <w:sz w:val="24"/>
                <w:szCs w:val="24"/>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3"/>
          </w:tcPr>
          <w:p>
            <w:pPr>
              <w:spacing w:after="0"/>
              <w:rPr>
                <w:sz w:val="24"/>
                <w:szCs w:val="24"/>
                <w:color w:val="auto"/>
              </w:rPr>
            </w:pPr>
          </w:p>
        </w:tc>
        <w:tc>
          <w:tcPr>
            <w:tcW w:w="324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sz w:val="20"/>
                <w:szCs w:val="20"/>
                <w:color w:val="auto"/>
              </w:rPr>
            </w:pPr>
            <w:r>
              <w:rPr>
                <w:rFonts w:ascii="Times New Roman" w:cs="Times New Roman" w:eastAsia="Times New Roman" w:hAnsi="Times New Roman"/>
                <w:sz w:val="18"/>
                <w:szCs w:val="18"/>
                <w:color w:val="0000EE"/>
              </w:rPr>
              <w:t>A. Company Overview</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B. Business Description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0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Ocean</w:t>
            </w:r>
            <w:r>
              <w:rPr>
                <w:rFonts w:ascii="Times New Roman" w:cs="Times New Roman" w:eastAsia="Times New Roman" w:hAnsi="Times New Roman"/>
                <w:sz w:val="18"/>
                <w:szCs w:val="18"/>
                <w:color w:val="0000EE"/>
              </w:rPr>
              <w:t xml:space="preserve"> Transportation Segment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Logistics</w:t>
            </w:r>
            <w:r>
              <w:rPr>
                <w:rFonts w:ascii="Times New Roman" w:cs="Times New Roman" w:eastAsia="Times New Roman" w:hAnsi="Times New Roman"/>
                <w:sz w:val="18"/>
                <w:szCs w:val="18"/>
                <w:color w:val="0000EE"/>
              </w:rPr>
              <w:t xml:space="preserve"> Segment</w:t>
            </w:r>
          </w:p>
        </w:tc>
        <w:tc>
          <w:tcPr>
            <w:tcW w:w="426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 Employees and Labor Relations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sz w:val="20"/>
                <w:szCs w:val="20"/>
                <w:color w:val="auto"/>
              </w:rPr>
            </w:pPr>
            <w:r>
              <w:rPr>
                <w:rFonts w:ascii="Times New Roman" w:cs="Times New Roman" w:eastAsia="Times New Roman" w:hAnsi="Times New Roman"/>
                <w:sz w:val="18"/>
                <w:szCs w:val="18"/>
                <w:color w:val="0000EE"/>
              </w:rPr>
              <w:t>D. Available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80" w:type="dxa"/>
            <w:vAlign w:val="bottom"/>
            <w:tcBorders>
              <w:top w:val="single" w:sz="8" w:color="0000EE"/>
            </w:tcBorders>
            <w:gridSpan w:val="7"/>
          </w:tcPr>
          <w:p>
            <w:pPr>
              <w:spacing w:after="0"/>
              <w:rPr>
                <w:sz w:val="17"/>
                <w:szCs w:val="17"/>
                <w:color w:val="auto"/>
              </w:rPr>
            </w:pPr>
          </w:p>
        </w:tc>
        <w:tc>
          <w:tcPr>
            <w:tcW w:w="54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980" w:type="dxa"/>
            <w:vAlign w:val="bottom"/>
            <w:gridSpan w:val="2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6"/>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8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8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140" w:type="dxa"/>
            <w:vAlign w:val="bottom"/>
            <w:tcBorders>
              <w:top w:val="single" w:sz="8" w:color="0000EE"/>
            </w:tcBorders>
            <w:gridSpan w:val="33"/>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Removed and Reserved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68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26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Conclusion Regarding Effectiveness of Disclosure Controls and Procedures</w:t>
            </w:r>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Internal Control over Financial Reporting</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4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1000" w:type="dxa"/>
            <w:vAlign w:val="bottom"/>
            <w:tcBorders>
              <w:top w:val="single" w:sz="8" w:color="0000EE"/>
            </w:tcBorders>
            <w:gridSpan w:val="3"/>
          </w:tcPr>
          <w:p>
            <w:pPr>
              <w:spacing w:after="0"/>
              <w:rPr>
                <w:sz w:val="24"/>
                <w:szCs w:val="24"/>
                <w:color w:val="auto"/>
              </w:rPr>
            </w:pPr>
          </w:p>
        </w:tc>
        <w:tc>
          <w:tcPr>
            <w:tcW w:w="21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sz w:val="20"/>
                <w:szCs w:val="20"/>
                <w:color w:val="auto"/>
              </w:rPr>
            </w:pPr>
            <w:r>
              <w:rPr>
                <w:rFonts w:ascii="Times New Roman" w:cs="Times New Roman" w:eastAsia="Times New Roman" w:hAnsi="Times New Roman"/>
                <w:sz w:val="18"/>
                <w:szCs w:val="18"/>
                <w:color w:val="0000EE"/>
              </w:rPr>
              <w:t>A. Directors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B. Information About Our Executive Officers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 Corporate Governance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sz w:val="20"/>
                <w:szCs w:val="20"/>
                <w:color w:val="auto"/>
              </w:rPr>
            </w:pPr>
            <w:r>
              <w:rPr>
                <w:rFonts w:ascii="Times New Roman" w:cs="Times New Roman" w:eastAsia="Times New Roman" w:hAnsi="Times New Roman"/>
                <w:sz w:val="18"/>
                <w:szCs w:val="18"/>
                <w:color w:val="0000EE"/>
              </w:rPr>
              <w:t>D. Code of Ethics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8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Matters</w:t>
            </w:r>
          </w:p>
        </w:tc>
        <w:tc>
          <w:tcPr>
            <w:tcW w:w="4300" w:type="dxa"/>
            <w:vAlign w:val="bottom"/>
            <w:tcBorders>
              <w:top w:val="single" w:sz="8" w:color="0000EE"/>
            </w:tcBorders>
            <w:gridSpan w:val="29"/>
          </w:tcPr>
          <w:p>
            <w:pPr>
              <w:spacing w:after="0"/>
              <w:rPr>
                <w:sz w:val="17"/>
                <w:szCs w:val="17"/>
                <w:color w:val="auto"/>
              </w:rPr>
            </w:pPr>
          </w:p>
        </w:tc>
        <w:tc>
          <w:tcPr>
            <w:tcW w:w="126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16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8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sz w:val="20"/>
                <w:szCs w:val="20"/>
                <w:color w:val="auto"/>
              </w:rPr>
            </w:pPr>
            <w:r>
              <w:rPr>
                <w:rFonts w:ascii="Times New Roman" w:cs="Times New Roman" w:eastAsia="Times New Roman" w:hAnsi="Times New Roman"/>
                <w:sz w:val="18"/>
                <w:szCs w:val="18"/>
                <w:color w:val="0000EE"/>
              </w:rPr>
              <w:t>A.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B. Financial Statement Schedules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 Exhibits Required by Item 601 of Regulation 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2040" w:type="dxa"/>
            <w:vAlign w:val="bottom"/>
            <w:tcBorders>
              <w:top w:val="single" w:sz="8" w:color="0000EE"/>
            </w:tcBorders>
            <w:gridSpan w:val="18"/>
          </w:tcPr>
          <w:p>
            <w:pPr>
              <w:spacing w:after="0"/>
              <w:rPr>
                <w:sz w:val="24"/>
                <w:szCs w:val="24"/>
                <w:color w:val="auto"/>
              </w:rPr>
            </w:pPr>
          </w:p>
        </w:tc>
        <w:tc>
          <w:tcPr>
            <w:tcW w:w="344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for the Fiscal Year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Ended December 31, 2022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85"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Mission and Vision: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mission is to move freight better than anyone. Our vision is to create value for our shareholders by:</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Being our customers’ first choice,</w:t>
      </w:r>
    </w:p>
    <w:p>
      <w:pPr>
        <w:spacing w:after="0" w:line="47" w:lineRule="exact"/>
        <w:rPr>
          <w:sz w:val="20"/>
          <w:szCs w:val="20"/>
          <w:color w:val="auto"/>
        </w:rPr>
      </w:pPr>
    </w:p>
    <w:p>
      <w:pPr>
        <w:ind w:left="380" w:right="3459"/>
        <w:spacing w:after="0" w:line="250" w:lineRule="auto"/>
        <w:rPr>
          <w:sz w:val="20"/>
          <w:szCs w:val="20"/>
          <w:color w:val="auto"/>
        </w:rPr>
      </w:pPr>
      <w:r>
        <w:rPr>
          <w:rFonts w:ascii="Times New Roman" w:cs="Times New Roman" w:eastAsia="Times New Roman" w:hAnsi="Times New Roman"/>
          <w:sz w:val="18"/>
          <w:szCs w:val="18"/>
          <w:color w:val="auto"/>
        </w:rPr>
        <w:t>Leveraging our core strengths to drive growth and increase profitability, Improving the communities in which we work and live,</w:t>
      </w:r>
    </w:p>
    <w:p>
      <w:pPr>
        <w:ind w:left="380" w:right="4979"/>
        <w:spacing w:after="0" w:line="258" w:lineRule="auto"/>
        <w:rPr>
          <w:sz w:val="20"/>
          <w:szCs w:val="20"/>
          <w:color w:val="auto"/>
        </w:rPr>
      </w:pPr>
      <w:r>
        <w:rPr>
          <w:rFonts w:ascii="Times New Roman" w:cs="Times New Roman" w:eastAsia="Times New Roman" w:hAnsi="Times New Roman"/>
          <w:sz w:val="18"/>
          <w:szCs w:val="18"/>
          <w:color w:val="auto"/>
        </w:rPr>
        <w:t>Being an environmental leader in our industry, and Being a great place to 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w:t>
      </w:r>
    </w:p>
    <w:p>
      <w:pPr>
        <w:spacing w:after="0" w:line="225" w:lineRule="exact"/>
        <w:rPr>
          <w:sz w:val="20"/>
          <w:szCs w:val="20"/>
          <w:color w:val="auto"/>
        </w:rPr>
      </w:pPr>
    </w:p>
    <w:p>
      <w:pPr>
        <w:ind w:left="1340" w:hanging="642"/>
        <w:spacing w:after="0"/>
        <w:tabs>
          <w:tab w:leader="none" w:pos="1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OCEAN TRANSPORTATION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Ocean Transportation segment provides the following services:</w:t>
      </w:r>
    </w:p>
    <w:p>
      <w:pPr>
        <w:spacing w:after="0" w:line="22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Hawaii Service: </w:t>
      </w:r>
      <w:r>
        <w:rPr>
          <w:rFonts w:ascii="Times New Roman" w:cs="Times New Roman" w:eastAsia="Times New Roman" w:hAnsi="Times New Roman"/>
          <w:sz w:val="18"/>
          <w:szCs w:val="18"/>
          <w:color w:val="auto"/>
        </w:rPr>
        <w:t>Matson’s Hawaii service provides ocean carriage (lift-on/lift-off, roll-on/roll-off and conventional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spacing w:after="0" w:line="185"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Westbound cargo carried by Matson to Hawaii includes dry containers of mixed commodities, refrigerated commodities, food and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spacing w:after="0" w:line="17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Matson’s expedited China-Long Beach Express (“CLX”) service is part of an integrated service that carries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cargo from Long Beach, California to Honolulu, Hawaii, to Guam, and then to Okinawa, Japan. The vessels continue to Ningbo and Shanghai, China, where they are loaded with cargo to be discharged primarily in Long Beach, California at a Matson-exclusive terminal operated by SSAT. These vessels also carry cargo destined for Hawaii which originated in Guam, Micronesia, Okinawa, China and other Asian countries. Matson provides container transshipment services from many locations in Asia including Hong Kong and Xiamen, China to the United States via the ports of Ningbo and Shanghai, China.</w:t>
      </w:r>
    </w:p>
    <w:p>
      <w:pPr>
        <w:spacing w:after="0" w:line="18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Matson operates a second expedited service to the U.S. West Coast with the China-Long Beach Express Plus (“CLX+”) service. The CLX+ service primarily uses chartered vessels and operates weekly from Ningbo and Shanghai, China where they are loaded with cargo to be discharged primarily at Long Beach, California, calling at an SSAT-operated terminal.</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Eastbound cargo from China to Long Beach, California consists mainly of garments, e-commerce related goods, consumer electronics, footwear and other merchandise.</w:t>
      </w:r>
    </w:p>
    <w:p>
      <w:pPr>
        <w:spacing w:after="0" w:line="16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provides weekly carriage between the U.S. West Coast and Guam, as part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CLX service. Matson also provides weekly connecting service from Guam to the Commonwealth of the Northern Mariana Islands. Cargo destined to Guam mainly includes dry containers of mixed commodities, refrigerated containers of food, beverages, retail merchandise, building materials, and household goods.</w:t>
      </w:r>
    </w:p>
    <w:p>
      <w:pPr>
        <w:spacing w:after="0" w:line="180"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provides carriage to the port of Naha in Okinawa, Japan, as part of its CLX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service mainly carries general sustenance cargo in both dry and refrigerated containers and household goods supporting the U.S. military.</w:t>
      </w:r>
    </w:p>
    <w:p>
      <w:pPr>
        <w:spacing w:after="0" w:line="17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Micronesia Service: </w:t>
      </w:r>
      <w:r>
        <w:rPr>
          <w:rFonts w:ascii="Times New Roman" w:cs="Times New Roman" w:eastAsia="Times New Roman" w:hAnsi="Times New Roman"/>
          <w:sz w:val="18"/>
          <w:szCs w:val="18"/>
          <w:color w:val="auto"/>
        </w:rPr>
        <w:t>Matson’s Micronesia service provides carriage between the U.S. West Coast and the islands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 building materials, hardware and retail merchandise.</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provides ocean carriage between the port of Tacoma, Washington, and the 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Anchorage, Kodiak and Dutch Harbor, Alaska. Matson also provides a barge service between Dutch Harbor and Akutan in Alaska, and transportation services to other locations in Alaska including the Kenai Peninsula, Fairbanks and the North Slope.</w:t>
      </w:r>
    </w:p>
    <w:p>
      <w:pPr>
        <w:spacing w:after="0" w:line="18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Northbound cargo to Alaska consists mainly of dry containers of mixed commodities, refrigerated commodities, foods and beverages, retail merchandise, household goods and automobiles. Southbound cargo from Alaska primarily consists of seafood, household goods and automobiles.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Matson’s Alaska-Asia Express (“AAX”) service provides carriage of dry and frozen seafood from Kodiak and Dutch Harbor, Alaska to many locations in Asia via its transshipment ports of Ningbo and Shanghai, China, and Busan, South Korea. The AAX service utilizes CLX+ vessels on their westbound trip to China.</w:t>
      </w:r>
    </w:p>
    <w:p>
      <w:pPr>
        <w:spacing w:after="0" w:line="174"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South Pacific Service: </w:t>
      </w:r>
      <w:r>
        <w:rPr>
          <w:rFonts w:ascii="Times New Roman" w:cs="Times New Roman" w:eastAsia="Times New Roman" w:hAnsi="Times New Roman"/>
          <w:sz w:val="18"/>
          <w:szCs w:val="18"/>
          <w:color w:val="auto"/>
        </w:rPr>
        <w:t>Matson’s New Zealand Express (“NZX”) service provides carriage of general sustenance cargo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Auckland, New Zealand and select islands in the South Pacific, including Fiji (Suva and Lautoka), Samoa (Apia), American Samoa (Pago Pago), the Cook Islands (Rarotonga and Aitutaki), Tonga (Nukualofa and Vava’u), and Niue. Additionally, Matson provides slot charter arrangements for the transportation of cargo from major ports on the east coast of Australia to ports in the South Pacific islands. The NZX service also distributes and sells domestic bulk fuel to a variety of these islands.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Terminal and Other Related Services:</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SSAT currently provides terminal and stevedoring services to various carriers at eight terminal facilities on the U.S. West Coast, including three facilities dedicated for MatNav’s use, in Long Beach and Oakland, California and in Tacoma, Washington.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utilizes the services of other third-party terminal operators at all of the other ports where its vessels are served.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 Management Services:</w:t>
      </w:r>
    </w:p>
    <w:p>
      <w:pPr>
        <w:spacing w:after="0" w:line="227"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Matson contracts with the U.S. Department of Transportation to provide vessel management services to manage and maintain three Ready Reserve Force vessels on behalf of the U.S. Department of Transportation Maritime Administration.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Vessel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Matson’s fleet includes both owned and chartered vessels. Matson’s owned vessels represent an investment of approximately $2.3 billion. The majority of Matson’s owned vessels are U.S. flagged and Jones Act qualified vessels, and operate in the Hawaii, China, Guam, Japan, Micronesia and Alaska services. Details of Matson’s active and reserve vessels as of December 31, 2022 are as follows: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Vessel</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Containers</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Vehicles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Design</w:t>
            </w:r>
          </w:p>
        </w:tc>
        <w:tc>
          <w:tcPr>
            <w:tcW w:w="11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17"/>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Vessels</w:t>
            </w:r>
          </w:p>
        </w:tc>
        <w:tc>
          <w:tcPr>
            <w:tcW w:w="140" w:type="dxa"/>
            <w:vAlign w:val="bottom"/>
          </w:tcPr>
          <w:p>
            <w:pPr>
              <w:spacing w:after="0"/>
              <w:rPr>
                <w:sz w:val="10"/>
                <w:szCs w:val="10"/>
                <w:color w:val="auto"/>
              </w:rPr>
            </w:pPr>
          </w:p>
        </w:tc>
        <w:tc>
          <w:tcPr>
            <w:tcW w:w="3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0"/>
                <w:szCs w:val="10"/>
                <w:color w:val="auto"/>
              </w:rPr>
            </w:pPr>
          </w:p>
        </w:tc>
        <w:tc>
          <w:tcPr>
            <w:tcW w:w="5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Official</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TEUs (1)</w:t>
            </w:r>
          </w:p>
        </w:tc>
        <w:tc>
          <w:tcPr>
            <w:tcW w:w="580" w:type="dxa"/>
            <w:vAlign w:val="bottom"/>
            <w:gridSpan w:val="2"/>
          </w:tcPr>
          <w:p>
            <w:pPr>
              <w:jc w:val="center"/>
              <w:ind w:left="68"/>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40" w:type="dxa"/>
            <w:vAlign w:val="bottom"/>
          </w:tcPr>
          <w:p>
            <w:pPr>
              <w:spacing w:after="0"/>
              <w:rPr>
                <w:sz w:val="10"/>
                <w:szCs w:val="10"/>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Autos</w:t>
            </w:r>
          </w:p>
        </w:tc>
        <w:tc>
          <w:tcPr>
            <w:tcW w:w="14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140" w:type="dxa"/>
            <w:vAlign w:val="bottom"/>
          </w:tcPr>
          <w:p>
            <w:pPr>
              <w:spacing w:after="0"/>
              <w:rPr>
                <w:sz w:val="10"/>
                <w:szCs w:val="10"/>
                <w:color w:val="auto"/>
              </w:rPr>
            </w:pPr>
          </w:p>
        </w:tc>
        <w:tc>
          <w:tcPr>
            <w:tcW w:w="9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3"/>
        </w:trPr>
        <w:tc>
          <w:tcPr>
            <w:tcW w:w="2280" w:type="dxa"/>
            <w:vAlign w:val="bottom"/>
            <w:gridSpan w:val="2"/>
            <w:vMerge w:val="continue"/>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Built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(Knots) (2)</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Vessels-Owned:</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DANIEL K. INOUYE (4)</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1274136</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KAIMANA HILA (4)</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1274135</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MANOA (4)(8)</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1982</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651627</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MAHIMAHI (4)(8)</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1982</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653424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LURLINE (4)</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1274143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MATSONIA (4)</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1274123</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MANULANI (4)(8)</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2005</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1168529</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712’ 0”</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MAUNAWILI (4)(8)</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1153166</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MANUKAI (4)(8)</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1141163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R.J. PFEIFFER (4)(8)</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1992</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979814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713’ 6”</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MOKIHANA (4)</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1983</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655397</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MAUNALEI (4)(8)</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2006</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1181627</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681’ 1”</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KODIAK (4)(8)</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910308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ANCHORAGE (4)(8)</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910306</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TACOMA (4)(8)</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910307</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KAMOKUIKI (5)</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2000</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9232979</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433’ 9”</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OLOMANA (6)</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9184225</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7”</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IMUA (6)</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9184237</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LILOA II (6)</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2006</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9184249</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PAPA MAU (6)</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1999</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9141704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68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381’ 5”</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Vessels-Chartered: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HAWAII (6)</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9386471</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4,360</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849’ 3”</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2023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LANAI (6)</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9334143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855’ 2”</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MAUI (6)</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9340764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8”</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KAUAI (6)</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9353278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4,218</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841’ 4”</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MOLOKAI (6)</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9338084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728’ 10”</w:t>
            </w:r>
          </w:p>
        </w:tc>
        <w:tc>
          <w:tcPr>
            <w:tcW w:w="8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NIIHAU (6)</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2005</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9294159</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728’ 10”</w:t>
            </w:r>
          </w:p>
        </w:tc>
        <w:tc>
          <w:tcPr>
            <w:tcW w:w="8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Barges-Owned: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 LOA (4)</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2013</w:t>
            </w:r>
          </w:p>
        </w:tc>
        <w:tc>
          <w:tcPr>
            <w:tcW w:w="6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1247426</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5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78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HALEAKALA (4)</w:t>
            </w:r>
          </w:p>
        </w:tc>
        <w:tc>
          <w:tcPr>
            <w:tcW w:w="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6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1324310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72</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Barges-Chartered:</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ILIULIUK BAY (4)(7)</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9"/>
              </w:rPr>
              <w:t>2013</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1249384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60" w:type="dxa"/>
            <w:vAlign w:val="bottom"/>
          </w:tcPr>
          <w:p>
            <w:pPr>
              <w:spacing w:after="0"/>
              <w:rPr>
                <w:sz w:val="16"/>
                <w:szCs w:val="16"/>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 0”</w:t>
            </w: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34"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Twenty-foot Equivalent Units (“TEU”) is a standard measure of cargo volume correlated to a standard 20-foot dry cargo container.</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operating speed of the vessel may vary from the Vessel Design Speed.</w:t>
      </w:r>
    </w:p>
    <w:p>
      <w:pPr>
        <w:ind w:left="380" w:right="239"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expiration date represents the approximate earliest month the vessel can be returned to its owner. Some vessel charter agreements include options for the Company to further extend the charter period.</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and Jones Act qualified vessel or barge.</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vessel.</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Foreign-flagged vessel.</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Lift-on/lift-off barge equipped with a crane.</w:t>
      </w: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installed with exhaust gas cleaning systems (commonly referred to as “scrubbers”).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Fleet Renewal Program:</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is constructing three new vessels with the following specifications and expected delivery dates: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Containers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Vessel</w:t>
            </w:r>
          </w:p>
        </w:tc>
        <w:tc>
          <w:tcPr>
            <w:tcW w:w="10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2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Expected</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TEUs</w:t>
            </w: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0" w:type="dxa"/>
            <w:vAlign w:val="bottom"/>
          </w:tcPr>
          <w:p>
            <w:pPr>
              <w:spacing w:after="0"/>
              <w:rPr>
                <w:sz w:val="1"/>
                <w:szCs w:val="1"/>
                <w:color w:val="auto"/>
              </w:rPr>
            </w:pPr>
          </w:p>
        </w:tc>
      </w:tr>
      <w:tr>
        <w:trPr>
          <w:trHeight w:val="173"/>
        </w:trPr>
        <w:tc>
          <w:tcPr>
            <w:tcW w:w="250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82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800" w:type="dxa"/>
            <w:vAlign w:val="bottom"/>
            <w:gridSpan w:val="2"/>
            <w:vMerge w:val="continue"/>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(Knots)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0" w:type="dxa"/>
            <w:vAlign w:val="bottom"/>
          </w:tcPr>
          <w:p>
            <w:pPr>
              <w:spacing w:after="0"/>
              <w:rPr>
                <w:sz w:val="1"/>
                <w:szCs w:val="1"/>
                <w:color w:val="auto"/>
              </w:rPr>
            </w:pPr>
          </w:p>
        </w:tc>
      </w:tr>
      <w:tr>
        <w:trPr>
          <w:trHeight w:val="196"/>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Q4 2026</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853’ 2”</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Q2 2027</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Q4 2027</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Upon delivery, Matson expects to deploy the three new vessels in the CLX service and redeploy three existing CLX vessels into the Alaska service. The new vessels will have dual-fuel engines and be equipped with tanks, piping and cryogenic equipment designed to operate on liquified natural gas (“LNG”) and conventional fuels. The new vessels are also being designed with state-of-the-art green technology features and fuel-efficient hulls. Each new vessel is expected to provide 500 containers of additional capacity per voyage in the CLX service.</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contract cost of the new vessel program is approximately $1.0 billion in total, and milestone payments are expected to be financed with cash currently on deposit in the Company’s Capital Construction Fund, cash and cash equivalents on the consolidated balance sheet and through cash flows generated from future operations, borrowings available under the Company’s unsecured revolving credit facility or additional debt financings. Actual and future annual vessel construction progress milestone payments based on signed agreements and change orders, excluding owners’ items and capitalized interest, are expected to be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Vessel Construction Obligations (in millions)</w:t>
            </w:r>
          </w:p>
        </w:tc>
        <w:tc>
          <w:tcPr>
            <w:tcW w:w="140" w:type="dxa"/>
            <w:vAlign w:val="bottom"/>
            <w:vMerge w:val="restart"/>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Future Milestone Payments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Thereafter</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Aloha Class Containerships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$ 71.0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$ 351.0</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$ 307.0</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$ 157.0</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13.0</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$ 999.0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color w:val="auto"/>
        </w:rPr>
        <w:t xml:space="preserve">Matson is also installing tanks, piping and cryogenic equipment on existing Aloha Class vessels so that they can operate on LNG and conventional fuels. The LNG installation project on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has begun and work on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is currently scheduled to begin during the second quarter of 2024. Each installation is expected to cost approximately</w:t>
      </w:r>
    </w:p>
    <w:p>
      <w:pPr>
        <w:spacing w:after="0" w:line="1" w:lineRule="exact"/>
        <w:rPr>
          <w:sz w:val="20"/>
          <w:szCs w:val="20"/>
          <w:color w:val="auto"/>
        </w:rPr>
      </w:pPr>
    </w:p>
    <w:p>
      <w:pPr>
        <w:ind w:left="60" w:right="419"/>
        <w:spacing w:after="0" w:line="260" w:lineRule="auto"/>
        <w:rPr>
          <w:sz w:val="20"/>
          <w:szCs w:val="20"/>
          <w:color w:val="auto"/>
        </w:rPr>
      </w:pPr>
      <w:r>
        <w:rPr>
          <w:rFonts w:ascii="Times New Roman" w:cs="Times New Roman" w:eastAsia="Times New Roman" w:hAnsi="Times New Roman"/>
          <w:sz w:val="18"/>
          <w:szCs w:val="18"/>
          <w:color w:val="auto"/>
        </w:rPr>
        <w:t xml:space="preserve">$35 million. Additionally, the Company plans to begin reengining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to operate on LNG and conventional fuels during the second quarter of 2023 at a total cost of approximately $60 million.</w:t>
      </w:r>
    </w:p>
    <w:p>
      <w:pPr>
        <w:spacing w:after="0" w:line="18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three new Aloha Class vessels and LNG installation projects are important steps towards achieving Matson’s medium-term greenhouse gas (“GHG”) emissions goal which is to reduce Scope 1 GHG emissions from our owned fleet by 40% by 2030, using 2016 as a baseline year. Matson has also set a long-term goal to achieve net zero Scope 1 GHG emissions from our owned fleet by 2050. For more information on Matson’s environmental stewardship initiatives, including GHG reduction goals, see Matson’s Sustainability Report and other information available at https://www.matson.com/sustainability.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 Emission Regulations: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Being a leader in environmental stewardship is one of Matson’s core values. Matson’s vessels transit through some of the most environmentally sensitive areas in the United States including the Hawaiian Islands and the coasts of California, Oregon, Washington and Alaska. In particular, Matson is focused on reducing transportation emissions, including carbon dioxide, methane, nitrous oxide, particulate matter and sulfur dioxide through improvements in vessel fuel consumption, choice of fuel types and the development of more fuel-efficient transportation solutions. Matson further contributes positively to the environment by testing and deploying leading technologies as the fleet is modernized.</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International Maritime Organization (“IMO”), to which the U.S. and over 100 other countries are signatories, is a specialized agency of the United Nations that sets international environmental standards applicable to vessels operating under the flag of any signatory country. Effective January 1, 2020, the IMO imposed regulations that generally require all vessels to burn fuel oil with a maximum sulfur content of ≤0.5 percent. With respect to North America, all waters, with certain limited exceptions, within 200 nautical miles of U.S. and Canadian coastlines have been designated emission control areas (“ECAs”). Since January 1, 2015, U.S. Environmental Protection Agency regulations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reduced the fuel oil maximum sulfur content in designated ECAs. In addition, since August 1, 2012, the California Air Resource Board has reduced the fuel oil maximum sulfur content to ≤0.1 percent within 24 miles of the California coastline.</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All of Matson’s vessels are designed to operate in compliance with IMO and ECA regulations as applicable. Matson also maintains vessels which may operate as dry-dock relief or for emergency activation purposes under an EPA approved ECA permit enabling the use of fuel oil with a maximum sulfur content of ≤0.5 percent within the North America ECA or at any time on IMO compliant fuels.</w:t>
      </w:r>
    </w:p>
    <w:p>
      <w:pPr>
        <w:spacing w:after="0" w:line="180" w:lineRule="exact"/>
        <w:rPr>
          <w:sz w:val="20"/>
          <w:szCs w:val="20"/>
          <w:color w:val="auto"/>
        </w:rPr>
      </w:pPr>
    </w:p>
    <w:p>
      <w:pPr>
        <w:ind w:left="60" w:right="99"/>
        <w:spacing w:after="0" w:line="238" w:lineRule="auto"/>
        <w:rPr>
          <w:sz w:val="20"/>
          <w:szCs w:val="20"/>
          <w:color w:val="auto"/>
        </w:rPr>
      </w:pPr>
      <w:r>
        <w:rPr>
          <w:rFonts w:ascii="Times New Roman" w:cs="Times New Roman" w:eastAsia="Times New Roman" w:hAnsi="Times New Roman"/>
          <w:sz w:val="18"/>
          <w:szCs w:val="18"/>
          <w:color w:val="auto"/>
        </w:rPr>
        <w:t>In June 2021, the IMO adopted new GHG emission requirements applicable to ships. Beginning with a company’s first annual, intermediate or renewal survey for an International Air Pollution Prevention (“IAPP”) certificate on or after January 1, 2023, all containerships with more than 10,000 dead weight tons will be required to meet specified Energy Efficiency Existing Ship Index (“EEXI”) levels. EEXI is a one-time certification measuring a ship’s theoretical carbon dioxide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emissions per transport work based on its design parameters. Beginning in 2023, containerships with over 5,000 gross tonnage (“GT”) will be required to meet annual Carbon Intensity Indicator (“CII”) requirements that become increasingly stringent towards 2030. CII measures how efficiently a ship transports goods, and uses actual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to determine an annual rating from A to E. For ships that achieve a D rating for three consecutive years or an E rating in a single year, a corrective action plan needs to be developed as part of the vessels’ Ship Energy Efficiency Management Plan (“SEEMP”) and approved. For a discussion on the Company’s planned future capital expenditures to comply with these regulations, see Part II, Item 7 of this Form 10-K. For more information on Matson’s environmental stewardship initiatives, including GHG emission reduction goals, see Matson’s Sustainability Report and other information available at https://www.matson.com/sustainability.</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Hawaii Terminal Modernization and Expansion Program:</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Matson completed the first phase of its program to modernize and renovate its terminal facility at Sand Island, Honolulu, and is progressing on the second phase. As part of this program, Matson completed the installation of three new 65 long-ton capacity gantry cranes, upgraded and renovated three existing cranes, demolished four outdated cranes, and installed upgrades to the electrical infrastructure at the terminal. In addition, Matson completed the installation, energization and transition to a new redundant main switchgear. Additional projects for the second phase relate to improvements to its existing backup power generators, installation of new above ground fuel storage tanks, a battery energy storage system, and other upgrades at the terminal, and are expected to be completed within the next three years.</w:t>
      </w:r>
    </w:p>
    <w:p>
      <w:pPr>
        <w:spacing w:after="0" w:line="189"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The third phase represents a broader and long-term terminal expansion program at the Sand Island terminal facility. Matson expects to expand into Pier 51A and portions of Pier 51B after Pasha Hawaii (“Pasha”) relocates to the newly constructed Kapalama container terminal facility planned for 2024. From 2023 to 2024, Matson will be performing surveying, planning and design work in preparation for this expansion.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Equipment:</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a complement to its fleet of vessels, Matson owns a variety of equipment including cranes, terminal equipment, containers and chassis, which represents an investment of approximately $0.8 billion as of December 31, 2022. Matson also leases containers, chassis and other equipment under various operating lease agreements.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Major components of Matson’s Ocean Transportation operating costs are as follows:</w:t>
      </w:r>
    </w:p>
    <w:p>
      <w:pPr>
        <w:spacing w:after="0" w:line="223"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purchased outside transportation and other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158"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and line related costs; vessel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vessel operating related expenses. Matson purchases fuel oil, lubricants and gasoline for its operations and pays fuel-related surcharges to other third-party transportation providers.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Overhead </w:t>
      </w:r>
      <w:r>
        <w:rPr>
          <w:rFonts w:ascii="Times New Roman" w:cs="Times New Roman" w:eastAsia="Times New Roman" w:hAnsi="Times New Roman"/>
          <w:sz w:val="18"/>
          <w:szCs w:val="18"/>
          <w:color w:val="auto"/>
        </w:rPr>
        <w:t>includes equipment repair costs, equipment lease and repositioning expenses, vessel repair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costs, depreciation and dry-docking amortization, insurance, port engineers and other maintenance costs, and other vessel and shoreside related overhead.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major competitors in Matson’s Ocean Transportation segment:</w:t>
      </w:r>
    </w:p>
    <w:p>
      <w:pPr>
        <w:spacing w:after="0" w:line="22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Hawaii Service: </w:t>
      </w:r>
      <w:r>
        <w:rPr>
          <w:rFonts w:ascii="Times New Roman" w:cs="Times New Roman" w:eastAsia="Times New Roman" w:hAnsi="Times New Roman"/>
          <w:sz w:val="18"/>
          <w:szCs w:val="18"/>
          <w:color w:val="auto"/>
        </w:rPr>
        <w:t>Matson’s Hawaii service has one major U.S. flagged Jones Act competitor, Pasha, which operates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 and roll-on/roll-off services between the ports of Long Beach, Oakland and San Diego, California to Hawaii. A U.S. flagged Jones Act barge operator, Aloha Marine Lines, also offers barge service between Seattle, Washington and Hawaii.</w:t>
      </w:r>
    </w:p>
    <w:p>
      <w:pPr>
        <w:spacing w:after="0" w:line="18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Foreign-flagged vessels carrying cargo to Hawaii from non-U.S. locations also provide alternatives for companies shipping to Hawaii. Other competitors in the Hawaii service include proprietary operators and contract carriers of bulk cargo, and airfreight freight carriers.</w:t>
      </w:r>
    </w:p>
    <w:p>
      <w:pPr>
        <w:spacing w:after="0" w:line="1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Matson operates three strings of vessels to Hawaii. These strings provide customers an industry-leading five departures from ports on the U.S. West Coast – two each from Long Beach and Oakland, California and one from Tacoma, Washington, with three arrivals in Honolulu each week. Each of these strings operates on a fixed day-of-the-week schedule. One of the vessel strings continues from Honolulu to China before returning to Long Beach. Matson’s frequent sailings and punctuality permit customers to reduce inventory carrying costs. Matson also competes by offering one of the most comprehensive services to customers, including: the only container service to and from the three largest U.S. West Coast ports; the most efficient terminal network on the U.S. West Coast with three exclusive use terminals provided by SSAT; a dedicated inter-island barge network which is integrated with Matson’s line haul schedule; roll-on/roll-off service from Long Beach and Oakland; a world-class customer service team; and efficiency and experience in handling cargo of many types.</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has one major U.S. flagged Jones Act competitor, Totem Ocean Trailer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Inc., which operates a roll-on/roll off service between Tacoma, Washington and Anchorage, Alaska. There are also two U.S. flagged Jones Act barge operators, Alaska Marine Lines, which mainly provides services from Seattle, Washington to the ports of Anchorage,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Foreign-flagged vessels provide alternatives for companies shipping cargo (mainly seafood) from the Alaska ports of Kodiak and Dutch Harbor to international destinations. Other competition includes air freight carriers and over-the-road trucking services. Matson’s AAX service has two major competitors, CMA CGM and Maersk Lines, which provide services between Dutch Harbor, Alaska and Asia.</w:t>
      </w:r>
    </w:p>
    <w:p>
      <w:pPr>
        <w:spacing w:after="0" w:line="187"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Matson offers customers twice weekly scheduled service from Tacoma, Washington to Anchorage and Kodiak, Alaska, and a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Matson, and at the port of Tacoma, Washington performed by SSAT. Matson’s AAX service also offers customers a service from Kodiak and Dutch Harbor, Alaska to Ningbo and Shanghai, China, and Busan, South Korea, with transshipment services from those ports to other locations in Asia.</w:t>
      </w:r>
    </w:p>
    <w:p>
      <w:pPr>
        <w:spacing w:after="0" w:line="169"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Major competitors to Matson’s China service include large international transpacific carriers such as CMA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CGM, OOCL, ZIM, Evergreen and Maersk. Other competition includes air freight carriers.</w:t>
      </w:r>
    </w:p>
    <w:p>
      <w:pPr>
        <w:spacing w:after="0" w:line="16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Matson’s China service (CLX and CLX+) competes by offering fast and reliable service from the ports of Ningbo and Shanghai in China, and feeder services from other Asian ports of origin, to Long Beach and Oakland, California. Matson provides fixed day-of-the-week arrivals and industry leading cargo availability. Matson’s service is further differentiated by best-in-class stevedoring services provided by SSAT, Matson dedicated terminal space, access to Shippers Transport Express off-dock container yards for faster truck turn times, Matson-dedicated equipment including chassis to speed cargo availability, one-stop intermodal connections, and world-class customer service. Matson also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provides intermodal services in coordination with Matson Logistics. Matson has offices located in Shanghai, Shenzhen, Xiamen, Ningbo and Hong Kong, and has contracted with terminal operators in Ningbo and Shanghai.</w:t>
      </w:r>
    </w:p>
    <w:p>
      <w:pPr>
        <w:spacing w:after="0" w:line="16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has one major competitor, APL, a U.S. flagged subsidiary of CMA CGM,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operates a U.S. flagged container service connecting the U.S. West Coast to Guam and Saipan, via transshipments to U.S. flagged feeder vessels in Yokohama, Japan and Busan, South Korea via a two-ship feeder service. There are also other several foreign carriers that call at Guam from foreign origin ports, and air freight carriers.</w:t>
      </w:r>
    </w:p>
    <w:p>
      <w:pPr>
        <w:spacing w:after="0" w:line="18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Matson offers customers a weekly service to Guam as part of the CLX service from three ports on the U.S. West Coast. Matson’s ocean transit time, frequent sailing and reliable on-time performance provides an industry-leading service to its customers.</w:t>
      </w:r>
    </w:p>
    <w:p>
      <w:pPr>
        <w:spacing w:after="0" w:line="174"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has one major competitor, APL, which operates a U.S. flagged containership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U.S. West Coast to the port of Naha in Okinawa, Japan.</w:t>
      </w:r>
    </w:p>
    <w:p>
      <w:pPr>
        <w:spacing w:after="0" w:line="160"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Matson offers customers a weekly service to the port of Naha in Okinawa, Japan as part of the CLX service from three ports on the U.S. West Coast.</w:t>
      </w:r>
    </w:p>
    <w:p>
      <w:pPr>
        <w:spacing w:after="0" w:line="160"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Micronesia and South Pacific Services: </w:t>
      </w:r>
      <w:r>
        <w:rPr>
          <w:rFonts w:ascii="Times New Roman" w:cs="Times New Roman" w:eastAsia="Times New Roman" w:hAnsi="Times New Roman"/>
          <w:sz w:val="18"/>
          <w:szCs w:val="18"/>
          <w:color w:val="auto"/>
        </w:rPr>
        <w:t>Matson’s Micronesia and South Pacific services have competition from a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local and international carriers that provide freight services to the area.</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Matson serves customers in numerous industries and carries a wide variety of cargo, mitigating its dependence upon any single customer or single type of cargo. The Company’s 10 largest Ocean Transportation customers account for approximately 15 percent of the Company’s Ocean Transportation revenue. For additional information on Ocean Transportation revenues for the years ended December 31, 2022, 2021 and 2020, see Note 2 to the Consolidated Financial Statements in Item 8 of Part II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59"/>
        <w:spacing w:after="0" w:line="273" w:lineRule="auto"/>
        <w:rPr>
          <w:sz w:val="20"/>
          <w:szCs w:val="20"/>
          <w:color w:val="auto"/>
        </w:rPr>
      </w:pPr>
      <w:r>
        <w:rPr>
          <w:rFonts w:ascii="Times New Roman" w:cs="Times New Roman" w:eastAsia="Times New Roman" w:hAnsi="Times New Roman"/>
          <w:sz w:val="17"/>
          <w:szCs w:val="17"/>
          <w:color w:val="auto"/>
        </w:rPr>
        <w:t>Historically, Matson’s Ocean Transportation services have typically experienced seasonality in volume, generally following a pattern of increasing volume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have tended to follow a similar pattern, offset by periodic vessel dry-docking and other episodic cost factors, which can lead to earnings variability. In addition, in the China trade, volume is typically driven primarily by U.S. consumer demand for goods during key retail selling seasons. Freight rates are impacted mainly by macro supply and demand variables.</w:t>
      </w:r>
    </w:p>
    <w:p>
      <w:pPr>
        <w:spacing w:after="0" w:line="171"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Matson’s typical seasonal trends have been impacted by the global pandemic which resulted in elevated levels of demand experienced in our Ocean Transportation services during the second half of 2020 throughout 2021 and in the first half of 2022. Weakening economic conditions in the U.S., relatively high inflation and the impact of higher interest rates on household discretionary income may affect the demand for consumer goods in our markets, which could impact seasonal variability and demand for the Company’s Ocean Transportation services in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Maritime Laws and the Jones Act:</w:t>
      </w:r>
    </w:p>
    <w:p>
      <w:pPr>
        <w:spacing w:after="0" w:line="227"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Maritime Laws: </w:t>
      </w:r>
      <w:r>
        <w:rPr>
          <w:rFonts w:ascii="Times New Roman" w:cs="Times New Roman" w:eastAsia="Times New Roman" w:hAnsi="Times New Roman"/>
          <w:sz w:val="18"/>
          <w:szCs w:val="18"/>
          <w:color w:val="auto"/>
        </w:rPr>
        <w:t>All interstate and intrastate marine commerce within the U.S. falls under the Merchant Marine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1920 (commonly referred to as the Jones Act).</w:t>
      </w:r>
    </w:p>
    <w:p>
      <w:pPr>
        <w:spacing w:after="0" w:line="160"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w:t>
      </w:r>
    </w:p>
    <w:p>
      <w:pPr>
        <w:spacing w:after="0" w:line="1" w:lineRule="exact"/>
        <w:rPr>
          <w:sz w:val="20"/>
          <w:szCs w:val="20"/>
          <w:color w:val="auto"/>
        </w:rPr>
      </w:pPr>
    </w:p>
    <w:p>
      <w:pPr>
        <w:jc w:val="both"/>
        <w:ind w:left="60" w:right="279"/>
        <w:spacing w:after="0" w:line="277" w:lineRule="auto"/>
        <w:rPr>
          <w:sz w:val="20"/>
          <w:szCs w:val="20"/>
          <w:color w:val="auto"/>
        </w:rPr>
      </w:pPr>
      <w:r>
        <w:rPr>
          <w:rFonts w:ascii="Times New Roman" w:cs="Times New Roman" w:eastAsia="Times New Roman" w:hAnsi="Times New Roman"/>
          <w:sz w:val="17"/>
          <w:szCs w:val="17"/>
          <w:color w:val="auto"/>
        </w:rPr>
        <w:t>75 percent owned by U.S. citizens. U.S. flagged vessels are generally required to be maintained at higher standards than foreign-flagged vessels and are subject to rigorous supervision and inspections by, or on behalf of, the U.S. Coast Guard, which requires appropriate certifications and background checks of the crew members. Under Section 27 of the Jones</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Act, the carriage of cargo between the U.S. West Coast, Hawaii and Alaska on foreign-built or foreign-documented vessels is prohibited.</w:t>
      </w:r>
    </w:p>
    <w:p>
      <w:pPr>
        <w:spacing w:after="0" w:line="16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2021 and 2020, approximately 39 percent, 41 percent and 62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 and maintained in compliance with such requirements.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Matson is a member of the American Maritime Partnership (“AMP”), which supports the retention of the Jones Act and similar cabotage laws. The Jones Act has broad support from both houses of Congress and the Executive Branch. Matson believes that the geopolitical environment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foreign-flagged vessel operators that do not have to abide by all U.S. laws and regulations to sail between U.S. ports in direct competition with Matson and other U.S. domestic operators that must comply with all such laws and regulations.</w:t>
      </w:r>
    </w:p>
    <w:p>
      <w:pPr>
        <w:spacing w:after="0" w:line="18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Other U.S. maritime laws require vessels operating between Guam, a U.S. territory, and U.S. ports to be U.S. flagged and predominantly U.S. crewed, but not U.S. built.</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Rate Regulations and Fuel-Related Surcharges: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seeks to provide a 30-day notice to customers of any increases in general rates and other charges, and passes along decreases as soon as possible.</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Matson applies a fuel-related surcharge rate to its Ocean Transportation customers. Matson’s fuel-related surcharge is correlated to market rates for fuel prices and other factors, and is intended to help Matson recover fuel-related expenses.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Regulations: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generator engines while at berth at California ports and switch to shore electrical power or achieve equivalent emissions reductions. The Company actively monitors its operations for compliance with these and other regulations.</w:t>
      </w:r>
    </w:p>
    <w:p>
      <w:pPr>
        <w:spacing w:after="0" w:line="18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more information on Matson’s environmental stewardship initiatives, including its environmental goals, see Matson’s Sustainability Report and other information available at https://www.matson.com/sustainability.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hanging="64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LOGISTICS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Logistics provides the following services:</w:t>
      </w:r>
    </w:p>
    <w:p>
      <w:pPr>
        <w:spacing w:after="0" w:line="22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Transportation Brokerage Services: </w:t>
      </w:r>
      <w:r>
        <w:rPr>
          <w:rFonts w:ascii="Times New Roman" w:cs="Times New Roman" w:eastAsia="Times New Roman" w:hAnsi="Times New Roman"/>
          <w:sz w:val="18"/>
          <w:szCs w:val="18"/>
          <w:color w:val="auto"/>
        </w:rPr>
        <w:t>Matson Logistics provides intermodal rail, highway, and other third-party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for North American customers and international ocean carrier customers, including MatNav. Matson Logistics creates award winning benefits and value for its customers through volume purchases of rail, motor carrier and ocean transportation services, augmented by services such as shipment tracking and tracing, accessibility to its private fleet of 53-foot intermodal containers and single-vendor invoicing. Matson Logistics operates customer service centers and has sales offices throughout North America.</w:t>
      </w:r>
    </w:p>
    <w:p>
      <w:pPr>
        <w:spacing w:after="0" w:line="18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Freight Forwarding Services: </w:t>
      </w:r>
      <w:r>
        <w:rPr>
          <w:rFonts w:ascii="Times New Roman" w:cs="Times New Roman" w:eastAsia="Times New Roman" w:hAnsi="Times New Roman"/>
          <w:sz w:val="18"/>
          <w:szCs w:val="18"/>
          <w:color w:val="auto"/>
        </w:rPr>
        <w:t>Matson Logistics provides LCL consolidation and freight forwarding services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Alaska market through its wholly-owned subsidiary, Span Intermediate, LLC (“Span Alaska”). Span Alaska’s business aggregates LCL freight at its cross-dock facility in Auburn, Washington for consolidation and shipment to its service center in Anchorage and a network of other facilities in Alaska. Span Alaska also provides trucking services to its Auburn cross-dock facility and from its Alaska based cross-dock facilities to final customer destinations in Alaska.</w:t>
      </w:r>
    </w:p>
    <w:p>
      <w:pPr>
        <w:spacing w:after="0" w:line="183"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Warehousing and Distribution Services: </w:t>
      </w:r>
      <w:r>
        <w:rPr>
          <w:rFonts w:ascii="Times New Roman" w:cs="Times New Roman" w:eastAsia="Times New Roman" w:hAnsi="Times New Roman"/>
          <w:sz w:val="18"/>
          <w:szCs w:val="18"/>
          <w:color w:val="auto"/>
        </w:rPr>
        <w:t>Matson Logistics operates two warehouses in Georgia and two warehouses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California providing warehousing, trans-loading, value-added packaging and distribution services.</w:t>
      </w:r>
    </w:p>
    <w:p>
      <w:pPr>
        <w:spacing w:after="0" w:line="158"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Supply Chain Management and Other Services: </w:t>
      </w:r>
      <w:r>
        <w:rPr>
          <w:rFonts w:ascii="Times New Roman" w:cs="Times New Roman" w:eastAsia="Times New Roman" w:hAnsi="Times New Roman"/>
          <w:sz w:val="18"/>
          <w:szCs w:val="18"/>
          <w:color w:val="auto"/>
        </w:rPr>
        <w:t>Matson Logistics provides customers with a variety of logistics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 order management, booking services, customs brokerage, LCL and full container load NVOCC freight forwarding services. Matson Logistics has supply chain operations in North America, China and other locations.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Matson Logistics’ operating costs primarily consist of the costs of purchased transportation, leases of warehouses, cross-dock and other facility operating costs, salaries and benefits, and other operating overhead.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Matson Logistics’ transportation brokerage services compete most directly with C.H. Robinson Worldwide, Hub Group, RXO and other freight brokers and intermodal marketing companies, and asset-invested market leaders such as J.B. Hunt. Competition is differentiated by the depth, scale and scope of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Matson Logistics’ freight forwarding services compete most directly with a variety of freight forwarding companies that operate within Alaska including Carlile, Lynden, American Fast Freight and Alaska Traffic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Matson Logistics serves customers in numerous industries and geographical locations. The Company’s 10 largest logistics customers account for approximately 18 percent of the Company’s Logistics revenue. For additional information on Logistics revenues for the years ended December 31, 2022, 2021 and 2020, see Note 2 to the Consolidated Financial Statements in Item 8 of Part II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general, Matson Logistics’ services are not significantly impacted by seasonality factors, with the exception of its freight forwarding service to Alaska which may be affected by winter weather and the seasonal nature of the tourism industry. However, the weakening economic conditions in the U.S., relatively high inflation and the impact of higher interest rates on household discretionary income may affect the demand for consumer goods, which could impact Matson’s Logistics businesses in 2023.</w:t>
      </w:r>
    </w:p>
    <w:p>
      <w:pPr>
        <w:spacing w:after="0" w:line="395"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AND LABOR RELATIONS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Strategy:</w:t>
      </w:r>
    </w:p>
    <w:p>
      <w:pPr>
        <w:spacing w:after="0" w:line="229"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In support of Matson’s vision to be a great place to work for all employees, the Company focuses on a variety of human capital programs that have been developed to attract, retain and motivate its employee workforce. As a company that operates in various global locations, the Company’s human capital programs are designed to reflect the unique market practices in each geographic location. The Company’s success depends in part on employing a diverse, talented and engaged workforce that reflects its local communities, supports an environment of high standards and performance, and thrives in the Company’s collaborative and respectful culture.</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During 2022, Matson had 4,288 employees worldwide, of which 159 employees were based in international locations and 2,994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The composition of Matson’s workforce by geography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33655</wp:posOffset>
            </wp:positionV>
            <wp:extent cx="994410"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Matson’s fleet of active vessels requires 331 billets to operate. Each billet corresponds to a position on a vessel that typically is filled by two or more employees because seagoing personnel rotate between active sea-duty and time ashore. These amounts exclude billets related to Matson’s foreign-flagged chartered vessels where the vessel owner is responsible for its seagoing personnel. Matson’s vessel management services also employed personnel in 32 billets to manage three U.S. government vessels.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Diversity, Equity and Inclusion (DE&amp;I):</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For many years, Matson has been committed to improving diversity, providing equal pay for equal work and creating an inclusive culture. According to the U.S. Bureau of Labor Statistics, traditionally the shipping industry’s workforce has been predominately represented by white males. While Matson’s workforce is representative of many of the communities where it operates, the Company has taken steps to do more to change the status quo within the Company and industry. In 2022, the Company continued to advance many of its diversity, equity and inclusion efforts. This includes continuing its efforts to analyze pay among various employee groups to confirm pay equity across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As part of its overall DE&amp;I strategy, Matson continues to focus on developing and promoting diverse individuals into leadership positions. The Company utilizes both internal and external learning and development programs to encourage and promote career opportunities within our diverse employee groups. In 2022, approximately two-thirds of Matson promotions in management roles were women and/or minority individuals.</w:t>
      </w:r>
    </w:p>
    <w:p>
      <w:pPr>
        <w:spacing w:after="0" w:line="180"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Matson is also focused on supporting a more diverse talent pool over the long-term by encouraging women and minorities to pursue careers in the maritime and logistics sectors. To this end, in 2022 the Company established and awarded sixteen scholarships to diverse, high-achieving students at higher education institutions and maritime academies.</w:t>
      </w:r>
    </w:p>
    <w:p>
      <w:pPr>
        <w:spacing w:after="0" w:line="1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Matson has also worked to enhance employees’ understanding and perspective on working with diverse groups of individuals. In 2022, the Company provided two DE&amp;I trainings to deepen employees’ understanding and appreciation for ways to improve interactions with others and promote more inclusive relationships. One training focused on ways people communicate that reinforce stereotypes and perpetuate discrimination, often unintentionally, called “microaggressions.” The other DE&amp;I training provided a broad overview of general diversity, equity and inclusion principles – the “dos and don’ts” of respectful social interaction. These trainings were completed by more than 1,100 employees during the past year.</w:t>
      </w:r>
    </w:p>
    <w:p>
      <w:pPr>
        <w:spacing w:after="0" w:line="18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composition of Matson’s domestic shoreside workforce by gender and race in 2022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71120</wp:posOffset>
            </wp:positionV>
            <wp:extent cx="2846070" cy="908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composition of management positions within Matson’s domestic shoreside workforce by gender and race in 2022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114300</wp:posOffset>
            </wp:positionV>
            <wp:extent cx="2794635"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“Minority” in these graphs refers to any employee who self-identifies as such under the categories established by the Equal Employment Opportunity Commission.</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Total Rewards Programs: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Matson provides a highly competitive and balanced total rewards program designed to attract, retain and motivate its employees. While factors such as job, location and business unit ultimately determine which plans an employee may be eligible for participation,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 stock price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Succession and Career Planning:</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2022, 44 percent of open positions were filled through internal promotions. The Company also provided approximately 3,500 hours of employee training and professional development opportunities, and tuition reimbursement programs, while giving annual performance reviews to its non-union workforce.</w:t>
      </w:r>
    </w:p>
    <w:p>
      <w:pPr>
        <w:spacing w:after="0" w:line="187" w:lineRule="exact"/>
        <w:rPr>
          <w:sz w:val="20"/>
          <w:szCs w:val="20"/>
          <w:color w:val="auto"/>
        </w:rPr>
      </w:pPr>
    </w:p>
    <w:p>
      <w:pPr>
        <w:ind w:left="60" w:right="1179"/>
        <w:spacing w:after="0" w:line="282" w:lineRule="auto"/>
        <w:rPr>
          <w:sz w:val="20"/>
          <w:szCs w:val="20"/>
          <w:color w:val="auto"/>
        </w:rPr>
      </w:pPr>
      <w:r>
        <w:rPr>
          <w:rFonts w:ascii="Times New Roman" w:cs="Times New Roman" w:eastAsia="Times New Roman" w:hAnsi="Times New Roman"/>
          <w:sz w:val="18"/>
          <w:szCs w:val="18"/>
          <w:color w:val="141412"/>
        </w:rPr>
        <w:t xml:space="preserve">For more information on Matson’s human capital programs, see our Sustainability Report which is available at </w:t>
      </w:r>
      <w:r>
        <w:rPr>
          <w:rFonts w:ascii="Times New Roman" w:cs="Times New Roman" w:eastAsia="Times New Roman" w:hAnsi="Times New Roman"/>
          <w:sz w:val="18"/>
          <w:szCs w:val="18"/>
          <w:color w:val="000000"/>
        </w:rPr>
        <w:t>www.matson.com/sustainability</w:t>
      </w:r>
      <w:r>
        <w:rPr>
          <w:rFonts w:ascii="Times New Roman" w:cs="Times New Roman" w:eastAsia="Times New Roman" w:hAnsi="Times New Roman"/>
          <w:sz w:val="18"/>
          <w:szCs w:val="18"/>
          <w:color w:val="141412"/>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Bargaining Agreements: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Matson’s shoreside and seagoing employees are represented by a variety of unions. As shown in the chart below, union employees comprise 70 percent of Matson’s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71120</wp:posOffset>
            </wp:positionV>
            <wp:extent cx="1114425" cy="908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Matson has collective bargaining agreements with these unions that expire at various dates in the future, including as early as 2023. Matson and SSAT are also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The ILWU collective bargaining agreement with the PMA expired on July 1, 2022. While Matson believes that it will be able to renegotiate these collective bargaining agreements as they expire without any significant impact on its operations, including the PMA/ILWU collective bargaining agreement, no assurance can be given that such agreements will be reached on a timely basis or at all without slow-downs, strikes, lockouts or other disruptions that may adversely impact Matson’s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and Post-retirement Plans:</w:t>
      </w:r>
    </w:p>
    <w:p>
      <w:pPr>
        <w:spacing w:after="0" w:line="229"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Matson contributes to several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pacing w:after="0" w:line="392"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them to, the U.S. Securities and Exchange Commission (“SEC”). The address of Matson’s Internet website is www.matson.com. This website and other websites included in this document are provided for convenience only, and the contents of such websites do not constitute a part of and are not incorporated by reference into this Form 10-K.</w:t>
      </w:r>
    </w:p>
    <w:p>
      <w:pPr>
        <w:spacing w:after="0" w:line="189"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following material factors, events and uncertainties may make an investment in the Company speculative or risky and should be reviewed carefully. The Company’s business faces the material risks set forth below; however, these risk factors do not identify all risks the Company faces, and additional risks or uncertainties that are currently unknown or are not currently believed to be material may occur or become material. The occurrence of these or the events and uncertainties described below may, in ways the Company may not be able to accurately predict, recognize or control, adversely affect the Company’s business, financial condition, operating results, cash flows, liquidity, demand, revenue, growth, prospects, reputation or stock price. All forward-looking statements made by the Company or on the Company’s behalf are qualified by the risks described below.</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Jones Act</w:t>
      </w:r>
    </w:p>
    <w:p>
      <w:pPr>
        <w:spacing w:after="0" w:line="22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Repeal, substantial amendment, or waiver of the Jones Act or its application would have an adverse effect on the Company’s business.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Merchant Marine Act of 1920 (commonly referred to as the Jones Act) regulates all interstate and intrastate marine commerce within the U.S. If the Jones Act were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to circumvent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and could have other adverse impacts to our business.</w:t>
      </w:r>
    </w:p>
    <w:p>
      <w:pPr>
        <w:spacing w:after="0" w:line="190"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would be adversely affected if the Company were determined not to be a U.S. citizen under the Jones Act.</w:t>
      </w:r>
    </w:p>
    <w:p>
      <w:pPr>
        <w:spacing w:after="0" w:line="159" w:lineRule="exact"/>
        <w:rPr>
          <w:sz w:val="20"/>
          <w:szCs w:val="20"/>
          <w:color w:val="auto"/>
        </w:rPr>
      </w:pPr>
    </w:p>
    <w:p>
      <w:pPr>
        <w:jc w:val="both"/>
        <w:ind w:left="60" w:right="139"/>
        <w:spacing w:after="0" w:line="258" w:lineRule="auto"/>
        <w:rPr>
          <w:sz w:val="20"/>
          <w:szCs w:val="20"/>
          <w:color w:val="auto"/>
        </w:rPr>
      </w:pPr>
      <w:r>
        <w:rPr>
          <w:rFonts w:ascii="Times New Roman" w:cs="Times New Roman" w:eastAsia="Times New Roman" w:hAnsi="Times New Roman"/>
          <w:sz w:val="18"/>
          <w:szCs w:val="18"/>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it, including seizure or forfeiture of its vessels.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Operations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macroeconomic conditions, geopolitical developments, or governmental policies, including from the COVID-19 pandemic, have affected and could in the future affect the Company.</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transportation industry in which the Company operates has been impacted by fluctuations, volatility, downturns, inflation, recessions and other economic shifts or market instabilities, as well as the development of and changes in governmental policies and relations and geopolitical developments, across the jurisdictions in which it operates. For example, there have been increases in geopolitical and trade tensions among a number of the world’s major economies. These tensions have resulted in the implementation of tariffs, non-tariff trade barriers and sanctions, including the use of export control restrictions and sanctions against certain countries and individual companies, which have, and may continue to have, an adverse economic impact in the markets in which the Company operates.</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These adverse economic conditions may also impact customers’ business levels and needs. Within the U.S., a weakening of economic drivers in Hawaii, Alaska and Guam, which include tourism, military spending, construction, personal income growth and employment, the weakening of consumer confidence, market demand, and the economy in the U.S. Mainland, inflation, rising interest rates, recessionary fears and the effect of a change in the strength of the U.S. dollar against other foreign currencies may reduce the demand for goods, adversely affecting inland and ocean transportation volumes or rates. In addition, overcapacity in the global or transpacific ocean transportation markets, a change in the cost of goods or currency exchange rates, pressure from U.S. or foreign governments, imposition of tariffs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and uncertainties regarding tariff rates or a change in international trade policies could adversely affect freight volumes and rates in the Company’s CLX and CLX+ services.</w:t>
      </w:r>
    </w:p>
    <w:p>
      <w:pPr>
        <w:spacing w:after="0" w:line="16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Fluctuations in the price of oil could further impact the Alaskan economy, which in turn could impact the Company’s business. In addition, the global macroeconomic effects of the pandemic and related impacts on the Company’s customers’ business operations, including financial difficulties or bankruptcies, may persist for an indefinite period, even as the pandemic subsides.</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As the COVID-19 pandemic subsides, supply and demand trends normalize, and supply chain congestion eases, the high volumes and rates the Company previously experienced in its China service have declined, but the Company cannot predict the size and duration of such decline. These declines have reduced and are expected to continue to reduce revenues, but certain fixed costs remain. For example, the Company cannot terminate leases early for chartered vessels in the CLX+ service absent a breach by vessel owners.</w:t>
      </w:r>
    </w:p>
    <w:p>
      <w:pPr>
        <w:spacing w:after="0" w:line="183"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The Company’s operations may be further impacted if its employees, including mariners aboard our vessels, are otherwise restricted from or unable to perform their duties, the Company’s or SSAT’s terminals are temporarily closed, or there are outbreaks aboard the Company’s vessels that cause the Company to miss port calls, due to a COVID-19 outbreak. Some vessel dry-dockings could also be delayed or become more expensive if shipyards are unable to accommodate demand or obtain parts in a timely manner or if necessary personnel are not allowed to travel to the shipyards.</w:t>
      </w:r>
    </w:p>
    <w:p>
      <w:pPr>
        <w:spacing w:after="0" w:line="16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the COVID-19 pandemic reaches endemic stages, the future impact on the Company’s business, financial condition, operating results or cash flows remains difficult to predict at this time. Additional or unforeseen effects from COVID-19, including resurgences or mutations of the virus and the actions taken in response to the virus, may give rise to additional risks or instigate or amplify the other risks described throughout these Risk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shipping industry is competitive, and the Company has been impacted by new or increased competition.</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may face new competition by established or start-up shipping operators that enter the Company’s markets. The shipping industry is competitive with limited barriers to entry, especially in international tradelanes. Ocean carriers can shift vessels in and out of tradelanes or charter vessels to manage capacity and meet customer demands. The entry of a new competitor or the addition of new vessels or capacity by existing competition on any of the Company’s routes could result in a significant increase in available shipping capacity that could have an adverse effect on the Company’s volumes and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or damage to key customer or agent relationships may adversely affect the Company’s business.</w:t>
      </w:r>
    </w:p>
    <w:p>
      <w:pPr>
        <w:spacing w:after="0" w:line="229"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could also be adversely affected by any changes in the services, or changes to the costs of services, provided by third-party vendors such as railroads, truckers, terminals, agents and shipping companies, including charter vessel owners. Service structures and relationships with these parties are important in the Company’s intermodal business, as well as in the China, Guam, Micronesia, Japan, Alaska export and South Pacific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loss of or damage to any of these key relationships may adversely affect the Company’s business and revenue.</w:t>
      </w:r>
    </w:p>
    <w:p>
      <w:pPr>
        <w:spacing w:after="0" w:line="221"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spacing w:after="0" w:line="17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Company’s businesses are dependent upon key vendors who provide terminal, rail, truck, and ocean transportation services. If the Company cannot secure sufficient transportation equipment, capacity or services from these third parties at reasonable prices or rates to meet its or its customers’ needs and schedules, customers may seek to have their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transportation and logistics needs met by others on a temporary or permanent basis. If this were to occur, the Company’s business, results of operations and financial condition could be adversely affected.</w:t>
      </w:r>
    </w:p>
    <w:p>
      <w:pPr>
        <w:spacing w:after="0" w:line="15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Fuel is a significant operating expense for the Company’s Ocean Transportation business. The price and supply of fuel are unpredictable and fluctuate based on events beyond the Company’s control, including impacts from global macroeconomic conditions and geopolitical events.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w:t>
      </w:r>
    </w:p>
    <w:p>
      <w:pPr>
        <w:spacing w:after="0" w:line="18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Evolving stakeholder expectations related to environmental, social and governance (“ESG”) matters exposes the Company to heightened scrutiny, additional costs, operational challenges and a number of risks.</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Investors, advisory firms, employees, customers, suppliers, governments and other stakeholders are increasingly focused on, and establishing expectations for, ESG matters and related corporate practices, disclosures and initiatives. These evolving expectations may impact the Company’s reputation, business and attractiveness as an investment, employer or business partner to the extent the Company – including its initiatives, goals and reporting – meets or is perceived to meet those expectations, including as a result of any third-party rating or assessment. The adoption and expansion of ESG-related legislation and regulation have also resulted and may again result in increased capital expenditures and compliance, operational and other costs to the Company.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Company’s public disclosures on its climate, sustainability, human capital and other ESG initiatives include its goals or expectations with respect to those matters, including GHG emission reduction targets. These disclosures are aspirational and based on standards and frameworks for presenting and measuring progress that are not harmonized and are still developing, assumptions that may change, and disclosure controls and procedures that continue to evolve. The Company’s initiatives and goals may not be favored by certain stakeholders and could impact the attraction and retention of investors, customers and employees, as well as the Company’s willingness to do business with other companies or customers or their willingness to do business with us. Efforts to achieve the Company’s initiatives and goals face numerous risks and may be unsuccessful, result in additional costs or experience delays, and as a result may have an adverse impact on the Company, including its brand, reputation and stock price.</w:t>
      </w:r>
    </w:p>
    <w:p>
      <w:pPr>
        <w:spacing w:after="0" w:line="184"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not be timely or successful in completing its fleet upgrade initiatives, which may result in significant costs and adversely impact the Company’s ability to meet its climate goals.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The Company’s four new Aloha and Kanaloa class vessels include dual fuel capable engines that can run on low sulfur fuel oil or LNG. The Company has announced plans to install tanks, piping and cryogenic equipment on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and re-engine</w:t>
      </w:r>
      <w:r>
        <w:rPr>
          <w:rFonts w:ascii="Times New Roman" w:cs="Times New Roman" w:eastAsia="Times New Roman" w:hAnsi="Times New Roman"/>
          <w:sz w:val="18"/>
          <w:szCs w:val="18"/>
          <w:i w:val="1"/>
          <w:iCs w:val="1"/>
          <w:color w:val="auto"/>
        </w:rPr>
        <w:t xml:space="preserve"> Manukai </w:t>
      </w:r>
      <w:r>
        <w:rPr>
          <w:rFonts w:ascii="Times New Roman" w:cs="Times New Roman" w:eastAsia="Times New Roman" w:hAnsi="Times New Roman"/>
          <w:sz w:val="18"/>
          <w:szCs w:val="18"/>
          <w:color w:val="auto"/>
        </w:rPr>
        <w:t>to operate on LNG. In addition, the Company has announced plans to construct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new LNG-ready Aloha Class vessels. The Company anticipates making significant capital expenditures in connection with these fleet initiatives. These initiatives may be hindered by substantial delays and long lead times for necessary equipment, including as a result of ongoing supply chain congestion, other residual impacts from the COVID-19 pandemic, increased demand across the industry for LNG installations and conversions, and new ship-building. Additional operating costs may be incurred to the extent additional ships are needed to maintain schedule integrity while such updates and installations are performed. Once completed, operation of these vessels may be slowed to the extent they present new maintenance requirements or unforeseen complications.</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Use of LNG fuel may not result in anticipated GHG emission reductions, and 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increase prices. Governments have in the past and may again in the future impose tariffs on LNG that also may increase supply costs. As a result of these risks, the Company may not fully realize the benefits of these investments.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vessel construction agreements with Philly Shipyard subject the Company to risks.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November 1, 2022, MatNav and Philly Shipyard entered into vessel construction agreements pursuant to which Philly Shipyard will construct three new 3,600-TEU Aloha Class dual-fuel capable containerships, with expected delivery dates during the fourth quarter of 2026 and subsequent deliveries currently expected in the second and fourth quarters of 2027.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or (vi) the insolvency of, or the refusal or inability to perform for any reason, by Philly Shipyard or any of its subcontractors. Significant delays in the delivery of the new vessels could limit our ability to replace aging vessels in the Alaska service without substantial modifications, which could also have an adverse impact on our business plans, financial condition and results of operations.</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susceptible to weather, natural disasters, maritime accidents, spill events and other physical and operating risks, including those arising from climate change.</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As a maritime transportation company, the Company’s operations are vulnerable to disruption as a result of weather, natural disasters and other climate-driven events, such as rising temperatures, sea levels and storm severity, bad weather at sea, hurricanes, typhoons, tsunamis, floods and earthquakes, as well as a maritime accident, oil or other spill, or other environmental mishap. Climate change has increased and may continue to increase the frequency, severity and uncertainty of such events. Such events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ports such as Dutch Harbor and Kodiak, Alaska where the Company is dependent on a single crane. The Company’s vessels and their cargoes are also subject to operating risks such as mechanical failure, collisions and human error.</w:t>
      </w:r>
    </w:p>
    <w:p>
      <w:pPr>
        <w:spacing w:after="0" w:line="19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occurrence of any of these events may result in damage to or loss of terminals, port facilities and infrastructure, vessels, containers, cargo and other equipment, increased maintenance expense, loss of life or physical injury to its employees or people, pollution, or the slow down or suspension of operations. These events can expose the Company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 Furthermore, the Port of Alaska requires upgrades to its port facilities and infrastructure to improve operational safety and efficiency, accommodate modern shipping operations and improve resiliency, as well as to mitigate the risk of failure due to corrosion or loss of load-bearing capacity. As a result, there is an increased risk that an earthquake or other natural disaster could damage or render inoperable, in whole or in part, port facilities and infrastructure at the Port of Alaska. This, in turn, could adversely affect transportation volumes or rates in Alaska and adversely impact the Company’s Ocean Transportation business and Span Alaska’s freight forwarding business, particularly given the Alaskan economy’s dependence on this port for ocean cargo.</w:t>
      </w:r>
    </w:p>
    <w:p>
      <w:pPr>
        <w:spacing w:after="0" w:line="19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may require the Company to increase expenditures, make changes to existing infrastructure, vessels and equipment and shift its business model. For example, the maritime industry is moving toward deployment of clean energy technologies and use of electricity powered by renewable energy 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 In addition, compliance with new climate change requirements or regulations such as the IMO’s requirements related to EEXI and CII may create schedule disruptions and could require Matson’s fleet to slow down if efficiency improvements or transitions to alternative fuels together are not enough to reduce GHG emissions sufficiently, thus impacting Matson’s expedited business model and competitive advantage. 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87"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faces risks related to actual or threatened health epidemics, pandemics or other major health crises, such as the COVID-19 pandemic, which could significantly disrupt the Company’s business.</w:t>
      </w:r>
    </w:p>
    <w:p>
      <w:pPr>
        <w:spacing w:after="0" w:line="159"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The Company’s business could be impacted adversely by the effects of public health epidemics, pandemics or other major heath crises (which the Company refers to collectively as public health crises). Actual or threatened public health crises may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could adversely impact the Company’s business, financial condition, operating results and cash flows.</w:t>
      </w:r>
    </w:p>
    <w:p>
      <w:pPr>
        <w:spacing w:after="0" w:line="167"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significant operating agreements and leases could be replaced on less favorable terms or may not be replaced on acceptable terms.</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significant operating agreements and leases entered into by the Company in its businesses, including those related to terminals, chartered vessels and warehouses as well as those with SSAT, expire at various points in time and may not be replaced with comparable assets with the specifications necessary for the Company’s or SSAT’s businesses or could be replaced on less favorable terms, thereby adversely affecting the Company’s future financial position, results of operations and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routinely engage shipyards to dry-dock its vessels for regulatory compliance and to provide repair and maintenance.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with certainty and can be substantial.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76" w:lineRule="exact"/>
        <w:rPr>
          <w:sz w:val="20"/>
          <w:szCs w:val="20"/>
          <w:color w:val="auto"/>
        </w:rPr>
      </w:pPr>
    </w:p>
    <w:p>
      <w:pPr>
        <w:ind w:left="380" w:right="45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lack of voting control over the joint venture, including the risk that the joint venture takes actions resulting in reputational harm to the Company;</w:t>
      </w: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or inconsistency of interests between the Company and the joint venture partner;</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joint venture partner to fund its share of capital or fulfill its other commitments, including the risk that the joint venture partner could become bankrupt; and</w:t>
      </w:r>
    </w:p>
    <w:p>
      <w:pPr>
        <w:ind w:left="380" w:right="159" w:hanging="330"/>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and financial losses at the joint venture, which may lead to the Company writing down assets or incurring impairment charges.</w:t>
      </w:r>
    </w:p>
    <w:p>
      <w:pPr>
        <w:spacing w:after="0" w:line="181"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contributions from SSAT, including as a result of declines in detention and demurrage revenue and lift volumes due to reduced carrier volumes into U.S. West Coast ports.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Matson’s China, Alaska export, Micronesia, Japan and South Pacific services are subject to risks associated with conducting business in a foreign shipping market, which include:</w:t>
      </w:r>
    </w:p>
    <w:p>
      <w:pPr>
        <w:spacing w:after="0" w:line="162" w:lineRule="exact"/>
        <w:rPr>
          <w:sz w:val="20"/>
          <w:szCs w:val="20"/>
          <w:color w:val="auto"/>
        </w:rPr>
      </w:pPr>
    </w:p>
    <w:p>
      <w:pPr>
        <w:ind w:left="380" w:right="61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foreign countries and developing relationships with foreign companies, business associates and governments, including as a result of cultural differences;</w:t>
      </w: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dynamic employment and immigration laws;</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continued access to existing port facilities or feeder vessels;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changes in the cost of goods or currency exchange rate fluctuations;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or slower growth in the local markets or geographic areas in which we conduct business; and</w:t>
      </w:r>
    </w:p>
    <w:p>
      <w:pPr>
        <w:spacing w:after="0" w:line="9" w:lineRule="exact"/>
        <w:rPr>
          <w:rFonts w:ascii="Times New Roman" w:cs="Times New Roman" w:eastAsia="Times New Roman" w:hAnsi="Times New Roman"/>
          <w:sz w:val="18"/>
          <w:szCs w:val="18"/>
          <w:color w:val="auto"/>
        </w:rPr>
      </w:pPr>
    </w:p>
    <w:p>
      <w:pPr>
        <w:ind w:left="380" w:right="379" w:hanging="330"/>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involving U.S. trade relations with other countries, including the imposition of or uncertainty associated with the level of tariffs, non-tariff trade barriers or sanctions, including the use of export control restrictions and sanctions against certain countries and individual companies, or other governmental actions.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terminals in Hawaii and Alaska require modernization.</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Company has completed the first phase of renovating and modernizing its Sand Island terminal in Honolulu Harbor. Significant additional upgrades and projects remain. The Company is also continuing discussions with state and local authorities regarding a port modernization program for the Port of Alaska. Significant upgrades to the terminal and port facilities are needed to improve operational safety and efficiency, accommodate modern shipping operations, and improve resiliency. For example, the aging docks of the port are increasingly exposed to the risk of failure due to corrosion and the loss of load-bearing capacity particularly in the event of extreme seismic events or other natural disasters.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generate expected returns.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5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War, including the war in Ukraine,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may have an adverse effect on the Company’s business.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growth strategy includes expansion through acquisitions, including, for example, the Company’s acquisitions of Horizon Lines, Inc. (“Horizon”) in 2015 and Span Alaska in 2016. There is no assurance that the Company will be successful in identifying, negotiating, or consummating any future acquisitions. Even if suitable candidates are identified, such transactions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w:t>
      </w:r>
    </w:p>
    <w:p>
      <w:pPr>
        <w:spacing w:after="0" w:line="225" w:lineRule="exact"/>
        <w:rPr>
          <w:sz w:val="20"/>
          <w:szCs w:val="20"/>
          <w:color w:val="auto"/>
        </w:rPr>
      </w:pPr>
    </w:p>
    <w:p>
      <w:pPr>
        <w:jc w:val="both"/>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5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Item 1.C. Employees and Labor Relations of Part I of this Annual Report.</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Matson and SSAT are members of the PMA, which on behalf of its members negotiates collective bargaining agreements with the ILWU on the U.S. West Coast. The PMA/ILWU collective bargaining agreements that cover substantially all U.S. West Coast longshore labor expired on July 1, 2022. These collective bargaining agreements are being negotiated, but if such agreements are not renewed, Matson and SSAT could be subject to future slow-downs, strikes, lock-outs or other disruptions that may adversely impact Matson’s or SSAT’s operations.</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Loss of the Company’s key personnel or failure to adequately manage human capital could adversely affect its business.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Company’s future success will depend,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9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Company’s investments in and efforts to manage its human capital and maintain a desirable workplace culture, including to create a safe and healthy work environment, improve diversity and create a respectful, responsive and inclusive culture,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including with respect to diversity, equity and inclusion, or to compare favorably with the progress or goals of its industry or peers.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w:t>
      </w:r>
    </w:p>
    <w:p>
      <w:pPr>
        <w:spacing w:after="0" w:line="225"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not able to use its information technology and communications systems effectively, the Company’s ability to conduct business might be negatively impacted.</w:t>
      </w:r>
    </w:p>
    <w:p>
      <w:pPr>
        <w:spacing w:after="0" w:line="15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In the past, some of the Company’s employees worked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13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the Company’s continuous efforts to make investments in the Company’s information technology systems and system-wide data security program, the implementation of security measures to protect the Company’s data and infrastructure against breaches and other cyber threats, and the Company’s use of internal processes and controls designed to protect the security and availability of the Company’s systems, the Company has in the past experienced and may in the future experience cybersecurity incidents, such as computer viruses, hacking, malware, denial of service attacks, cyber terrorism, ransomware, circumvention of security systems, malfeasance, breaches due to employee error, natural disasters, telecommunications failure, or other catastrophic events at the Company’s facilities, aboard its vessels or at third-party locations.</w:t>
      </w:r>
    </w:p>
    <w:p>
      <w:pPr>
        <w:spacing w:after="0" w:line="19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could result in potential reductions in revenue and profits, damage to its reputation or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Matters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facility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if market interest rates increase, as has been the case in connection with the U.S. Federal Reserve’s interest rate increases in 2022, which could adversely affect the Company’s cash flow and results of operations. Disruptions to the credit markets as a result of macroeconomic, geopolitical, or financial market developments could increase the Company’s cost of capital and limit the Company’s access to capital.</w:t>
      </w:r>
    </w:p>
    <w:p>
      <w:pPr>
        <w:spacing w:after="0" w:line="18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 acquisitions and changes in the Company’s corporate structure. These factors may result in periodic revisions to the Company’s effective income tax rate, which could affect the Company’s cash flow and results of operations.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value of pension assets, or a change in pension law or key assumptions, may adversely affect the Company’s financial performance.</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90"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22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us to liability.</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transportation, handling and disposal of solid and hazardous materials, oil and oil related products, hazardous substances and wastes; the investigation and remediation of contamination; health, safety and the protection of the environment and natural resources; and climate change, including any regulations, mandates or restrictions related to GHG emissions, such as a “cap and trade” system of allowances and credits, and energy use. Any changes in applicable laws and regulations, including their enforcement, interpretation or implementation that results in more stringent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this Annual Report.</w:t>
      </w:r>
    </w:p>
    <w:p>
      <w:pPr>
        <w:spacing w:after="0" w:line="18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These laws and regulations provide for substantial fines, as well as criminal and civil penalties,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76"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continue to be exposed to risks and unknown liabilities related to the Horizon acquisition.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acquired Horizon subject to all of the liabilities and obligations of its non-Hawaii business, including any remaining liabilities and obligations associated with its Puerto Rico operations, which Horizon ceased during the first quarter of 2015. The disposition of these liabilities, and any other obligations that are unknown to the Company, including contingent liabilities, could have an adverse effect on the Company’s financial condition and results of operations.</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Pasha acquired Horizon’s former Hawaii business immediately before the Company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leases terminal facilities including berth, yard, office and storage spaces. Material terminal facilities used by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Ocean Transportation segment include the following locations: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Terminal Location</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Acreage</w:t>
            </w:r>
          </w:p>
        </w:tc>
      </w:tr>
      <w:tr>
        <w:trPr>
          <w:trHeight w:val="210"/>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Honolulu, Hawaii</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Dutch Harbor, Alaska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Tacoma, Washington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Point, Guam</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r>
    </w:tbl>
    <w:p>
      <w:pPr>
        <w:spacing w:after="0" w:line="8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Company’s other primary terminal facilities located at the ports of Oakland and Long Beach, California, and Tacoma, Washington are leased by SSAT.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material facilities used by both of the Company’s segments include the following:</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Material Facilities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Pooler, Georgia</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Warehouse</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406,463</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Pooler, Georgia</w:t>
            </w:r>
          </w:p>
        </w:tc>
        <w:tc>
          <w:tcPr>
            <w:tcW w:w="2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324,832</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shd w:val="clear" w:color="auto" w:fill="CCEEFF"/>
          </w:tcPr>
          <w:p>
            <w:pPr>
              <w:spacing w:after="0"/>
              <w:rPr>
                <w:sz w:val="18"/>
                <w:szCs w:val="18"/>
                <w:color w:val="auto"/>
              </w:rPr>
            </w:pP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Auburn, Washington</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80" w:type="dxa"/>
            <w:vAlign w:val="bottom"/>
          </w:tcPr>
          <w:p>
            <w:pPr>
              <w:spacing w:after="0"/>
              <w:rPr>
                <w:sz w:val="20"/>
                <w:szCs w:val="20"/>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segment has certain risks that could result in expenditures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environmental remediation. Except as described below, the Company believes that based on all information available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it, the Company is currently in compliance, in all material respects, with applicable environmental laws and regulations.</w:t>
      </w:r>
    </w:p>
    <w:p>
      <w:pPr>
        <w:spacing w:after="0" w:line="19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that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7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Although potential penalties for 2020, 2021 and 2022 violations could, in the aggregate, reasonably be expected to exceed $1 million, they are not expected to be material to the Company’s financial condition, results of operations, or cash flows.</w:t>
      </w:r>
    </w:p>
    <w:p>
      <w:pPr>
        <w:spacing w:after="0" w:line="17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ind w:left="60" w:right="6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Information: </w:t>
      </w:r>
      <w:r>
        <w:rPr>
          <w:rFonts w:ascii="Times New Roman" w:cs="Times New Roman" w:eastAsia="Times New Roman" w:hAnsi="Times New Roman"/>
          <w:sz w:val="18"/>
          <w:szCs w:val="18"/>
          <w:color w:val="auto"/>
        </w:rPr>
        <w:t>Matson’s common stock is traded on the New York Stock Exchange under the ticker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“MATX”. As of February 17, 2023, there were 2,021 shareholders of record of Matson common stock.</w:t>
      </w:r>
    </w:p>
    <w:p>
      <w:pPr>
        <w:spacing w:after="0" w:line="158" w:lineRule="exact"/>
        <w:rPr>
          <w:sz w:val="20"/>
          <w:szCs w:val="20"/>
          <w:color w:val="auto"/>
        </w:rPr>
      </w:pPr>
    </w:p>
    <w:p>
      <w:pPr>
        <w:jc w:val="both"/>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 Return Performance Graph and Trading Information: </w:t>
      </w:r>
      <w:r>
        <w:rPr>
          <w:rFonts w:ascii="Times New Roman" w:cs="Times New Roman" w:eastAsia="Times New Roman" w:hAnsi="Times New Roman"/>
          <w:sz w:val="18"/>
          <w:szCs w:val="18"/>
          <w:color w:val="auto"/>
        </w:rPr>
        <w:t>The following information in this Item 5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filed for purposes of Section 18 of the Securities Exchange Act of 1934, nor shall it be deemed incorporated by reference in any filing under the Securities Act of 1933.</w:t>
      </w:r>
    </w:p>
    <w:p>
      <w:pPr>
        <w:spacing w:after="0" w:line="17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2022.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434965" cy="4491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34965"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December 31, 2017 in stock or index, including reinvestment of dividends.</w:t>
      </w:r>
    </w:p>
    <w:p>
      <w:pPr>
        <w:spacing w:after="0" w:line="320"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Trading volume averaged 431,336 shares a day in 2022, compared with 291,899 shares a day in 2021 and 234,930 shares a day in 2020, as reported by the New York Stock Exchange.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Dividends declared per share of common stock by the Company for each fiscal quarter during 2022,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0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tcPr>
          <w:p>
            <w:pPr>
              <w:spacing w:after="0"/>
              <w:rPr>
                <w:sz w:val="18"/>
                <w:szCs w:val="18"/>
                <w:color w:val="auto"/>
              </w:rPr>
            </w:pPr>
          </w:p>
        </w:tc>
      </w:tr>
      <w:tr>
        <w:trPr>
          <w:trHeight w:val="210"/>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Board of Directors also declared a cash dividend of $0.31 per share for the first quarter 2023, payable 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March 2, 2023 to shareholders of record on February 9, 2023.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87"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The following is a summary of Matson common stock repurchased by the Company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31, 2022:</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768,161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768,161</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2,291,571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406,200</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1,526,361</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1,526,361</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19" w:hanging="330"/>
        <w:spacing w:after="0" w:line="233"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the Company announced that Matson’s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Shares will be repurchased in the open market from time to time, and may be made pursuant to a trading plan in accordance with Rule 10b5-1 of the Security Exchange Act of 1934.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2023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the Consolidated Financial Statements and the accompanying notes to the Consolidated Financial Statements in Item 8 of Part II below, and should be read in conjunction with the Company’s Annual Reports on Form 10-K and other reports on Forms 10-Q and 8-K, and other publicly available information. Discussion and analysis of the financial condition and results of operations of Matson </w:t>
      </w:r>
      <w:hyperlink r:id="rId47">
        <w:r>
          <w:rPr>
            <w:rFonts w:ascii="Times New Roman" w:cs="Times New Roman" w:eastAsia="Times New Roman" w:hAnsi="Times New Roman"/>
            <w:sz w:val="18"/>
            <w:szCs w:val="18"/>
            <w:color w:val="auto"/>
          </w:rPr>
          <w:t xml:space="preserve">for the years ended December 31, 2021 and 2020 can be found in Part II, Item 7 of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10-K for the year ended December 31, 2021</w:t>
        </w:r>
        <w:r>
          <w:rPr>
            <w:rFonts w:ascii="Times New Roman" w:cs="Times New Roman" w:eastAsia="Times New Roman" w:hAnsi="Times New Roman"/>
            <w:sz w:val="18"/>
            <w:szCs w:val="18"/>
            <w:color w:val="000000"/>
          </w:rPr>
          <w:t>, filed with the SEC on February 25, 2022.</w:t>
        </w:r>
      </w:hyperlink>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MD&amp;A is presented in the following sections: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 Financial Information</w:t>
      </w:r>
    </w:p>
    <w:p>
      <w:pPr>
        <w:spacing w:after="0" w:line="47" w:lineRule="exact"/>
        <w:rPr>
          <w:sz w:val="20"/>
          <w:szCs w:val="20"/>
          <w:color w:val="auto"/>
        </w:rPr>
      </w:pPr>
    </w:p>
    <w:p>
      <w:pPr>
        <w:ind w:left="720" w:right="3359"/>
        <w:spacing w:after="0" w:line="250" w:lineRule="auto"/>
        <w:rPr>
          <w:sz w:val="20"/>
          <w:szCs w:val="20"/>
          <w:color w:val="auto"/>
        </w:rPr>
      </w:pPr>
      <w:r>
        <w:rPr>
          <w:rFonts w:ascii="Times New Roman" w:cs="Times New Roman" w:eastAsia="Times New Roman" w:hAnsi="Times New Roman"/>
          <w:sz w:val="18"/>
          <w:szCs w:val="18"/>
          <w:color w:val="auto"/>
        </w:rPr>
        <w:t>Fourth Quarter 2022 Discussion and Update on Business Conditions Consolidated Results of Operations</w:t>
      </w:r>
    </w:p>
    <w:p>
      <w:pPr>
        <w:ind w:left="720" w:right="4239"/>
        <w:spacing w:after="0" w:line="250" w:lineRule="auto"/>
        <w:rPr>
          <w:sz w:val="20"/>
          <w:szCs w:val="20"/>
          <w:color w:val="auto"/>
        </w:rPr>
      </w:pPr>
      <w:r>
        <w:rPr>
          <w:rFonts w:ascii="Times New Roman" w:cs="Times New Roman" w:eastAsia="Times New Roman" w:hAnsi="Times New Roman"/>
          <w:sz w:val="18"/>
          <w:szCs w:val="18"/>
          <w:color w:val="auto"/>
        </w:rPr>
        <w:t>Analysis of Operating Revenue and Income by Segment Liquidity and Capital Resources</w:t>
      </w:r>
    </w:p>
    <w:p>
      <w:pPr>
        <w:ind w:left="720" w:right="3419"/>
        <w:spacing w:after="0" w:line="258" w:lineRule="auto"/>
        <w:rPr>
          <w:sz w:val="20"/>
          <w:szCs w:val="20"/>
          <w:color w:val="auto"/>
        </w:rPr>
      </w:pPr>
      <w:r>
        <w:rPr>
          <w:rFonts w:ascii="Times New Roman" w:cs="Times New Roman" w:eastAsia="Times New Roman" w:hAnsi="Times New Roman"/>
          <w:sz w:val="18"/>
          <w:szCs w:val="18"/>
          <w:color w:val="auto"/>
        </w:rPr>
        <w:t>Commitments, Contingencies and Off-Balance Sheet Arrangements 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comparative selected financial information of the Company is presented for each of the five years in the period ended December 31, 2022. The information should be read in conjunction with Item 8, “Financial Statements and Supplementary Data.” All fiscal years include 52 weeks, except for the year ended December 31, 2021 which includes 53 weeks (a description of the Company’s fiscal year is included in Note 2 to the Consolidated Financial Statements in Item 8 of Part II below):</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3,544.6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3,132.8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1,853.9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1,666.6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1,641.3</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4,343.0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3,925.3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2,383.3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2,203.1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and Net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1,137.7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(2)</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(243.9)</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(38.7)</w:t>
            </w:r>
          </w:p>
        </w:tc>
      </w:tr>
      <w:tr>
        <w:trPr>
          <w:trHeight w:val="196"/>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Borders>
              <w:bottom w:val="single" w:sz="8" w:color="CCEEFF"/>
            </w:tcBorders>
          </w:tcPr>
          <w:p>
            <w:pPr>
              <w:spacing w:after="0"/>
              <w:rPr>
                <w:sz w:val="17"/>
                <w:szCs w:val="17"/>
                <w:color w:val="auto"/>
              </w:rPr>
            </w:pPr>
          </w:p>
        </w:tc>
      </w:tr>
      <w:tr>
        <w:trPr>
          <w:trHeight w:val="196"/>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Deferred Dry-docking Amortization — Ocean Transportation</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in Net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per share declared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Construction Fund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Debt (before deferred loan fees deduction) (4)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40" w:type="dxa"/>
            <w:vAlign w:val="bottom"/>
            <w:shd w:val="clear" w:color="auto" w:fill="CCEEFF"/>
          </w:tcPr>
          <w:p>
            <w:pPr>
              <w:spacing w:after="0"/>
              <w:rPr>
                <w:sz w:val="17"/>
                <w:szCs w:val="17"/>
                <w:color w:val="auto"/>
              </w:rPr>
            </w:pPr>
          </w:p>
        </w:tc>
      </w:tr>
      <w:tr>
        <w:trPr>
          <w:trHeight w:val="210"/>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380" w:right="479" w:hanging="330"/>
        <w:spacing w:after="0" w:line="219"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Ocean Transportation segment includes $83.1 million, $56.3 million, $26.3 million, $20.8 million and $36.8 million of equity in income from the Company’s investment in SSAT for 2022, 2021, 2020, 2019 and 2018, respectively.</w:t>
      </w:r>
    </w:p>
    <w:p>
      <w:pPr>
        <w:ind w:left="380" w:right="199" w:hanging="330"/>
        <w:spacing w:after="0" w:line="225" w:lineRule="auto"/>
        <w:tabs>
          <w:tab w:leader="none" w:pos="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Income taxes for the years ended December 31, 2019 and 2018 include a non-cash income tax (expense)/benefit of $2.9 million and $(2.9) million, respectively, related to the remeasurement of the Company’s deferred assets and liabilities and other discrete adjustments as a result of applying the Tax Cut and Jobs Act of 2017.</w:t>
      </w:r>
    </w:p>
    <w:p>
      <w:pPr>
        <w:ind w:left="380" w:hanging="330"/>
        <w:spacing w:after="0" w:line="22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Capital Construction Fund is described in Note 7 to the Consolidated Financial Statements in Item 8 of Part II.</w:t>
      </w:r>
    </w:p>
    <w:p>
      <w:pPr>
        <w:ind w:left="380" w:hanging="330"/>
        <w:spacing w:after="0" w:line="223"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debt is described in Note 8 to the Consolidated Financial Statements in Item 8 of Part II.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2022 DISCUSSION AND UPDATE ON BUSINESS CONDITIONS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fourth quarter 2022 was</w:t>
      </w:r>
    </w:p>
    <w:p>
      <w:pPr>
        <w:spacing w:after="0" w:line="29"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13.0 percent lower year-over-year. The decrease was primarily due to (i) lower retail- and hospitality-related demand compared to elevated pandemic levels in the year ago period and (ii) one less week. During the quarter, the Company saw retail customers continue to manage inventories to weaker consumer demand levels despite continued improvement in the Hawaii economy supported by a low unemployment rate and relatively strong tourist arrivals, including a modest improvement in international tourist trends. In the near-term, Matson expects economic growth in Hawaii supported by continued strength in tourism and a low unemployment rate, but there are negative trends as a result of higher inflation, higher interest rates and the end of the pandemic-era stimulus helping personal income that creates uncertainty in the economic growth trajectory.</w:t>
      </w:r>
    </w:p>
    <w:p>
      <w:pPr>
        <w:spacing w:after="0" w:line="194"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China, the Company’s container volume in the fourth quarter 2022 decreased 47.2 percent year-over-year. The decrease was primarily due to (i) lower demand for the CLX and CLX+ services, (ii) the discontinuation of the CCX service in the third quarter 2022 and (iii) one less week. Matson continued to realize a significant rate premium over the Shanghai Containerized Freight Index (“SCFI”) in the fourth quarter 2022 but achieved average freight rates that were lower than in the year ago period. Currently in the Transpacific marketplace, business conditions remain challenging as retailers continue to right-size inventories amid weakening consumer demand, increasing interest rates and economic uncertainty. As such, the Company expects its CLX and CLX+ services in the first quarter and first half of the year to reflect freight demand levels below normalized conditions with lower year-over-year volumes and a lower rate environment. Absent an economic “hard landing” in the U.S., Matson expects improved trade dynamics in the second half of 2023 as the Transpacific marketplace transitions to a more normalized level of demand. Regardless of the economic environment, Matson operates the two fastest and most reliable ocean services and, as a result, the Company expects to continue to earn a significant rate premium to the SCFI.</w:t>
      </w:r>
    </w:p>
    <w:p>
      <w:pPr>
        <w:spacing w:after="0" w:line="19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Guam, the Company’s container volume in the fourth quarter 2022 decreased 14.0 percent year-over-year primarily due to lower retail-related demand. In the near-term, the Company expects continued improvement in the Guam economy with increasing tourism and a low unemployment rate, but there are negative trends as a result of higher inflation, higher interest rates and the end of the pandemic-era stimulus helping personal income that creates uncertainty in the economic growth trajectory.</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Alaska, the Company’s container volume for the fourth quarter 2022 decreased 7.7 percent year-over-year due to (i) lower northbound volume primarily due to one less sailing and one less week and (ii) lower southbound volume primarily due to lower domestic seafood volume and one less week, partially offset by higher export seafood volume from Alaska-Asia Express (“AAX”). In the near-term, the Company expects the Alaska economy to benefit from low unemployment and increased energy-related exploration and production activity as a result of elevated oil prices, but there are negative trends as a result of higher inflation, higher interest rates and the end of the pandemic-era stimulus helping personal income that creates uncertainty in the economic growth trajectory.</w:t>
      </w:r>
    </w:p>
    <w:p>
      <w:pPr>
        <w:spacing w:after="0" w:line="18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contribution in the fourth quarter 2022 from the Company’s SSAT joint venture investment was $1.0 million, or $20.3 million lower than the fourth quarter 2021. The decrease was primarily driven by lower other terminal revenue, lower lift volume and higher operating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fourth quarter 2022, operating income for the Company’s Logistics segment was $12.8 million, or</w:t>
      </w:r>
    </w:p>
    <w:p>
      <w:pPr>
        <w:spacing w:after="0" w:line="29"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$2.0 million lower compared to the level achieved in the fourth quarter 2021. The decrease was primarily due to a lower contribution from supply chain management consistent with lower demand in the Transpacific tradelane.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analysis of the financial results of operations of Matson for the years ended December 31, 2022 and 2021 should be read in conjunction with the Consolidated Financial Statements in Item 8 of Part II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2022 compared with 2021: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(2,989.4)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27.28</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21.67</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5.61</w:t>
            </w:r>
          </w:p>
        </w:tc>
        <w:tc>
          <w:tcPr>
            <w:tcW w:w="200" w:type="dxa"/>
            <w:vAlign w:val="bottom"/>
            <w:vMerge w:val="continue"/>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Fiscal years ended December 31, 2022 and 2021 include 52 and 53 weeks, respectively.</w:t>
      </w:r>
    </w:p>
    <w:p>
      <w:pPr>
        <w:spacing w:after="0" w:line="158"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Revenue </w:t>
      </w:r>
      <w:r>
        <w:rPr>
          <w:rFonts w:ascii="Times New Roman" w:cs="Times New Roman" w:eastAsia="Times New Roman" w:hAnsi="Times New Roman"/>
          <w:sz w:val="18"/>
          <w:szCs w:val="18"/>
          <w:color w:val="auto"/>
        </w:rPr>
        <w:t>for the year ended December 31, 2022 increased $417.7 million, or 10.6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The increase was due to an increase in Ocean Transportation revenue of $411.8 million and an increase in Logistics revenue of $5.9 million.</w:t>
      </w:r>
    </w:p>
    <w:p>
      <w:pPr>
        <w:spacing w:after="0" w:line="106"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the year ended December 31, 2022 increased $251.6 million, or 9.2 percent,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prior year. The increase was due to an increase in Ocean Transportation operating costs and expenses of $268.3 million, partially offset by a decrease in Logistics operating costs and expenses of $16.7 million.</w:t>
      </w:r>
    </w:p>
    <w:p>
      <w:pPr>
        <w:spacing w:after="0" w:line="106" w:lineRule="exact"/>
        <w:rPr>
          <w:sz w:val="20"/>
          <w:szCs w:val="20"/>
          <w:color w:val="auto"/>
        </w:rPr>
      </w:pPr>
    </w:p>
    <w:p>
      <w:pPr>
        <w:jc w:val="both"/>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for the year ended December 31, 2022 increased $166.1 million, or 14.0 percent, compared to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increase was due to an increase in Ocean Transportation operating income of $143.5 million and an increase in Logistics operating income of $22.6 million.</w:t>
      </w:r>
    </w:p>
    <w:p>
      <w:pPr>
        <w:spacing w:after="0" w:line="10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reasons for changes in operating revenue, operating costs and expenses, and operating income are described below, by business segment, in “Analysis of Operating Revenue and Income by Segment.”</w:t>
      </w:r>
    </w:p>
    <w:p>
      <w:pPr>
        <w:spacing w:after="0" w:line="92"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was $8.2 million for the year ended December 31, 2022 and was due to amounts on deposit in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 accounts, and cash on deposit within the Capital Construction Fund that were invested in interest bearing accounts during the year ended December 31, 2022. Interest income for the year ended December 31, 2021 was nominal.</w:t>
      </w:r>
    </w:p>
    <w:p>
      <w:pPr>
        <w:spacing w:after="0" w:line="173"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$18.0 million for the year ended December 31, 2022, compared to $22.6 million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interest expense was due to lower outstanding debt during the year ended December 31, 2022, compared to the prior year.</w:t>
      </w:r>
    </w:p>
    <w:p>
      <w:pPr>
        <w:spacing w:after="0" w:line="10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was $8.5 million for the year ended December 31, 2022, compared to $6.4 million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and relates to the amortization of certain components of net periodic benefit costs or gains related to the Company’s pension and post-retirement plans. The increase in Other income (expense) was due to favorable adjustments reflected in the Company’s pension and post-retirement plan liabilities during the year ended December 31, 2021.</w:t>
      </w:r>
    </w:p>
    <w:p>
      <w:pPr>
        <w:spacing w:after="0" w:line="112"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the year ended December 31, 2022 were $288.4 million, or 21.3 percent of income before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$243.9 million, or 20.8 percent of income before income taxes in the prior year. The 2021 income tax rate benefited from certain discrete tax adjustments that lowered the effective tax rate in the prior year.</w:t>
      </w:r>
    </w:p>
    <w:p>
      <w:pPr>
        <w:spacing w:after="0" w:line="106"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during the year ended December 31, 2022 increased $136.5 million, or 14.7 percent, to $1,063.9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2022, compared to the prior year.</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14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analysis of operating revenue and income by segment for the years ended December 31, 2022 and 2021 should be read in conjunction with the Company’s reportable segments information included in Note 3 to the Consolidated Financial Statements in Item 8 of Part II.</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Ocean Transportation: 2022 compared with 2021: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(2,263.4)</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(1,995.1)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19" w:hanging="330"/>
        <w:spacing w:after="0" w:line="233"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Ocean Transportation revenue increased $411.8 million, or 13.1 percent, during the year ended December 31, 2022, compared with the year ended December 31, 2021. The increase was primarily due to higher average freight rates in China, higher fuel-related surcharge revenue and higher volume in Alaska, partially offset by lower volume in China and Hawaii.</w:t>
      </w:r>
    </w:p>
    <w:p>
      <w:pPr>
        <w:spacing w:after="0" w:line="18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5.8 percent primarily due to lower retail-related demand and one less week; Alaska volume increased 8.6 percent due to (i) higher export seafood volume from AAX, (ii) higher northbound volume primarily due to higher retail-related demand and volume related to a competitor’s dry-docking, partially offset by one less week and (iii) higher southbound volume primarily due to higher domestic seafood volume; China volume was 11.7 percent lower primarily due to (a) lower demand for the CLX and CLX+ services and (b) one less week, partially offset by incremental volume on the CCX service; Guam volume decreased 3.7 percent primarily due to lower retail-related volume; and Other containers volume increased 11.4 percent.</w:t>
      </w:r>
    </w:p>
    <w:p>
      <w:pPr>
        <w:spacing w:after="0" w:line="189"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increased $143.5 million during the year ended December 31, 2022, compared with the year ended December 31, 2021. The increase was primarily due to higher freight rates in China and a higher contribution from SSAT, partially offset by lower volume in China, higher operating costs and expenses (including fuel-related expenses) primarily due to the CLX+ service and higher terminal handling costs.</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$83.1 million during the year ended December 31, 2022, compared to a contribution of $56.3 million during the year ended December 31, 2021. The increase was primarily driven by higher other terminal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Logistics: 2022 compared with 2021: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3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Logistics revenue increased $5.9 million, or 0.7 percent, during the year ended December 31, 2022, compared with the year ended December 31, 2021. The increase was primarily due to higher revenue in freight forwarding, supply chain management and warehousing, partially offset by lower transportation brokerage revenue.</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$22.6 million, or 45.4 percent, during the year ended December 31, 2022, compared with the year ended December 31, 2021. The increase was primarily due to higher contributions from transportation brokerage and freight forwarding.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are its cash flows generated from operating activities and its debt. Sources of liquidity available to the Company as of December 31, 2022 compared to December 31, 2021, were as follows:</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and Accounts Receivable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cash equivalents, restricted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net, as of December 31, 2022 and 2021 were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659" w:hanging="330"/>
        <w:spacing w:after="0" w:line="26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accounts receivable of $9.9 million and $9.8 million at December 31, 2022 and 2021, respectively, were assigned to the CCF. For additional information on the CCF, see Note 7 to the Consolidated Financial Statements.</w:t>
      </w:r>
    </w:p>
    <w:p>
      <w:pPr>
        <w:spacing w:after="0" w:line="167"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Changes in the Company’s cash, cash equivalents and restricted cash for the years ended December 31, 2022, 2021 and 2020 were as follows:</w:t>
      </w: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2022-2021</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2021-2020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(729.3)</w:t>
            </w: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(323.4)</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(177.0)</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(405.9)</w:t>
            </w:r>
          </w:p>
        </w:tc>
        <w:tc>
          <w:tcPr>
            <w:tcW w:w="1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(146.4)</w:t>
            </w:r>
          </w:p>
        </w:tc>
        <w:tc>
          <w:tcPr>
            <w:tcW w:w="0" w:type="dxa"/>
            <w:vAlign w:val="bottom"/>
          </w:tcPr>
          <w:p>
            <w:pPr>
              <w:spacing w:after="0"/>
              <w:rPr>
                <w:sz w:val="1"/>
                <w:szCs w:val="1"/>
                <w:color w:val="auto"/>
              </w:rPr>
            </w:pPr>
          </w:p>
        </w:tc>
      </w:tr>
      <w:tr>
        <w:trPr>
          <w:trHeight w:val="40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(3)</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(576.6)</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(392.7)</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(183.9)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(302.0)</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the period</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the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right="279" w:hanging="330"/>
        <w:spacing w:after="0" w:line="26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Provided by Operating Activities: </w:t>
      </w:r>
      <w:r>
        <w:rPr>
          <w:rFonts w:ascii="Times New Roman" w:cs="Times New Roman" w:eastAsia="Times New Roman" w:hAnsi="Times New Roman"/>
          <w:sz w:val="18"/>
          <w:szCs w:val="18"/>
          <w:color w:val="auto"/>
        </w:rPr>
        <w:t>Changes in net cash provided by operating activities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2022, 2021 and 2020 were as follows:</w:t>
      </w:r>
    </w:p>
    <w:tbl>
      <w:tblPr>
        <w:tblLayout w:type="fixed"/>
        <w:tblInd w:w="40" w:type="dxa"/>
        <w:tblCellMar>
          <w:top w:w="0" w:type="dxa"/>
          <w:left w:w="0" w:type="dxa"/>
          <w:bottom w:w="0" w:type="dxa"/>
          <w:right w:w="0" w:type="dxa"/>
        </w:tblCellMar>
      </w:tblPr>
      <w:tr>
        <w:trPr>
          <w:trHeight w:val="162"/>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2021-2020</w:t>
            </w:r>
          </w:p>
        </w:tc>
        <w:tc>
          <w:tcPr>
            <w:tcW w:w="0" w:type="dxa"/>
            <w:vAlign w:val="bottom"/>
          </w:tcPr>
          <w:p>
            <w:pPr>
              <w:spacing w:after="0"/>
              <w:rPr>
                <w:sz w:val="1"/>
                <w:szCs w:val="1"/>
                <w:color w:val="auto"/>
              </w:rPr>
            </w:pP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distributions from SSAT,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r>
              <w:rPr>
                <w:rFonts w:ascii="Times New Roman" w:cs="Times New Roman" w:eastAsia="Times New Roman" w:hAnsi="Times New Roman"/>
                <w:sz w:val="18"/>
                <w:szCs w:val="18"/>
                <w:u w:val="single" w:color="auto"/>
                <w:color w:val="auto"/>
              </w:rPr>
              <w:t>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Income from SSAT was $83.1 million for the year ended December 31, 2022, compared to $56.3 million in the prior year. The increase in income from SSAT was primarily due to higher operating profits generated by SSAT during the year ended December 31, 2022, compared to the prior year. Cash distributions from SSAT were $47.3 million for the</w:t>
      </w:r>
    </w:p>
    <w:p>
      <w:pPr>
        <w:sectPr>
          <w:pgSz w:w="11900" w:h="16838" w:orient="portrait"/>
          <w:cols w:equalWidth="0" w:num="1">
            <w:col w:w="9019"/>
          </w:cols>
          <w:pgMar w:left="1440" w:top="513" w:right="1440" w:bottom="717"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717"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year ended December 31, 2022, compared to $46.9 million in the prior year. Cash distributions from SSAT are dependent on the level of cash available for distribution after SSAT’s operational and capital needs. Changes in accounts receivable were primarily due to lower accounts receivables outstanding at the end of December 31, 2022, due to lower revenue at the end of the year as compared to prior year, and the timing of collections associated with those receivables. Changes in prepaid expenses and other assets were primarily due to increased prepaid fuel, insurance and other operating related costs, primarily due to an increase in the cost for such expenses, and prepaid income taxes primarily due to the use of the CCF fund during the year ended December 31, 2022, compared to the prior year. Changes in accounts payable, accruals and other liabilities were primarily due to a decrease in operating activity resulting in a reduction of operating costs and the timing of payments associated with those liabilities. Changes in operating lease liabilities were primarily due to new operating lease additions partially offset by operating leases that expired during the year ended December 31, 2022. Deferred dry-docking payments were $25.7 million for the year ended December 31, 2022, compared to $36.3 million in the prior year. The decrease in deferred dry-docking payments was due to a decrease in vessel dry-dock related activities during the year ended December 31, 2022, compared to the prior year.</w:t>
      </w:r>
    </w:p>
    <w:p>
      <w:pPr>
        <w:spacing w:after="0" w:line="185" w:lineRule="exact"/>
        <w:rPr>
          <w:sz w:val="20"/>
          <w:szCs w:val="20"/>
          <w:color w:val="auto"/>
        </w:rPr>
      </w:pPr>
    </w:p>
    <w:p>
      <w:pPr>
        <w:ind w:left="380" w:right="139" w:hanging="330"/>
        <w:spacing w:after="0" w:line="26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Investing Activities: </w:t>
      </w:r>
      <w:r>
        <w:rPr>
          <w:rFonts w:ascii="Times New Roman" w:cs="Times New Roman" w:eastAsia="Times New Roman" w:hAnsi="Times New Roman"/>
          <w:sz w:val="18"/>
          <w:szCs w:val="18"/>
          <w:color w:val="auto"/>
        </w:rPr>
        <w:t>Changes in net cash used in investing activities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2021 and 2020 were as follows:</w:t>
      </w:r>
    </w:p>
    <w:tbl>
      <w:tblPr>
        <w:tblLayout w:type="fixed"/>
        <w:tblInd w:w="40" w:type="dxa"/>
        <w:tblCellMar>
          <w:top w:w="0" w:type="dxa"/>
          <w:left w:w="0" w:type="dxa"/>
          <w:bottom w:w="0" w:type="dxa"/>
          <w:right w:w="0" w:type="dxa"/>
        </w:tblCellMar>
      </w:tblPr>
      <w:tr>
        <w:trPr>
          <w:trHeight w:val="162"/>
        </w:trPr>
        <w:tc>
          <w:tcPr>
            <w:tcW w:w="7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09"/>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into CCF</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capital expenditures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Capitalized vessel construction expenditures was $62.4 million for the year ended December 31, 2022, compared to</w:t>
      </w:r>
    </w:p>
    <w:p>
      <w:pPr>
        <w:spacing w:after="0" w:line="27"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 xml:space="preserve">$14.9 million in the prior year. The increase in capitalized vessel construction expenditures (including cash and interest deposited into the CCF less cash withdrawals from the CCF which are used for vessel construction related payments) was due to the commencement of the Company’s new fleet renewal program in 2022. Capitalized vessel construction expenditures incurred in 2022 related to milestone payments on the construction of three new vessels and the construction of a new flat-deck barge. Other capital expenditures (excluding capitalized vessel construction expenditures) was $146.9 million for the year ended December 31, 2022, compared to $310.4 million for the prior year. Other capital expenditures during the year ended December 31, 2021 included the purchase of additional containers, chassis and other terminal equipment to support the increase in the Company’s operational activities, and the repurchase of </w:t>
      </w:r>
      <w:r>
        <w:rPr>
          <w:rFonts w:ascii="Times New Roman" w:cs="Times New Roman" w:eastAsia="Times New Roman" w:hAnsi="Times New Roman"/>
          <w:sz w:val="18"/>
          <w:szCs w:val="18"/>
          <w:i w:val="1"/>
          <w:iCs w:val="1"/>
          <w:color w:val="auto"/>
        </w:rPr>
        <w:t>Maunalei</w:t>
      </w:r>
      <w:r>
        <w:rPr>
          <w:rFonts w:ascii="Times New Roman" w:cs="Times New Roman" w:eastAsia="Times New Roman" w:hAnsi="Times New Roman"/>
          <w:sz w:val="18"/>
          <w:szCs w:val="18"/>
          <w:color w:val="auto"/>
        </w:rPr>
        <w:t xml:space="preserve"> vessel for $95.8 million.</w:t>
      </w:r>
    </w:p>
    <w:p>
      <w:pPr>
        <w:spacing w:after="0" w:line="191" w:lineRule="exact"/>
        <w:rPr>
          <w:sz w:val="20"/>
          <w:szCs w:val="20"/>
          <w:color w:val="auto"/>
        </w:rPr>
      </w:pPr>
    </w:p>
    <w:p>
      <w:pPr>
        <w:ind w:left="380" w:right="519" w:hanging="330"/>
        <w:spacing w:after="0" w:line="26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Financing Activities: </w:t>
      </w:r>
      <w:r>
        <w:rPr>
          <w:rFonts w:ascii="Times New Roman" w:cs="Times New Roman" w:eastAsia="Times New Roman" w:hAnsi="Times New Roman"/>
          <w:sz w:val="18"/>
          <w:szCs w:val="18"/>
          <w:color w:val="auto"/>
        </w:rPr>
        <w:t>Changes in net cash used in financing activities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2021 and 2020 were as follows:</w:t>
      </w:r>
    </w:p>
    <w:tbl>
      <w:tblPr>
        <w:tblLayout w:type="fixed"/>
        <w:tblInd w:w="40" w:type="dxa"/>
        <w:tblCellMar>
          <w:top w:w="0" w:type="dxa"/>
          <w:left w:w="0" w:type="dxa"/>
          <w:bottom w:w="0" w:type="dxa"/>
          <w:right w:w="0" w:type="dxa"/>
        </w:tblCellMar>
      </w:tblPr>
      <w:tr>
        <w:trPr>
          <w:trHeight w:val="162"/>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received from issuance of fixed interest debt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fixed interest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and borrowings under revolving credit facility,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settlements of restricted stock units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other payments, net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u w:val="single" w:color="auto"/>
                <w:color w:val="auto"/>
              </w:rPr>
              <w:t>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paid $397.0 million to repurchase common stock during the year ended December 31, 2022, compared to $198.3 million in the prior year. The Company did not issue any new fixed interest debt during the years ended December 31, 2022 and 2021. The Company paid $111.5 million of prepaid and scheduled fixed interest debt principal payments, compared to $59.3 million of scheduled principal payments paid during the prior year. During the year ended December 31, 2021, the Company paid $71.8 million, net to fully repay the Company’s revolving credit facility. There were no borrowings under the revolving credit facility during the year ended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 utilizes its CCF to fund milestone payments for the construction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The Company’s CCF is described in Note 7 to the Consolidated Financial Statements. Cash on deposit in the CCF and assigned accounts receivable as of December 31, 2022 and 2021 is as follows: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on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deposited $582.8 million and $31.2 million into the CCF, respectively. During the years ended December 31, 2022 and 2021, the Company made withdrawals of $64.6 million and $31.2 million out of the CCF, respectively, which were used to make milestone payments for the construction of new vessels. Cash on deposit in the CCF is held in short term U.S. Treasury Obligation Funds and classified as a long-term asset in the Company’s Consolidated Balance Sheets, as the Company intends to use qualified cash withdrawals from the CCF to fund long-term investments in the construction of new vessels. Assigned accounts receivable in the CCF are classified as part of accounts receivable in the Consolidated Balance Sheets due to the nature of the assignment.</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On February 17, 2023, the Company pledged an additional $200.0 million of eligible accounts receivables to the CCF, and deposited an additional $100.0 million of cash into the CCF.</w:t>
      </w:r>
    </w:p>
    <w:p>
      <w:pPr>
        <w:spacing w:after="0" w:line="239" w:lineRule="exact"/>
        <w:rPr>
          <w:sz w:val="20"/>
          <w:szCs w:val="20"/>
          <w:color w:val="auto"/>
        </w:rPr>
      </w:pPr>
    </w:p>
    <w:p>
      <w:pPr>
        <w:ind w:left="60" w:right="3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 utilizes a mix of fixed and variable debt for liquidity and to fund the Company’s operations.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as of December 31, 2022 and 2021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228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517.5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629.0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Total debt decreased by $111.5 million during the year ended December 31, 2022 compared to the prior year. The decrease in fixed interest debt was due to the prepayment of $50.4 million of outstanding principal of private placement term loans and scheduled debt repayments of private placement term loans and Title XI debt made during the year ended December 31, 2022.</w:t>
      </w:r>
    </w:p>
    <w:p>
      <w:pPr>
        <w:spacing w:after="0" w:line="180"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$642.1 million of unused capacity under the revolving credit facility, with a maturity date of March 31, 2026. The Company’s debt is described in Note 8 to the Consolidated Financial Statements in Item 8 of Part II.</w:t>
      </w:r>
    </w:p>
    <w:p>
      <w:pPr>
        <w:spacing w:after="0" w:line="174"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 xml:space="preserve">On January 27, 2023, the Company prepaid $14.3 million of outstanding principal on the </w:t>
      </w:r>
      <w:r>
        <w:rPr>
          <w:rFonts w:ascii="Times New Roman" w:cs="Times New Roman" w:eastAsia="Times New Roman" w:hAnsi="Times New Roman"/>
          <w:sz w:val="18"/>
          <w:szCs w:val="18"/>
          <w:i w:val="1"/>
          <w:iCs w:val="1"/>
          <w:color w:val="auto"/>
        </w:rPr>
        <w:t>Maunawili</w:t>
      </w:r>
      <w:r>
        <w:rPr>
          <w:rFonts w:ascii="Times New Roman" w:cs="Times New Roman" w:eastAsia="Times New Roman" w:hAnsi="Times New Roman"/>
          <w:sz w:val="18"/>
          <w:szCs w:val="18"/>
          <w:color w:val="auto"/>
        </w:rPr>
        <w:t xml:space="preserve"> Title XI Bonds representing all of the remaining outstanding principal for this bond. The Company is also expecting to prepay the outstanding principal of approximately $12.1 million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Title XI Bonds in March 2023, representing all of the estimated outstanding principal for this bond. The Company’s Title XI Bonds are described in Note 8 to the Consolidated Financial Statements in Item 8 of Part II below.</w:t>
      </w:r>
    </w:p>
    <w:p>
      <w:pPr>
        <w:spacing w:after="0" w:line="181"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$178.0 million at December 31, 2022,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surplus of $92.1 million at December 31, 2021. Working capital is primarily impacted by the amount of net cash provided by operating activities, the amount of capital expenditures, the amount and timing of collections associated with accounts receivable, prepaid expenses and other assets, and by the amount and timing of payments associated with accounts payable, accruals, income taxes, debt and other liabilities. The increase in the Company’s working capital surplus during the year ended December 31, 2022 was due to the increase in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The Company expects to make the following capital expenditures during the years ending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2024 and 2025:</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Capital Expenditures (in millions)</w:t>
            </w: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vessel construction milestone payments and related costs</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LNG installations and reengining on existing vessels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other capital expenditures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80" w:type="dxa"/>
            <w:vAlign w:val="bottom"/>
            <w:shd w:val="clear" w:color="auto" w:fill="CCEEFF"/>
          </w:tcPr>
          <w:p>
            <w:pPr>
              <w:spacing w:after="0"/>
              <w:rPr>
                <w:sz w:val="18"/>
                <w:szCs w:val="18"/>
                <w:color w:val="auto"/>
              </w:rPr>
            </w:pPr>
          </w:p>
        </w:tc>
      </w:tr>
      <w:tr>
        <w:trPr>
          <w:trHeight w:val="20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Estimated Capital Expenditures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$210</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$220</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440</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450</w:t>
            </w: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New vessel construction milestone payments and related costs are for the Company’s new vessel program for the construction of three new vessels at a cost of approximately $1.0 billion with expected delivery dates during the fourth quarter of 2026, the second quarter of 2027 and the fourth quarter of 2027. Future milestone payments are expected to be financed with cash currently on deposit in the Company’s CCF, cash and cash equivalents on the Consolidated Balance Sheets and through cash flows generated from future operations, borrowings available under the Company’s unsecured revolving credit facility or additional debt financings.</w:t>
      </w:r>
    </w:p>
    <w:p>
      <w:pPr>
        <w:spacing w:after="0" w:line="18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 xml:space="preserve">LNG installations on existing vessels includes capital expenditures for the installation of tanks, piping and cryogenic equipment on existing Aloha Class vessels so that they can operate on LNG and conventional fuels. The LNG installation project on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has begun and work on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is currently scheduled to begin during the second quarter of 2024. Each installation is expected to cost approximately $35 million. Additionally, the Company plans to begin reengining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to operate on LNG and conventional fuels during the second quarter of 2023 at a total cost of approximately $60 million.</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Maintenance and other capital expenditures include amounts that the Company expects to spend on various capital projects including capital expenditures related to the second and third phase of its program to modernize and renovate its terminal facility at Sand Island, Honolulu, Hawaii, repurchases of leased equipment, vessel maintenance and annual equipment purchases to support the Company’s operations.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year ended December 31, 2022, the Company repurchased approximately 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a total cost of $397.0 million. The maximum remaining number of shares that may be repurchased under the Company’s stock repurchase program was 1,533,371 shares at December 31, 2022.</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COMMITMENTS, CONTINGENCIES AND OFF-BALANCE SHEET ARRANGEMENTS</w:t>
      </w:r>
    </w:p>
    <w:p>
      <w:pPr>
        <w:spacing w:after="0" w:line="227" w:lineRule="exact"/>
        <w:rPr>
          <w:sz w:val="20"/>
          <w:szCs w:val="20"/>
          <w:color w:val="auto"/>
        </w:rPr>
      </w:pPr>
    </w:p>
    <w:p>
      <w:pPr>
        <w:ind w:left="60" w:right="27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Commitments and Contingencies: </w:t>
      </w:r>
      <w:r>
        <w:rPr>
          <w:rFonts w:ascii="Times New Roman" w:cs="Times New Roman" w:eastAsia="Times New Roman" w:hAnsi="Times New Roman"/>
          <w:sz w:val="17"/>
          <w:szCs w:val="17"/>
          <w:color w:val="auto"/>
        </w:rPr>
        <w:t>A description of other commitments and contingencies is set forth in Note 9, Note 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Note 17 to the Consolidated Financial Statements in Item 8 of Part II below, and is incorporated herein by reference.</w:t>
      </w:r>
    </w:p>
    <w:p>
      <w:pPr>
        <w:spacing w:after="0" w:line="135"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The Company is not party to any off-balance sheet arrangements that have, or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likely to have, a current or future material effect on the Company’s financial condition, results of operations or cash flows.</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89"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accounting estimates would have had a material impact on the financial condition or results of operations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Company. The critical accounting policies and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Long-Lived Assets, Intangible Assets and Goodwill: </w:t>
      </w:r>
      <w:r>
        <w:rPr>
          <w:rFonts w:ascii="Times New Roman" w:cs="Times New Roman" w:eastAsia="Times New Roman" w:hAnsi="Times New Roman"/>
          <w:sz w:val="18"/>
          <w:szCs w:val="18"/>
          <w:color w:val="auto"/>
        </w:rPr>
        <w:t>The Company evaluates its long-lived assets, intangible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7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Long-lived Assets and Finite-lived Intangible Assets: </w:t>
      </w:r>
      <w:r>
        <w:rPr>
          <w:rFonts w:ascii="Times New Roman" w:cs="Times New Roman" w:eastAsia="Times New Roman" w:hAnsi="Times New Roman"/>
          <w:sz w:val="18"/>
          <w:szCs w:val="18"/>
          <w:color w:val="auto"/>
        </w:rPr>
        <w:t>Long-lived assets and finite-lived intangible assets are grouped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level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2022, 2021 and 2020.</w:t>
      </w:r>
    </w:p>
    <w:p>
      <w:pPr>
        <w:spacing w:after="0" w:line="19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Indefinite-life Intangible Assets and Goodwill: </w:t>
      </w:r>
      <w:r>
        <w:rPr>
          <w:rFonts w:ascii="Times New Roman" w:cs="Times New Roman" w:eastAsia="Times New Roman" w:hAnsi="Times New Roman"/>
          <w:sz w:val="18"/>
          <w:szCs w:val="18"/>
          <w:color w:val="auto"/>
        </w:rPr>
        <w:t>The Company’s intangible assets include goodwill, customer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trade name, and 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2022, 2021 and 2020.</w:t>
      </w:r>
    </w:p>
    <w:p>
      <w:pPr>
        <w:spacing w:after="0" w:line="191"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Insurance Related Liabilities: </w:t>
      </w:r>
      <w:r>
        <w:rPr>
          <w:rFonts w:ascii="Times New Roman" w:cs="Times New Roman" w:eastAsia="Times New Roman" w:hAnsi="Times New Roman"/>
          <w:sz w:val="18"/>
          <w:szCs w:val="18"/>
          <w:color w:val="auto"/>
        </w:rPr>
        <w:t>The Company is uninsured for certain risks but when feasible, many of these risks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or the perceived remoteness of the risk. In addition, the Company retains all risk of loss that exceeds the limits of the Company’s insurance policies, or for other risks where insurance is not commercially available.</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Insurance related liabilities were $45.4 million and $35.9 million at December 31, 2022 and 2021, respectively. The Company’s estimate of insurance related liabilities could change if management uses different assumptions or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different conditions occur in future periods, however the Company does not expect any such change would have a material impact on the Company’s financial condition and results of operations.</w:t>
      </w:r>
    </w:p>
    <w:p>
      <w:pPr>
        <w:spacing w:after="0" w:line="9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The estimation of the Company’s pension and post-retirement benefit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11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pension and post-retirement plans and assumptions used is included in Note 11 to the Consolidated Financial Statements in Item 8 of Part II below.</w:t>
      </w:r>
    </w:p>
    <w:p>
      <w:pPr>
        <w:spacing w:after="0" w:line="9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income tax expense requires the Company to make various estimates and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w:t>
      </w:r>
    </w:p>
    <w:p>
      <w:pPr>
        <w:spacing w:after="0" w:line="16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income taxes is included in Note 10 to the Consolidated Financial Statements in Item 8 of Part II below.</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and Interest Rate Risks: </w:t>
      </w:r>
      <w:r>
        <w:rPr>
          <w:rFonts w:ascii="Times New Roman" w:cs="Times New Roman" w:eastAsia="Times New Roman" w:hAnsi="Times New Roman"/>
          <w:sz w:val="18"/>
          <w:szCs w:val="18"/>
          <w:color w:val="auto"/>
        </w:rPr>
        <w:t>The Company is exposed to changes in interest rates, primarily as a result of its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investing activities used to maintain liquidity and to fund business operations, including borrowings under its revolving credit facility, private placement term loans and Title XI debt.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w:t>
      </w:r>
    </w:p>
    <w:p>
      <w:pPr>
        <w:spacing w:after="0" w:line="184"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w:t>
      </w:r>
    </w:p>
    <w:p>
      <w:pPr>
        <w:spacing w:after="0" w:line="1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Interest on certain borrowings under the Company’s revolving credit facility is calculated using the London Interbank Offered Rate (“LIBOR”). LIBOR will be discontinued as a benchmark interest rate by mid-2023. The discontinuation of LIBOR will require the Company and its lenders to transition from LIBOR to a new benchmark interest rate, the Secured Overnight Financing Rate (“SOFR”). The Company believes that the transition to SOFR will not have a material impact on the Company’s financial condition and results of operations.</w:t>
      </w:r>
    </w:p>
    <w:p>
      <w:pPr>
        <w:spacing w:after="0" w:line="183"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debt is included in Note 8 to the Consolidated Financial Statements in Item 8 of Part II below.</w:t>
      </w:r>
    </w:p>
    <w:p>
      <w:pPr>
        <w:spacing w:after="0" w:line="160"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 invests excess cash in short-term money market funds that purchase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corporate debt securities, or in other deposit products allowed under the Company’s Cash Investment Policy. These money market funds and deposits maintain a weighted average maturity of less than 90 days, and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accordingly, a one percent change in interest rates is not expected to have a material impact on the fair value of these investments or on interest income.</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Company may invest funds on deposit in the CCF in money market funds, U.S. Treasury Obligation Funds or other eligible investments.</w:t>
      </w:r>
    </w:p>
    <w:p>
      <w:pPr>
        <w:spacing w:after="0" w:line="1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Risks: </w:t>
      </w:r>
      <w:r>
        <w:rPr>
          <w:rFonts w:ascii="Times New Roman" w:cs="Times New Roman" w:eastAsia="Times New Roman" w:hAnsi="Times New Roman"/>
          <w:sz w:val="18"/>
          <w:szCs w:val="18"/>
          <w:color w:val="auto"/>
        </w:rPr>
        <w:t>The Company has no material exposure to foreign currency risks, although it is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changes in currency rates to the extent that changes in rates affect tourism in Hawaii, Guam, Alaska and other locations. Transactions related to the Company’s China and Japan services are primarily denominated in U.S. dollars, and therefore, a one percent change in the Chinese Yuan or Japanese Yen exchange rate would not have a material effect on the Company’s results of operations. Transactions related to the Company’s South Pacific service are primarily denominated in New Zealand dollars. However,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Management’s Annual Report on Internal Control Over Financial Reporting</w:t>
            </w:r>
          </w:p>
        </w:tc>
        <w:tc>
          <w:tcPr>
            <w:tcW w:w="2580" w:type="dxa"/>
            <w:vAlign w:val="bottom"/>
            <w:vMerge w:val="restart"/>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Borders>
              <w:bottom w:val="single" w:sz="8" w:color="0000EE"/>
            </w:tcBorders>
            <w:gridSpan w:val="23"/>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44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52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Business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Significant Accounting Policies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Reportable Segments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Investment in SSAT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Property and Equipment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Goodwill and Intangible Assets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Capital Construction Fund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Debt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Leases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10.</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Income Taxes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Pension and Post-Retirement Plans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Multi-Employer Withdrawal Liabilities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Earnings Per Share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15.</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Share-Based Awards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Fair Value of Financial Instruments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1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Commitments and Contingencies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Borders>
              <w:top w:val="single" w:sz="8" w:color="0000EE"/>
            </w:tcBorders>
            <w:gridSpan w:val="12"/>
          </w:tcPr>
          <w:p>
            <w:pPr>
              <w:spacing w:after="0"/>
              <w:rPr>
                <w:sz w:val="24"/>
                <w:szCs w:val="24"/>
                <w:color w:val="auto"/>
              </w:rPr>
            </w:pPr>
          </w:p>
        </w:tc>
        <w:tc>
          <w:tcPr>
            <w:tcW w:w="17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89" w:lineRule="exact"/>
        <w:rPr>
          <w:sz w:val="20"/>
          <w:szCs w:val="20"/>
          <w:color w:val="auto"/>
        </w:rPr>
      </w:pPr>
    </w:p>
    <w:p>
      <w:pPr>
        <w:ind w:left="380" w:right="61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ind w:left="380" w:right="199" w:hanging="330"/>
        <w:spacing w:after="0" w:line="26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380" w:right="19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its assessment, management believes that, as of December 31, 2022,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 Joel M. Wine</w:t>
            </w:r>
          </w:p>
        </w:tc>
      </w:tr>
      <w:tr>
        <w:trPr>
          <w:trHeight w:val="191"/>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Cox</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Joel M. Wine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24, 2023</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3119"/>
        <w:spacing w:after="0" w:line="497"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Board of Directors and the shareholders of Matson, Inc.</w:t>
      </w:r>
    </w:p>
    <w:p>
      <w:pPr>
        <w:ind w:left="60"/>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29"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Matson, Inc. and subsidiaries (the “Company”) as of December 31, 2022 and 2021, the related consolidated statements of income and comprehensive income, shareholders' equity, and cash flows, for each of the three years in the period ended December 31, 2022, and the related notes (collectively referred to as the “financial statements”). We also have audited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17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29"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60" w:right="179"/>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9" w:lineRule="exact"/>
        <w:rPr>
          <w:sz w:val="20"/>
          <w:szCs w:val="20"/>
          <w:color w:val="auto"/>
        </w:rPr>
      </w:pPr>
    </w:p>
    <w:p>
      <w:pPr>
        <w:ind w:left="60" w:right="119"/>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60" w:right="59" w:hanging="10"/>
        <w:spacing w:after="0" w:line="250" w:lineRule="auto"/>
        <w:tabs>
          <w:tab w:leader="none" w:pos="30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left="60" w:right="559"/>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9"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17"/>
          <w:szCs w:val="17"/>
          <w:color w:val="auto"/>
        </w:rPr>
        <w:t>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Goodwill – Span Alaska Reporting Unit — Refer to Notes 2 and 6 to the financial statements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1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7"/>
          <w:szCs w:val="17"/>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make several business assumptions, including, but not limited to, the discount rate. Changes in assumptions and estimates could have a material effect on either the fair value, the amount of any goodwill impairment charge, or both. The goodwill balance was $327.8 million as of December 31, 2022, of which $78.6 million is allocated to a reporting unit in the Logistics reportable segment, resulting from the acquisition of Span Intermediate, LLC (“Span Alaska”) in fiscal year 2016. The Company has evaluated its goodwill for impairment as part of its annual assessment in fiscal year 2022 and determined that the fair value of the Span Alaska reporting unit exceeded the carrying amount as of the date of the impairment review.</w:t>
      </w:r>
    </w:p>
    <w:p>
      <w:pPr>
        <w:spacing w:after="0" w:line="17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7"/>
          <w:szCs w:val="17"/>
          <w:color w:val="auto"/>
        </w:rPr>
        <w:t>We identified goodwill related to Span Alaska as a critical audit matter because of the significant estimates and assumptions management made to estimate the fair value of Span Alaska. Specifically, performing audit procedures to evaluate the reasonableness of management’s estimates and assumptions related to the selection of the discount rate required a high degree of auditor judgment and an increased extent of effort, including the need to involve our fair value specialists.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Our audit procedures related to the selection of the discount rate for Span Alaska included the following, among others:</w:t>
      </w:r>
    </w:p>
    <w:p>
      <w:pPr>
        <w:spacing w:after="0" w:line="210" w:lineRule="exact"/>
        <w:rPr>
          <w:sz w:val="20"/>
          <w:szCs w:val="20"/>
          <w:color w:val="auto"/>
        </w:rPr>
      </w:pPr>
    </w:p>
    <w:p>
      <w:pPr>
        <w:ind w:left="380" w:right="679" w:hanging="330"/>
        <w:spacing w:after="0" w:line="259" w:lineRule="auto"/>
        <w:tabs>
          <w:tab w:leader="none" w:pos="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goodwill impairment evaluation, including those over the selection of the discount rate.</w:t>
      </w:r>
    </w:p>
    <w:p>
      <w:pPr>
        <w:spacing w:after="0" w:line="1" w:lineRule="exact"/>
        <w:rPr>
          <w:rFonts w:ascii="Times New Roman" w:cs="Times New Roman" w:eastAsia="Times New Roman" w:hAnsi="Times New Roman"/>
          <w:sz w:val="17"/>
          <w:szCs w:val="17"/>
          <w:color w:val="auto"/>
        </w:rPr>
      </w:pPr>
    </w:p>
    <w:p>
      <w:pPr>
        <w:jc w:val="both"/>
        <w:ind w:left="380" w:right="299" w:hanging="330"/>
        <w:spacing w:after="0" w:line="254" w:lineRule="auto"/>
        <w:tabs>
          <w:tab w:leader="none" w:pos="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Honolulu, Hawaii</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24, 2023</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Ocean Transportation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SSAT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(2,989.4)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5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$13.0 million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 million,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SSAT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long-term assets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5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 common stock without par value; authorized, 150 million shares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($0.75 stated value per share); outstanding, 36.3 million shares in 2022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41.0 million shares in 2021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1,063.9</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927.4</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Reconciling adjustments: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operating lease right of use assets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(Gain) Loss on disposal of property and equipment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Income from SSAT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Distributions from SSAT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payments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amortization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accruals and other liabilities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1,271.9</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984.1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Capitalized vessel construction expenditures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capital expenditures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(146.9)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(310.4)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disposal of property and equipment, and 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interest deposits into Capital Construction Fund</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Withdrawals from Capital Construction Fund</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64.6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(729.3)</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(323.4)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issuance of debt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Repayments of debt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(216.5)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revolving credit facility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Repayments of revolving credit facility</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(376.1)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financing costs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 paid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Repurchase of Matson common stock</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related to net share settlements of restricted stock units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(576.6)</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(392.7)</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268.0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the Year</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287.7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the Year</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287.7</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19.7</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at End of the Year:</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249.8</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282.4</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0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 End of the Year</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287.7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Supplemental Cash Flow Information: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Interest paid, net of capitalized interest</w:t>
            </w:r>
          </w:p>
        </w:tc>
        <w:tc>
          <w:tcPr>
            <w:tcW w:w="34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16.2</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paid, net of income tax refunds</w:t>
            </w:r>
          </w:p>
        </w:tc>
        <w:tc>
          <w:tcPr>
            <w:tcW w:w="3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215.2</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241.6</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Non-cash Information: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included in accounts payable, accruals and other liabilities</w:t>
            </w:r>
          </w:p>
        </w:tc>
        <w:tc>
          <w:tcPr>
            <w:tcW w:w="34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MATSON, INC. AND SUBSIDIARIES CONSOLIDATED STATEMENTS OF SHAREHOLDERS’ EQUITY FOR THE THREE YEARS ENDED DECEMBER 31, 2022</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Stated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80" w:type="dxa"/>
            <w:vAlign w:val="bottom"/>
            <w:gridSpan w:val="3"/>
          </w:tcPr>
          <w:p>
            <w:pPr>
              <w:jc w:val="center"/>
              <w:ind w:left="13"/>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interest in SSAT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($0.90 per share)</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Dividends ($1.06 per share)</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interest in SSAT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Dividends ($1.22 per share)</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2022, see Note 3.</w:t>
      </w:r>
    </w:p>
    <w:p>
      <w:pPr>
        <w:spacing w:after="0" w:line="17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 (see Note 4).</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200" w:lineRule="exact"/>
        <w:rPr>
          <w:sz w:val="20"/>
          <w:szCs w:val="20"/>
          <w:color w:val="auto"/>
        </w:rPr>
      </w:pPr>
    </w:p>
    <w:p>
      <w:pPr>
        <w:spacing w:after="0" w:line="202"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83"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The year end for Matson is December 31. The period end for MatNav occurred on the last Friday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except for certain Company subsidiaries whose period closed on December 31. Included in these Consolidated Financial Statements are 53 weeks in the 2021 and 52 weeks in the 2022 and 2020 fiscal years for MatNav.</w:t>
      </w:r>
    </w:p>
    <w:p>
      <w:pPr>
        <w:spacing w:after="0" w:line="17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United States (U.S.) dollar is the functional currency for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resulting from foreign currency transactions are included in Costs and Expenses in the Consolidated Statements of Income and Comprehensive Income.</w:t>
      </w:r>
    </w:p>
    <w:p>
      <w:pPr>
        <w:spacing w:after="0" w:line="16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Cash equivalents consist of highly-liquid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The Company carries these investments at cost, which approximates fair value. Restricted cash relates to amounts that are subject to contractual restrictions and are not readily available. Restricted cash was $3.9 million and $5.3 million at December 31, 2022 and 2021, respectively, and are included in prepaid expenses and other assets in the Consolidated Balance Sheets.</w:t>
      </w:r>
    </w:p>
    <w:p>
      <w:pPr>
        <w:spacing w:after="0" w:line="183"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represent amounts due from trade customers arising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84"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Changes in the allowance for doubtful accounts receivable for the three years ended December 31, 2022, 2021 and 2020 were as follows:</w:t>
      </w:r>
    </w:p>
    <w:tbl>
      <w:tblPr>
        <w:tblLayout w:type="fixed"/>
        <w:tblInd w:w="40" w:type="dxa"/>
        <w:tblCellMar>
          <w:top w:w="0" w:type="dxa"/>
          <w:left w:w="0" w:type="dxa"/>
          <w:bottom w:w="0" w:type="dxa"/>
          <w:right w:w="0" w:type="dxa"/>
        </w:tblCellMar>
      </w:tblPr>
      <w:tr>
        <w:trPr>
          <w:trHeight w:val="137"/>
        </w:trPr>
        <w:tc>
          <w:tcPr>
            <w:tcW w:w="4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55"/>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Expense (1)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4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Beginning of Year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0" w:type="dxa"/>
            <w:vAlign w:val="bottom"/>
          </w:tcPr>
          <w:p>
            <w:pPr>
              <w:spacing w:after="0"/>
              <w:rPr>
                <w:sz w:val="18"/>
                <w:szCs w:val="18"/>
                <w:color w:val="auto"/>
              </w:rPr>
            </w:pP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is shown net of amounts recovered from previously reserved doubtful accounts.</w:t>
      </w:r>
    </w:p>
    <w:p>
      <w:pPr>
        <w:spacing w:after="0" w:line="20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 of the following at December 31,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tbl>
      <w:tblPr>
        <w:tblLayout w:type="fixed"/>
        <w:tblInd w:w="60" w:type="dxa"/>
        <w:tblCellMar>
          <w:top w:w="0" w:type="dxa"/>
          <w:left w:w="0" w:type="dxa"/>
          <w:bottom w:w="0" w:type="dxa"/>
          <w:right w:w="0" w:type="dxa"/>
        </w:tblCellMar>
      </w:tblPr>
      <w:tr>
        <w:trPr>
          <w:trHeight w:val="162"/>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Prepaid fuel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vessel construction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Income tax receivables include a federal income tax refund related to the Company’s 2021 federal tax return, overpayments of federal and state taxes paid during the year ended December 31, 2022, and other income tax receivables.</w:t>
      </w:r>
    </w:p>
    <w:p>
      <w:pPr>
        <w:spacing w:after="0" w:line="1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Loan Fees: </w:t>
      </w:r>
      <w:r>
        <w:rPr>
          <w:rFonts w:ascii="Times New Roman" w:cs="Times New Roman" w:eastAsia="Times New Roman" w:hAnsi="Times New Roman"/>
          <w:sz w:val="18"/>
          <w:szCs w:val="18"/>
          <w:color w:val="auto"/>
        </w:rPr>
        <w:t>The Company records deferred loan fees, excluding those related to the revolving credit facility,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to Total Debt in the Company’s Consolidated Balance Sheets in accordance with Accounting Standards Update (“ASU”) 2015-03, Interest-Imputation of Interest (Subtopic 835-30): Simplifying the Presentation of Debt Issuance Costs (“ASU 2015-03”). These costs are being amortized over the life of the related debt using the effective interest method (see Note 8).</w:t>
      </w:r>
    </w:p>
    <w:p>
      <w:pPr>
        <w:spacing w:after="0" w:line="185"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Deferred loan fees related to the Company’s revolving credit facility are recorded in other long-term assets in the Company’s Consolidated Balance Sheets and are amortized using the straight-line method as the difference between that and the use of the effective interest method is not material.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Long-Term Assets: </w:t>
      </w:r>
      <w:r>
        <w:rPr>
          <w:rFonts w:ascii="Times New Roman" w:cs="Times New Roman" w:eastAsia="Times New Roman" w:hAnsi="Times New Roman"/>
          <w:sz w:val="18"/>
          <w:szCs w:val="18"/>
          <w:color w:val="auto"/>
        </w:rPr>
        <w:t>Other long-term assets consist of the following at December 31, 2022 and 2021:</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Long-Term Assets (in millions)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and equipment spare parts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related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is stated at cost. Property and equipment is depreciated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over the estimated useful lives of the assets. The estimated useful lives of property and equipment range up to the following maximum life: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09"/>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years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facilities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bl>
    <w:p>
      <w:pPr>
        <w:spacing w:after="0" w:line="19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the qualified assets are being readied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intended use. The Company determined that the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2022, 2021 and 2020, the Company capitalized $0.7 million, $0.2 million and $7.4 million of interest related to the construction of new vessels, respectively.</w:t>
      </w:r>
    </w:p>
    <w:p>
      <w:pPr>
        <w:spacing w:after="0" w:line="17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Accounting Standards Codification (“ASC”)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842”) requires lessees to record leases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but recognize the expenses in their income statements. ASC 842 states that a lessee would recognize a lease liability for the obligation to make lease payments, and a right-of-use asset for the underlying leased asset for the period of the lease term. Refer to Note 9 for additional information on the Company’s lease related disclosures.</w:t>
      </w:r>
    </w:p>
    <w:p>
      <w:pPr>
        <w:spacing w:after="0" w:line="16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Dry-docking Costs: </w:t>
      </w:r>
      <w:r>
        <w:rPr>
          <w:rFonts w:ascii="Times New Roman" w:cs="Times New Roman" w:eastAsia="Times New Roman" w:hAnsi="Times New Roman"/>
          <w:sz w:val="18"/>
          <w:szCs w:val="18"/>
          <w:color w:val="auto"/>
        </w:rPr>
        <w:t>U.S. flagged vessels must meet specified seaworthiness standards established by U.S. Coast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w:t>
      </w:r>
    </w:p>
    <w:p>
      <w:pPr>
        <w:spacing w:after="0" w:line="17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72"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intangible assets arise as a result of acquisitions made by the Company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6). Intangible assets consist of customer relationships which are being amortized using the straight-line method over the expected useful lives ranging up to 21 years, and a trade name that has an indefinite life.</w:t>
      </w:r>
    </w:p>
    <w:p>
      <w:pPr>
        <w:spacing w:after="0" w:line="16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Impairment Evaluation of Long-Lived Assets, Intangible Assets and Goodwill</w:t>
      </w:r>
      <w:r>
        <w:rPr>
          <w:rFonts w:ascii="Times New Roman" w:cs="Times New Roman" w:eastAsia="Times New Roman" w:hAnsi="Times New Roman"/>
          <w:sz w:val="18"/>
          <w:szCs w:val="18"/>
          <w:color w:val="auto"/>
        </w:rPr>
        <w:t>: The Company evaluates its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1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Long-lived assets and finite-lived intangible assets are grouped at the lowest level reporting unit for which identifiable cash flows are available. In evaluating for impairment, the estimated future undiscounted cash flows generated by each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2022, 2021 and 2020.</w:t>
      </w:r>
    </w:p>
    <w:p>
      <w:pPr>
        <w:spacing w:after="0" w:line="11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2022, 2021 and 2020.</w:t>
      </w:r>
    </w:p>
    <w:p>
      <w:pPr>
        <w:spacing w:after="0" w:line="118" w:lineRule="exact"/>
        <w:rPr>
          <w:sz w:val="20"/>
          <w:szCs w:val="20"/>
          <w:color w:val="auto"/>
        </w:rPr>
      </w:pPr>
    </w:p>
    <w:p>
      <w:pPr>
        <w:ind w:left="60" w:right="5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Impairment Evaluation of SSAT: </w:t>
      </w:r>
      <w:r>
        <w:rPr>
          <w:rFonts w:ascii="Times New Roman" w:cs="Times New Roman" w:eastAsia="Times New Roman" w:hAnsi="Times New Roman"/>
          <w:sz w:val="18"/>
          <w:szCs w:val="18"/>
          <w:color w:val="auto"/>
        </w:rPr>
        <w:t>The Company’s investment in SSAT, a related party, is evaluated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there is evidence of impairment during the reporting period. If any impairment is identified, the Company evaluates if the decrease in the fair value of the investment below its carrying value is other-than-temporary. No impairment was identified during the years ended December 31, 2022, 2021 and 2020.</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Other liabilities consist of the following at December 31, 2022 and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 (in millions)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vacation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Employee incentives and other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reserves and other related liabilities - short term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withdrawal liabilities - short term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and other tax related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Other Long-Term Liabilities: </w:t>
            </w:r>
            <w:r>
              <w:rPr>
                <w:rFonts w:ascii="Times New Roman" w:cs="Times New Roman" w:eastAsia="Times New Roman" w:hAnsi="Times New Roman"/>
                <w:sz w:val="18"/>
                <w:szCs w:val="18"/>
                <w:color w:val="auto"/>
              </w:rPr>
              <w:t>Other long-term liabilities consist of the following at December 31, 2022 and 2021: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Long-Term Liabilities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Multi-employer withdrawal liability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 (see Note 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reserves and other related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Plans: </w:t>
      </w:r>
      <w:r>
        <w:rPr>
          <w:rFonts w:ascii="Times New Roman" w:cs="Times New Roman" w:eastAsia="Times New Roman" w:hAnsi="Times New Roman"/>
          <w:sz w:val="18"/>
          <w:szCs w:val="18"/>
          <w:color w:val="auto"/>
        </w:rPr>
        <w:t>The Company is a member of the Pacific Maritime Association (“PMA”)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0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pacing w:after="0" w:line="104"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Insurance Related Liabilities: </w:t>
      </w:r>
      <w:r>
        <w:rPr>
          <w:rFonts w:ascii="Times New Roman" w:cs="Times New Roman" w:eastAsia="Times New Roman" w:hAnsi="Times New Roman"/>
          <w:sz w:val="17"/>
          <w:szCs w:val="17"/>
          <w:color w:val="auto"/>
        </w:rPr>
        <w:t>The Company is uninsured for certain risks but when feasible, many of these risks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or the perceived remoteness of the risk. In addition, the Company retains all risk of loss</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that exceeds the limits of the Company’s insurance policies, or for other risks where insurance is not commercially available.</w:t>
      </w:r>
    </w:p>
    <w:p>
      <w:pPr>
        <w:spacing w:after="0" w:line="8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w:t>
      </w:r>
    </w:p>
    <w:p>
      <w:pPr>
        <w:spacing w:after="0" w:line="9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Consolidated Financial Statements is presented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1,821.7</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1,853.9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81" w:lineRule="exact"/>
        <w:rPr>
          <w:sz w:val="20"/>
          <w:szCs w:val="20"/>
          <w:color w:val="auto"/>
        </w:rPr>
      </w:pPr>
    </w:p>
    <w:p>
      <w:pPr>
        <w:ind w:left="380" w:right="119"/>
        <w:spacing w:after="0" w:line="261"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50"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and distribution services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and 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0"/>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r>
              <w:rPr>
                <w:rFonts w:ascii="Times New Roman" w:cs="Times New Roman" w:eastAsia="Times New Roman" w:hAnsi="Times New Roman"/>
                <w:sz w:val="18"/>
                <w:szCs w:val="18"/>
                <w:u w:val="single" w:color="auto"/>
                <w:color w:val="auto"/>
              </w:rPr>
              <w:t>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r>
              <w:rPr>
                <w:rFonts w:ascii="Times New Roman" w:cs="Times New Roman" w:eastAsia="Times New Roman" w:hAnsi="Times New Roman"/>
                <w:sz w:val="18"/>
                <w:szCs w:val="18"/>
                <w:u w:val="single" w:color="auto"/>
                <w:color w:val="auto"/>
              </w:rPr>
              <w:t>5</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79" w:hanging="330"/>
        <w:spacing w:after="0" w:line="26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99"/>
        <w:spacing w:after="0" w:line="250"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1" w:lineRule="exact"/>
        <w:rPr>
          <w:sz w:val="20"/>
          <w:szCs w:val="20"/>
          <w:color w:val="auto"/>
        </w:rPr>
      </w:pPr>
    </w:p>
    <w:p>
      <w:pPr>
        <w:ind w:left="380" w:right="319"/>
        <w:spacing w:after="0" w:line="260"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The Company generally invoices its customers at the commencement of the voyage or the transportation service being provided, or as other services are being performed. Revenue is deferred when services are invoiced in advance to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10"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t>
      </w:r>
      <w:r>
        <w:rPr>
          <w:rFonts w:ascii="Times New Roman" w:cs="Times New Roman" w:eastAsia="Times New Roman" w:hAnsi="Times New Roman"/>
          <w:sz w:val="18"/>
          <w:szCs w:val="18"/>
          <w:color w:val="auto"/>
        </w:rPr>
        <w:t>The Ocean Transportation segment serves customers in numerous industries and carries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cargo, mitigating its dependence upon any single customer or single type of cargo. In 2022, the Company’s 10 largest Ocean Transportation customers accounted for approximately 15 percent of the Company’s Ocean Transportation operating revenue.</w:t>
      </w:r>
    </w:p>
    <w:p>
      <w:pPr>
        <w:spacing w:after="0" w:line="114" w:lineRule="exact"/>
        <w:rPr>
          <w:sz w:val="20"/>
          <w:szCs w:val="20"/>
          <w:color w:val="auto"/>
        </w:rPr>
      </w:pPr>
    </w:p>
    <w:p>
      <w:pPr>
        <w:ind w:left="100" w:right="419" w:hanging="44"/>
        <w:spacing w:after="0" w:line="312" w:lineRule="auto"/>
        <w:rPr>
          <w:sz w:val="20"/>
          <w:szCs w:val="20"/>
          <w:color w:val="auto"/>
        </w:rPr>
      </w:pPr>
      <w:r>
        <w:rPr>
          <w:rFonts w:ascii="Times New Roman" w:cs="Times New Roman" w:eastAsia="Times New Roman" w:hAnsi="Times New Roman"/>
          <w:sz w:val="17"/>
          <w:szCs w:val="17"/>
          <w:color w:val="auto"/>
        </w:rPr>
        <w:t>The Logistics segment serves customers in numerous industries and geographical locations. In 2022, the Company’s 10 largest Logistics customers accounted for approximately 18 percent of the Company’s Logistics operating revenue.</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recognizes dividends as a liability when approved by the Board of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Repurchase of Shares: </w:t>
      </w:r>
      <w:r>
        <w:rPr>
          <w:rFonts w:ascii="Times New Roman" w:cs="Times New Roman" w:eastAsia="Times New Roman" w:hAnsi="Times New Roman"/>
          <w:sz w:val="18"/>
          <w:szCs w:val="18"/>
          <w:color w:val="auto"/>
        </w:rPr>
        <w:t>During the years ended December 31, 2022 and 2021, the Company repurchased approximately</w:t>
      </w:r>
    </w:p>
    <w:p>
      <w:pPr>
        <w:spacing w:after="0" w:line="29" w:lineRule="exact"/>
        <w:rPr>
          <w:sz w:val="20"/>
          <w:szCs w:val="20"/>
          <w:color w:val="auto"/>
        </w:rPr>
      </w:pPr>
    </w:p>
    <w:p>
      <w:pPr>
        <w:ind w:left="60" w:right="179" w:firstLine="45"/>
        <w:spacing w:after="0" w:line="253" w:lineRule="auto"/>
        <w:rPr>
          <w:sz w:val="20"/>
          <w:szCs w:val="20"/>
          <w:color w:val="auto"/>
        </w:rPr>
      </w:pPr>
      <w:r>
        <w:rPr>
          <w:rFonts w:ascii="Times New Roman" w:cs="Times New Roman" w:eastAsia="Times New Roman" w:hAnsi="Times New Roman"/>
          <w:sz w:val="18"/>
          <w:szCs w:val="18"/>
          <w:color w:val="auto"/>
        </w:rPr>
        <w:t>5.0 million and 2.5 million shares for a total cost of $397.0 million and $200.1 million, respectively. The Company did not repurchase any shares during the year ended December 31, 2019. As of December 31, 2022, the maximum number of remaining shares that may be repurchased under the Company’s share repurchase program was approximately 1.5 million shares.</w:t>
      </w:r>
    </w:p>
    <w:p>
      <w:pPr>
        <w:spacing w:after="0" w:line="187"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The Company records compensation expense for all share-based awards made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The Company’s various stock-based compensation plans are more fully described in Note 15.</w:t>
      </w:r>
    </w:p>
    <w:p>
      <w:pPr>
        <w:spacing w:after="0" w:line="9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estimate of the Company’s income tax expense requires the Company to make various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w:t>
      </w:r>
    </w:p>
    <w:p>
      <w:pPr>
        <w:spacing w:after="0" w:line="118"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0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Rounding: </w:t>
      </w:r>
      <w:r>
        <w:rPr>
          <w:rFonts w:ascii="Times New Roman" w:cs="Times New Roman" w:eastAsia="Times New Roman" w:hAnsi="Times New Roman"/>
          <w:sz w:val="18"/>
          <w:szCs w:val="18"/>
          <w:color w:val="auto"/>
        </w:rPr>
        <w:t>Amounts in the Consolidated Financial Statements and Notes to the Consolidated Financial Statements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rounded to millions, except for per share calculations and percentages which were determined based on amounts before rounding. Accordingly, a recalculation of some per-share amounts and percentages, if based on the reported data, may be slightly different.</w:t>
      </w:r>
    </w:p>
    <w:p>
      <w:pPr>
        <w:spacing w:after="0" w:line="394"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99"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 (see Note 4).</w:t>
      </w:r>
    </w:p>
    <w:p>
      <w:pPr>
        <w:spacing w:after="0" w:line="10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$270.9 million, $213.8 million and $115.5 million for the years ended December 31, 2022, 2021 and 2020, respectively, have been eliminated from operating revenues in the table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years ended December 31, 2022, 2021 and 2020, are as follows: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0"/>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r>
              <w:rPr>
                <w:rFonts w:ascii="Times New Roman" w:cs="Times New Roman" w:eastAsia="Times New Roman" w:hAnsi="Times New Roman"/>
                <w:sz w:val="18"/>
                <w:szCs w:val="18"/>
                <w:u w:val="single" w:color="auto"/>
                <w:color w:val="auto"/>
              </w:rPr>
              <w:t>4</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amortization - Ocean Transportation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80" w:right="479" w:hanging="330"/>
        <w:spacing w:after="0" w:line="233"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$93.6 million, $81.0 million and $59.1 million for the years ended December 31, 2022, 2021 and 2020, respectively.</w:t>
      </w:r>
    </w:p>
    <w:p>
      <w:pPr>
        <w:ind w:left="380" w:right="199" w:hanging="330"/>
        <w:spacing w:after="0" w:line="22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$177.3 million, $132.8 million and $56.4 million for the years ended December 31, 2022, 2021 and 2020, respectively.</w:t>
      </w:r>
    </w:p>
    <w:p>
      <w:pPr>
        <w:ind w:left="380" w:right="139" w:hanging="330"/>
        <w:spacing w:after="0" w:line="239"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$83.1 million, $56.3 million, and $26.3 million of equity in income from the Company’s equity investment in SSAT for the years ended December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1414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10"/>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2" w:lineRule="exact"/>
        <w:rPr>
          <w:sz w:val="20"/>
          <w:szCs w:val="20"/>
          <w:color w:val="auto"/>
        </w:rPr>
      </w:pPr>
    </w:p>
    <w:p>
      <w:pPr>
        <w:ind w:left="380" w:right="879" w:hanging="330"/>
        <w:spacing w:after="0" w:line="26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Ocean Transportation segment includes $81.2 million and $58.7 million related to the Company’s equity investment in SSAT as of December 31, 2022 and 2021, respectively.</w:t>
      </w:r>
    </w:p>
    <w:p>
      <w:pPr>
        <w:spacing w:after="0" w:line="200" w:lineRule="exact"/>
        <w:rPr>
          <w:sz w:val="20"/>
          <w:szCs w:val="20"/>
          <w:color w:val="auto"/>
        </w:rPr>
      </w:pPr>
    </w:p>
    <w:p>
      <w:pPr>
        <w:spacing w:after="0" w:line="206"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$81.2 million and $58.7 million at December 31, 2022 and 2021, respectively. On September 16, 2022, SSAT completed the purchase of a 20 percent equity interest in SSAT Terminals (Oakland), LLC (“SSAT Oakland”) from a third-party company. After completion of this transaction, SSAT Oakland became a wholly owned subsidiary of SSAT. The operating results of SSAT Oakland consolidate into the operating results of SSAT. As a result of this transaction, the Company recorded a decrease of $15.5 million in its investment in SSAT, an increase in deferred tax assets of $3.9 million, and a corresponding decrease in retained earnings of $11.6 million during the year 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December 31, 2022. During the year ended December 31, 2020, the Company recorded an increase of $2.2 million in its investment in SSAT and a corresponding increase in retained earnings related to the formation of a new subsidiary of SSAT, whose controlling interest is retained by SSAT.</w:t>
      </w:r>
    </w:p>
    <w:p>
      <w:pPr>
        <w:spacing w:after="0" w:line="1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Company’s share of income recorded in the Consolidated Statements of Income and Comprehensive Income and dividends received by the Company during the years ended December 31, 2022, 2021 and 2020 are as follows: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share of net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received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Ocean Transportation segment operating costs include $308.3 million, $284.9 million and $251.6 million for the years ended December 31, 2022, 2021 and 2020, respectively, for terminal services provided by SSAT. Accounts payable and accrued liabilities in the Consolidated Balance Sheets include $43.6 million and $38.8 million for terminal services payable to SSAT at December 31, 2022 and 2021,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condensed balance sheets of SSAT at December 31, 2022 and 2021 are as follows: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Balance Sheets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 summary of the condensed statements of operating income and net income of SSAT for years ended December 31, 2022, 2021 and 2020 are as follows:</w:t>
      </w:r>
    </w:p>
    <w:tbl>
      <w:tblPr>
        <w:tblLayout w:type="fixed"/>
        <w:tblInd w:w="40" w:type="dxa"/>
        <w:tblCellMar>
          <w:top w:w="0" w:type="dxa"/>
          <w:left w:w="0" w:type="dxa"/>
          <w:bottom w:w="0" w:type="dxa"/>
          <w:right w:w="0" w:type="dxa"/>
        </w:tblCellMar>
      </w:tblPr>
      <w:tr>
        <w:trPr>
          <w:trHeight w:val="162"/>
        </w:trPr>
        <w:tc>
          <w:tcPr>
            <w:tcW w:w="6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w:t>
      </w:r>
    </w:p>
    <w:p>
      <w:pPr>
        <w:spacing w:after="0" w:line="200" w:lineRule="exact"/>
        <w:rPr>
          <w:sz w:val="20"/>
          <w:szCs w:val="20"/>
          <w:color w:val="auto"/>
        </w:rPr>
      </w:pPr>
    </w:p>
    <w:p>
      <w:pPr>
        <w:spacing w:after="0" w:line="233"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Property and equipment at December 31, 2022 and 2021, and depreciation expense for the years ended December 31, 2022, 2021 and 2020 are as follows:</w:t>
      </w:r>
    </w:p>
    <w:tbl>
      <w:tblPr>
        <w:tblLayout w:type="fixed"/>
        <w:tblInd w:w="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0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Vessels</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$ 2,243.8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Vessel construction in progress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$ 3,288.7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r>
              <w:rPr>
                <w:rFonts w:ascii="Times New Roman" w:cs="Times New Roman" w:eastAsia="Times New Roman" w:hAnsi="Times New Roman"/>
                <w:sz w:val="18"/>
                <w:szCs w:val="18"/>
                <w:u w:val="single" w:color="auto"/>
                <w:color w:val="auto"/>
              </w:rPr>
              <w:t>5</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$ 3,087.4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r>
              <w:rPr>
                <w:rFonts w:ascii="Times New Roman" w:cs="Times New Roman" w:eastAsia="Times New Roman" w:hAnsi="Times New Roman"/>
                <w:sz w:val="18"/>
                <w:szCs w:val="18"/>
                <w:u w:val="single" w:color="auto"/>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Vessel construction in progress at December 31, 2022 includes milestone progress payments and capitalized interest related to the construction of three new Jones Act vessels. Delivery of the first vessel is currently anticipated to be in the fourth quarter of 2026, with subsequent deliveries in the second and fourth quarters of 2027.</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54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 w:type="dxa"/>
            <w:vAlign w:val="bottom"/>
            <w:gridSpan w:val="2"/>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Goodwill by segment consists of the following as of December 31, 2022 and 2021:</w:t>
            </w:r>
          </w:p>
        </w:tc>
        <w:tc>
          <w:tcPr>
            <w:tcW w:w="140" w:type="dxa"/>
            <w:vAlign w:val="bottom"/>
          </w:tcPr>
          <w:p>
            <w:pPr>
              <w:spacing w:after="0"/>
              <w:rPr>
                <w:sz w:val="24"/>
                <w:szCs w:val="24"/>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105.2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Logistics goodwill of $105.2 million includes $78.6 million acquired as part of the acquisition of Span Intermediate, LLC (“Span Alaska”) in August 2016 that was allocated to the Span Alaska reporting unit, and $26.6 million relates to other Logistics acquisitions that were allocated to the Logistics reporting unit.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by segment consist of the following as of December 31, 2022 and 2021: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60" w:type="dxa"/>
            <w:vAlign w:val="bottom"/>
            <w:gridSpan w:val="3"/>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Ocean Transportation - 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Logistics: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 name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Logistics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$ 263.2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Ocean Transportation intangible assets of $140.6 million relate to customer relationships acquired as part of the acquisition of Horizon Lines, Inc. (“Horizon”) on May 29, 2015, and are being amortized over 21 years. Logistics intangible assets include $79.3 million of customer relationships which are being amortized over 20 years, and $27.3 million of an indefinite life trade name, both acquired as part of the Span Alaska acquisition. The remaining Logistics customer relationships of $16.0 million are being amortized over a period of 3 to 13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related amortization expense for 2022, 2021 and 2020,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2022, estimated amortization expense related to customer relationship intangible assets during the next five years and thereafter are as follows:</w:t>
      </w:r>
    </w:p>
    <w:tbl>
      <w:tblPr>
        <w:tblLayout w:type="fixed"/>
        <w:tblInd w:w="60" w:type="dxa"/>
        <w:tblCellMar>
          <w:top w:w="0" w:type="dxa"/>
          <w:left w:w="0" w:type="dxa"/>
          <w:bottom w:w="0" w:type="dxa"/>
          <w:right w:w="0" w:type="dxa"/>
        </w:tblCellMar>
      </w:tblPr>
      <w:tr>
        <w:trPr>
          <w:trHeight w:val="137"/>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7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10"/>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 is party to an agreement with the U.S. Department of Transportation, Maritime Administration (“MARAD”) that established a Capital Construction Fund (“CCF”) program under provisions of the Merchant Marine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9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Cash deposits into the CCF are limited by certain applicable earnings and other conditions. Such cash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As of December 31, 2022 and 2021, $9.9 million and $9.8 million of eligible accounts receivable were assigned to the CCF, respectively. Due to the nature of the assignment of eligible accounts receivable into the CCF, such assigned amounts are classified as part of accounts receivable in the Consolidated Balance Sheets. At December 31, 2022, the Company had $518.2 million on deposit in the CCF invested in U.S. Treasury Obligation Funds, which are classified as long-term assets in the Company’s Consolidated Balance Sheets. Amount on deposit in the CCF as of December 31, 2021 was nominal. During the year ended December 31, 2022, the Company earned $4.9 million of interest from deposits in the CCF. No interest was earned during the year ended December 31, 2021.</w:t>
      </w:r>
    </w:p>
    <w:p>
      <w:pPr>
        <w:spacing w:after="0" w:line="18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On February 17, 2023, the Company pledged an additional $200.0 million of eligible accounts receivables to the CCF, and deposited an additional $100.0 million of cash into the CCF.</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debt consists of the following as of December 31, 2022 and 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3.66 %, payable through 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4.16 %, payable through 2027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4.31 %, payable through 2032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XI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5.34 %, payable through 2028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5.27 %, payable through 2029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loan fees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description of the Company’s debt: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Term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2012, the Company issued $170.0 million of unsecured notes, which were funded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three tranches, $77.5 million at an interest rate of 3.66 percent, $55.0 million at an interest rate of 4.16 percent,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$37.5 million at an interest rate of 4.31 percent (the “2012 Notes”). Principal and interest are payable semi-annually.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15, 2022, the Company prepaid $26.2 million of outstanding principal on the 4.16 percent tranche due in 2027,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$24.2 million of outstanding principal on the 4.31 percent tranche due in 2032, representing all of the remaining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outstanding principal for both tranches. In September 2016, the Company issued $200.0 million of 15-year senior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unsecured notes (the “Series D Notes”) at an interest rate of 3.14 percent, payable semi-annually. In December 2016,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issued $75 million of 11-year senior unsecured notes at an interest rate of 3.37 percent, payable semi-annually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“Series A Notes”).</w:t>
      </w:r>
    </w:p>
    <w:p>
      <w:pPr>
        <w:spacing w:after="0" w:line="203"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Title XI Bonds: </w:t>
      </w:r>
      <w:r>
        <w:rPr>
          <w:rFonts w:ascii="Times New Roman" w:cs="Times New Roman" w:eastAsia="Times New Roman" w:hAnsi="Times New Roman"/>
          <w:sz w:val="18"/>
          <w:szCs w:val="18"/>
          <w:color w:val="auto"/>
        </w:rPr>
        <w:t>In September 2003, MatNav issued $55.0 million in U.S. Government guaranteed ship financing bonds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(Title XI) to finance the delivery of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(the “Manukai Title XI Bonds”). The Manukai Title XI Bonds have a final maturity in September 2028 with a coupon rate of 5.34 percent. The Manukai Title XI Bonds are amortized by semi-annual payments of $1.1 million plus interest. In August 2004, MatNav issued $55.0 million of U.S. Government guaranteed ship financing bonds (Title XI) to finance the delivery of </w:t>
      </w:r>
      <w:r>
        <w:rPr>
          <w:rFonts w:ascii="Times New Roman" w:cs="Times New Roman" w:eastAsia="Times New Roman" w:hAnsi="Times New Roman"/>
          <w:sz w:val="18"/>
          <w:szCs w:val="18"/>
          <w:i w:val="1"/>
          <w:iCs w:val="1"/>
          <w:color w:val="auto"/>
        </w:rPr>
        <w:t>Maunawili</w:t>
      </w:r>
      <w:r>
        <w:rPr>
          <w:rFonts w:ascii="Times New Roman" w:cs="Times New Roman" w:eastAsia="Times New Roman" w:hAnsi="Times New Roman"/>
          <w:sz w:val="18"/>
          <w:szCs w:val="18"/>
          <w:color w:val="auto"/>
        </w:rPr>
        <w:t xml:space="preserve"> (the “Maunawili Title XI Bonds”, and together with the Manukai Title XI Bonds, the “Existing Title XI Bonds”). The Maunawili Title XI Bonds have a final maturity in July 2029 with a coupon rate of 5.27 percent. The Maunawili Title XI Bonds are amortized by semi-annual payments of $1.1 million plus interest.</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January 27, 2023, the Company prepaid $14.3 million of outstanding principal on the Maunawili Title XI Bonds representing all of the remaining outstanding principal for this bond. The Company is also expecting to prepay the outstanding principal of approximately $12.1 million on the Manukai Title XI Bonds in March 2023, representing all of the estimated outstanding principal for this bond.</w:t>
      </w:r>
    </w:p>
    <w:p>
      <w:pPr>
        <w:spacing w:after="0" w:line="180"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 xml:space="preserve">On April 27, 2020, MatNav issued $185.9 million in U.S. Government guaranteed vessel financing bonds to partially refinance debt incurred in connection with the construction of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(the “DKI Title XI Debt”). The secured DKI Title XI Debt matures on October 15, 2043 and has a cash interest rate of 1.22 percent, payable semi-annually in arrears.</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 xml:space="preserve">On June 22, 2020, MatNav issued $139.6 million in U.S. Government guaranteed vessel financing bonds to partially refinance debt incurred in connection with the construction of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(the “KMH Title XI Debt”, and together with the DKI Title XI Debt, the “2020 Title XI Debt”). The secured KMH Title XI Debt matures on March 15, 2044 and has a cash interest rate of 1.35 percent, payable semi-annually in arrears.</w:t>
      </w:r>
    </w:p>
    <w:p>
      <w:pPr>
        <w:spacing w:after="0" w:line="180"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 xml:space="preserve">MatNav may prepay any amounts outstanding under the 2020 Title XI Debt agreements subject to a potential prepayment premium or other adjustment, in accordance with the 2020 Title XI Debt agreements. Once amounts under the 2020 Title XI Debt are repaid, they may not be reborrowed. Mandatory prepayments are required under certain limited circumstances, including specified casualty events with respect to </w:t>
      </w:r>
      <w:r>
        <w:rPr>
          <w:rFonts w:ascii="Times New Roman" w:cs="Times New Roman" w:eastAsia="Times New Roman" w:hAnsi="Times New Roman"/>
          <w:sz w:val="17"/>
          <w:szCs w:val="17"/>
          <w:i w:val="1"/>
          <w:iCs w:val="1"/>
          <w:color w:val="auto"/>
        </w:rPr>
        <w:t>Daniel K. Inouye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Kaimana Hila</w:t>
      </w:r>
      <w:r>
        <w:rPr>
          <w:rFonts w:ascii="Times New Roman" w:cs="Times New Roman" w:eastAsia="Times New Roman" w:hAnsi="Times New Roman"/>
          <w:sz w:val="17"/>
          <w:szCs w:val="17"/>
          <w:color w:val="auto"/>
        </w:rPr>
        <w:t xml:space="preserve"> (the “Vessels”).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March 31, 2021, the Company entered into the Second Amended and Restated Credit Agreement (the “Credit Agreement”), which extended the maturity date to March 31, 2026, and retained the committed aggregate borrowings of up to $650 million. The Credit Agreement amended certain covenants and other terms including (i) amending the pricing grid to provide for pricing ranging from, at the Company’s election, LIBOR plus a margin between 1.00 percent and 1.75 percent depending on the Company’s consolidated net leverage ratio, or base rate plus a margin between 0.00 percent and 0.75 percent depending on the Company’s consolidated net leverage ratio; and (ii) reducing the maximum permitted consolidated leverage ratio to 3.50 to 1.0, with an option for a one-time increase to 4.0 to 1.0 in connection with a material acquisition. The Company may prepay any amounts outstanding under the Credit Agreement without premium or penalty.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 The Company paid fees of approximately $2.2 million in connection with the closing of the Credit Agreement which is included in other long-term assets in the Company’s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39"/>
        <w:spacing w:after="0" w:line="266" w:lineRule="auto"/>
        <w:rPr>
          <w:sz w:val="20"/>
          <w:szCs w:val="20"/>
          <w:color w:val="auto"/>
        </w:rPr>
      </w:pPr>
      <w:r>
        <w:rPr>
          <w:rFonts w:ascii="Times New Roman" w:cs="Times New Roman" w:eastAsia="Times New Roman" w:hAnsi="Times New Roman"/>
          <w:sz w:val="18"/>
          <w:szCs w:val="18"/>
          <w:color w:val="auto"/>
        </w:rPr>
        <w:t>On February 9, 2023, the Company further amended the Credit Agreement to replace LIBOR with a new benchmark interest rate, the Secured Overnight Financing Rate (“SOFR”). There were no other significant changes to the Credit Agreement as a result of this amendment.</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$642.1 million of remaining borrowing availability under the revolving credit facility. The Company used $7.9 million of the revolving credit facility for letters of credit outstanding as of December 31, 2022. Borrowings under the revolving credit facility are classified as long-term debt in the Company’s Consolidated Balance Sheets, as principal payments are not required until the maturity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Existing Private Placement Term Loan Facilities and New Shelf Facilities (“Private Loan Facilities”):</w:t>
      </w:r>
    </w:p>
    <w:p>
      <w:pPr>
        <w:spacing w:after="0" w:line="229"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On March 31, 2021, the Company and the holders of the notes party thereto entered into amendments (collectively, the “2021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2021 Note Amendments amended certain covenants and other terms, including the reduction of the maximum permitted consolidated leverage ratio to 3.50 to 1.0, with an option for a one-time increase to 4.0 to 1.0 in connection with a material acquisition, with potential interest enhancement payments if leverage is over 3.25 to 1.0. The Company paid fees of approximately $0.8 million related to the 2021 Note Amendments which is included in deferred loan fees in debt in the Company’s Consolidated Balance Sheets.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At December 31, 2022, debt maturities during the next five years and thereafter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3"/>
                <w:szCs w:val="13"/>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Deferred Loan Fees: </w:t>
            </w:r>
            <w:r>
              <w:rPr>
                <w:rFonts w:ascii="Times New Roman" w:cs="Times New Roman" w:eastAsia="Times New Roman" w:hAnsi="Times New Roman"/>
                <w:sz w:val="18"/>
                <w:szCs w:val="18"/>
                <w:color w:val="auto"/>
              </w:rPr>
              <w:t>Activity relating to deferred loan fees for the year ended December 31, 2022 are as follows:</w:t>
            </w:r>
          </w:p>
        </w:tc>
        <w:tc>
          <w:tcPr>
            <w:tcW w:w="0" w:type="dxa"/>
            <w:vAlign w:val="bottom"/>
          </w:tcPr>
          <w:p>
            <w:pPr>
              <w:spacing w:after="0"/>
              <w:rPr>
                <w:sz w:val="1"/>
                <w:szCs w:val="1"/>
                <w:color w:val="auto"/>
              </w:rPr>
            </w:pPr>
          </w:p>
        </w:tc>
      </w:tr>
      <w:tr>
        <w:trPr>
          <w:trHeight w:val="29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Loan Fees (in millions)</w:t>
            </w:r>
          </w:p>
        </w:tc>
        <w:tc>
          <w:tcPr>
            <w:tcW w:w="220" w:type="dxa"/>
            <w:vAlign w:val="bottom"/>
          </w:tcPr>
          <w:p>
            <w:pPr>
              <w:spacing w:after="0"/>
              <w:rPr>
                <w:sz w:val="24"/>
                <w:szCs w:val="24"/>
                <w:color w:val="auto"/>
              </w:rPr>
            </w:pPr>
          </w:p>
        </w:tc>
        <w:tc>
          <w:tcPr>
            <w:tcW w:w="10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Deferred financing costs related to Title XI bonds and private placement debt amendments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fees expensed related to the redemption of private 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Amortization expense for the year ended December 31, 2022</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br w:type="column"/>
      </w:r>
    </w:p>
    <w:p>
      <w:pPr>
        <w:ind w:left="862" w:hanging="862"/>
        <w:spacing w:after="0"/>
        <w:tabs>
          <w:tab w:leader="none" w:pos="8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w:t>
      </w:r>
    </w:p>
    <w:p>
      <w:pPr>
        <w:spacing w:after="0" w:line="7" w:lineRule="exact"/>
        <w:rPr>
          <w:rFonts w:ascii="Times New Roman" w:cs="Times New Roman" w:eastAsia="Times New Roman" w:hAnsi="Times New Roman"/>
          <w:sz w:val="18"/>
          <w:szCs w:val="18"/>
          <w:color w:val="auto"/>
        </w:rPr>
      </w:pPr>
    </w:p>
    <w:p>
      <w:pPr>
        <w:ind w:left="8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(0.1)</w:t>
      </w:r>
    </w:p>
    <w:p>
      <w:pPr>
        <w:spacing w:after="0" w:line="20" w:lineRule="exact"/>
        <w:rPr>
          <w:rFonts w:ascii="Times New Roman" w:cs="Times New Roman" w:eastAsia="Times New Roman" w:hAnsi="Times New Roman"/>
          <w:sz w:val="18"/>
          <w:szCs w:val="18"/>
          <w:color w:val="auto"/>
        </w:rPr>
      </w:pPr>
    </w:p>
    <w:p>
      <w:pPr>
        <w:ind w:left="8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804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 w:lineRule="exact"/>
        <w:rPr>
          <w:sz w:val="20"/>
          <w:szCs w:val="20"/>
          <w:color w:val="auto"/>
        </w:rPr>
      </w:pPr>
    </w:p>
    <w:p>
      <w:pPr>
        <w:ind w:left="862" w:hanging="862"/>
        <w:spacing w:after="0"/>
        <w:tabs>
          <w:tab w:leader="none" w:pos="8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998" w:space="720"/>
            <w:col w:w="1301"/>
          </w:cols>
          <w:pgMar w:left="1440" w:top="513" w:right="1440" w:bottom="1440" w:gutter="0" w:footer="0" w:header="0"/>
          <w:type w:val="continuous"/>
        </w:sectPr>
      </w:pPr>
    </w:p>
    <w:p>
      <w:pPr>
        <w:spacing w:after="0" w:line="5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As of December 31, 2022, amortization expense relating to deferred loan fees during the next five years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Covenants in Existing Title XI Bonds and 2020 Title XI Debt Agreements: </w:t>
      </w:r>
      <w:r>
        <w:rPr>
          <w:rFonts w:ascii="Times New Roman" w:cs="Times New Roman" w:eastAsia="Times New Roman" w:hAnsi="Times New Roman"/>
          <w:sz w:val="18"/>
          <w:szCs w:val="18"/>
          <w:color w:val="auto"/>
        </w:rPr>
        <w:t>The Existing Title XI Bonds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customary representations and warranties as well as affirmative and negative covenants, defaults and other provisions typical for MARAD-guaranteed financings of this type, with definitions and limitations as defined within the Existing Title XI Bonds. These covenants include, among other things, minimum working capital and net worth requirements, limitations on certain other indebtedness, loans and investments, liens, mergers, asset sales, sale and leaseback transactions, and transactions with affiliates as defined within the Existing Title XI Bonds. Certain of the covenants in the Existing Title XI Bonds are applicable only upon and during the continuance of either (i) an event of default or (ii) the failure of MatNav to meet certain financial requirements.</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 2020 Title XI Debt agreements contain customary representations and warranties as well as affirmative and negative covenants, defaults and other provisions typical for MARAD-guaranteed financings of this type, with definitions, limitations and financial tests all as negotiated between MatNav and MARAD. As part of the 2020 Title XI Debt agreements, certain covenants contained in the Existing Title XI Bonds were eliminated. The covenants in the 2020 Title XI Debt agreements include, among other things, limitations on certain other indebtedness, loans and investments, liens, mergers, asset sales, sale and leasebacks, and transactions with affiliates as defined within the 2020 Title XI Debt agreements. Certain of the covenants in the 2020 Title XI Debt agreements are applicable only upon and during the continuance of either (i) an event of default or (ii) the failure of either the Company or MatNav to meet certain supplemental financial tests, including the following:</w:t>
      </w:r>
    </w:p>
    <w:p>
      <w:pPr>
        <w:spacing w:after="0" w:line="188" w:lineRule="exact"/>
        <w:rPr>
          <w:sz w:val="20"/>
          <w:szCs w:val="20"/>
          <w:color w:val="auto"/>
        </w:rPr>
      </w:pPr>
    </w:p>
    <w:p>
      <w:pPr>
        <w:ind w:left="380" w:right="179" w:hanging="330"/>
        <w:spacing w:after="0" w:line="26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MatNav include maintenance of a working capital minimum of $1, and maintenance of a long term debt to net worth ratio of greater than or equal to 2.0 to 1.0; and</w:t>
      </w:r>
    </w:p>
    <w:p>
      <w:pPr>
        <w:jc w:val="both"/>
        <w:ind w:left="380" w:right="179" w:hanging="330"/>
        <w:spacing w:after="0" w:line="255"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the Company include maintenance of a net worth greater than or equal to 90% of the net worth of the Company as set forth in the most recent audited financial statements prior to closing of the issuance of the 2020 Title XI Bonds and compliance with the leverage ratio set forth in the Credit Agreement.</w:t>
      </w:r>
    </w:p>
    <w:p>
      <w:pPr>
        <w:spacing w:after="0" w:line="18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was unsecured, except for the Existing Title XI Bonds and the 2020 Title XI Debt.</w:t>
      </w:r>
    </w:p>
    <w:p>
      <w:pPr>
        <w:spacing w:after="0" w:line="15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Under the 2020 Title XI Debt agreements, MARAD has guaranteed certain obligations of MatNav. MatNav has agreed to reimburse MARAD for any payments it makes under the MARAD guaranty, and MatNav’s obligations to MARAD with respect to the 2020 Title XI Debt are secured by a mortgage on the Vessels and certain other related assets (the “Collateral”), as well as the Existing Vessels (as defined below). In addition, MatNav’s obligations to MARAD with respect to the 2020 Title XI Debt are guaranteed by the Company under an Affiliate Guaranty.</w:t>
      </w:r>
    </w:p>
    <w:p>
      <w:pPr>
        <w:spacing w:after="0" w:line="181"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color w:val="auto"/>
        </w:rPr>
        <w:t xml:space="preserve">The 2020 Title XI Debt agreements also provide that the two vessels securing the Existing Title XI Bonds –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Maunawili </w:t>
      </w:r>
      <w:r>
        <w:rPr>
          <w:rFonts w:ascii="Times New Roman" w:cs="Times New Roman" w:eastAsia="Times New Roman" w:hAnsi="Times New Roman"/>
          <w:sz w:val="18"/>
          <w:szCs w:val="18"/>
          <w:color w:val="auto"/>
        </w:rPr>
        <w:t>(the “Existing Vessels”) – also secure the 2020 Title XI Debt until the Existing Title XI Bonds are retired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2028 and 2029, respectively,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Operating Leases: </w:t>
      </w:r>
      <w:r>
        <w:rPr>
          <w:rFonts w:ascii="Times New Roman" w:cs="Times New Roman" w:eastAsia="Times New Roman" w:hAnsi="Times New Roman"/>
          <w:sz w:val="18"/>
          <w:szCs w:val="18"/>
          <w:color w:val="auto"/>
        </w:rPr>
        <w:t>The Company has different types of operating leases, the specific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The Company’s leases do not contain any residual value guarantees.</w:t>
      </w:r>
    </w:p>
    <w:p>
      <w:pPr>
        <w:spacing w:after="0" w:line="18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Company’s sub-lease income was nominal to the Company’s Consolidated Statements of Income and Comprehensive Income for the years ended December 31, 2022 and 2021. The Company did not have any finance leases during the years ended December 31, 2022 and 2021.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lease type by underlying asset class and maximum terms of the Company’s operating leases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years</w:t>
            </w: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Vessel and barge charter leases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r>
    </w:tbl>
    <w:p>
      <w:pPr>
        <w:spacing w:after="0" w:line="19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Borrowing Rate: </w:t>
      </w:r>
      <w:r>
        <w:rPr>
          <w:rFonts w:ascii="Times New Roman" w:cs="Times New Roman" w:eastAsia="Times New Roman" w:hAnsi="Times New Roman"/>
          <w:sz w:val="18"/>
          <w:szCs w:val="18"/>
          <w:color w:val="auto"/>
        </w:rPr>
        <w:t>As most of the Company’s operating leases do not provide an implicit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Consolidated Statement of Income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Income consists of the following for the years ended December 31, 2022 and 2021:</w:t>
      </w:r>
    </w:p>
    <w:p>
      <w:pPr>
        <w:spacing w:after="0" w:line="21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6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right="3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Lease Information: </w:t>
      </w:r>
      <w:r>
        <w:rPr>
          <w:rFonts w:ascii="Times New Roman" w:cs="Times New Roman" w:eastAsia="Times New Roman" w:hAnsi="Times New Roman"/>
          <w:sz w:val="18"/>
          <w:szCs w:val="18"/>
          <w:color w:val="auto"/>
        </w:rPr>
        <w:t>Other information related to the Company’s operating leases consists of the following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2022 and 2021:</w:t>
      </w:r>
    </w:p>
    <w:p>
      <w:pPr>
        <w:ind w:left="7400"/>
        <w:spacing w:after="0" w:line="232" w:lineRule="auto"/>
        <w:rPr>
          <w:sz w:val="20"/>
          <w:szCs w:val="20"/>
          <w:color w:val="auto"/>
        </w:rPr>
      </w:pPr>
      <w:r>
        <w:rPr>
          <w:rFonts w:ascii="Times New Roman" w:cs="Times New Roman" w:eastAsia="Times New Roman" w:hAnsi="Times New Roman"/>
          <w:sz w:val="14"/>
          <w:szCs w:val="14"/>
          <w:b w:val="1"/>
          <w:bCs w:val="1"/>
          <w:color w:val="auto"/>
        </w:rPr>
        <w:t>Years Ended</w:t>
      </w:r>
    </w:p>
    <w:p>
      <w:pPr>
        <w:ind w:left="736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the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360"/>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years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years</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Maturities of operating lease liabilities consist of the following at December 31, 2022:</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80" w:type="dxa"/>
            <w:vAlign w:val="bottom"/>
          </w:tcPr>
          <w:p>
            <w:pPr>
              <w:spacing w:after="0"/>
              <w:rPr>
                <w:sz w:val="13"/>
                <w:szCs w:val="13"/>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0"/>
        </w:trPr>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 and Leaseback of Equipment: </w:t>
      </w:r>
      <w:r>
        <w:rPr>
          <w:rFonts w:ascii="Times New Roman" w:cs="Times New Roman" w:eastAsia="Times New Roman" w:hAnsi="Times New Roman"/>
          <w:sz w:val="18"/>
          <w:szCs w:val="18"/>
          <w:color w:val="auto"/>
        </w:rPr>
        <w:t>On March 25, 2020, the Company entered into an agreement for the sale and leaseback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multiple tranches of chassis and container equipment. The net proceeds from the sales were $14.3 million, and the gain on the disposal of the equipment was not material to the Company’s Consolidated Financial Statements. The Company subsequently leased back the equipment under a five-year operating lease agreement, and the obligations under the lease are included in the maturities of operating lease liabilities table above. There were no sale and leaseback transactions during 2022 and 2021.</w:t>
      </w:r>
    </w:p>
    <w:p>
      <w:pPr>
        <w:spacing w:after="0" w:line="18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Vessel Charter: </w:t>
      </w:r>
      <w:r>
        <w:rPr>
          <w:rFonts w:ascii="Times New Roman" w:cs="Times New Roman" w:eastAsia="Times New Roman" w:hAnsi="Times New Roman"/>
          <w:sz w:val="18"/>
          <w:szCs w:val="18"/>
          <w:color w:val="auto"/>
        </w:rPr>
        <w:t>On July 7, 2021, MatNav entered into an agreement to acquire</w:t>
      </w:r>
      <w:r>
        <w:rPr>
          <w:rFonts w:ascii="Times New Roman" w:cs="Times New Roman" w:eastAsia="Times New Roman" w:hAnsi="Times New Roman"/>
          <w:sz w:val="18"/>
          <w:szCs w:val="18"/>
          <w:i w:val="1"/>
          <w:iCs w:val="1"/>
          <w:color w:val="auto"/>
        </w:rPr>
        <w:t xml:space="preserve"> Maunalei </w:t>
      </w:r>
      <w:r>
        <w:rPr>
          <w:rFonts w:ascii="Times New Roman" w:cs="Times New Roman" w:eastAsia="Times New Roman" w:hAnsi="Times New Roman"/>
          <w:sz w:val="18"/>
          <w:szCs w:val="18"/>
          <w:color w:val="auto"/>
        </w:rPr>
        <w:t>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operated under a vessel charter lease agreement for $95.8 million, thereby acquiring the vessel. The Company derecognized the related right-of-use (“ROU”) asset of $27.4 million and ROU liability of $28.5 million, and increased property and equipment by $94.7 million, net, during the year ended December 31, 2021.</w:t>
      </w:r>
    </w:p>
    <w:p>
      <w:pPr>
        <w:spacing w:after="0" w:line="394"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taxes consist of the following for the years ended December 31, 2022, 2021 and 2020:</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expense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8"/>
                <w:szCs w:val="18"/>
                <w:u w:val="single" w:color="auto"/>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59"/>
        <w:spacing w:after="0" w:line="261" w:lineRule="auto"/>
        <w:rPr>
          <w:sz w:val="20"/>
          <w:szCs w:val="20"/>
          <w:color w:val="auto"/>
        </w:rPr>
      </w:pPr>
      <w:r>
        <w:rPr>
          <w:rFonts w:ascii="Times New Roman" w:cs="Times New Roman" w:eastAsia="Times New Roman" w:hAnsi="Times New Roman"/>
          <w:sz w:val="18"/>
          <w:szCs w:val="18"/>
          <w:color w:val="auto"/>
        </w:rPr>
        <w:t>Income taxes for the years ended December 31, 2022, 2021 and 2020 differ from amounts computed by applying the statutory federal rate to income before income taxes for the following reasons:</w:t>
      </w:r>
    </w:p>
    <w:tbl>
      <w:tblPr>
        <w:tblLayout w:type="fixed"/>
        <w:tblInd w:w="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federal income tax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0"/>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deferred tax liabilities at December 31, 2022 and 2021, were as follows:</w:t>
      </w:r>
    </w:p>
    <w:tbl>
      <w:tblPr>
        <w:tblLayout w:type="fixed"/>
        <w:tblInd w:w="60" w:type="dxa"/>
        <w:tblCellMar>
          <w:top w:w="0" w:type="dxa"/>
          <w:left w:w="0" w:type="dxa"/>
          <w:bottom w:w="0" w:type="dxa"/>
          <w:right w:w="0" w:type="dxa"/>
        </w:tblCellMar>
      </w:tblPr>
      <w:tr>
        <w:trPr>
          <w:trHeight w:val="162"/>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Multi-employer withdrawal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State alternative minimum 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plans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Basis differences for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SSAT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Allowance: </w:t>
      </w:r>
      <w:r>
        <w:rPr>
          <w:rFonts w:ascii="Times New Roman" w:cs="Times New Roman" w:eastAsia="Times New Roman" w:hAnsi="Times New Roman"/>
          <w:sz w:val="18"/>
          <w:szCs w:val="18"/>
          <w:color w:val="auto"/>
        </w:rPr>
        <w:t>Valuation allowances are recorded against the Company’s foreign income tax net operating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(“NOLs”), unusable state income tax NOLs and alternative minimum tax credits, and were $7.4 million and $5.3 million as of December 31, 2022 and 2021, respectively. The Company believes that it is more likely than not that the benefit from these deferred assets will not be realized.</w:t>
      </w:r>
    </w:p>
    <w:p>
      <w:pPr>
        <w:spacing w:after="0" w:line="180"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Operating Losses and Tax Credit Carryforwards: </w:t>
      </w:r>
      <w:r>
        <w:rPr>
          <w:rFonts w:ascii="Times New Roman" w:cs="Times New Roman" w:eastAsia="Times New Roman" w:hAnsi="Times New Roman"/>
          <w:sz w:val="18"/>
          <w:szCs w:val="18"/>
          <w:color w:val="auto"/>
        </w:rPr>
        <w:t>The Company’s NOLs and tax credit carryforwards consist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at December 31, 2022 and 2021:</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NOLs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dates beginning in 2027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 NOLs (1)</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 dates beginning in 2032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alternative minimum tax credit</w:t>
            </w:r>
          </w:p>
        </w:tc>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expiration date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 NOLs</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 expiration date</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179" w:hanging="330"/>
        <w:spacing w:after="0" w:line="261"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State income tax NOLs are presented on a gross tax basis. The Company does not expect to benefit from $157.9 million of U.S. State income tax NOLs as of December 31, 2022 and 2021.</w:t>
      </w:r>
    </w:p>
    <w:p>
      <w:pPr>
        <w:spacing w:after="0" w:line="16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U.S. federal and state income tax NOLs in the Company’s filed income tax returns include unrecognized tax 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81"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Unrecognized Tax Benefits: </w:t>
      </w:r>
      <w:r>
        <w:rPr>
          <w:rFonts w:ascii="Times New Roman" w:cs="Times New Roman" w:eastAsia="Times New Roman" w:hAnsi="Times New Roman"/>
          <w:sz w:val="18"/>
          <w:szCs w:val="18"/>
          <w:color w:val="auto"/>
        </w:rPr>
        <w:t>Total unrecognized benefits represent the amount that, if recognized, would favorably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incomes taxes and effective tax rate in future periods. The Company does not expect a material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 in gross unrecognized benefits in the next twelve months. A reconciliation of the beginning and ending amount of gross unrecognized tax benefits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Unrecognized Tax Benefits (in millions)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7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r>
      <w:tr>
        <w:trPr>
          <w:trHeight w:val="210"/>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tax positions of prior years,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09"/>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r>
      <w:tr>
        <w:trPr>
          <w:trHeight w:val="20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2022 are potential benefits of $25.1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accrued related to the balance of unrecognized tax benefits were nominal as of December 31, 2022 and 2021.</w:t>
      </w:r>
    </w:p>
    <w:p>
      <w:pPr>
        <w:spacing w:after="0" w:line="187"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audits for years before 2015. The Company is routinely involved in federal, state, local income and excise tax audits, and foreign tax audits.</w:t>
      </w:r>
    </w:p>
    <w:p>
      <w:pPr>
        <w:spacing w:after="0" w:line="1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 U.S. Tax Legislation: </w:t>
      </w:r>
      <w:r>
        <w:rPr>
          <w:rFonts w:ascii="Times New Roman" w:cs="Times New Roman" w:eastAsia="Times New Roman" w:hAnsi="Times New Roman"/>
          <w:sz w:val="18"/>
          <w:szCs w:val="18"/>
          <w:color w:val="auto"/>
        </w:rPr>
        <w:t>On August 16, 2022, the Inflation Reduction Act of 2022 (“IRA”) was signed into law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The new provisions impose a one percent excise tax on the fair market value of share repurchases after December 31, 2022. The Company does not expect the one percent excise tax to have a material impact on the Company’s financial statements in future periods. Because the excise tax is not an income tax, any amount paid by the Company will be recorded as a component of shareholders’ equity.</w:t>
      </w:r>
    </w:p>
    <w:p>
      <w:pPr>
        <w:spacing w:after="0" w:line="18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provisions of the IRA also include a 15 percent alternative minimum tax rate that generally applies to U.S. corporations with three-year average adjusted financial statement income in excess of $1 billion, and is effective in taxable years beginning after December 31, 2022. The Company continues to review the provisions of the IRA and monitor the issuance of any guidance related to these provisions. However, based upon its preliminary assessment, the Company does not expect these provisions to have a material impact on the Company’s tax provision in future periods.</w:t>
      </w:r>
    </w:p>
    <w:p>
      <w:pPr>
        <w:spacing w:after="0" w:line="395"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had two funded qualified single-employer defined benefit pension plans that cover certain non-bargaining unit employees and bargaining unit employees. Effective December 31, 2022, the plans were merged into a single pension plan.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 Administration, Investments and Asset Allocations: </w:t>
      </w:r>
      <w:r>
        <w:rPr>
          <w:rFonts w:ascii="Times New Roman" w:cs="Times New Roman" w:eastAsia="Times New Roman" w:hAnsi="Times New Roman"/>
          <w:sz w:val="18"/>
          <w:szCs w:val="18"/>
          <w:color w:val="auto"/>
        </w:rPr>
        <w:t>The Company has a Benefits Investment Committee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with investment advisors to establish investment policies, direct investments and select investment options for the qualified plan.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target and actual asset allocations at December 31, 2022 and 2021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Categories</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equity securities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and cash</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0"/>
        </w:trPr>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spacing w:after="0" w:line="187"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Actual Return on Plan Assets</w:t>
            </w: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Borders>
              <w:bottom w:val="single" w:sz="8" w:color="CCEEFF"/>
            </w:tcBorders>
          </w:tcPr>
          <w:p>
            <w:pPr>
              <w:spacing w:after="0"/>
              <w:rPr>
                <w:sz w:val="15"/>
                <w:szCs w:val="15"/>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One-year return</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Three-year return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return</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average return (since plan inception in 1989)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pension plan assets are held in a trust and are stated at estimated fair values of the underlying investments.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Dividends are recorded on the ex-dividend date.</w:t>
      </w:r>
    </w:p>
    <w:p>
      <w:pPr>
        <w:spacing w:after="0" w:line="205" w:lineRule="exact"/>
        <w:rPr>
          <w:sz w:val="20"/>
          <w:szCs w:val="20"/>
          <w:color w:val="auto"/>
        </w:rPr>
      </w:pPr>
    </w:p>
    <w:p>
      <w:pPr>
        <w:ind w:left="6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Domestic and international common stocks are valued by obtaining quoted prices on recognized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highly liquid exchanges.</w:t>
      </w:r>
    </w:p>
    <w:p>
      <w:pPr>
        <w:spacing w:after="0" w:line="15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Fixed Income Securities: </w:t>
      </w:r>
      <w:r>
        <w:rPr>
          <w:rFonts w:ascii="Times New Roman" w:cs="Times New Roman" w:eastAsia="Times New Roman" w:hAnsi="Times New Roman"/>
          <w:sz w:val="18"/>
          <w:szCs w:val="18"/>
          <w:color w:val="auto"/>
        </w:rPr>
        <w:t>Corporate bonds and U.S. government treasury and agency securities are valued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80"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 Estate and Private Equity Funds: </w:t>
      </w:r>
      <w:r>
        <w:rPr>
          <w:rFonts w:ascii="Times New Roman" w:cs="Times New Roman" w:eastAsia="Times New Roman" w:hAnsi="Times New Roman"/>
          <w:sz w:val="18"/>
          <w:szCs w:val="18"/>
          <w:color w:val="auto"/>
        </w:rPr>
        <w:t>The fair value of real estate and private equity funds is determined by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their net asset value (“NAV”). NAV is determined by dividing the fund’s net assets, as recorded in the fund’s audited financial statements, by the number of units outstanding at the valuation date. Fair value for underlying investments in real estate is determined through independent property appraisals.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values of the Company’s pension plan assets at December 31, 2022 and 2021 by asset category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4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Fixed Income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High-yield U.S. corporate bonds / Non-U.S.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39" w:hanging="330"/>
        <w:spacing w:after="0" w:line="261"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and private equity funds for which fair value is measured using the NAV per share as a practical expedient are not leveled within the fair value hierarchy and are included as a reconciling item to total plan assets.</w:t>
      </w:r>
    </w:p>
    <w:p>
      <w:pPr>
        <w:spacing w:after="0" w:line="16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Contributions to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The Company’s funding policy is to contribute cash so that it meets at least the minimum contribution requirements, with an allowance for discretionary contributions. In 2022, 2021 and 2020, the Company contributed $9.0 million, $9.0 million and $9.0 million, respectively, in pension contributions to these plans.</w:t>
      </w:r>
    </w:p>
    <w:p>
      <w:pPr>
        <w:spacing w:after="0" w:line="189"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4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Plan Assets and Obligations: </w:t>
      </w:r>
      <w:r>
        <w:rPr>
          <w:rFonts w:ascii="Times New Roman" w:cs="Times New Roman" w:eastAsia="Times New Roman" w:hAnsi="Times New Roman"/>
          <w:sz w:val="18"/>
          <w:szCs w:val="18"/>
          <w:color w:val="auto"/>
        </w:rPr>
        <w:t>The measurement date for the Company’s benefit plan disclosures is December 31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status of the funded qualified defined benefit pension plan and the unfunded post-retirement benefit plan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are shown below:</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Actuarial (gain)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paid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 paid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and Recognized Liability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Qualified pension and post-retirement benefit plans liabilities recognized in the Consolidated Balance Sheets and expenses recognized in accumulated other comprehensive income (loss) at December 31, 2022 and 2021 were as follows:</w:t>
      </w:r>
    </w:p>
    <w:tbl>
      <w:tblPr>
        <w:tblLayout w:type="fixed"/>
        <w:tblInd w:w="40" w:type="dxa"/>
        <w:tblCellMar>
          <w:top w:w="0" w:type="dxa"/>
          <w:left w:w="0" w:type="dxa"/>
          <w:bottom w:w="0" w:type="dxa"/>
          <w:right w:w="0" w:type="dxa"/>
        </w:tblCellMar>
      </w:tblPr>
      <w:tr>
        <w:trPr>
          <w:trHeight w:val="137"/>
        </w:trPr>
        <w:tc>
          <w:tcPr>
            <w:tcW w:w="5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1"/>
                <w:szCs w:val="11"/>
                <w:color w:val="auto"/>
              </w:rPr>
            </w:pPr>
          </w:p>
        </w:tc>
        <w:tc>
          <w:tcPr>
            <w:tcW w:w="1300" w:type="dxa"/>
            <w:vAlign w:val="bottom"/>
            <w:gridSpan w:val="5"/>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gain, net of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 net of taxes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information for qualified defined benefit pension plans with an accumulated benefit obligation in excess of plan assets at December 31, 2022 and 2021 are shown below:</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Components of the net periodic benefit cost and other amounts recognized in other comprehensive income (loss) for the qualified pension plans and the post-retirement benefit plans during 2022, 2021 and 2020 were as follows: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Changes in Plan Assets and Benefit Obligations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assumptions used to determine benefit information during 2022, 2021 and 2020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7"/>
                <w:szCs w:val="17"/>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Discount rate (1)</w:t>
            </w: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0" w:type="dxa"/>
            <w:vAlign w:val="bottom"/>
          </w:tcPr>
          <w:p>
            <w:pPr>
              <w:spacing w:after="0"/>
              <w:rPr>
                <w:sz w:val="17"/>
                <w:szCs w:val="17"/>
                <w:color w:val="auto"/>
              </w:rPr>
            </w:pP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7.25 %</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 - 3.50 %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356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 4.00 % - 3.50 %  3.00 %  3.00 %</w:t>
            </w:r>
          </w:p>
        </w:tc>
      </w:tr>
      <w:tr>
        <w:trPr>
          <w:trHeight w:val="203"/>
        </w:trPr>
        <w:tc>
          <w:tcPr>
            <w:tcW w:w="20" w:type="dxa"/>
            <w:vAlign w:val="bottom"/>
          </w:tcPr>
          <w:p>
            <w:pPr>
              <w:spacing w:after="0"/>
              <w:rPr>
                <w:sz w:val="17"/>
                <w:szCs w:val="17"/>
                <w:color w:val="auto"/>
              </w:rPr>
            </w:pP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Cash balance interest credit rate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 - 3.25 %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1.50 % - 3.25 %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0.75 % - 3.25 %</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Immediate health care cost trend rate: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Pre-65 group</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6.60 %  5.70 %  5.30 %</w:t>
            </w: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Post-65 group</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6.10 %  5.80 %  5.40 %</w:t>
            </w:r>
          </w:p>
        </w:tc>
      </w:tr>
      <w:tr>
        <w:trPr>
          <w:trHeight w:val="203"/>
        </w:trPr>
        <w:tc>
          <w:tcPr>
            <w:tcW w:w="20" w:type="dxa"/>
            <w:vAlign w:val="bottom"/>
          </w:tcPr>
          <w:p>
            <w:pPr>
              <w:spacing w:after="0"/>
              <w:rPr>
                <w:sz w:val="17"/>
                <w:szCs w:val="17"/>
                <w:color w:val="auto"/>
              </w:rPr>
            </w:pP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Ultimate health care cost trend rate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6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4.00 %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189"/>
        </w:trPr>
        <w:tc>
          <w:tcPr>
            <w:tcW w:w="20" w:type="dxa"/>
            <w:vAlign w:val="bottom"/>
          </w:tcPr>
          <w:p>
            <w:pPr>
              <w:spacing w:after="0"/>
              <w:rPr>
                <w:sz w:val="16"/>
                <w:szCs w:val="16"/>
                <w:color w:val="auto"/>
              </w:rPr>
            </w:pPr>
          </w:p>
        </w:tc>
        <w:tc>
          <w:tcPr>
            <w:tcW w:w="3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Year ultimate health care cost trend rate is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reached: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Pre-65 group</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2037</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Post-65 group</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2036</w:t>
            </w:r>
          </w:p>
        </w:tc>
        <w:tc>
          <w:tcPr>
            <w:tcW w:w="220" w:type="dxa"/>
            <w:vAlign w:val="bottom"/>
            <w:shd w:val="clear" w:color="auto" w:fill="CCEEFF"/>
          </w:tcPr>
          <w:p>
            <w:pPr>
              <w:spacing w:after="0"/>
              <w:rPr>
                <w:sz w:val="17"/>
                <w:szCs w:val="17"/>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58" w:lineRule="exact"/>
        <w:rPr>
          <w:sz w:val="20"/>
          <w:szCs w:val="20"/>
          <w:color w:val="auto"/>
        </w:rPr>
      </w:pPr>
    </w:p>
    <w:p>
      <w:pPr>
        <w:ind w:left="380" w:right="459" w:hanging="330"/>
        <w:spacing w:after="0" w:line="26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derives a single equivalent rate utilizing a yield curve constructed from a portfolio of high-quality corporate bonds with various maturities.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Pension Plans: </w:t>
      </w:r>
      <w:r>
        <w:rPr>
          <w:rFonts w:ascii="Times New Roman" w:cs="Times New Roman" w:eastAsia="Times New Roman" w:hAnsi="Times New Roman"/>
          <w:sz w:val="18"/>
          <w:szCs w:val="18"/>
          <w:color w:val="auto"/>
        </w:rPr>
        <w:t>The Company has non-qualified supplemental pension plans covering certain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2022 and 2021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 Benefits</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7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Discount rates of 5.5 percent and 2.4 percent were used in determining the 2022 and 2021 non-qualified pension plan obligations, respectively.</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Estimated Benefit Payments: </w:t>
      </w:r>
      <w:r>
        <w:rPr>
          <w:rFonts w:ascii="Times New Roman" w:cs="Times New Roman" w:eastAsia="Times New Roman" w:hAnsi="Times New Roman"/>
          <w:sz w:val="18"/>
          <w:szCs w:val="18"/>
          <w:color w:val="auto"/>
        </w:rPr>
        <w:t>The estimated future benefit payments for the next ten years consist of the following as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2028-2032</w:t>
            </w:r>
          </w:p>
        </w:tc>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participant contributions and Medicare Part D subsidies.</w:t>
      </w:r>
    </w:p>
    <w:p>
      <w:pPr>
        <w:spacing w:after="0" w:line="13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w:t>
      </w:r>
      <w:r>
        <w:rPr>
          <w:rFonts w:ascii="Times New Roman" w:cs="Times New Roman" w:eastAsia="Times New Roman" w:hAnsi="Times New Roman"/>
          <w:sz w:val="18"/>
          <w:szCs w:val="18"/>
          <w:color w:val="auto"/>
        </w:rPr>
        <w:t>The Company sponsors defined contribution plans that qualify under Sections 401(a)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2022, the Company provided discretionary matching contributions of up to 3 percent of eligible employee compensation. The Company’s matching contributions expensed in 2022, 2021 and 2020 were $3.6 million, $3.2 million and $3.0 million, respectively.</w:t>
      </w:r>
    </w:p>
    <w:p>
      <w:pPr>
        <w:spacing w:after="0" w:line="18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2022, 2021 and 2020 were $2.8 million, $2.5 million and $2.2 million, respectively.</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Bargaining Plans:</w:t>
      </w:r>
    </w:p>
    <w:p>
      <w:pPr>
        <w:spacing w:after="0" w:line="14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participating employers. Additionally, if one employer stops contributing to the plan, the unfunded obligations of the plan may be borne by the remaining participating employers.</w:t>
      </w:r>
    </w:p>
    <w:p>
      <w:pPr>
        <w:spacing w:after="0" w:line="94"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2022, the Company’s estimated benefit plan withdrawal obligations were $170.1 million. Except as described in Note 12, no withdrawal obligations have been recorded by the Company in the Consolidated Balance Sheets at December 31, 2022 and 2021, as the Company has no present intention of withdrawing from and does not anticipate termination of any of these plans.</w:t>
      </w:r>
    </w:p>
    <w:p>
      <w:pPr>
        <w:spacing w:after="0" w:line="10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2022 and 2021 is for the plan’s year-end at December 31, 2022 and 2021, respectively. The zone status is based on information that the Company received from the plan and is certified by the plan’s actuary. Among other factors, plans in the red zone are generally less than 65 percent funded; plans in the orange zone are both a) less than 80 percent funded and b) 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Protection Act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Zone as of</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FIP/RP Status</w:t>
            </w:r>
          </w:p>
        </w:tc>
        <w:tc>
          <w:tcPr>
            <w:tcW w:w="6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EIN/Pension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Pending/</w:t>
            </w:r>
          </w:p>
        </w:tc>
        <w:tc>
          <w:tcPr>
            <w:tcW w:w="6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Contributor</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Surcharge</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15"/>
        </w:trPr>
        <w:tc>
          <w:tcPr>
            <w:tcW w:w="24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Pension Funds</w:t>
            </w:r>
          </w:p>
        </w:tc>
        <w:tc>
          <w:tcPr>
            <w:tcW w:w="120" w:type="dxa"/>
            <w:vAlign w:val="bottom"/>
          </w:tcPr>
          <w:p>
            <w:pPr>
              <w:spacing w:after="0"/>
              <w:rPr>
                <w:sz w:val="10"/>
                <w:szCs w:val="10"/>
                <w:color w:val="auto"/>
              </w:rPr>
            </w:pPr>
          </w:p>
        </w:tc>
        <w:tc>
          <w:tcPr>
            <w:tcW w:w="840" w:type="dxa"/>
            <w:vAlign w:val="bottom"/>
          </w:tcPr>
          <w:p>
            <w:pPr>
              <w:jc w:val="right"/>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Plan Number</w:t>
            </w:r>
          </w:p>
        </w:tc>
        <w:tc>
          <w:tcPr>
            <w:tcW w:w="480" w:type="dxa"/>
            <w:vAlign w:val="bottom"/>
            <w:gridSpan w:val="3"/>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Notes</w:t>
            </w: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Pr>
          <w:p>
            <w:pPr>
              <w:spacing w:after="0"/>
              <w:rPr>
                <w:sz w:val="10"/>
                <w:szCs w:val="10"/>
                <w:color w:val="auto"/>
              </w:rPr>
            </w:pP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Implemented</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4"/>
              </w:rPr>
              <w:t>in 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2020</w:t>
            </w: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Imposed</w:t>
            </w:r>
          </w:p>
        </w:tc>
        <w:tc>
          <w:tcPr>
            <w:tcW w:w="6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5"/>
              </w:rPr>
              <w:t>Date (2)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Green</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Hawaii Longshore Pension Plan</w:t>
            </w:r>
          </w:p>
        </w:tc>
        <w:tc>
          <w:tcPr>
            <w:tcW w:w="13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99-0314293-001   (1)</w:t>
            </w: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6"/>
              </w:rPr>
              <w:t>Hawaii Terminals Multiemployer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20-0389370-001</w:t>
            </w: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600" w:type="dxa"/>
            <w:vAlign w:val="bottom"/>
            <w:gridSpan w:val="2"/>
            <w:shd w:val="clear" w:color="auto" w:fill="CCEEFF"/>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w w:val="96"/>
              </w:rPr>
              <w:t>Hawaii Stevedoring Multiemployer Retirement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99-0314293-001</w:t>
            </w:r>
          </w:p>
        </w:tc>
        <w:tc>
          <w:tcPr>
            <w:tcW w:w="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8"/>
                <w:szCs w:val="8"/>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9"/>
              </w:rPr>
              <w:t>N/A</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57"/>
        </w:trPr>
        <w:tc>
          <w:tcPr>
            <w:tcW w:w="242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Master, Mates and Pilots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13-6372630-001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Masters, Mates and Pilots Adjustable Pension</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37-1719247-001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MEBA Pension Trust - Defined Benefit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51-6029896-001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OCU Pension Trust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26-1574440-001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MFOW Supplementary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94-6201677-001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SIU Pacific District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94-6061923-001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Alaska Teamster - 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92-6003463-024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shd w:val="clear" w:color="auto" w:fill="CCEEFF"/>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All Alaska Longshore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91-6085352-001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5"/>
              </w:rPr>
              <w:t>Western Conference of Teamsters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91-6145047-001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3/31/2023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Benefit Trust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95-3746907-001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OPEIU Local 153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13-2864289-001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11/9/2023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Seafarers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13-6100329-001</w:t>
            </w: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99" w:hanging="330"/>
        <w:spacing w:after="0" w:line="227" w:lineRule="auto"/>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Hawaii Terminals Multiemployer Pension Plan merged into the Hawaii Stevedoring Multiemployer Retirement Plan effective January 1, 2021 and is formally known as the Hawaii Longshore Pension Plan.</w:t>
      </w:r>
    </w:p>
    <w:p>
      <w:pPr>
        <w:spacing w:after="0" w:line="1" w:lineRule="exact"/>
        <w:rPr>
          <w:rFonts w:ascii="Times New Roman" w:cs="Times New Roman" w:eastAsia="Times New Roman" w:hAnsi="Times New Roman"/>
          <w:sz w:val="13"/>
          <w:szCs w:val="13"/>
          <w:color w:val="auto"/>
        </w:rPr>
      </w:pPr>
    </w:p>
    <w:p>
      <w:pPr>
        <w:ind w:left="380" w:hanging="330"/>
        <w:spacing w:after="0" w:line="216" w:lineRule="auto"/>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expiration date of the collective bargaining agreement. Certain collective bargaining agreements have expired and are currently being renegotiated.</w:t>
      </w:r>
    </w:p>
    <w:p>
      <w:pPr>
        <w:ind w:left="380" w:right="359" w:hanging="330"/>
        <w:spacing w:after="0" w:line="228" w:lineRule="auto"/>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spacing w:after="0" w:line="18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drugs. These plans are not subject to the PBGC plan termination and withdrawal liability provisions of ERISA applicable to multi-employer defined benefit pension plans. Contributions for these multi-employer postretirement health and other benefits were $37.7 million, $34.7 million and $32.5 million in 2022, 2021 and 2020,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Contribution Plans: </w:t>
      </w:r>
      <w:r>
        <w:rPr>
          <w:rFonts w:ascii="Times New Roman" w:cs="Times New Roman" w:eastAsia="Times New Roman" w:hAnsi="Times New Roman"/>
          <w:sz w:val="18"/>
          <w:szCs w:val="18"/>
          <w:color w:val="auto"/>
        </w:rPr>
        <w:t>The Company contributes to six multi-employer defined contribution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These plans are not subject to the withdrawal liability provisions of ERISA or the PBGC applicable to multi-employer defined benefit pension plans. Contributions made to these plans by the Company were $6.0 million, $5.6 million and $5.1 million in 2022, 2021 and 2020, respectively.</w:t>
      </w:r>
    </w:p>
    <w:p>
      <w:pPr>
        <w:spacing w:after="0" w:line="394"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MULTI-EMPLOYER WITHDRAWAL LIABILITIES</w:t>
      </w:r>
    </w:p>
    <w:p>
      <w:pPr>
        <w:spacing w:after="0" w:line="22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2022 were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remaining future undiscounted payments due to the ILA-PRSSA pension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Present value of multi-employer withdrawal liability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multi-employer withdrawal liability (see Note 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multi-employer withdrawal liability (see Note 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Furthermore, the Company assumed a partial withdrawal liability related to the Local 153 Fund of the OPEIU. The partial withdrawal liability resulted from a decline in the number of contribution base units related to the Local 153 Fund caused by Horizon terminating all of its operations in Puerto Rico during the first quarter of 2015. The Company paid off this partial withdrawal liability of $6.5 million during 2021.</w:t>
      </w:r>
    </w:p>
    <w:p>
      <w:pPr>
        <w:spacing w:after="0" w:line="200" w:lineRule="exact"/>
        <w:rPr>
          <w:sz w:val="20"/>
          <w:szCs w:val="20"/>
          <w:color w:val="auto"/>
        </w:rPr>
      </w:pPr>
    </w:p>
    <w:p>
      <w:pPr>
        <w:spacing w:after="0" w:line="219"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consist of the following for the years ended December 31, 2022 and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20" w:type="dxa"/>
            <w:vAlign w:val="bottom"/>
          </w:tcPr>
          <w:p>
            <w:pPr>
              <w:spacing w:after="0"/>
              <w:rPr>
                <w:sz w:val="13"/>
                <w:szCs w:val="13"/>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gridSpan w:val="2"/>
            <w:vMerge w:val="continue"/>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40" w:type="dxa"/>
            <w:vAlign w:val="bottom"/>
            <w:gridSpan w:val="3"/>
            <w:vMerge w:val="continue"/>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in the Consolidated Statements of Income and Comprehensive Income is shown net of tax benefit (expense) of $(9.3) million, $(8.1) million and $4.2 million for the years ended December 2022, 2021 and 2020,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399"/>
        <w:spacing w:after="0" w:line="261" w:lineRule="auto"/>
        <w:rPr>
          <w:sz w:val="20"/>
          <w:szCs w:val="20"/>
          <w:color w:val="auto"/>
        </w:rPr>
      </w:pPr>
      <w:r>
        <w:rPr>
          <w:rFonts w:ascii="Times New Roman" w:cs="Times New Roman" w:eastAsia="Times New Roman" w:hAnsi="Times New Roman"/>
          <w:sz w:val="18"/>
          <w:szCs w:val="18"/>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2022, 2021 and 2020.</w:t>
      </w:r>
    </w:p>
    <w:p>
      <w:pPr>
        <w:spacing w:after="0" w:line="16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denominators used to compute basic and diluted earnings per share for the years ended December 31, 2022, 2021 and 2020 are as follows: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80" w:type="dxa"/>
            <w:vAlign w:val="bottom"/>
          </w:tcPr>
          <w:p>
            <w:pPr>
              <w:spacing w:after="0"/>
              <w:rPr>
                <w:sz w:val="13"/>
                <w:szCs w:val="13"/>
                <w:color w:val="auto"/>
              </w:rPr>
            </w:pPr>
          </w:p>
        </w:tc>
        <w:tc>
          <w:tcPr>
            <w:tcW w:w="2040" w:type="dxa"/>
            <w:vAlign w:val="bottom"/>
            <w:gridSpan w:val="7"/>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2021</w:t>
            </w:r>
          </w:p>
        </w:tc>
        <w:tc>
          <w:tcPr>
            <w:tcW w:w="80" w:type="dxa"/>
            <w:vAlign w:val="bottom"/>
          </w:tcPr>
          <w:p>
            <w:pPr>
              <w:spacing w:after="0"/>
              <w:rPr>
                <w:sz w:val="13"/>
                <w:szCs w:val="13"/>
                <w:color w:val="auto"/>
              </w:rPr>
            </w:pPr>
          </w:p>
        </w:tc>
        <w:tc>
          <w:tcPr>
            <w:tcW w:w="20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2020</w:t>
            </w:r>
          </w:p>
        </w:tc>
      </w:tr>
      <w:tr>
        <w:trPr>
          <w:trHeight w:val="122"/>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5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3"/>
                <w:szCs w:val="13"/>
                <w:b w:val="1"/>
                <w:bCs w:val="1"/>
                <w:color w:val="auto"/>
                <w:w w:val="92"/>
              </w:rPr>
              <w:t>Per</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8"/>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80" w:type="dxa"/>
            <w:vAlign w:val="bottom"/>
          </w:tcPr>
          <w:p>
            <w:pPr>
              <w:spacing w:after="0"/>
              <w:rPr>
                <w:sz w:val="10"/>
                <w:szCs w:val="10"/>
                <w:color w:val="auto"/>
              </w:rPr>
            </w:pP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Common</w:t>
            </w: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r>
      <w:tr>
        <w:trPr>
          <w:trHeight w:val="15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96"/>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$ 1,063.9</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$ 27.28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(0.04)</w:t>
            </w:r>
          </w:p>
        </w:tc>
      </w:tr>
      <w:tr>
        <w:trPr>
          <w:trHeight w:val="199"/>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$ 1,063.9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$ 27.07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as follows:</w:t>
      </w:r>
    </w:p>
    <w:p>
      <w:pPr>
        <w:spacing w:after="0" w:line="22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2016 Incentive Compensation Plan: </w:t>
      </w:r>
      <w:r>
        <w:rPr>
          <w:rFonts w:ascii="Times New Roman" w:cs="Times New Roman" w:eastAsia="Times New Roman" w:hAnsi="Times New Roman"/>
          <w:sz w:val="18"/>
          <w:szCs w:val="18"/>
          <w:color w:val="auto"/>
        </w:rPr>
        <w:t>The Amended and Restated Matson, Inc. 2016 Incentive Compensation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Plan”) serves as a successor to the 2007 Incentive Compensation Plan and all other predecessor plans. No further grants will be made under the predecessor stock option plans. Under the 2016 Plan, 4.35 million shares of common stock were reserved for issuance.</w:t>
      </w:r>
    </w:p>
    <w:p>
      <w:pPr>
        <w:spacing w:after="0" w:line="18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78"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Discretionary Grant Program </w:t>
      </w:r>
      <w:r>
        <w:rPr>
          <w:rFonts w:ascii="Times New Roman" w:cs="Times New Roman" w:eastAsia="Times New Roman" w:hAnsi="Times New Roman"/>
          <w:sz w:val="18"/>
          <w:szCs w:val="18"/>
          <w:color w:val="auto"/>
        </w:rPr>
        <w:t>— Under the Discretionary Grant Program, stock options may be granted with an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no less than 100 percent of the fair market value (defined as the closing market price) of the Company’s common stock on the date of the grant. No stock options have been granted under the 2016 Plan.</w:t>
      </w:r>
    </w:p>
    <w:p>
      <w:pPr>
        <w:spacing w:after="0" w:line="173"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Issuance Program </w:t>
      </w:r>
      <w:r>
        <w:rPr>
          <w:rFonts w:ascii="Times New Roman" w:cs="Times New Roman" w:eastAsia="Times New Roman" w:hAnsi="Times New Roman"/>
          <w:sz w:val="18"/>
          <w:szCs w:val="18"/>
          <w:color w:val="auto"/>
        </w:rPr>
        <w:t>— Under the Stock Issuance Program, shares of common stock, restricted stock units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0"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Automatic Grant Program </w:t>
      </w:r>
      <w:r>
        <w:rPr>
          <w:rFonts w:ascii="Times New Roman" w:cs="Times New Roman" w:eastAsia="Times New Roman" w:hAnsi="Times New Roman"/>
          <w:sz w:val="18"/>
          <w:szCs w:val="18"/>
          <w:color w:val="auto"/>
        </w:rPr>
        <w:t>— At each annual shareholder meeting, non-employee directors will receive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18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Share-based compensation expense and other information related to share-based awards for the years ended December 31, 2022, 2021 and 2020 are as follows:</w:t>
      </w:r>
    </w:p>
    <w:tbl>
      <w:tblPr>
        <w:tblLayout w:type="fixed"/>
        <w:tblInd w:w="40" w:type="dxa"/>
        <w:tblCellMar>
          <w:top w:w="0" w:type="dxa"/>
          <w:left w:w="0" w:type="dxa"/>
          <w:bottom w:w="0" w:type="dxa"/>
          <w:right w:w="0" w:type="dxa"/>
        </w:tblCellMar>
      </w:tblPr>
      <w:tr>
        <w:trPr>
          <w:trHeight w:val="162"/>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Share-based compensation expense, net of estimated forfeitures (in millions)</w:t>
            </w:r>
          </w:p>
        </w:tc>
        <w:tc>
          <w:tcPr>
            <w:tcW w:w="120" w:type="dxa"/>
            <w:vAlign w:val="bottom"/>
          </w:tcPr>
          <w:p>
            <w:pPr>
              <w:spacing w:after="0"/>
              <w:rPr>
                <w:sz w:val="14"/>
                <w:szCs w:val="14"/>
                <w:color w:val="auto"/>
              </w:rPr>
            </w:pPr>
          </w:p>
        </w:tc>
        <w:tc>
          <w:tcPr>
            <w:tcW w:w="1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 upon stock vesting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stock vested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As of December 31, 2022, unrecognized compensation cost related to non-vested restricted stock units and performance-based equity awards was $18.4 million. Unrecognized compensation cost is expected to be recognized over a weighted average period of approximately 1.7 years.</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following table summarizes non-vested restricted stock unit activity through December 31, 2022 (in thousands, except weighted average grant-date fair value amounts):</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2007 Plan</w:t>
            </w:r>
          </w:p>
        </w:tc>
        <w:tc>
          <w:tcPr>
            <w:tcW w:w="8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2016 Plan</w:t>
            </w:r>
          </w:p>
        </w:tc>
        <w:tc>
          <w:tcPr>
            <w:tcW w:w="86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88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2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2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9"/>
        </w:trPr>
        <w:tc>
          <w:tcPr>
            <w:tcW w:w="5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40" w:type="dxa"/>
            <w:vAlign w:val="bottom"/>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Added by performance factor (1)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40" w:type="dxa"/>
            <w:vAlign w:val="bottom"/>
            <w:shd w:val="clear" w:color="auto" w:fill="CCEEFF"/>
          </w:tcPr>
          <w:p>
            <w:pPr>
              <w:spacing w:after="0"/>
              <w:rPr>
                <w:sz w:val="18"/>
                <w:szCs w:val="18"/>
                <w:color w:val="auto"/>
              </w:rPr>
            </w:pPr>
          </w:p>
        </w:tc>
      </w:tr>
      <w:tr>
        <w:trPr>
          <w:trHeight w:val="210"/>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4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paid out above target.</w:t>
      </w:r>
    </w:p>
    <w:p>
      <w:pPr>
        <w:spacing w:after="0" w:line="200" w:lineRule="exact"/>
        <w:rPr>
          <w:sz w:val="20"/>
          <w:szCs w:val="20"/>
          <w:color w:val="auto"/>
        </w:rPr>
      </w:pPr>
    </w:p>
    <w:p>
      <w:pPr>
        <w:spacing w:after="0" w:line="220" w:lineRule="exact"/>
        <w:rPr>
          <w:sz w:val="20"/>
          <w:szCs w:val="20"/>
          <w:color w:val="auto"/>
        </w:rPr>
      </w:pPr>
    </w:p>
    <w:p>
      <w:pPr>
        <w:ind w:left="700" w:hanging="650"/>
        <w:spacing w:after="0"/>
        <w:tabs>
          <w:tab w:leader="none" w:pos="7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7" w:lineRule="exact"/>
        <w:rPr>
          <w:sz w:val="20"/>
          <w:szCs w:val="20"/>
          <w:color w:val="auto"/>
        </w:rPr>
      </w:pPr>
    </w:p>
    <w:p>
      <w:pPr>
        <w:jc w:val="both"/>
        <w:ind w:left="60" w:right="179"/>
        <w:spacing w:after="0" w:line="272" w:lineRule="auto"/>
        <w:rPr>
          <w:sz w:val="20"/>
          <w:szCs w:val="20"/>
          <w:color w:val="auto"/>
        </w:rPr>
      </w:pPr>
      <w:r>
        <w:rPr>
          <w:rFonts w:ascii="Times New Roman" w:cs="Times New Roman" w:eastAsia="Times New Roman" w:hAnsi="Times New Roman"/>
          <w:sz w:val="17"/>
          <w:szCs w:val="17"/>
          <w:color w:val="auto"/>
        </w:rPr>
        <w:t>The Company uses Level 1 inputs for the fair values of its cash, cash equivalents, restricted cash and Capital Construction Fund, and Level 2 inputs for its variable and fixed rate debt. The fair values of cash, cash equivalents and restricted cash, Capital Construction Fund and variable rate debt approximate their carrying values due to the nature of the instruments.</w:t>
      </w:r>
    </w:p>
    <w:p>
      <w:pPr>
        <w:spacing w:after="0" w:line="2" w:lineRule="exact"/>
        <w:rPr>
          <w:sz w:val="20"/>
          <w:szCs w:val="20"/>
          <w:color w:val="auto"/>
        </w:rPr>
      </w:pPr>
    </w:p>
    <w:p>
      <w:pPr>
        <w:jc w:val="both"/>
        <w:ind w:left="60" w:right="199"/>
        <w:spacing w:after="0" w:line="260" w:lineRule="auto"/>
        <w:rPr>
          <w:sz w:val="20"/>
          <w:szCs w:val="20"/>
          <w:color w:val="auto"/>
        </w:rPr>
      </w:pPr>
      <w:r>
        <w:rPr>
          <w:rFonts w:ascii="Times New Roman" w:cs="Times New Roman" w:eastAsia="Times New Roman" w:hAnsi="Times New Roman"/>
          <w:sz w:val="18"/>
          <w:szCs w:val="18"/>
          <w:color w:val="auto"/>
        </w:rPr>
        <w:t>The fair value of fixed rate debt is calculated based upon interest rates available for debt with terms and maturities similar to the Company’s existing debt arrangements.</w:t>
      </w:r>
    </w:p>
    <w:p>
      <w:pPr>
        <w:spacing w:after="0" w:line="181"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consists of the following as of December 31, 2022 and 2021:</w:t>
      </w:r>
    </w:p>
    <w:tbl>
      <w:tblPr>
        <w:tblLayout w:type="fixed"/>
        <w:tblInd w:w="60" w:type="dxa"/>
        <w:tblCellMar>
          <w:top w:w="0" w:type="dxa"/>
          <w:left w:w="0" w:type="dxa"/>
          <w:bottom w:w="0" w:type="dxa"/>
          <w:right w:w="0" w:type="dxa"/>
        </w:tblCellMar>
      </w:tblPr>
      <w:tr>
        <w:trPr>
          <w:trHeight w:val="137"/>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106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3"/>
              </w:rPr>
              <w:t>Value Measurements</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00" w:hanging="650"/>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Commitments and contractual obligations, excluding debt obligations (see Note 8), lease commitments (see Note 9), pension and post-retirement plan commitments, and multi-employer bargaining plan withdrawal obligations (see Note 11 and 12), are as follows as of December 31,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 (in millions)</w:t>
            </w:r>
          </w:p>
        </w:tc>
        <w:tc>
          <w:tcPr>
            <w:tcW w:w="1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Bonds (2)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construction obligations (3)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40" w:type="dxa"/>
            <w:vAlign w:val="bottom"/>
            <w:shd w:val="clear" w:color="auto" w:fill="CCEEFF"/>
          </w:tcPr>
          <w:p>
            <w:pPr>
              <w:spacing w:after="0"/>
              <w:rPr>
                <w:sz w:val="18"/>
                <w:szCs w:val="18"/>
                <w:color w:val="auto"/>
              </w:rPr>
            </w:pP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and other obligations (4)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Standby letters of credit are required for the Company’s uninsured workers’ compensation and other insurance programs, and other needs.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Bonds are required for U.S. Customs and other related matters.</w:t>
      </w:r>
    </w:p>
    <w:p>
      <w:pPr>
        <w:ind w:left="380" w:hanging="330"/>
        <w:spacing w:after="0" w:line="221"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construction obligations represent remaining contractual obligations entered into for the construction of three new Jones Act vessels.</w:t>
      </w:r>
    </w:p>
    <w:p>
      <w:pPr>
        <w:ind w:left="380" w:right="199" w:hanging="330"/>
        <w:spacing w:after="0" w:line="233" w:lineRule="auto"/>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w:t>
      </w:r>
    </w:p>
    <w:p>
      <w:pPr>
        <w:spacing w:after="0" w:line="181"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These amounts are not recorded on the Company’s Consolidated Balance Sheet and it is not expected that the Company or its subsidiaries will be called upon to advance funds under these commitments.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Contingencies and other litigation related matters are described as follows:</w:t>
      </w:r>
    </w:p>
    <w:p>
      <w:pPr>
        <w:spacing w:after="0" w:line="225"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segment has certain risks that could result in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environmental remediation.</w:t>
      </w:r>
    </w:p>
    <w:p>
      <w:pPr>
        <w:spacing w:after="0" w:line="1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Although potential penalties for 2020, 2021 and 2022 violations could, in the aggregate, reasonably be expected to exceed $1 million, they are not expected to be material to the Company’s financial condition, results of operations, or cash flows.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right="999" w:hanging="44"/>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Effectiveness of Disclosure Controls and Procedures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See page 41 for management’s annual report on internal control over financial reporting, which is incorporated herein by reference.</w:t>
      </w:r>
    </w:p>
    <w:p>
      <w:pPr>
        <w:spacing w:after="0" w:line="16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See page 42 for the attestation report of the independent registered public accounting firm on the Company’s internal control over financial reporting, which is incorporated herein by reference.</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Company’s fiscal fourth quarter ended December 31, 2022, that have materially affected, or are reasonably likely to materially affect, the Company’s internal control over financial reporting.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1340" w:hanging="642"/>
        <w:spacing w:after="0"/>
        <w:tabs>
          <w:tab w:leader="none" w:pos="1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information about the directors of Matson required under this item will be included under the section captioned “Proposal 1 – Election of Directors” in Matson’s Proxy Statement for the 2023 Annual Meeting of Shareholders to be filed with the SEC within 120 days of the fiscal year ended December 31, 2022 (“Matson’s 2023 Proxy Statement”), which section is incorporated herein by reference.</w:t>
      </w:r>
    </w:p>
    <w:p>
      <w:pPr>
        <w:spacing w:after="0" w:line="176" w:lineRule="exact"/>
        <w:rPr>
          <w:sz w:val="20"/>
          <w:szCs w:val="20"/>
          <w:color w:val="auto"/>
        </w:rPr>
      </w:pPr>
    </w:p>
    <w:p>
      <w:pPr>
        <w:ind w:left="1340" w:hanging="642"/>
        <w:spacing w:after="0"/>
        <w:tabs>
          <w:tab w:leader="none" w:pos="1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The information about the executive officers of Matson required under this item will be included under the subsection captioned “Executive Officers” in Matson’s 2023 Proxy Statement, which subsection is incorporated herein by reference.</w:t>
      </w:r>
    </w:p>
    <w:p>
      <w:pPr>
        <w:spacing w:after="0" w:line="136" w:lineRule="exact"/>
        <w:rPr>
          <w:sz w:val="20"/>
          <w:szCs w:val="20"/>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information about the Audit Committee of the Matson Board of Directors and compliance with Section 16(a) of the Exchange Act, will be included under the subsections captioned “Board of Directors and Committees of Board” and, if applicable, “Delinquent Section 16(a) Reports” in Matson’s 2023 Proxy Statement, which subsections are incorporated herein by reference.</w:t>
      </w:r>
    </w:p>
    <w:p>
      <w:pPr>
        <w:spacing w:after="0" w:line="176" w:lineRule="exact"/>
        <w:rPr>
          <w:sz w:val="20"/>
          <w:szCs w:val="20"/>
          <w:color w:val="auto"/>
        </w:rPr>
      </w:pPr>
    </w:p>
    <w:p>
      <w:pPr>
        <w:ind w:left="1340" w:hanging="642"/>
        <w:spacing w:after="0"/>
        <w:tabs>
          <w:tab w:leader="none" w:pos="1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information about Matson’s Code of Ethics required under this item will be included under the subsection captioned “Code of Ethics” in Matson’s 2023 Proxy Statement, which subsection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under the section captioned “Executive Compensation” and the subsections captioned “Compensation of Directors” and “Pay Risk Assessment” in Matson’s 2023 Proxy Statement, which section and subsections are incorporated herein by reference.</w:t>
      </w:r>
    </w:p>
    <w:p>
      <w:pPr>
        <w:spacing w:after="0" w:line="172"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left="60" w:right="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as of December 31, 2022, certain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Matson’s equity compensation plan:</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8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545,953 (1)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2,117,506 (3)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545,953</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2,117,506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270,309 shares subject to unvested restricted stock unit awards and 275,644 shares subject to unvested Performance Share awards.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and Performance Share awards do not have exercise prices.</w:t>
      </w:r>
    </w:p>
    <w:p>
      <w:pPr>
        <w:ind w:left="380" w:hanging="330"/>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available for issuance under the 2016 Plan.</w:t>
      </w:r>
    </w:p>
    <w:p>
      <w:pPr>
        <w:spacing w:after="0" w:line="192"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Other information required under this item will be included under the section captioned “Security Ownership of Certain Shareholders” and the subsection captioned “Security Ownership of Directors and Executive Officers” in Matson’s 2023 Proxy Statement, which section and subsection are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4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in the section captioned “Proposal 1 – Election of Directors” and the subsection captioned “Certain Relationships and Transactions” in Matson’s 2023 Proxy Statement, which section and subsection are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The information concerning principal accountant fees and services required under this item will be included under the sections captioned “Audit Committee Report” and “Ratification of Appointment of Independent Registered Public Accounting Firm” in Matson’s 2023 Proxy Statement,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700" w:hanging="650"/>
        <w:spacing w:after="0"/>
        <w:tabs>
          <w:tab w:leader="none" w:pos="7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are set forth in Item 8 of Part II above.</w:t>
      </w:r>
    </w:p>
    <w:p>
      <w:pPr>
        <w:spacing w:after="0" w:line="221" w:lineRule="exact"/>
        <w:rPr>
          <w:sz w:val="20"/>
          <w:szCs w:val="20"/>
          <w:color w:val="auto"/>
        </w:rPr>
      </w:pPr>
    </w:p>
    <w:p>
      <w:pPr>
        <w:ind w:left="700" w:hanging="650"/>
        <w:spacing w:after="0"/>
        <w:tabs>
          <w:tab w:leader="none" w:pos="7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58" w:lineRule="exact"/>
        <w:rPr>
          <w:sz w:val="20"/>
          <w:szCs w:val="20"/>
          <w:color w:val="auto"/>
        </w:rPr>
      </w:pPr>
    </w:p>
    <w:p>
      <w:pPr>
        <w:ind w:left="700" w:hanging="650"/>
        <w:spacing w:after="0"/>
        <w:tabs>
          <w:tab w:leader="none" w:pos="7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 not filed herewith are incorporated by reference to the exhibit number and previous filing shown in parentheses.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previous exhibits were filed with the Securities and Exchange Commission in Washington, D.C.</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81" w:lineRule="exact"/>
        <w:rPr>
          <w:sz w:val="20"/>
          <w:szCs w:val="20"/>
          <w:color w:val="auto"/>
        </w:rPr>
      </w:pPr>
    </w:p>
    <w:p>
      <w:pPr>
        <w:ind w:left="1120" w:hanging="1064"/>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of acquisition, reorganization, arrangement, liquidation or succession.</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2.1</w:t>
            </w:r>
          </w:p>
        </w:tc>
        <w:tc>
          <w:tcPr>
            <w:tcW w:w="7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Agreement and Plan of Merger, dated as of November 11, 2014, by and among Matson Navigation</w:t>
              </w:r>
            </w:hyperlink>
          </w:p>
        </w:tc>
        <w:tc>
          <w:tcPr>
            <w:tcW w:w="680" w:type="dxa"/>
            <w:vAlign w:val="bottom"/>
            <w:gridSpan w:val="7"/>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Company, Inc., Hogan Acquisition Inc. and Horizon Lines, Inc. (incorporated by reference to Exhibit 2.1 of</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Matson’s Form 8-K dated November 11, 2014).</w:t>
              </w:r>
            </w:hyperlink>
          </w:p>
        </w:tc>
        <w:tc>
          <w:tcPr>
            <w:tcW w:w="4360" w:type="dxa"/>
            <w:vAlign w:val="bottom"/>
            <w:gridSpan w:val="11"/>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2.2</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Amendment No. 1 to Agreement and Plan of Merger, dated as of February 13, 2015, by and among Matson</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Navigation Company, Inc., Hogan Acquisition Inc. and Horizon Lines, Inc. (incorporated by reference to</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Exhibit 2.1 of Matson’s Form 8-K dated February 17, 2015).</w:t>
              </w:r>
            </w:hyperlink>
          </w:p>
        </w:tc>
        <w:tc>
          <w:tcPr>
            <w:tcW w:w="318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2.3</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Contribution, Assumption and Purchase Agreement, dated as of November 11, 2014, by and among The</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Pasha Group, SR Holding LLC, Horizon Lines, Inc. and Sunrise Operations LLC (incorporated by reference</w:t>
              </w:r>
            </w:hyperlink>
          </w:p>
        </w:tc>
      </w:tr>
      <w:tr>
        <w:trPr>
          <w:trHeight w:val="196"/>
        </w:trPr>
        <w:tc>
          <w:tcPr>
            <w:tcW w:w="1060" w:type="dxa"/>
            <w:vAlign w:val="bottom"/>
          </w:tcPr>
          <w:p>
            <w:pPr>
              <w:spacing w:after="0"/>
              <w:rPr>
                <w:sz w:val="17"/>
                <w:szCs w:val="17"/>
                <w:color w:val="auto"/>
              </w:rPr>
            </w:pPr>
          </w:p>
        </w:tc>
        <w:tc>
          <w:tcPr>
            <w:tcW w:w="7800" w:type="dxa"/>
            <w:vAlign w:val="bottom"/>
            <w:gridSpan w:val="1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to Exhibit 2.2 of Horizon Lines, Inc.’s Form 8-K dated November 13, 2014).</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2.4</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Amendment No. 1 to the Contribution, Assumption and Purchase Agreement, dated as of May 29, 2015, by</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and among The Pasha Group, SR Holding LLC, Horizon Lines, Inc. and Sunrise Operations LLC</w:t>
              </w:r>
            </w:hyperlink>
          </w:p>
        </w:tc>
        <w:tc>
          <w:tcPr>
            <w:tcW w:w="72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(incorporated by reference to Exhibit 2.2 of Matson’s Form 10-Q for the quarter ended June 30, 2015).</w:t>
              </w:r>
            </w:hyperlink>
          </w:p>
        </w:tc>
        <w:tc>
          <w:tcPr>
            <w:tcW w:w="400" w:type="dxa"/>
            <w:vAlign w:val="bottom"/>
            <w:gridSpan w:val="6"/>
          </w:tcPr>
          <w:p>
            <w:pPr>
              <w:spacing w:after="0"/>
              <w:rPr>
                <w:sz w:val="17"/>
                <w:szCs w:val="17"/>
                <w:color w:val="auto"/>
              </w:rPr>
            </w:pPr>
          </w:p>
        </w:tc>
      </w:tr>
    </w:tbl>
    <w:p>
      <w:pPr>
        <w:spacing w:after="0" w:line="225" w:lineRule="exact"/>
        <w:rPr>
          <w:sz w:val="20"/>
          <w:szCs w:val="20"/>
          <w:color w:val="auto"/>
        </w:rPr>
      </w:pPr>
    </w:p>
    <w:p>
      <w:pPr>
        <w:ind w:left="1120" w:hanging="1064"/>
        <w:spacing w:after="0"/>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3.1</w:t>
            </w:r>
          </w:p>
        </w:tc>
        <w:tc>
          <w:tcPr>
            <w:tcW w:w="7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Articles of Incorporation of Matson, Inc. (incorporated by reference to Exhibit 3.1 of</w:t>
              </w:r>
            </w:hyperlink>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Matson’s Form 10-Q for the quarter ended June 30, 2012).</w:t>
              </w:r>
            </w:hyperlink>
          </w:p>
        </w:tc>
        <w:tc>
          <w:tcPr>
            <w:tcW w:w="360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3.2</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Articles of Amendment to Change Corporate Name (incorporated by reference to Exhibit 4.2 of Matson’s</w:t>
              </w:r>
            </w:hyperlink>
          </w:p>
        </w:tc>
      </w:tr>
      <w:tr>
        <w:trPr>
          <w:trHeight w:val="196"/>
        </w:trPr>
        <w:tc>
          <w:tcPr>
            <w:tcW w:w="106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S-8 dated October 26, 2012).</w:t>
              </w:r>
            </w:hyperlink>
          </w:p>
        </w:tc>
        <w:tc>
          <w:tcPr>
            <w:tcW w:w="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3.3</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Amended and Restated Bylaws of Matson, Inc. (as amended as of November 6, 2013) (incorporated by</w:t>
              </w:r>
            </w:hyperlink>
          </w:p>
        </w:tc>
      </w:tr>
      <w:tr>
        <w:trPr>
          <w:trHeight w:val="196"/>
        </w:trPr>
        <w:tc>
          <w:tcPr>
            <w:tcW w:w="10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reference to Exhibit 3.1 of Matson’s Form 10-Q for the quarter ended September 30, 2013).</w:t>
              </w:r>
            </w:hyperlink>
          </w:p>
        </w:tc>
        <w:tc>
          <w:tcPr>
            <w:tcW w:w="82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bl>
    <w:p>
      <w:pPr>
        <w:spacing w:after="0" w:line="225" w:lineRule="exact"/>
        <w:rPr>
          <w:sz w:val="20"/>
          <w:szCs w:val="20"/>
          <w:color w:val="auto"/>
        </w:rPr>
      </w:pPr>
    </w:p>
    <w:p>
      <w:pPr>
        <w:ind w:left="1120" w:right="179" w:hanging="1064"/>
        <w:spacing w:after="0" w:line="282" w:lineRule="auto"/>
        <w:tabs>
          <w:tab w:leader="none" w:pos="1120" w:val="left"/>
        </w:tabs>
        <w:numPr>
          <w:ilvl w:val="0"/>
          <w:numId w:val="68"/>
        </w:numPr>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Description of Registered Securities (incorporated by reference to Exhibit 4 of Matson’s Form 10-K for the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year ended December 31, 2019).</w:t>
        </w:r>
      </w:hyperlink>
    </w:p>
    <w:p>
      <w:pPr>
        <w:spacing w:after="0" w:line="162" w:lineRule="exact"/>
        <w:rPr>
          <w:rFonts w:ascii="Times New Roman" w:cs="Times New Roman" w:eastAsia="Times New Roman" w:hAnsi="Times New Roman"/>
          <w:sz w:val="18"/>
          <w:szCs w:val="18"/>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Material contracts.</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8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First Amendment to Credit Agreement among Matson, Inc., Bank of America, N.A., as the Agent, and the</w:t>
            </w:r>
          </w:p>
        </w:tc>
      </w:tr>
      <w:tr>
        <w:trPr>
          <w:trHeight w:val="196"/>
        </w:trPr>
        <w:tc>
          <w:tcPr>
            <w:tcW w:w="10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lenders thereto, dated as of February 9, 2023.</w:t>
            </w:r>
          </w:p>
        </w:tc>
        <w:tc>
          <w:tcPr>
            <w:tcW w:w="4380" w:type="dxa"/>
            <w:vAlign w:val="bottom"/>
            <w:tcBorders>
              <w:top w:val="single" w:sz="8" w:color="0000EE"/>
            </w:tcBorders>
            <w:gridSpan w:val="22"/>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Amendment to Third Amended and Restated Note Purchase Agreement among Matson, Inc. and the</w:t>
              </w:r>
            </w:hyperlink>
          </w:p>
        </w:tc>
        <w:tc>
          <w:tcPr>
            <w:tcW w:w="600" w:type="dxa"/>
            <w:vAlign w:val="bottom"/>
            <w:gridSpan w:val="2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purchasers named therein, dated as of June 29, 2017 (incorporated by reference to Exhibit 10.4 of Matson’s</w:t>
              </w:r>
            </w:hyperlink>
          </w:p>
        </w:tc>
        <w:tc>
          <w:tcPr>
            <w:tcW w:w="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8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Amendment to Note Purchase Agreement among Matson, Inc. and the purchasers named therein, dated as of</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June 29, 2017 (incorporated by reference to Exhibit 10.5 of Matson’s 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Note Purchase Agreement among Matson, Inc. and the purchasers party thereto, dated as of December 21,</w:t>
              </w:r>
            </w:hyperlink>
          </w:p>
        </w:tc>
      </w:tr>
      <w:tr>
        <w:trPr>
          <w:trHeight w:val="196"/>
        </w:trPr>
        <w:tc>
          <w:tcPr>
            <w:tcW w:w="10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2016 (incorporated by reference to Exhibit 10.1 of Matson’s Form 8-K dated December 22, 2016).</w:t>
              </w:r>
            </w:hyperlink>
          </w:p>
        </w:tc>
        <w:tc>
          <w:tcPr>
            <w:tcW w:w="54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Third Amended and Restated Note Purchase and Private Shelf Agreement among Matson, Inc. and the</w:t>
              </w:r>
            </w:hyperlink>
          </w:p>
        </w:tc>
      </w:tr>
      <w:tr>
        <w:trPr>
          <w:trHeight w:val="196"/>
        </w:trPr>
        <w:tc>
          <w:tcPr>
            <w:tcW w:w="10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1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Matson’s Form 8-K dated September 14, 2016).</w:t>
              </w:r>
            </w:hyperlink>
          </w:p>
        </w:tc>
        <w:tc>
          <w:tcPr>
            <w:tcW w:w="4380" w:type="dxa"/>
            <w:vAlign w:val="bottom"/>
            <w:gridSpan w:val="2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to Third Amended and Restated Note Purchase and Private Shelf Agreement among Matson,</w:t>
              </w:r>
            </w:hyperlink>
          </w:p>
        </w:tc>
        <w:tc>
          <w:tcPr>
            <w:tcW w:w="22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 and the purchasers named therein, dated as of March 31, 2020 (incorporated by reference to Exhibit</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of Matson’s Form 8-K dated April 6, 2020).</w:t>
              </w:r>
            </w:hyperlink>
          </w:p>
        </w:tc>
        <w:tc>
          <w:tcPr>
            <w:tcW w:w="34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to December 21, 2016 Note Purchase Agreement among Matson, Inc. and the purchasers</w:t>
              </w:r>
            </w:hyperlink>
          </w:p>
        </w:tc>
        <w:tc>
          <w:tcPr>
            <w:tcW w:w="500" w:type="dxa"/>
            <w:vAlign w:val="bottom"/>
            <w:gridSpan w:val="1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named therein, dated as of March 31, 2020 (incorporated by reference to Exhibit 10.5 of Matson’s Form 8-K</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dated April 6,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Limited Liability Company Agreement of SSA Terminals, LLC by and between</w:t>
              </w:r>
            </w:hyperlink>
          </w:p>
        </w:tc>
        <w:tc>
          <w:tcPr>
            <w:tcW w:w="360" w:type="dxa"/>
            <w:vAlign w:val="bottom"/>
            <w:gridSpan w:val="1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SSA Ventures, Inc. and Matson Ventures, Inc., dated as of April 24, 2002 (certain portions of this exhibit</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have been omitted pursuant to a confidential treatment request submitted to the Commission) (incorporated</w:t>
              </w:r>
            </w:hyperlink>
          </w:p>
        </w:tc>
        <w:tc>
          <w:tcPr>
            <w:tcW w:w="10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by reference to Exhibit 10.1 of Matson’s Form 10-Q for the quarter ended June 30, 2012).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Parent Company Agreement, dated as of April 24, 2002, by and among SSA Pacific Terminals, Inc.,</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formerly known as Stevedoring Services of America, Inc., SSA Ventures, Inc., Matson Navigation</w:t>
              </w:r>
            </w:hyperlink>
          </w:p>
        </w:tc>
        <w:tc>
          <w:tcPr>
            <w:tcW w:w="620" w:type="dxa"/>
            <w:vAlign w:val="bottom"/>
            <w:gridSpan w:val="2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Company, Inc. and Matson Ventures, Inc. (incorporated by reference to Exhibit 10.2 of Matson’s Form 10-Q</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 the quarter ended June 30, 2012).</w:t>
              </w:r>
            </w:hyperlink>
          </w:p>
        </w:tc>
        <w:tc>
          <w:tcPr>
            <w:tcW w:w="4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Security Agreement between Matson Navigation Company, Inc. and the United States of America, with</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respect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55 million of Title XI ship financing bonds, dated July 29, 2004 (incorporated by reference to</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Exhibit 10.a.(xxvi) of Alexander &amp; Baldwin, Inc.’s Form 10-Q for the quarter ended September 30, 2004).</w:t>
              </w:r>
            </w:hyperlink>
          </w:p>
        </w:tc>
        <w:tc>
          <w:tcPr>
            <w:tcW w:w="16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84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Amendment No. 1 dated September 21, 2007, to Security Agreement between Matson Navigation Company,</w:t>
              </w:r>
            </w:hyperlink>
          </w:p>
        </w:tc>
      </w:tr>
      <w:tr>
        <w:trPr>
          <w:trHeight w:val="196"/>
        </w:trPr>
        <w:tc>
          <w:tcPr>
            <w:tcW w:w="1060" w:type="dxa"/>
            <w:vAlign w:val="bottom"/>
          </w:tcPr>
          <w:p>
            <w:pPr>
              <w:spacing w:after="0"/>
              <w:rPr>
                <w:sz w:val="17"/>
                <w:szCs w:val="17"/>
                <w:color w:val="auto"/>
              </w:rPr>
            </w:pPr>
          </w:p>
        </w:tc>
        <w:tc>
          <w:tcPr>
            <w:tcW w:w="75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 xml:space="preserve">Inc. and the United States of America, with respect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55 million of Title XI ship financing bonds, dated</w:t>
              </w:r>
            </w:hyperlink>
          </w:p>
        </w:tc>
        <w:tc>
          <w:tcPr>
            <w:tcW w:w="26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July 29, 2004 (incorporated by reference to Exhibit 10.a.(xxx) of Alexander &amp; Baldwin, Inc.’s Form 10-Q</w:t>
              </w:r>
            </w:hyperlink>
          </w:p>
        </w:tc>
        <w:tc>
          <w:tcPr>
            <w:tcW w:w="20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 the quarter ended September 30, 2007).</w:t>
              </w:r>
            </w:hyperlink>
          </w:p>
        </w:tc>
        <w:tc>
          <w:tcPr>
            <w:tcW w:w="4740" w:type="dxa"/>
            <w:vAlign w:val="bottom"/>
            <w:gridSpan w:val="3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Matson, Inc. Deferred Compensation Plan for Outside Directors (incorporated by reference to Exhibit 10.34</w:t>
              </w:r>
            </w:hyperlink>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of Matson’s Form 10-K for the year ended December 31, 2012).</w:t>
              </w:r>
            </w:hyperlink>
          </w:p>
        </w:tc>
        <w:tc>
          <w:tcPr>
            <w:tcW w:w="3220" w:type="dxa"/>
            <w:vAlign w:val="bottom"/>
            <w:gridSpan w:val="2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Consolidated Agreement, Contract No. MA-14454 dated as of April 27, 2020 among Matson Navigation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60" w:type="dxa"/>
            <w:vAlign w:val="bottom"/>
            <w:gridSpan w:val="8"/>
            <w:shd w:val="clear" w:color="auto" w:fill="0000EE"/>
          </w:tcPr>
          <w:p>
            <w:pPr>
              <w:spacing w:after="0" w:line="20" w:lineRule="exact"/>
              <w:rPr>
                <w:sz w:val="1"/>
                <w:szCs w:val="1"/>
                <w:color w:val="auto"/>
              </w:rPr>
            </w:pPr>
          </w:p>
        </w:tc>
        <w:tc>
          <w:tcPr>
            <w:tcW w:w="3720" w:type="dxa"/>
            <w:vAlign w:val="bottom"/>
            <w:gridSpan w:val="8"/>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Company, Inc., the United States of America, represented by the Maritime Administrator of the Maritime</w:t>
              </w:r>
            </w:hyperlink>
          </w:p>
        </w:tc>
        <w:tc>
          <w:tcPr>
            <w:tcW w:w="24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Administration and, with respect to certain provisions,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Matson’s Form 8-K dated April 30, 2020).</w:t>
              </w:r>
            </w:hyperlink>
          </w:p>
        </w:tc>
        <w:tc>
          <w:tcPr>
            <w:tcW w:w="3960" w:type="dxa"/>
            <w:vAlign w:val="bottom"/>
            <w:tcBorders>
              <w:top w:val="single" w:sz="8" w:color="0000EE"/>
            </w:tcBorders>
            <w:gridSpan w:val="15"/>
          </w:tcPr>
          <w:p>
            <w:pPr>
              <w:spacing w:after="0"/>
              <w:rPr>
                <w:sz w:val="17"/>
                <w:szCs w:val="17"/>
                <w:color w:val="auto"/>
              </w:rPr>
            </w:pPr>
          </w:p>
        </w:tc>
        <w:tc>
          <w:tcPr>
            <w:tcW w:w="260" w:type="dxa"/>
            <w:vAlign w:val="bottom"/>
            <w:gridSpan w:val="1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Note Purchase Agreement dated as of April 27, 2020 among Matson Navigation Company, Inc., the United</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States of America, represented by the Maritime Administrator of the Maritime Administration and the</w:t>
              </w:r>
            </w:hyperlink>
          </w:p>
        </w:tc>
        <w:tc>
          <w:tcPr>
            <w:tcW w:w="120" w:type="dxa"/>
            <w:vAlign w:val="bottom"/>
            <w:gridSpan w:val="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80" w:type="dxa"/>
            <w:vAlign w:val="bottom"/>
            <w:gridSpan w:val="16"/>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Federal Financing Bank (incorporated by reference to Exhibit 10.2 of Matson’s Form 8-K dated April 30,</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8">
              <w:r>
                <w:rPr>
                  <w:rFonts w:ascii="Times New Roman" w:cs="Times New Roman" w:eastAsia="Times New Roman" w:hAnsi="Times New Roman"/>
                  <w:sz w:val="18"/>
                  <w:szCs w:val="18"/>
                  <w:color w:val="0000EE"/>
                  <w:w w:val="94"/>
                </w:rPr>
                <w:t>2020).</w:t>
              </w:r>
            </w:hyperlink>
          </w:p>
        </w:tc>
        <w:tc>
          <w:tcPr>
            <w:tcW w:w="10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8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Affiliate Guaranty dated as of April 27, 2020 executed by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of Matson’s Form 8-K dated April 30, 2020).</w:t>
              </w:r>
            </w:hyperlink>
          </w:p>
        </w:tc>
        <w:tc>
          <w:tcPr>
            <w:tcW w:w="4200" w:type="dxa"/>
            <w:vAlign w:val="bottom"/>
            <w:gridSpan w:val="24"/>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Amendment No. 1 dated June 22, 2020, to Consolidated Agreement, Contract No. MA-14454 dated as of</w:t>
              </w:r>
            </w:hyperlink>
          </w:p>
        </w:tc>
        <w:tc>
          <w:tcPr>
            <w:tcW w:w="24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April 27, 2020 among Matson Navigation Company, Inc., the United States of America, represented by the</w:t>
              </w:r>
            </w:hyperlink>
          </w:p>
        </w:tc>
        <w:tc>
          <w:tcPr>
            <w:tcW w:w="1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Maritime Administrator of the Maritime Administration and, with respect to certain provisions, Matson, Inc.</w:t>
              </w:r>
            </w:hyperlink>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(incorporated by reference to Exhibit 10.1 of Matson’s Form 8-K dated June 25, 2020).</w:t>
              </w:r>
            </w:hyperlink>
          </w:p>
        </w:tc>
        <w:tc>
          <w:tcPr>
            <w:tcW w:w="1540" w:type="dxa"/>
            <w:vAlign w:val="bottom"/>
            <w:gridSpan w:val="1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Note Purchase Agreement dated as of June 22, 2020 among Matson Navigation Company, Inc., the United</w:t>
              </w:r>
            </w:hyperlink>
          </w:p>
        </w:tc>
        <w:tc>
          <w:tcPr>
            <w:tcW w:w="14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Federal Financing Bank (incorporated by reference to Exhibit 10.2 of Matson’s Form 8-K dated June 25,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32">
              <w:r>
                <w:rPr>
                  <w:rFonts w:ascii="Times New Roman" w:cs="Times New Roman" w:eastAsia="Times New Roman" w:hAnsi="Times New Roman"/>
                  <w:sz w:val="18"/>
                  <w:szCs w:val="18"/>
                  <w:color w:val="0000EE"/>
                  <w:w w:val="94"/>
                </w:rPr>
                <w:t>2020).</w:t>
              </w:r>
            </w:hyperlink>
          </w:p>
        </w:tc>
        <w:tc>
          <w:tcPr>
            <w:tcW w:w="6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7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dated June 22, 2020 to Affiliate Guaranty dated as of April 27, 2020 executed by Matson, Inc.</w:t>
              </w:r>
            </w:hyperlink>
          </w:p>
        </w:tc>
        <w:tc>
          <w:tcPr>
            <w:tcW w:w="1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and consented to by MARAD (incorporated by reference to Exhibit 10.3 of Matson’s Form 8-K dated</w:t>
              </w:r>
            </w:hyperlink>
          </w:p>
        </w:tc>
        <w:tc>
          <w:tcPr>
            <w:tcW w:w="4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June 25, 2020).</w:t>
              </w:r>
            </w:hyperlink>
          </w:p>
        </w:tc>
        <w:tc>
          <w:tcPr>
            <w:tcW w:w="6700" w:type="dxa"/>
            <w:vAlign w:val="bottom"/>
            <w:gridSpan w:val="28"/>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Matson, Inc. Excess Benefits Plan, amended and restated effective August 27, 2014 (incorporated by</w:t>
              </w:r>
            </w:hyperlink>
          </w:p>
        </w:tc>
        <w:tc>
          <w:tcPr>
            <w:tcW w:w="56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reference to Exhibit 10.1 of Matson’s Form 8-K dated August 28, 2014).</w:t>
              </w:r>
            </w:hyperlink>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Letter Agreement entered into with certain executive officers (incorporated by reference to</w:t>
              </w:r>
            </w:hyperlink>
          </w:p>
        </w:tc>
      </w:tr>
      <w:tr>
        <w:trPr>
          <w:trHeight w:val="196"/>
        </w:trPr>
        <w:tc>
          <w:tcPr>
            <w:tcW w:w="1060" w:type="dxa"/>
            <w:vAlign w:val="bottom"/>
          </w:tcPr>
          <w:p>
            <w:pPr>
              <w:spacing w:after="0"/>
              <w:rPr>
                <w:sz w:val="17"/>
                <w:szCs w:val="17"/>
                <w:color w:val="auto"/>
              </w:rPr>
            </w:pPr>
          </w:p>
        </w:tc>
        <w:tc>
          <w:tcPr>
            <w:tcW w:w="7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Exhibit 10.45 of Matson’s Form 10-K for the year ended December 31, 2012).</w:t>
              </w:r>
            </w:hyperlink>
          </w:p>
        </w:tc>
        <w:tc>
          <w:tcPr>
            <w:tcW w:w="66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Schedule identifying executive officers who have entered into Form of Letter Agreement (incorporated by</w:t>
              </w:r>
            </w:hyperlink>
          </w:p>
        </w:tc>
        <w:tc>
          <w:tcPr>
            <w:tcW w:w="1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reference to Exhibit 10.42 of Matson’s Form 10-K for the year ended December 31, 2014).</w:t>
              </w:r>
            </w:hyperlink>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Letter Agreement entered into with executive officer (incorporated by reference to Exhibit 10.1 of</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Matson’s Form 8-K dated October 24, 2014).</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32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Letter Agreement Counter Parties.</w:t>
            </w:r>
          </w:p>
        </w:tc>
        <w:tc>
          <w:tcPr>
            <w:tcW w:w="4560" w:type="dxa"/>
            <w:vAlign w:val="bottom"/>
            <w:gridSpan w:val="25"/>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Matson, Inc. Executive Severance Plan (incorporated by reference to Exhibit 10.28</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of Matson’s Form 10-K for the year ended December 31, 2020).</w:t>
              </w:r>
            </w:hyperlink>
          </w:p>
        </w:tc>
        <w:tc>
          <w:tcPr>
            <w:tcW w:w="3200" w:type="dxa"/>
            <w:vAlign w:val="bottom"/>
            <w:gridSpan w:val="23"/>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8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Matson, Inc. Deferred Compensation Plan (incorporated by reference to Exhibit 10.51 of Matson’s Form 10-</w:t>
              </w:r>
            </w:hyperlink>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K for the year ended December 31, 2012).</w:t>
              </w:r>
            </w:hyperlink>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1 to the Matson, Inc. Deferred Compensation Plan (incorporated by reference to</w:t>
              </w:r>
            </w:hyperlink>
          </w:p>
        </w:tc>
      </w:tr>
      <w:tr>
        <w:trPr>
          <w:trHeight w:val="196"/>
        </w:trPr>
        <w:tc>
          <w:tcPr>
            <w:tcW w:w="1060" w:type="dxa"/>
            <w:vAlign w:val="bottom"/>
          </w:tcPr>
          <w:p>
            <w:pPr>
              <w:spacing w:after="0"/>
              <w:rPr>
                <w:sz w:val="17"/>
                <w:szCs w:val="17"/>
                <w:color w:val="auto"/>
              </w:rPr>
            </w:pPr>
          </w:p>
        </w:tc>
        <w:tc>
          <w:tcPr>
            <w:tcW w:w="7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Exhibit 10.30 of Matson’s Form 10-K for the year ended December 31, 2020).</w:t>
              </w:r>
            </w:hyperlink>
          </w:p>
        </w:tc>
        <w:tc>
          <w:tcPr>
            <w:tcW w:w="82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60" w:type="dxa"/>
            <w:vAlign w:val="bottom"/>
            <w:gridSpan w:val="8"/>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Contract for Construction of Two Vessels, dated as of August 25, 2016, by and between Matson Navigation</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Company, Inc. and National Steel and Shipbuilding Company (certain portions of this exhibit have been</w:t>
              </w:r>
            </w:hyperlink>
          </w:p>
        </w:tc>
        <w:tc>
          <w:tcPr>
            <w:tcW w:w="24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omitted pursuant to a confidential treatment request submitted to the Commission) (incorporated by</w:t>
              </w:r>
            </w:hyperlink>
          </w:p>
        </w:tc>
        <w:tc>
          <w:tcPr>
            <w:tcW w:w="6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reference to Exhibit 10.1 of Matson’s Form 10-Q for the quarter ended September 30, 2016).</w:t>
              </w:r>
            </w:hyperlink>
          </w:p>
        </w:tc>
        <w:tc>
          <w:tcPr>
            <w:tcW w:w="1120" w:type="dxa"/>
            <w:vAlign w:val="bottom"/>
            <w:gridSpan w:val="1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Purchaser’s Corporate Guaranty Agreement, by Matson, Inc., dated as of August 25, 2016 (incorporated by</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reference to Exhibit 10.2 of Matson’s Form 10-Q for the quarter ended September 30, 2016).</w:t>
              </w:r>
            </w:hyperlink>
          </w:p>
        </w:tc>
        <w:tc>
          <w:tcPr>
            <w:tcW w:w="10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60" w:type="dxa"/>
            <w:vAlign w:val="bottom"/>
            <w:gridSpan w:val="8"/>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5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Contractor’s Corporate Guaranty Agreement, by General Dynamics Corporation, dated as of August 25,</w:t>
              </w:r>
            </w:hyperlink>
          </w:p>
        </w:tc>
        <w:tc>
          <w:tcPr>
            <w:tcW w:w="32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2016 (incorporated by reference to Exhibit 10.3 of Matson’s Form 10-Q for the quarter ended September 30,</w:t>
              </w:r>
            </w:hyperlink>
          </w:p>
        </w:tc>
      </w:tr>
      <w:tr>
        <w:trPr>
          <w:trHeight w:val="196"/>
        </w:trPr>
        <w:tc>
          <w:tcPr>
            <w:tcW w:w="10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43">
              <w:r>
                <w:rPr>
                  <w:rFonts w:ascii="Times New Roman" w:cs="Times New Roman" w:eastAsia="Times New Roman" w:hAnsi="Times New Roman"/>
                  <w:sz w:val="18"/>
                  <w:szCs w:val="18"/>
                  <w:color w:val="0000EE"/>
                  <w:w w:val="94"/>
                </w:rPr>
                <w:t>2016).</w:t>
              </w:r>
            </w:hyperlink>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Capital Construction Fund Agreement with Matson Navigation Company, as amended by</w:t>
              </w:r>
            </w:hyperlink>
          </w:p>
        </w:tc>
        <w:tc>
          <w:tcPr>
            <w:tcW w:w="74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Addendums No. 2, No. 5, No. 18, No. 20, No. 31 and No. 33 thereto (incorporated by reference to Exhibit</w:t>
              </w:r>
            </w:hyperlink>
          </w:p>
        </w:tc>
      </w:tr>
      <w:tr>
        <w:trPr>
          <w:trHeight w:val="196"/>
        </w:trPr>
        <w:tc>
          <w:tcPr>
            <w:tcW w:w="1060" w:type="dxa"/>
            <w:vAlign w:val="bottom"/>
          </w:tcPr>
          <w:p>
            <w:pPr>
              <w:spacing w:after="0"/>
              <w:rPr>
                <w:sz w:val="17"/>
                <w:szCs w:val="17"/>
                <w:color w:val="auto"/>
              </w:rPr>
            </w:pPr>
          </w:p>
        </w:tc>
        <w:tc>
          <w:tcPr>
            <w:tcW w:w="76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0000EE"/>
                </w:rPr>
                <w:t xml:space="preserve"> of Matson’s Form 10-K for the year ended December 31, 2021).</w:t>
              </w:r>
            </w:hyperlink>
          </w:p>
        </w:tc>
        <w:tc>
          <w:tcPr>
            <w:tcW w:w="180" w:type="dxa"/>
            <w:vAlign w:val="bottom"/>
            <w:gridSpan w:val="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820" w:type="dxa"/>
            <w:vAlign w:val="bottom"/>
            <w:gridSpan w:val="24"/>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Voting Agreement, dated as of November 11, 2014, among Matson Navigation Company, Inc. and</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certain holders of voting securities of Horizon Lines, Inc. (incorporated by reference to Exhibit 10.1 of</w:t>
              </w:r>
            </w:hyperlink>
          </w:p>
        </w:tc>
        <w:tc>
          <w:tcPr>
            <w:tcW w:w="300" w:type="dxa"/>
            <w:vAlign w:val="bottom"/>
            <w:tcBorders>
              <w:top w:val="single" w:sz="8" w:color="0000EE"/>
            </w:tcBorders>
            <w:gridSpan w:val="4"/>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Matson’s Form 8-K dated November 11, 2014).</w:t>
              </w:r>
            </w:hyperlink>
          </w:p>
        </w:tc>
        <w:tc>
          <w:tcPr>
            <w:tcW w:w="4380" w:type="dxa"/>
            <w:vAlign w:val="bottom"/>
            <w:gridSpan w:val="2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Amended and Restated Matson, Inc. 2016 Incentive Compensation Plan (incorporated by reference to</w:t>
              </w:r>
            </w:hyperlink>
          </w:p>
        </w:tc>
        <w:tc>
          <w:tcPr>
            <w:tcW w:w="48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Exhibit 99.1 of Matson’s Form S-8 date July 30, 2021).</w:t>
              </w:r>
            </w:hyperlink>
          </w:p>
        </w:tc>
        <w:tc>
          <w:tcPr>
            <w:tcW w:w="3820" w:type="dxa"/>
            <w:vAlign w:val="bottom"/>
            <w:gridSpan w:val="20"/>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Matson, Inc. Cash Incentive Plan, effective January 1, 2016 (incorporated by</w:t>
              </w:r>
            </w:hyperlink>
          </w:p>
        </w:tc>
        <w:tc>
          <w:tcPr>
            <w:tcW w:w="56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reference to Exhibit 10.63 of Matson’s Form 10-K for the year ended December 31, 2016).</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8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Election) (incorporated by reference to Exhibit 10.65 of Matson’s Form 10-K for the year ended</w:t>
              </w:r>
            </w:hyperlink>
          </w:p>
        </w:tc>
      </w:tr>
      <w:tr>
        <w:trPr>
          <w:trHeight w:val="196"/>
        </w:trPr>
        <w:tc>
          <w:tcPr>
            <w:tcW w:w="1060" w:type="dxa"/>
            <w:vAlign w:val="bottom"/>
          </w:tcPr>
          <w:p>
            <w:pPr>
              <w:spacing w:after="0"/>
              <w:rPr>
                <w:sz w:val="17"/>
                <w:szCs w:val="17"/>
                <w:color w:val="auto"/>
              </w:rPr>
            </w:pPr>
          </w:p>
        </w:tc>
        <w:tc>
          <w:tcPr>
            <w:tcW w:w="6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December 31, 2016).</w:t>
              </w:r>
            </w:hyperlink>
          </w:p>
        </w:tc>
        <w:tc>
          <w:tcPr>
            <w:tcW w:w="900" w:type="dxa"/>
            <w:vAlign w:val="bottom"/>
            <w:gridSpan w:val="1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7820" w:type="dxa"/>
            <w:vAlign w:val="bottom"/>
            <w:gridSpan w:val="24"/>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(incorporated by reference to Exhibit 10.60 of Matson’s Form 10-K for the year ended December 31, 2017).</w:t>
              </w:r>
            </w:hyperlink>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78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2016 Plan Time-Based Restricted Stock Unit Agreement for Executive Employees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reference to Exhibit 10.61 of Matson’s Form 10-K for the year ended December 31, 2017).</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7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2016 Plan Performance Share Award Agreement for Non-Executive Employees (incorporated by</w:t>
              </w:r>
            </w:hyperlink>
          </w:p>
        </w:tc>
        <w:tc>
          <w:tcPr>
            <w:tcW w:w="2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reference to Exhibit 10.62 of Matson’s Form 10-K for the year ended December 31, 2017).</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820" w:type="dxa"/>
            <w:vAlign w:val="bottom"/>
            <w:gridSpan w:val="2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2016 Plan Performance Share Award Agreement for Executive Employees (incorporated by</w:t>
              </w:r>
            </w:hyperlink>
          </w:p>
        </w:tc>
      </w:tr>
      <w:tr>
        <w:trPr>
          <w:trHeight w:val="196"/>
        </w:trPr>
        <w:tc>
          <w:tcPr>
            <w:tcW w:w="1060" w:type="dxa"/>
            <w:vAlign w:val="bottom"/>
          </w:tcPr>
          <w:p>
            <w:pPr>
              <w:spacing w:after="0"/>
              <w:rPr>
                <w:sz w:val="17"/>
                <w:szCs w:val="17"/>
                <w:color w:val="auto"/>
              </w:rPr>
            </w:pPr>
          </w:p>
        </w:tc>
        <w:tc>
          <w:tcPr>
            <w:tcW w:w="72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reference to Exhibit 10.63 of Matson’s Form 10-K for the year ended December 31, 2017).</w:t>
              </w:r>
            </w:hyperlink>
          </w:p>
        </w:tc>
        <w:tc>
          <w:tcPr>
            <w:tcW w:w="580" w:type="dxa"/>
            <w:vAlign w:val="bottom"/>
            <w:gridSpan w:val="1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7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2016 Plan Performance Share Award Agreement for Executive Employees (ROIC) (incorporated</w:t>
              </w:r>
            </w:hyperlink>
          </w:p>
        </w:tc>
        <w:tc>
          <w:tcPr>
            <w:tcW w:w="2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by reference to Exhibit 10.47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7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2016 Plan Performance Share Award Agreement for Executive Employees (TSR) (incorporated by</w:t>
              </w:r>
            </w:hyperlink>
          </w:p>
        </w:tc>
        <w:tc>
          <w:tcPr>
            <w:tcW w:w="8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10.48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2016 Plan Performance Share Award Agreement for Non-Executive Employees (incorporated by</w:t>
              </w:r>
            </w:hyperlink>
          </w:p>
        </w:tc>
        <w:tc>
          <w:tcPr>
            <w:tcW w:w="2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reference to Exhibit 10.49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78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2016 Plan Time-Based Restricted Stock Unit Agreement for Executive Employees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reference to Exhibit 10.50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7820" w:type="dxa"/>
            <w:vAlign w:val="bottom"/>
            <w:gridSpan w:val="2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(incorporated by reference to Exhibit 10.51 of Matson’s Form 10-K for the year ended December 31, 2020).</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746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2016 Plan Restricted Stock Unit Award Agreement for Non-Employee Directors (No Deferral)</w:t>
              </w:r>
            </w:hyperlink>
          </w:p>
        </w:tc>
        <w:tc>
          <w:tcPr>
            <w:tcW w:w="320" w:type="dxa"/>
            <w:vAlign w:val="bottom"/>
            <w:tcBorders>
              <w:top w:val="single" w:sz="8" w:color="0000EE"/>
            </w:tcBorders>
            <w:gridSpan w:val="4"/>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by reference to Exhibit 10.52 of Matson’s Form 10-K for the year ended December 31, 2020).</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71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40" w:type="dxa"/>
            <w:vAlign w:val="bottom"/>
            <w:tcBorders>
              <w:top w:val="single" w:sz="8" w:color="0000EE"/>
            </w:tcBorders>
            <w:gridSpan w:val="11"/>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Election) (incorporated by reference to Exhibit 10.53 of Matson’s Form 10-K for the year ended December</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31, 2020).</w:t>
              </w:r>
            </w:hyperlink>
          </w:p>
        </w:tc>
        <w:tc>
          <w:tcPr>
            <w:tcW w:w="78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7820" w:type="dxa"/>
            <w:vAlign w:val="bottom"/>
            <w:gridSpan w:val="2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Amendment to Third Amended and Restated Note Purchase and Private Shelf Agreement, dated as of</w:t>
              </w:r>
            </w:hyperlink>
          </w:p>
        </w:tc>
      </w:tr>
      <w:tr>
        <w:trPr>
          <w:trHeight w:val="20"/>
        </w:trPr>
        <w:tc>
          <w:tcPr>
            <w:tcW w:w="1060" w:type="dxa"/>
            <w:vAlign w:val="bottom"/>
          </w:tcPr>
          <w:p>
            <w:pPr>
              <w:spacing w:after="0" w:line="20" w:lineRule="exact"/>
              <w:rPr>
                <w:sz w:val="1"/>
                <w:szCs w:val="1"/>
                <w:color w:val="auto"/>
              </w:rPr>
            </w:pPr>
          </w:p>
        </w:tc>
        <w:tc>
          <w:tcPr>
            <w:tcW w:w="6240" w:type="dxa"/>
            <w:vAlign w:val="bottom"/>
            <w:gridSpan w:val="5"/>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March 31, 2021 (incorporated by reference to Exhibit 10.2 of Matson’s Form 8-K dated April 5, 2021).</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74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Amendment to Note Purchase Agreement dated December 21, 2016, dated as of March 31, 2021</w:t>
              </w:r>
            </w:hyperlink>
          </w:p>
        </w:tc>
        <w:tc>
          <w:tcPr>
            <w:tcW w:w="40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(incorporated by reference to Exhibit 10.3 of Matson’s Form 8-K dated April 5, 2021).</w:t>
              </w:r>
            </w:hyperlink>
          </w:p>
        </w:tc>
        <w:tc>
          <w:tcPr>
            <w:tcW w:w="720" w:type="dxa"/>
            <w:vAlign w:val="bottom"/>
            <w:tcBorders>
              <w:top w:val="single" w:sz="8" w:color="0000EE"/>
            </w:tcBorders>
            <w:gridSpan w:val="5"/>
          </w:tcPr>
          <w:p>
            <w:pPr>
              <w:spacing w:after="0"/>
              <w:rPr>
                <w:sz w:val="17"/>
                <w:szCs w:val="17"/>
                <w:color w:val="auto"/>
              </w:rPr>
            </w:pPr>
          </w:p>
        </w:tc>
        <w:tc>
          <w:tcPr>
            <w:tcW w:w="86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Shipbuilding Contract Vessel Type Aloha Class L – Hull No. 040, by and between Philly Shipyard, Inc. and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Matson Navigation Company, Inc., dated as of November 1, 2022.</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10.49†</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40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vMerge w:val="continue"/>
          </w:tcPr>
          <w:p>
            <w:pPr>
              <w:spacing w:after="0"/>
              <w:rPr>
                <w:sz w:val="24"/>
                <w:szCs w:val="24"/>
                <w:color w:val="auto"/>
              </w:rPr>
            </w:pPr>
          </w:p>
        </w:tc>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Shipbuilding Contract Vessel Type Aloha Class L – Hull No. 041, by and between Philly Shipyard, Inc. and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Matson Navigation Company, Inc., dated as of November 1, 2022.</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40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vMerge w:val="continue"/>
          </w:tcPr>
          <w:p>
            <w:pPr>
              <w:spacing w:after="0"/>
              <w:rPr>
                <w:sz w:val="24"/>
                <w:szCs w:val="24"/>
                <w:color w:val="auto"/>
              </w:rPr>
            </w:pPr>
          </w:p>
        </w:tc>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Shipbuilding Contract Vessel Type Aloha Class L – Hull No. 042, by and between Philly Shipyard, Inc. and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Matson Navigation Company, Inc., dated as of November 1, 2022.</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7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Matson, Inc. Subsidiaries as of December 31, 2022.</w:t>
            </w:r>
          </w:p>
        </w:tc>
        <w:tc>
          <w:tcPr>
            <w:tcW w:w="2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Deloitte &amp; Touche, LLP dated February 24, 2023.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as Adopted Pursuant to Section 302 of the Sarbanes-Oxley Act of</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as Adopted Pursuant to Section 302 of the Sarbanes-Oxley Act of</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77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4" w:lineRule="exact"/>
        <w:rPr>
          <w:sz w:val="20"/>
          <w:szCs w:val="20"/>
          <w:color w:val="auto"/>
        </w:rPr>
      </w:pPr>
    </w:p>
    <w:p>
      <w:pPr>
        <w:ind w:left="680" w:hanging="630"/>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9" w:lineRule="exact"/>
        <w:rPr>
          <w:rFonts w:ascii="Times New Roman" w:cs="Times New Roman" w:eastAsia="Times New Roman" w:hAnsi="Times New Roman"/>
          <w:sz w:val="18"/>
          <w:szCs w:val="18"/>
          <w:color w:val="auto"/>
        </w:rPr>
      </w:pPr>
    </w:p>
    <w:p>
      <w:pPr>
        <w:ind w:left="6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identified information has been excluded from this exhibit pursuant to Item 601(b)(10)(iv) of Regulation S-K because it is both (i) not material and (ii) the type that the registrant treats as private or confidential.</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MATSON, INC.</w:t>
            </w:r>
          </w:p>
        </w:tc>
      </w:tr>
      <w:tr>
        <w:trPr>
          <w:trHeight w:val="228"/>
        </w:trPr>
        <w:tc>
          <w:tcPr>
            <w:tcW w:w="4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Cox</w:t>
            </w:r>
          </w:p>
        </w:tc>
      </w:tr>
      <w:tr>
        <w:trPr>
          <w:trHeight w:val="191"/>
        </w:trPr>
        <w:tc>
          <w:tcPr>
            <w:tcW w:w="446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Matthew J. Cox</w:t>
            </w:r>
          </w:p>
        </w:tc>
      </w:tr>
      <w:tr>
        <w:trPr>
          <w:trHeight w:val="216"/>
        </w:trPr>
        <w:tc>
          <w:tcPr>
            <w:tcW w:w="4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and</w:t>
            </w:r>
          </w:p>
        </w:tc>
      </w:tr>
      <w:tr>
        <w:trPr>
          <w:trHeight w:val="234"/>
        </w:trPr>
        <w:tc>
          <w:tcPr>
            <w:tcW w:w="4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5"/>
                <w:szCs w:val="15"/>
                <w:color w:val="auto"/>
              </w:rPr>
            </w:pPr>
          </w:p>
        </w:tc>
        <w:tc>
          <w:tcPr>
            <w:tcW w:w="45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Matthew J. Cox</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Meredith J. Ching</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Meredith J. Ching</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Fargo</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Thomas B. Fargo</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Fukunaga</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Mark H. Fukunaga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M. Kuriyama</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Stanley M. Kuriyama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Constance H. Lau</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Constance H. Lau</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Jenai S. Wall</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Jenai S. Wall</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M. Wine</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Joel M. Wine</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L. Stuck</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Kevin L. Stuck</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Pr>
          <w:p>
            <w:pPr>
              <w:spacing w:after="0"/>
              <w:rPr>
                <w:sz w:val="24"/>
                <w:szCs w:val="24"/>
                <w:color w:val="auto"/>
              </w:rPr>
            </w:pPr>
          </w:p>
        </w:tc>
        <w:tc>
          <w:tcPr>
            <w:tcW w:w="47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FIRST AMENDMENT TO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9, 2023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among MATSON, INC., a Hawaii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Bank of America, N.A., as Agent, Swing Line Lender and L/C Issuer. All capitalized terms used herein and not otherwise defined herein shall have the meanings ascribed thereto in the Credit Agreement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that certain Second Amended and Restated Credit Agreement was entered into on March 31, 2021 by and among the Borrower, the Lenders party thereto and the Agent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has requested amendments to the Credit Agreement as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Agent and the Lenders are willing to agree to such amendments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(but not the Schedules and Exhibits thereto) is hereby amended and restated in its entirety to read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A to the Credit Agreement is hereby amended to read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B to the Credit Agreement is hereby amended to read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G to the Credit Agreement is hereby amended to read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with respect to any Loan bearing interest at the Eurodollar Rate outstanding immediately prior to the effectiveness of this Agreement, (i) such Loan shall automatically be deemed to bear interest at Term SOFR with an Interest Period equivalent to the Interest Period for such Loan then in effect immediately prior to the effectiveness of this Agreement and (ii) each Lender hereby waives (A) any right to compensation under Section 3.05(a) of the Credit Agreement (as in effect immediately prior to the effectiveness of this Agreement) and (B) any notice requirements under Sections 2.02(a) and/or 2.05(a) of the Credit Agreement (as in effect immediately prior to the effectiveness of this Agreement), in each case, as a result of the conversion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Conditions Precedent</w:t>
      </w:r>
      <w:r>
        <w:rPr>
          <w:rFonts w:ascii="Times New Roman" w:cs="Times New Roman" w:eastAsia="Times New Roman" w:hAnsi="Times New Roman"/>
          <w:sz w:val="18"/>
          <w:szCs w:val="18"/>
          <w:color w:val="auto"/>
        </w:rPr>
        <w:t>. This Agreement shall be effective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86" w:name="page87"/>
    <w:bookmarkEnd w:id="86"/>
    <w:p>
      <w:pPr>
        <w:ind w:left="1620" w:hanging="316"/>
        <w:spacing w:after="0"/>
        <w:tabs>
          <w:tab w:leader="none" w:pos="16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of copies of this Agreement duly executed by the Borrower, the Guarantors and each Lender.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Borrower of all reasonable and documented fees, charges and disbursements of counsel to the Agent in connection with this Agreement (directly to such counsel if requested by the Agent).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Authority/Enforceability</w:t>
      </w:r>
      <w:r>
        <w:rPr>
          <w:rFonts w:ascii="Times New Roman" w:cs="Times New Roman" w:eastAsia="Times New Roman" w:hAnsi="Times New Roman"/>
          <w:sz w:val="18"/>
          <w:szCs w:val="18"/>
          <w:color w:val="auto"/>
        </w:rPr>
        <w:t>. Each Loan Party represents and warrants as follows: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action to authorize the execution, delivery and performance of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Loan Party and constitutes its legal, valid and binding obligations, enforceable in accordance with its terms, subject to applicable Debtor Relief Laws and to general principles of equity.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consent, exemption, authorization, or other action by, or notice to, or filing with, any Governmental Authority or any other Person is necessary or required in connection with the execution, delivery or performance by such Loan Party of this Agreement.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does not (i) contravene the terms of its organization documents or (ii) violate any law.</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Loan Parties</w:t>
      </w:r>
      <w:r>
        <w:rPr>
          <w:rFonts w:ascii="Times New Roman" w:cs="Times New Roman" w:eastAsia="Times New Roman" w:hAnsi="Times New Roman"/>
          <w:sz w:val="18"/>
          <w:szCs w:val="18"/>
          <w:color w:val="auto"/>
        </w:rPr>
        <w:t xml:space="preserve">. Each Loan Party represents and warrants to the Lenders that after giving effect to this Agreement (a)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or in any other Loan Document or which are contained in any document furnished at any time under or in connection therewith are true and correct in all material respects (or, if such representation or warranty is qualified by materiality or Material Adverse Effect, it shall be true and correct in all respects as drafted) on and as of the date hereof, except to the extent that such representations and warranties specifically refer to an earlier date, in which case they are true and correct in all material respects (or, if such representation or warranty is qualified by materiality or material adverse effect, it shall be true and correct in all respects as drafted) as of such earlier date and except that for purposes of this Section 4, the representations and warranties contained in subsections (a) and (b) of Section 5.02 of the Credit Agreement shall be deemed to refer to the most recent statements furnished pursuant to clauses (a) and (b), respectively, of Section 6.01 of the Credit Agreement) and (b) no event has occurred and is continuing which constitutes a Default.</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an original, but all of which shall constitute one and the same instrument. Delivery of executed counterparts of this Agreement by facsimile or other secure electronic format (.pdf) shall be effective as an original.</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7" w:name="page88"/>
    <w:bookmarkEnd w:id="87"/>
    <w:p>
      <w:pPr>
        <w:ind w:firstLine="656"/>
        <w:spacing w:after="0" w:line="282" w:lineRule="auto"/>
        <w:tabs>
          <w:tab w:leader="none" w:pos="9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provided for convenience only and shall not in any way affect the meaning or construction of any provision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and Confirmation</w:t>
      </w:r>
      <w:r>
        <w:rPr>
          <w:rFonts w:ascii="Times New Roman" w:cs="Times New Roman" w:eastAsia="Times New Roman" w:hAnsi="Times New Roman"/>
          <w:sz w:val="18"/>
          <w:szCs w:val="18"/>
          <w:color w:val="auto"/>
        </w:rPr>
        <w:t>. The provisions of the Loan Documents, as amended by this Agreement, shall remain in full force and effect in accordance with their terms following the effectiveness of this Agreement. Each of the undersigned Loan Parties does hereby adopt, ratify, and confirm the Credit Agreement and the other Loan Documents, as amended hereby, and its obligations thereunder. This Agreement is a Loan Document.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8" w:name="page89"/>
    <w:bookmarkEnd w:id="8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parties hereto has caused a counterpart of this Agreement to be duly executed and delivered as of the date first above written.</w:t>
      </w:r>
    </w:p>
    <w:p>
      <w:pPr>
        <w:sectPr>
          <w:pgSz w:w="11900" w:h="16838" w:orient="portrait"/>
          <w:cols w:equalWidth="0" w:num="1">
            <w:col w:w="9920"/>
          </w:cols>
          <w:pgMar w:left="980" w:top="877" w:right="99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MATSON,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Hawaii corporation</w:t>
      </w:r>
    </w:p>
    <w:p>
      <w:pPr>
        <w:spacing w:after="0" w:line="200" w:lineRule="exact"/>
        <w:rPr>
          <w:sz w:val="20"/>
          <w:szCs w:val="20"/>
          <w:color w:val="auto"/>
        </w:rPr>
      </w:pPr>
    </w:p>
    <w:p>
      <w:pPr>
        <w:sectPr>
          <w:pgSz w:w="11900" w:h="16838" w:orient="portrait"/>
          <w:cols w:equalWidth="0" w:num="2">
            <w:col w:w="4740" w:space="720"/>
            <w:col w:w="4460"/>
          </w:cols>
          <w:pgMar w:left="980" w:top="877" w:right="999" w:bottom="1440" w:gutter="0" w:footer="0" w:header="0"/>
          <w:type w:val="continuous"/>
        </w:sectPr>
      </w:pPr>
    </w:p>
    <w:p>
      <w:pPr>
        <w:spacing w:after="0" w:line="18"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7"/>
          <w:szCs w:val="17"/>
          <w:color w:val="auto"/>
        </w:rPr>
        <w:t>By:</w:t>
        <w:tab/>
        <w:t>/s/ Joel M. Wine</w:t>
      </w:r>
    </w:p>
    <w:p>
      <w:pPr>
        <w:sectPr>
          <w:pgSz w:w="11900" w:h="16838" w:orient="portrait"/>
          <w:cols w:equalWidth="0" w:num="1">
            <w:col w:w="9920"/>
          </w:cols>
          <w:pgMar w:left="980" w:top="877" w:right="99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40" w:type="dxa"/>
            <w:vAlign w:val="bottom"/>
          </w:tcPr>
          <w:p>
            <w:pPr>
              <w:spacing w:after="0"/>
              <w:rPr>
                <w:sz w:val="16"/>
                <w:szCs w:val="16"/>
                <w:color w:val="auto"/>
              </w:rPr>
            </w:pPr>
          </w:p>
        </w:tc>
        <w:tc>
          <w:tcPr>
            <w:tcW w:w="232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Joel M. Wine</w:t>
            </w:r>
          </w:p>
        </w:tc>
      </w:tr>
      <w:tr>
        <w:trPr>
          <w:trHeight w:val="234"/>
        </w:trPr>
        <w:tc>
          <w:tcPr>
            <w:tcW w:w="3140" w:type="dxa"/>
            <w:vAlign w:val="bottom"/>
          </w:tcPr>
          <w:p>
            <w:pPr>
              <w:spacing w:after="0"/>
              <w:rPr>
                <w:sz w:val="20"/>
                <w:szCs w:val="20"/>
                <w:color w:val="auto"/>
              </w:rPr>
            </w:pPr>
          </w:p>
        </w:tc>
        <w:tc>
          <w:tcPr>
            <w:tcW w:w="67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23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MATSON NAVIGATION COMPANY, INC.,</w:t>
            </w:r>
          </w:p>
        </w:tc>
      </w:tr>
      <w:tr>
        <w:trPr>
          <w:trHeight w:val="234"/>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 Hawaii corporation</w:t>
            </w:r>
          </w:p>
        </w:tc>
      </w:tr>
    </w:tbl>
    <w:p>
      <w:pPr>
        <w:spacing w:after="0" w:line="198"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MATSON LOGISTICS, INC.,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Hawaii corporation</w:t>
      </w:r>
    </w:p>
    <w:p>
      <w:pPr>
        <w:spacing w:after="0" w:line="207"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MATSON VENTURES, INC.,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Hawaii corporation</w:t>
      </w:r>
    </w:p>
    <w:p>
      <w:pPr>
        <w:spacing w:after="0" w:line="207"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MATSON ALASKA, INC.,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HORIZON LINES HOLDING CORP.,</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89" w:name="page90"/>
    <w:bookmarkEnd w:id="89"/>
    <w:p>
      <w:pPr>
        <w:ind w:left="5000"/>
        <w:spacing w:after="0"/>
        <w:rPr>
          <w:sz w:val="20"/>
          <w:szCs w:val="20"/>
          <w:color w:val="auto"/>
        </w:rPr>
      </w:pPr>
      <w:r>
        <w:rPr>
          <w:rFonts w:ascii="Times New Roman" w:cs="Times New Roman" w:eastAsia="Times New Roman" w:hAnsi="Times New Roman"/>
          <w:sz w:val="18"/>
          <w:szCs w:val="18"/>
          <w:color w:val="auto"/>
        </w:rPr>
        <w:t>HORIZON LINES,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MATSON NAVIGATION COMPANY OF ALASKA,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HORIZON LINES MERCHANT VESSELS,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HORIZON LINES ALASKA VESSELS,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SPAN INTERMEDIATE,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SPAN ACQUISITION CO., LLC,</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Name:Joel M. Wine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0" w:name="page91"/>
    <w:bookmarkEnd w:id="90"/>
    <w:p>
      <w:pPr>
        <w:ind w:left="50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Carolyn LaBatte-Leavitt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Name:Carolyn LaBatte-Leavitt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1" w:name="page92"/>
    <w:bookmarkEnd w:id="91"/>
    <w:p>
      <w:pPr>
        <w:ind w:left="50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 L/C Issuer and Swing Line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Daryl K. Hogge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Name:Daryl K. Hogge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2" w:name="page93"/>
    <w:bookmarkEnd w:id="92"/>
    <w:p>
      <w:pPr>
        <w:ind w:left="5000"/>
        <w:spacing w:after="0"/>
        <w:rPr>
          <w:sz w:val="20"/>
          <w:szCs w:val="20"/>
          <w:color w:val="auto"/>
        </w:rPr>
      </w:pPr>
      <w:r>
        <w:rPr>
          <w:rFonts w:ascii="Times New Roman" w:cs="Times New Roman" w:eastAsia="Times New Roman" w:hAnsi="Times New Roman"/>
          <w:sz w:val="18"/>
          <w:szCs w:val="18"/>
          <w:color w:val="auto"/>
        </w:rPr>
        <w:t>FIRST HAWAIIAN BANK,</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Hanul Vera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Name:Hanul Vera Abraham</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3" w:name="page94"/>
    <w:bookmarkEnd w:id="93"/>
    <w:p>
      <w:pPr>
        <w:ind w:left="5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Name:Jonathan Bennett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4" w:name="page95"/>
    <w:bookmarkEnd w:id="94"/>
    <w:p>
      <w:pPr>
        <w:ind w:left="5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Diane 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Name:Diane Truong</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5" w:name="page96"/>
    <w:bookmarkEnd w:id="95"/>
    <w:p>
      <w:pPr>
        <w:ind w:left="5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Andrew C.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Name:Andrew C. Beckman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6" w:name="page97"/>
    <w:bookmarkEnd w:id="96"/>
    <w:p>
      <w:pPr>
        <w:ind w:left="50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Mylissa Merten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Name:Mylissa Merten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97" w:name="page98"/>
    <w:bookmarkEnd w:id="97"/>
    <w:p>
      <w:pPr>
        <w:ind w:left="5000"/>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Tad L. Stainbrook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Name:Tad L. Stainbrook</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98" w:name="page99"/>
    <w:bookmarkEnd w:id="98"/>
    <w:p>
      <w:pPr>
        <w:ind w:left="5000"/>
        <w:spacing w:after="0"/>
        <w:rPr>
          <w:sz w:val="20"/>
          <w:szCs w:val="20"/>
          <w:color w:val="auto"/>
        </w:rPr>
      </w:pPr>
      <w:r>
        <w:rPr>
          <w:rFonts w:ascii="Times New Roman" w:cs="Times New Roman" w:eastAsia="Times New Roman" w:hAnsi="Times New Roman"/>
          <w:sz w:val="18"/>
          <w:szCs w:val="18"/>
          <w:color w:val="auto"/>
        </w:rPr>
        <w:t>AMERICAN SAVINGS BANK, F.S.B.,</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Liane Khim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Name:Liane Khim</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99" w:name="page100"/>
    <w:bookmarkEnd w:id="99"/>
    <w:p>
      <w:pPr>
        <w:ind w:left="5000"/>
        <w:spacing w:after="0"/>
        <w:rPr>
          <w:sz w:val="20"/>
          <w:szCs w:val="20"/>
          <w:color w:val="auto"/>
        </w:rPr>
      </w:pPr>
      <w:r>
        <w:rPr>
          <w:rFonts w:ascii="Times New Roman" w:cs="Times New Roman" w:eastAsia="Times New Roman" w:hAnsi="Times New Roman"/>
          <w:sz w:val="18"/>
          <w:szCs w:val="18"/>
          <w:color w:val="auto"/>
        </w:rPr>
        <w:t>BANK OF HAWAII,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Ryan Kitamura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Name:Ryan Kitamura</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00" w:name="page101"/>
    <w:bookmarkEnd w:id="100"/>
    <w:p>
      <w:pPr>
        <w:ind w:left="5000"/>
        <w:spacing w:after="0"/>
        <w:rPr>
          <w:sz w:val="20"/>
          <w:szCs w:val="20"/>
          <w:color w:val="auto"/>
        </w:rPr>
      </w:pPr>
      <w:r>
        <w:rPr>
          <w:rFonts w:ascii="Times New Roman" w:cs="Times New Roman" w:eastAsia="Times New Roman" w:hAnsi="Times New Roman"/>
          <w:sz w:val="18"/>
          <w:szCs w:val="18"/>
          <w:color w:val="auto"/>
        </w:rPr>
        <w:t>CENTRAL PACIFIC BANK,</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8"/>
          <w:szCs w:val="18"/>
          <w:color w:val="auto"/>
        </w:rPr>
        <w:t>By:</w:t>
        <w:tab/>
        <w:t>/s/ Roderick Peroff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Name:Roderick Peroff</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Credit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866140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02" w:name="page103"/>
    <w:bookmarkEnd w:id="102"/>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156845</wp:posOffset>
            </wp:positionV>
            <wp:extent cx="629221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57686PAC9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-127635</wp:posOffset>
            </wp:positionV>
            <wp:extent cx="62922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CUSIP: 57686PAD7</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SECOND AMENDED AND RESTATED CREDIT AGREEMENT</w:t>
      </w: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dated as of March 31, 2021</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MATSON,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FIRST HAWAIIAN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FIRST HAWAIIAN BANK,</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700405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142875</wp:posOffset>
            </wp:positionV>
            <wp:extent cx="62922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186055</wp:posOffset>
            </wp:positionV>
            <wp:extent cx="629221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90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40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w:t>
            </w:r>
          </w:p>
        </w:tc>
        <w:tc>
          <w:tcPr>
            <w:tcW w:w="8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4"/>
        </w:trPr>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426"/>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Interpretive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Accounting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Rounding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Times of Day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Letter of Credit Amounts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8"/>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20"/>
                <w:szCs w:val="20"/>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Committed Loans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Borrowings, Conversions and Continuations of Committed Loans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Swing Line Loans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Termination or Reduction of Aggregate Commitments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Repayment of Loans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Fees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Computation of Interest and Fees; Retroactive Adjustment of Applicable Rate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 Generally; Agent’s Clawback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Sharing of Payments by Lenders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Increases of Aggregate Commitments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Collateral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20" w:type="dxa"/>
            <w:vAlign w:val="bottom"/>
          </w:tcPr>
          <w:p>
            <w:pPr>
              <w:spacing w:after="0"/>
              <w:rPr>
                <w:sz w:val="20"/>
                <w:szCs w:val="20"/>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Defaulting Lenders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Illegality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Inability to Determine Rates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Increased Costs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for Losses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18"/>
                <w:szCs w:val="18"/>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Mitigation Obligations; Replacement of Lenders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20" w:type="dxa"/>
            <w:vAlign w:val="bottom"/>
          </w:tcPr>
          <w:p>
            <w:pPr>
              <w:spacing w:after="0"/>
              <w:rPr>
                <w:sz w:val="20"/>
                <w:szCs w:val="20"/>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3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1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2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Conditions to Effectiveness and Initial Credit Extensions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Pr>
          <w:p>
            <w:pPr>
              <w:spacing w:after="0"/>
              <w:rPr>
                <w:sz w:val="20"/>
                <w:szCs w:val="20"/>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Conditions to all Credit Extensions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20" w:type="dxa"/>
            <w:vAlign w:val="bottom"/>
          </w:tcPr>
          <w:p>
            <w:pPr>
              <w:spacing w:after="0"/>
              <w:rPr>
                <w:sz w:val="24"/>
                <w:szCs w:val="24"/>
                <w:color w:val="auto"/>
              </w:rPr>
            </w:pP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Actions Pending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Debt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 to Properties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Conflicting Agreements and Other Matters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ERISA</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Government Consent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Status; Margin Stock</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Possession of Franchises, Licenses, Etc</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and Safety Matters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Hostile Tender Offers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Employee Relations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Sanctions and Anti-Corruption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8"/>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 Affected Financial Institution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0"/>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Property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Covenant to Secure Obligations Equally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Maintenance of Properties; Insurance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and Safety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Citizen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6.09</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Incumbency Certificates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KYC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8"/>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Most-Favored Lender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0"/>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Loans, Advances and Investments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Merger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Sale of Capital Assets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Affiliates and Stockholders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 Limitation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8"/>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7.10</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8.02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Remedies Upon Event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8"/>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8.03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Application of Funds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0"/>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Reliance by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Resignation of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Non-Reliance on Agent and Other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Other Duties,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9.09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Guaranty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9.10</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Certain ERISA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8"/>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9.11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Recovery of Erroneous Payments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10"/>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Amendments,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Effectiveness; Electronic Communication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Waiver; Cumulative Remedies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 Indemnity; Damage Waiver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Treatment of Certain Information; Confidentiality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 of Setoff</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10.09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Rate Limitation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10.10</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Counterparts; Integration; Effectiveness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Governing Law; Jurisdiction;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Advisory or Fiduciary Responsibility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Electronic Execution of Assignments and Certain Other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USA PATRIOT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10.19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Acknowledgement and Consent to Bail-In of Affected Financial Institutions</w:t>
            </w: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10.20</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Acknowledgement Regarding Any Supported QFCs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Existing Letters of Credit</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Commitments and Applicable Percentages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L/C Commitments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Times New Roman" w:cs="Times New Roman" w:eastAsia="Times New Roman" w:hAnsi="Times New Roman"/>
          <w:sz w:val="18"/>
          <w:szCs w:val="18"/>
          <w:color w:val="auto"/>
        </w:rPr>
        <w:t>Conflicting Agreements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Times New Roman" w:cs="Times New Roman" w:eastAsia="Times New Roman" w:hAnsi="Times New Roman"/>
          <w:sz w:val="18"/>
          <w:szCs w:val="18"/>
          <w:color w:val="auto"/>
        </w:rPr>
        <w:t>Material Domestic Subsidiaries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7"/>
          <w:szCs w:val="17"/>
          <w:color w:val="auto"/>
        </w:rPr>
        <w:t>Liens Existing on the Closing Date</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color w:val="auto"/>
        </w:rPr>
        <w:t>Agent’s Office; Certain Addresses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60" w:hanging="751"/>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7" w:lineRule="exact"/>
        <w:rPr>
          <w:sz w:val="20"/>
          <w:szCs w:val="20"/>
          <w:color w:val="auto"/>
        </w:rPr>
      </w:pPr>
    </w:p>
    <w:p>
      <w:pPr>
        <w:ind w:left="760" w:hanging="751"/>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ind w:left="760" w:hanging="751"/>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760" w:hanging="751"/>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Certificates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E-1</w:t>
      </w:r>
      <w:r>
        <w:rPr>
          <w:rFonts w:ascii="Times New Roman" w:cs="Times New Roman" w:eastAsia="Times New Roman" w:hAnsi="Times New Roman"/>
          <w:sz w:val="17"/>
          <w:szCs w:val="17"/>
          <w:color w:val="auto"/>
        </w:rPr>
        <w:t>Assignment and Assumption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E-2Administrative Questionnaire</w:t>
      </w:r>
    </w:p>
    <w:p>
      <w:pPr>
        <w:spacing w:after="0" w:line="9" w:lineRule="exact"/>
        <w:rPr>
          <w:sz w:val="20"/>
          <w:szCs w:val="20"/>
          <w:color w:val="auto"/>
        </w:rPr>
      </w:pPr>
    </w:p>
    <w:p>
      <w:pPr>
        <w:ind w:left="760" w:hanging="751"/>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760" w:hanging="751"/>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SECOND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March 31, 2021 among MATSON, INC., a Hawaii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(as defined herein), BANK OF AMERICA, N.A., as Agent, Swing Line Lender and L/C Issuer, and FIRST HAWAIIAN BANK, as L/C Issuer.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is party to an Amended and Restated Credit Agreement dated as of June 29, 2017 (as amended, supplemented or otherwise modified from time to time until (but not including) the date of this Agreement,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with the lenders party thereto and Bank of America, N.A., as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to this Agreement desire to amend the Existing Credit Agreement as set forth herein and to restate the Existing Credit Agreement in its entirety to read as follows. This Agreement is not a novation of the Existing Credit Agreement.</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 xml:space="preserve">Defined Terms. </w:t>
      </w:r>
      <w:r>
        <w:rPr>
          <w:rFonts w:ascii="Times New Roman" w:cs="Times New Roman" w:eastAsia="Times New Roman" w:hAnsi="Times New Roman"/>
          <w:sz w:val="17"/>
          <w:szCs w:val="17"/>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by any Person, means the acquisition by such Person, in a single transaction or in a series of related transactions, of either (a) all or substantially all of the property of, or a line of business or division of, another Person or (b) at least a majority of the voting capital stock or other equity interests of another Person, in each case whether or not involving a merger or consolidation with such other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without duplication, any Person directly or indirectly controlling, controlled by, or under direct or indirect common control with, another Person.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xml:space="preserve">” means the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Agent may from time to time notify the Borrower and the Lenders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8" w:name="page109"/>
    <w:bookmarkEnd w:id="10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as of any date of determination, the Commitments of all the Lenders. The initial amount of the Aggregate Commitments in effect on the Closing Date is $650,000,000. The Aggregate Commitments may be increased or decreased from time to time as provided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Maximum Level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If the commitment of each Lender to make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documentation pursuant to which such Lender becomes a party hereto, as applicable. The Applicable Percentages shall be subject to adjustment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with respect to the commitment fee payable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Term SOFR Loans, Term SOFR Daily Floating Rate Loans, Base Rate Loans and the Letter of Credit Fee, from time to time, the following percentages per annum, based upon the Consolidated Net Leverage Ratio as set forth below:</w:t>
      </w:r>
    </w:p>
    <w:p>
      <w:pPr>
        <w:spacing w:after="0" w:line="188"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1180" w:type="dxa"/>
            <w:vAlign w:val="bottom"/>
            <w:tcBorders>
              <w:top w:val="single" w:sz="8" w:color="auto"/>
              <w:left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SOFR</w:t>
            </w:r>
          </w:p>
        </w:tc>
        <w:tc>
          <w:tcPr>
            <w:tcW w:w="138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 and</w:t>
            </w:r>
          </w:p>
        </w:tc>
        <w:tc>
          <w:tcPr>
            <w:tcW w:w="13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SOFR</w:t>
            </w:r>
          </w:p>
        </w:tc>
        <w:tc>
          <w:tcPr>
            <w:tcW w:w="13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3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Daily</w:t>
            </w:r>
          </w:p>
        </w:tc>
        <w:tc>
          <w:tcPr>
            <w:tcW w:w="13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560" w:type="dxa"/>
            <w:vAlign w:val="bottom"/>
            <w:tcBorders>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Floating</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Letter of</w:t>
            </w:r>
          </w:p>
        </w:tc>
      </w:tr>
      <w:tr>
        <w:trPr>
          <w:trHeight w:val="23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Rate Loans</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Credit Fee</w:t>
            </w:r>
          </w:p>
        </w:tc>
      </w:tr>
      <w:tr>
        <w:trPr>
          <w:trHeight w:val="169"/>
        </w:trPr>
        <w:tc>
          <w:tcPr>
            <w:tcW w:w="11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4"/>
                <w:szCs w:val="14"/>
                <w:color w:val="auto"/>
              </w:rPr>
            </w:pPr>
          </w:p>
        </w:tc>
        <w:tc>
          <w:tcPr>
            <w:tcW w:w="1280" w:type="dxa"/>
            <w:vAlign w:val="bottom"/>
            <w:tcBorders>
              <w:right w:val="single" w:sz="8" w:color="auto"/>
            </w:tcBorders>
            <w:gridSpan w:val="4"/>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9"/>
              </w:rPr>
              <w:t>&lt; 1. 50 to 1.0</w:t>
            </w:r>
          </w:p>
        </w:tc>
        <w:tc>
          <w:tcPr>
            <w:tcW w:w="13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0.15%</w:t>
            </w:r>
          </w:p>
        </w:tc>
        <w:tc>
          <w:tcPr>
            <w:tcW w:w="15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1.00%</w:t>
            </w:r>
          </w:p>
        </w:tc>
        <w:tc>
          <w:tcPr>
            <w:tcW w:w="13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0.00%</w:t>
            </w:r>
          </w:p>
        </w:tc>
        <w:tc>
          <w:tcPr>
            <w:tcW w:w="15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1.00%</w:t>
            </w: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gridSpan w:val="5"/>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8"/>
              </w:rPr>
              <w:t>&gt; 1.50 to 1.0 but &lt;</w:t>
            </w:r>
          </w:p>
        </w:tc>
        <w:tc>
          <w:tcPr>
            <w:tcW w:w="13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r>
      <w:tr>
        <w:trPr>
          <w:trHeight w:val="23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2.25 to 1.0</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r>
      <w:tr>
        <w:trPr>
          <w:trHeight w:val="169"/>
        </w:trPr>
        <w:tc>
          <w:tcPr>
            <w:tcW w:w="118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gridSpan w:val="5"/>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8"/>
              </w:rPr>
              <w:t>&gt; 2.25 to 1.0 but &lt;</w:t>
            </w:r>
          </w:p>
        </w:tc>
        <w:tc>
          <w:tcPr>
            <w:tcW w:w="13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r>
      <w:tr>
        <w:trPr>
          <w:trHeight w:val="23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3.00 to 1.0</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&gt; 3.00 to 1.0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Applicable Rate in effect on the Closing Date to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for the fiscal quarter ending March 31, 2021 shall initially be Pricing Level 3. Thereafter, the Applicable Rate shall be determined by reference to the Consolidated Net Leverage Ratio as set forth in the most recent Compliance Certificate received by the Agent pursuant to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9" w:name="page110"/>
    <w:bookmarkEnd w:id="1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Compliance Certificate is delivered in accordance with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whereupon the Applicable Rate shall be adjusted based upon the calculation of the Consolidated Net Leverage Ratio contained in such Compliance Certificate.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BofA Securities, Inc., in its capacity as a joint lead arranger and joint bookrunner.</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Agent, in substantially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E-1</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2020, and the related consolidated statements of income or operations, shareholders’ equity and cash flows for such fiscal year of the Borrower and its Subsidiaries, including the notes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with respect to any Loan Party, any officer of such Loan Party designated as an “Authorized Officer” for the purpose of this Agreement in a certificate executed by one of such Loan Party’s then existing Authorized Officers (as previously identified to the Agent) and any other officer or employee of the applicable Loan Party designated in or pursuant to an agreement between the applicable Loan Party and the Agent. Any action taken under this Agreement or any other Loan Document on behalf of a Loan Party by any individual who on or after the Closing Date shall have been an Authorized Officer of such Loan Party and whom the Agent or any of the Lenders in good faith believes to be an Authorized Officer of such Loan Party at the time of such action shall be binding on such Loan Party even though such individual shall have ceased to be an Authorized Officer of such Loan Party, unless the Borrower or such Loan Party shall have provided the Agent with a certificate executed by one of such Loan Party’s then existing Authorized Officers (as previously identified to the Agent) indicating that such individual is no longer an “Authorized Officer.”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Autoborrow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and (c) Term SOFR plus 1.00%, subject to the interest rate floors set forth therein,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Committed Loan that bears interest based on the Base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Agent’s Office is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Assets</w:t>
      </w:r>
      <w:r>
        <w:rPr>
          <w:rFonts w:ascii="Times New Roman" w:cs="Times New Roman" w:eastAsia="Times New Roman" w:hAnsi="Times New Roman"/>
          <w:sz w:val="18"/>
          <w:szCs w:val="18"/>
          <w:color w:val="auto"/>
        </w:rPr>
        <w:t>” means all assets other than current assets, and shall not include any amounts in the CCF.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with respect to any Person, any rental obligation of such Person which, under GAAP in effect as of the Closing Date, is or will be required to be capitalized on the books of such Person, taken at the amount thereof accounted for as indebtedness (net of interest expense) in accordance with such principles.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Agent, for the benefit of one or more of the L/C Issuer or the Lenders, as collateral for L/C Obligations or obligations of the Lenders to fund participations in respect of L/C Obligations, cash or deposit account balances or, if the Agent and the L/C Issuer shall agree in their sole discretion, other credit support, in each case pursuant to documentation in form and substance reasonably satisfactory to the Agent and the L/C Issuer. “</w:t>
      </w:r>
      <w:r>
        <w:rPr>
          <w:rFonts w:ascii="Times New Roman" w:cs="Times New Roman" w:eastAsia="Times New Roman" w:hAnsi="Times New Roman"/>
          <w:sz w:val="18"/>
          <w:szCs w:val="18"/>
          <w:u w:val="single" w:color="auto"/>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CCF</w:t>
      </w:r>
      <w:r>
        <w:rPr>
          <w:rFonts w:ascii="Times New Roman" w:cs="Times New Roman" w:eastAsia="Times New Roman" w:hAnsi="Times New Roman"/>
          <w:sz w:val="18"/>
          <w:szCs w:val="18"/>
          <w:color w:val="auto"/>
        </w:rPr>
        <w:t>” means the capital construction fund created under Matson Navigation’s Capital Construction Fund Agreement with the United States through the Maritime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(42 U.S.C. Section 9601 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 and the regulations promulgated thereunder.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(as that term is defined in Section 957(a) of the Code).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in each case by any Governmental Authority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acquisition by any “person” or “group” (as such terms are used in Sections 13(d)(3) and 14(d)</w:t>
      </w:r>
    </w:p>
    <w:p>
      <w:pPr>
        <w:spacing w:after="0" w:line="27" w:lineRule="exact"/>
        <w:rPr>
          <w:sz w:val="20"/>
          <w:szCs w:val="20"/>
          <w:color w:val="auto"/>
        </w:rPr>
      </w:pPr>
    </w:p>
    <w:p>
      <w:pPr>
        <w:ind w:firstLine="8"/>
        <w:spacing w:after="0" w:line="260"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of outstanding shares of voting stock of the Borrower representing more than 50% of voting control of the Borrower.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Committed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3" w:lineRule="auto"/>
        <w:tabs>
          <w:tab w:leader="none" w:pos="2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documentation pursuant to which such Lender becomes a party hereto, as applicable, as such amount may be adjusted from time to time in accordance with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Borrowing</w:t>
      </w:r>
      <w:r>
        <w:rPr>
          <w:rFonts w:ascii="Times New Roman" w:cs="Times New Roman" w:eastAsia="Times New Roman" w:hAnsi="Times New Roman"/>
          <w:sz w:val="18"/>
          <w:szCs w:val="18"/>
          <w:color w:val="auto"/>
        </w:rPr>
        <w:t xml:space="preserve">” means a borrowing consisting of simultaneous Committed Loans of the same Type and, in the case of Term SOFR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Committed Borrowing, (b) a conversion of Committed Loans from one Type to the other, or (c) a continuation of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approved by the Agent (including any form on an electronic platform or electronic transmission system as shall be approved by the Agent), appropriately completed and signed by an Authorized Officer of the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signed in the name of the Borrower by an Authorized Officer of the Borrower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or any proposed Successor Rate or Term SOFR, as applicable, any conforming changes to the definitions of “Base Rate”, “SOFR”, “Term SOFR”, “Term SOFR Daily Floating Rate” and “Interest Period”, the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Agent, to reflect the adoption and implementation of such applicable rate(s) and to permit the administration thereof by the Agent in a manner substantially consistent with market practice (or, if the Agent determines that adoption of any portion of such market practice is not administratively feasible or that no market practice for the administration of such rate exists, in such other manner of administration as the Agent determines is reasonably necessary in connection with the administration of this Agreement and any other Loan Document).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for the Borrower and its Subsidiaries on a consolidated basis, an amount equal to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the following to the extent deducted in calculating such Consolidated Net Income:</w:t>
      </w:r>
    </w:p>
    <w:p>
      <w:pPr>
        <w:jc w:val="both"/>
        <w:ind w:firstLine="8"/>
        <w:spacing w:after="0" w:line="251" w:lineRule="auto"/>
        <w:tabs>
          <w:tab w:leader="none" w:pos="2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for such period, (ii) the provision for federal, state, local and foreign income taxes payable for such period, (iii) depreciation expense for such period, (iv) amortization expense for such period, (v) deferred dry-docking amortization expense for such period (to the extent not included in the preceding clause (iv)), and (vi) non-cash stock-based compensation. For purposes of calculating Consolidated EBITDA for any period of four consecutive quarters, if during such period the Borrower or any Subsidiary shall have consummated (i) an Acquisition of a Person that upon such consummation constitutes a Material Subsidiary (including any such Acquisition structured as an asset purchase, merger or consolidation) or an Acquisition of a Material Line of Business, Consolidated EBITDA for such period shall be calculated after giving pro forma effect thereto as if such transaction occurred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aggregate purchase price for any Acquisition is greater than or equal to $25,000,000, Consolidated EBITDA shall only be calculated on a pro forma basis with respect to such Acquisition to the extent such pro forma calculations are based on (w) audited financial statements of such acquired Person or Material Line of Business, (y) unaudited quarterly financial statements of such acquired Person or Material Line of Business, so long as such financial statements have been prepared in conformity with GAAP applied on a consistent basis, as in effect from time to time, applied in a manner consistent with that used in preparing the most recent audited financial statements of such Person or Material Line of Business or (z) other financial statements reasonably satisfactory to the Required Lenders and (ii) a disposition of all or substantially all of the assets of a Material Subsidiary or of at least 50% of the equity interests of a Material Subsidiary or of a Material Line of Business, Consolidated EBITDA for such period shall be calculated after giving pro forma effect thereto as if such transaction occurred on the first day of the such period, so long as, in each case, such pro forma calculations are (x) made in accordance with Regulation S-X, (y) factually supportable and made in good faith based on reasonable assumptions as certified by a Responsible Officer, without giving effect (unless permitted for pro forma financial statements prepared in accordance with Regulation S-X) to projected cost savings or synergies or (z)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otherwise acceptable to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in the foregoing, if such acquired Person or Material Line of Business has earnings before interest, taxes, depreciation and amortization for the four (4) fiscal quarter period prior to the acquisition date in an amount greater than $0, then Consolidated EBITDA shall be calculated after giving pro forma effect to such Acquisition only if the Borrower so elects in a writing delivered to the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xml:space="preserve">” means, at any time of determination thereof, the ratio of (a) Consolidated EBITDA for the most recently completed four quarter period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Interest Expense for such period.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 leases that is treated as interest in accordance with GAAP.</w:t>
      </w:r>
    </w:p>
    <w:p>
      <w:pPr>
        <w:spacing w:after="0" w:line="183"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at any time of determination thereof, the ratio of (a) all Debt of the Borrower and its Subsidiaries on a consolidated basis as of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EBITDA for the most recently completed four fiscal quarters.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consolidated net income of the Borrower and its Subsidiaries (excluding, to the extent included in such consolidated net income (a) non-cash gains or losses during such period from the write-up or write-down of assets and (b) income or losses during such period from discontinued operations) as determined in accordance with GAAP.</w:t>
      </w:r>
    </w:p>
    <w:p>
      <w:pPr>
        <w:spacing w:after="0" w:line="176" w:lineRule="exact"/>
        <w:rPr>
          <w:sz w:val="20"/>
          <w:szCs w:val="20"/>
          <w:color w:val="auto"/>
        </w:rPr>
      </w:pPr>
    </w:p>
    <w:p>
      <w:pPr>
        <w:jc w:val="both"/>
        <w:ind w:left="80"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as at any time of determination thereof, the ratio of (a) the amount of Net Debt of the Borrower and Subsidiaries on a consolidated basis as of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EBITDA for the most recently completed four fiscal quarters.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as of any date, total assets (excluding treasury stock, unamortized debt discount and expense, goodwill, trademarks, trade names, patents, deferred charges and other intangible assets) of the Borrower and its Subsidiaries on a consolidated basis, as determined in accordance with GAAP.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“Controlling” and “Controlled” have meanings correlative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as to any Person at the time of determination thereof without duplication, (a) any indebtedness of such Person (i) for borrowed money, including commercial paper and revolving credit lines, (ii) evidenced by bonds, debentures or notes or otherwise representing extensions of credit, whether or not representing obligations for borrowed money (except trade accounts payable arising in the ordinary course of business) or (iii) for the payment of the deferred purchase price of property or services, except trade accounts payable arising in the ordinary course of business, regardless of when such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18"/>
          <w:szCs w:val="18"/>
          <w:color w:val="auto"/>
        </w:rPr>
        <w:t>other obligation is due and payable, (b) Capitalized Lease Obligations of such Person, (c) direct or contingent obligations under standby letters of credit (and substantially similar instruments such as bank guaranties), (d) Guarantees, assumptions and endorsements by such Person (other than endorsements of negotiable instruments for collection in the ordinary course of business) of Debt of another Person of the types described in clauses (a), (b) and (c) hereof, and (e) Debt of another Person of the types described in clauses (a), (b) and (c) hereof, that is secured by Liens on the property or other assets of such Person. Notwithstanding the forgoing, “Debt” shall not include (i) to the extent not exceeding $15,000,000 at any time outstanding, unsecured contingent reimbursement obligations under standby letters of credit (and substantially similar instruments such as bank guaranties), (ii) a Guarantee of Matson Navigation’s trade accounts receivable purchased or held by the CCF or (iii) liability relating to any operating lease.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for Loans that are Base Rate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two percent (2%), in each case, to the fullest extent permitted by applicable law.</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the L/C Issuer, the Swing Line Lender or any other Lender any other amount required to be paid by it hereunder (including in respect of its participation in Letters of Credit or Swing Line Loans) within two Business Days of the date when due, (b) has notified the Borrower, the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Borrower, to confirm in writing to the Agent and the Borrower that it will comply with its prospective funding obligations hereunder (provided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becomes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as of the date established therefor by the Agent in a written notice of such determination, which shall be delivered by the Agent to the Borrower, the L/C Issuer, the Swing Line Lender and each other Lender promptly following such determination.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state of the United States or the District of Columbia.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Sections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Business Line</w:t>
      </w:r>
      <w:r>
        <w:rPr>
          <w:rFonts w:ascii="Times New Roman" w:cs="Times New Roman" w:eastAsia="Times New Roman" w:hAnsi="Times New Roman"/>
          <w:sz w:val="18"/>
          <w:szCs w:val="18"/>
          <w:color w:val="auto"/>
        </w:rPr>
        <w:t>” means any business engaged in as of the Closing Date by the Borrower or any of its Subsidiaries or any business reasonably related thereto (but in no event an airline).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and Safety Laws</w:t>
      </w:r>
      <w:r>
        <w:rPr>
          <w:rFonts w:ascii="Times New Roman" w:cs="Times New Roman" w:eastAsia="Times New Roman" w:hAnsi="Times New Roman"/>
          <w:sz w:val="18"/>
          <w:szCs w:val="18"/>
          <w:color w:val="auto"/>
        </w:rPr>
        <w:t>” means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1901 et. seq.), the Resource Conservation and Recovery Act (42 U.S.C. Section 6901 et. seq.), the Federal Water Pollution Control Act (33 U.S.C. Section 1251 et. seq.), the Clean Air Act (42 U.S.C. Section 7401 et. seq.), the Toxic Substances Control Act (15 U.S.C. Section 2601 et. seq.), the Occupational Safety and Health Act (29 U.S.C. Section 651 et. seq.) and the Emergency Planning and Community Right-To-Know Act (42 U.S.C. Section 11001 et. seq.).</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 and Costs</w:t>
      </w:r>
      <w:r>
        <w:rPr>
          <w:rFonts w:ascii="Times New Roman" w:cs="Times New Roman" w:eastAsia="Times New Roman" w:hAnsi="Times New Roman"/>
          <w:sz w:val="18"/>
          <w:szCs w:val="18"/>
          <w:color w:val="auto"/>
        </w:rPr>
        <w:t>” means as to any Person, all liabilities, obligations, responsibilities, remedial actions, losses, damages, punitive damages, consequential damages, treble damages, contribution, cost recovery, costs and expenses (including all fees, disbursements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18"/>
          <w:szCs w:val="18"/>
          <w:color w:val="auto"/>
        </w:rPr>
        <w:t>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permit, order or agreement with any Federal, state or local Governmental Authority or other Person, arising from environmental, health or safety conditions, or the release or threatened release of a contaminant, pollutant or Hazardous Material into the environment, resulting from the operations of such Person or its subsidiaries, or breach of any Environmental and Safety Law or for which such Person or its Subsidiaries is otherwise liable or responsible.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corporation which is a member of the same controlled group of corporations as the Borrower within the meaning of section 414(b) of the Code, or any trade or business which is under common control with the Borrower within the meaning of section 414(c)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each CFC, (b) each Foreign Holdco, and (c) any Subsidiary that is owned directly or indirectly by a CFC;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such Person has not issued or guaranteed any notes issued pursuant to the Note Purchase Agreements.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U.S. federal withholding Taxes imposed pursuant to FATCA.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those letters of credit set forth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administrative agent fee letter agreement, dated March 31, 2021, among the Borrower, the Agent and the Arranger.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Holdco</w:t>
      </w:r>
      <w:r>
        <w:rPr>
          <w:rFonts w:ascii="Times New Roman" w:cs="Times New Roman" w:eastAsia="Times New Roman" w:hAnsi="Times New Roman"/>
          <w:sz w:val="18"/>
          <w:szCs w:val="18"/>
          <w:color w:val="auto"/>
        </w:rPr>
        <w:t>” means any Subsidiary, substantially all of the assets of which consist of equity interests of one or more Foreign Subsidiaries or other securities of one or more Foreign Subsidiaries (or are treated as consisting of such assets for U.S. federal income tax purposes) or indebtedness or accounts receivable owed by any Foreign Subsidiary to any Loan party or treated as owed by the Foreign Subsidiary to any Loan Party for U.S. federal income tax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Financial Accounting Standards Board Accounting Standards Codification or such other principles as may be approved by a significant segment of the accounting profession in the United States, that are applicable to the circumstances as of the date of determination, consistently applied.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without duplication, any obligation, contingent or otherwise, of any Person guaranteeing or having the economic effect of guaranteeing any Debt or other obligation of any other Person (the primary obligor) in any manner, directly or indirectly, and including any obligation: (a) to make any loan, advance or capital contribution, or for the purchase of any property from, any Person, in each case for the purpose of enabling such Person to maintain working capital, net worth or any other balance sheet condition or to pay debts, dividends or expenses except for advances, deposits and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18"/>
          <w:szCs w:val="18"/>
          <w:color w:val="auto"/>
        </w:rPr>
        <w:t>payments made in the usual and ordinary course of business for the purchase or acquisition of property or services; (b) to purchase materials, supplies or other property or services if such obligation requires that payment for such materials, supplies or other property or services be made regardless of whether or not delivery of such materials, supplies or other property or services is ever made or tendered;</w:t>
      </w:r>
    </w:p>
    <w:p>
      <w:pPr>
        <w:spacing w:after="0" w:line="1" w:lineRule="exact"/>
        <w:rPr>
          <w:sz w:val="20"/>
          <w:szCs w:val="20"/>
          <w:color w:val="auto"/>
        </w:rPr>
      </w:pPr>
    </w:p>
    <w:p>
      <w:pPr>
        <w:jc w:val="both"/>
        <w:ind w:firstLine="8"/>
        <w:spacing w:after="0" w:line="252" w:lineRule="auto"/>
        <w:tabs>
          <w:tab w:leader="none" w:pos="2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rent or lease (as lessee) any real or personal property if such obligation is absolute and unconditional under conditions not customarily found in commercial leases then in general use; or (d) of any partnership or joint venture in which such Person is a general partner or joint venturer if such obligation is not expressly non-recourse to such Person; but excluding (i) completion guarantees issued in connection with a real estate development project to the extent contingent and not constituting a direct or indirect obligation to repay Debt, (ii) obligations under environmental indemnification agreements and (iii) a guaranty of Matson Navigation’s trade accounts receivable purchased or held by the CCF.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(a) each Material Domestic Subsidiary of the Borrower identified as a “Guarantor” on the signature pages to the Guaranty, (b) each Person that joins the Guaranty as a Guarantor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or otherwise and (c) the successors and permitted assigns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Excluded Subsidiary shall be a Guarantor. A Guarantor shall be released from its Guaranty pursuant to, and in accordance with, the terms hereof or the Guaranty.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the Second Amended and Restated Guaranty, dated as of the Closing Date, executed by the Guarantors in favor of the Agent for the benefit of the holders of the Obligations.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material or substance defined as or included in the definition of “hazardous substances,” “hazardous wastes,” “hazardous materials,” “toxic substances” or any other formulations intended to define, list or classify substances by reason of their deleterious properties, (b) any oil, petroleum or petroleum derived substance, (c) any flammable substances or explosives,</w:t>
      </w:r>
    </w:p>
    <w:p>
      <w:pPr>
        <w:spacing w:after="0" w:line="1" w:lineRule="exact"/>
        <w:rPr>
          <w:sz w:val="20"/>
          <w:szCs w:val="20"/>
          <w:color w:val="auto"/>
        </w:rPr>
      </w:pPr>
    </w:p>
    <w:p>
      <w:pPr>
        <w:jc w:val="both"/>
        <w:ind w:firstLine="8"/>
        <w:spacing w:after="0" w:line="253" w:lineRule="auto"/>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radioactive materials, (e) asbestos in any form, (f) electrical equipment that contains any oil or dielectric fluid containing levels of polychlorinated biphenyls in excess of fifty parts per million, (g) pesticides; or (h) any other chemical, material or substance, exposure to which is prohibited, limited or regulated by any governmental agency or authority or which may or could pose a hazard to the health and safety of persons in the vicinity thereof.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xml:space="preserve">” means any Acquisition that has not been approved by the board of directors or other governing body of the applicable entity as contemplated by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exceeds three months, the respective dates that fall every three months after the beginning of such Interest Period shall also be Interest Payment Dates; and (b) as to any Base Rate Loan (including a Swing Line Loan) or Term SOFR Daily Floating Rate Loan, the first Business Day after the end of each March, June, September and December and the Maturity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each Term SOFR Loan, the period commencing on the date such Term SOFR Loan is disbursed or converted to or continued as a Term SOFR Loan and ending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9" w:name="page120"/>
    <w:bookmarkEnd w:id="11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one or three months thereafter (in each case, subject to availability), as selected by the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left="660" w:firstLine="644"/>
        <w:spacing w:after="0" w:line="266" w:lineRule="auto"/>
        <w:tabs>
          <w:tab w:leader="none" w:pos="16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Committed Borrowing.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with respect to the L/C Issuer, the commitment of the L/C Issuer to issue Letters of Credit hereunder. The initial amount of the L/C Issuer’s Letter of Credit Commitment is set forth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The Letter of Credit Commitment of the L/C Issuer may be modified from time to time by agreement between the L/C Issuer and the Borrower, and notified to the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xml:space="preserve">” means, as the context requires, (a) First Hawaiian Bank in its capacity as issuer of Letters of Credit hereunder (including certain Existing Letters of Credit), (b) Bank of America in its capacity as issuer of Letters of Credit hereunder (including certain Existing Letters of Credit), (c) Wells Fargo Bank, National Association in its capacity as issuer of certain Letters of Credit hereunder (including certain Existing Letters of Credit), (d) such other Lender selected by the Borrower pursuant to </w:t>
      </w:r>
      <w:r>
        <w:rPr>
          <w:rFonts w:ascii="Times New Roman" w:cs="Times New Roman" w:eastAsia="Times New Roman" w:hAnsi="Times New Roman"/>
          <w:sz w:val="18"/>
          <w:szCs w:val="18"/>
          <w:u w:val="single" w:color="auto"/>
          <w:color w:val="auto"/>
        </w:rPr>
        <w:t>Section 2.03(l)</w:t>
      </w:r>
      <w:r>
        <w:rPr>
          <w:rFonts w:ascii="Times New Roman" w:cs="Times New Roman" w:eastAsia="Times New Roman" w:hAnsi="Times New Roman"/>
          <w:sz w:val="18"/>
          <w:szCs w:val="18"/>
          <w:color w:val="auto"/>
        </w:rPr>
        <w:t xml:space="preserve"> from time to time to issue such Letter of Credit and (e) any successor issuer of Letters of Credit hereunder. The term “L/C Issuer” when used with respect to a Letter of Credit or the L/C Obligations relating to a Letter of Credit shall refer to the L/C Issuer that issued such Letter of Credit.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of the Persons identified as a “Lender” on the signature pages hereto, each other Person that becomes a “Lender” in accordance with this Agreement and their successors and assigns and, unless the context requires otherwise, includes the Swing Line Lender.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Agent, which office may include any Affiliate of such Lender or any domestic or foreign branch of such Lender or such affiliate. Unless the context otherwise requires each references to a Lender shall include its applicable Lending Office.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 Notwithstanding anything to the contrary contained herein, a letter of credit issued by an L/C Issuer other than Bank of America shall not be a “Letter of Credit” for purposes of the Loan Documents until such time as the Agent has been notified of the issuance thereof by the applicable L/C Issuer and has confirmed with the L/C Issuer that there exists adequate availability under the Aggregate Commitments to issue such letter of credit.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xml:space="preserve">” means an amount equal to the lesser of (a) $100,000,000 and (b)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Issuer’s Letter of Credit Sublimit shall not exceed its L/C Commitment. The Letter of Credit Sublimit is part of, and not in addition to, the Aggregate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security interest, encumbrance, deposit arrangement, lien (including any lien securing any Capitalized Lease Obligation) or charge of any kind (including any conditional sale or other title retention agreement having substantially the same economic effect as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Committed Loan or a Swing Line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Note, each Issuer Document, the Guaranty, any Autoborrow Agreement,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the Fee Letter.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on the business, financial condition or operations of the Borrower and its Subsidiaries taken as a whole; (b) a material impairment of the ability of any Loan Party to perform its obligations under the Loan Documents, taken as a whole; or (c) a material adverse effect on the material rights and remedies of the Lenders, taken as a whole, which material adverse effect was not caused by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1" w:name="page122"/>
    <w:bookmarkEnd w:id="1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any Domestic Subsidiary of the Borrower (other than a Foreign Holdco) that accounts for, as of the most recently ended four fiscal quarter period of the Borrower, 5% or more of Consolidated EBITDA of the Borrower and its Subsidiaries for the most recently ended four fiscal quarter period of the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Line of Business</w:t>
      </w:r>
      <w:r>
        <w:rPr>
          <w:rFonts w:ascii="Times New Roman" w:cs="Times New Roman" w:eastAsia="Times New Roman" w:hAnsi="Times New Roman"/>
          <w:sz w:val="18"/>
          <w:szCs w:val="18"/>
          <w:color w:val="auto"/>
        </w:rPr>
        <w:t>” means a line of business or an operating division that accounts for, as of the most recently ended four fiscal quarter period of the Borrower, 5% or more of Consolidated EBITDA of the Borrower and its Subsidiaries for the most recently ended four fiscal quarter period of the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any Guarantor and (b) any Subsidiary of the Borrower that accounts for, as of the most recently ended four fiscal quarter period of the Borrower, 5% or more of Consolidated EBITDA of the Borrower and its Subsidiaries for the most recently ended four fiscal quarter period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Matson Navigation</w:t>
      </w:r>
      <w:r>
        <w:rPr>
          <w:rFonts w:ascii="Times New Roman" w:cs="Times New Roman" w:eastAsia="Times New Roman" w:hAnsi="Times New Roman"/>
          <w:sz w:val="18"/>
          <w:szCs w:val="18"/>
          <w:color w:val="auto"/>
        </w:rPr>
        <w:t>” means Matson Navigation Company,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March 31, 2026. If such date is not a Business Day, the Maturity Date shall be the next preceding Business Day.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amount equal to 103% of the Outstanding Amount of all L/C Obligations, and (c) otherwise, an amount equal to 103% of the stated amount of the applicable Letter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which is a “multiemployer plan” (as such term is defined in section 4001(a)(3)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Debt</w:t>
      </w:r>
      <w:r>
        <w:rPr>
          <w:rFonts w:ascii="Times New Roman" w:cs="Times New Roman" w:eastAsia="Times New Roman" w:hAnsi="Times New Roman"/>
          <w:sz w:val="18"/>
          <w:szCs w:val="18"/>
          <w:color w:val="auto"/>
        </w:rPr>
        <w:t>” means, at any time of determination thereof, the excess of the principal amount of all Debt of the Borrower and its Subsidiaries on a consolidated basis on such date over the Net Debt Cash Amount on such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Debt Cash Amount</w:t>
      </w:r>
      <w:r>
        <w:rPr>
          <w:rFonts w:ascii="Times New Roman" w:cs="Times New Roman" w:eastAsia="Times New Roman" w:hAnsi="Times New Roman"/>
          <w:sz w:val="18"/>
          <w:szCs w:val="18"/>
          <w:color w:val="auto"/>
        </w:rPr>
        <w:t>” means, for any date of determination, the sum over $15,000,000 (excluding any amount in the CCF) as of such date of (a) the Borrower’s and its Subsidiaries’ unrestricted cash and cash equivalents (other than any amounts in the CCF) as of such date and (b) 60% of the amount in the CCF as of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has been approved by the Required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xml:space="preserve">” means, for any date of determination, (a) the 2016 Met Life Note Purchase Agreement, (b) the 2016 Pru Note Purchase Agreement, and (c) any other note purchase agreement entered into by a Loan Party on or after the Closing Date, in each of clauses (a), (b), and (c) under which notes in an aggregate principal amount of at least $30,000,000 are issued and sold and remain outstanding as of such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Note Purchase Agreement shall exclude (i) Title XI Debt, (ii) financings to build, modify and/or acquire Vessel(s) secured by such Vessel(s) and (iii) for the avoidance of doubt, any Debt between or among the Borrower and its Subsidiaries.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such other form as may be approved by the Agent (including any form on an electronic platform or electronic transmission system as shall be approved by the Agent), appropriately completed and signed by an Authorized Officer of the Borrower.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under any Loan Document and including interest and fees that accrue after the commencement by or against the Borrower or any Affiliate thereof of any proceeding under any Debtor Relief Laws naming a Loan Party as the debtor in such proceeding, regardless of whether such interest and fees are allowed claims in such proceeding.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Committed Loans and Swing Line Loans on any date, the aggregate outstanding principal amount thereof after giving effect to any borrowings and prepayments or repayments of Committed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3" w:name="page124"/>
    <w:bookmarkEnd w:id="1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 of ERISA) which is or has been established or maintained, or to which contributions are or have been made, by the Borrower or any ERISA Affiliate.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Debt</w:t>
      </w:r>
      <w:r>
        <w:rPr>
          <w:rFonts w:ascii="Times New Roman" w:cs="Times New Roman" w:eastAsia="Times New Roman" w:hAnsi="Times New Roman"/>
          <w:sz w:val="18"/>
          <w:szCs w:val="18"/>
          <w:color w:val="auto"/>
        </w:rPr>
        <w:t xml:space="preserve">” means, at any time of determination thereof and without duplication, (a) Debt of the Borrower or Matson Navigation secured by any Lien (including, without limitation, all Title XI Debt and all Debt secured by marine assets, in each case whether full recourse or limited recourse) and (b) all Debt secured by any Lien (including, without limitation, all Title XI Debt and all Debt secured by a Lien on marine assets, in each case whether full recourse or limited recourse) and, without duplication, all unsecured Debt of Subsidiaries of the Borrower (other than unsecured Debt of Guarantors);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Priority Debt shall not include</w:t>
      </w:r>
    </w:p>
    <w:p>
      <w:pPr>
        <w:spacing w:after="0" w:line="3" w:lineRule="exact"/>
        <w:rPr>
          <w:sz w:val="20"/>
          <w:szCs w:val="20"/>
          <w:color w:val="auto"/>
        </w:rPr>
      </w:pPr>
    </w:p>
    <w:p>
      <w:pPr>
        <w:jc w:val="both"/>
        <w:ind w:firstLine="8"/>
        <w:spacing w:after="0" w:line="252" w:lineRule="auto"/>
        <w:tabs>
          <w:tab w:leader="none" w:pos="2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owing from any Subsidiary to the Borrower or any other Subsidiary, (ii) any of the Obligations, or (iii) any of the obligations of the Borrower or any Subsidiary under the Note Purchase Agreements and Guarantees in respect thereof, so long as the Obligations are secured on an equal and ratable basis pursuant to </w:t>
      </w:r>
      <w:r>
        <w:rPr>
          <w:rFonts w:ascii="Times New Roman" w:cs="Times New Roman" w:eastAsia="Times New Roman" w:hAnsi="Times New Roman"/>
          <w:sz w:val="18"/>
          <w:szCs w:val="18"/>
          <w:u w:val="single" w:color="auto"/>
          <w:color w:val="auto"/>
        </w:rPr>
        <w:t>Section 6.03(ii)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for purposes of clarification, the obligations of the Borrower and its Subsidiaries under any Note Purchase Agreements and Guarantees in respect thereof shall not constitute Priority Debt solely as a result of such obligations being secured (without the Obligations being equally and ratably secured) by cash collateral in an amount for each such Note Purchase Agreement not to exceed the amount of Cash Collateral at such time being provided by the Borrower and its Subsidiaries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Agent, (b) any Lender, (c) the L/C Issuer and (d) any other recipient of any payment to be made by or on account of any obligation of the Borrower hereunder,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Committed Loans, a Committed Loan Notice, (b) with respect to an L/C Credit Extension, a Letter of Credit Application, and (c) with respect to a Swing Line Loan at any time an Autoborrow Agreement is not in effect, a Swing Line Loan Notice.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Total Outstandings held or deemed held by, any Defaulting Lender shall be excluded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4" w:name="page125"/>
    <w:bookmarkEnd w:id="124"/>
    <w:p>
      <w:pPr>
        <w:jc w:val="both"/>
        <w:spacing w:after="0" w:line="261" w:lineRule="auto"/>
        <w:rPr>
          <w:sz w:val="20"/>
          <w:szCs w:val="20"/>
          <w:color w:val="auto"/>
        </w:rPr>
      </w:pPr>
      <w:r>
        <w:rPr>
          <w:rFonts w:ascii="Times New Roman" w:cs="Times New Roman" w:eastAsia="Times New Roman" w:hAnsi="Times New Roman"/>
          <w:sz w:val="18"/>
          <w:szCs w:val="18"/>
          <w:color w:val="auto"/>
        </w:rPr>
        <w:t>purposes of making a determination of Required Lenders (except that the amount of any participation in any Swing Line Loan and Unreimbursed Amounts that such Defaulting Lender has failed to fund that has not been reallocated to and funded by another Lender shall be deemed to be “held” by the Lender that is the Swing Line Lender or L/C Issuer, as the case may be, in making such determination).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each of the treasurer, the chief financial officer and chief legal officer of a Loan Party and any other officer of a Loan Party whose responsibilities include monitoring such Loan Party’s compliance with the provisions of this Agreement and the other Loan Documents to which it is a party,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Agent or any other officer or employee of the applicable Loan Party designated in or pursuant to an agreement between the applicable Loan Party and the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international economic sanction or trade embargo administered or enforced by the United States Government, including OFAC, or other relevant sanctions authority applicable to the Borrower and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notes issued pursuant to the Note Purchase 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0.10% (10 basis points).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any company, whether operating as a corporation, joint venture, partnership, limited liability company or other entity, which is consolidated with such Person in accordance with GAAP. Unless otherwise specified, all references herein to a “Subsidiary” or to “Subsidiaries” shall refer to a Subsidiary or Subsidiaries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5" w:name="page126"/>
    <w:bookmarkEnd w:id="12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approved by the Agent (including any form on an electronic platform or electronic transmission system as shall be approved by the Agent), appropriately completed and signed by an Authorized Officer of the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$50,000,000 and (b) the Aggregate Commitments. The Swing Line Sublimit is part of, and not in addition to, the Aggregate Commitments.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4"/>
        <w:spacing w:after="0" w:line="258" w:lineRule="auto"/>
        <w:tabs>
          <w:tab w:leader="none" w:pos="1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6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Daily Floating Rate</w:t>
      </w:r>
      <w:r>
        <w:rPr>
          <w:rFonts w:ascii="Times New Roman" w:cs="Times New Roman" w:eastAsia="Times New Roman" w:hAnsi="Times New Roman"/>
          <w:sz w:val="18"/>
          <w:szCs w:val="18"/>
          <w:color w:val="auto"/>
        </w:rPr>
        <w:t xml:space="preserve">” means a fluctuating rate of interest which can change on each Business Day, equal to the Term SOFR Screen Rate two (2) U.S. Government Securities Business Days prior to such day, with a term equivalent to one (1) month beginning on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rate is not published prior to 11:00 a.m. on such determination date then the Term SOFR Daily Floating Rate means such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U.S. Government Securities Business Day immediately prior thereto,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Term SOFR Daily Floating Rate shall be less than zero such rate shall be deemed zero for purposes of this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Daily Floating Rate Loan</w:t>
      </w:r>
      <w:r>
        <w:rPr>
          <w:rFonts w:ascii="Times New Roman" w:cs="Times New Roman" w:eastAsia="Times New Roman" w:hAnsi="Times New Roman"/>
          <w:sz w:val="18"/>
          <w:szCs w:val="18"/>
          <w:color w:val="auto"/>
        </w:rPr>
        <w:t>” means a Swing Line Loan that bears interest at the Term SOFR Daily Floating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Agent) and published on the applicable Reuters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page (or such other commercially available source providing such quotations as may be designated by the Agent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XI Debt</w:t>
      </w:r>
      <w:r>
        <w:rPr>
          <w:rFonts w:ascii="Times New Roman" w:cs="Times New Roman" w:eastAsia="Times New Roman" w:hAnsi="Times New Roman"/>
          <w:sz w:val="18"/>
          <w:szCs w:val="18"/>
          <w:color w:val="auto"/>
        </w:rPr>
        <w:t>” means all Debt of the Borrower or any Subsidiary that is guaranteed by the United States pursuant to 46 USC Chapter 537.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Committed Loan, its character as a Base Rate Loan or a Term SOFR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w:t>
      </w:r>
      <w:r>
        <w:rPr>
          <w:rFonts w:ascii="Times New Roman" w:cs="Times New Roman" w:eastAsia="Times New Roman" w:hAnsi="Times New Roman"/>
          <w:sz w:val="18"/>
          <w:szCs w:val="18"/>
          <w:color w:val="auto"/>
        </w:rPr>
        <w:t>” means each vessel that is (or is required to be) documented under and pursuant to the laws of the United States with a coastwise endorsement owned or operated by the Borrower or any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any Loan Party and the Agent.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7" w:name="page128"/>
    <w:bookmarkEnd w:id="127"/>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2016 Met Life Note Purchase Agreement</w:t>
      </w:r>
      <w:r>
        <w:rPr>
          <w:rFonts w:ascii="Times New Roman" w:cs="Times New Roman" w:eastAsia="Times New Roman" w:hAnsi="Times New Roman"/>
          <w:sz w:val="18"/>
          <w:szCs w:val="18"/>
          <w:color w:val="auto"/>
        </w:rPr>
        <w:t>” means that certain Note Purchase Agreement, dated as of December 21, 2016, by and among the Borrower and the purchasers party thereto.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2016 Pru Note Purchase Agreement</w:t>
      </w:r>
      <w:r>
        <w:rPr>
          <w:rFonts w:ascii="Times New Roman" w:cs="Times New Roman" w:eastAsia="Times New Roman" w:hAnsi="Times New Roman"/>
          <w:sz w:val="18"/>
          <w:szCs w:val="18"/>
          <w:color w:val="auto"/>
        </w:rPr>
        <w:t>” means that certain Third Amended and Restated Note Purchase and Private Shelf Agreement, dated as of September 14, 2016, by and among the Borrower and the purchasers party thereto.</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Other Interpretive Provisions. </w:t>
      </w:r>
      <w:r>
        <w:rPr>
          <w:rFonts w:ascii="Times New Roman" w:cs="Times New Roman" w:eastAsia="Times New Roman" w:hAnsi="Times New Roman"/>
          <w:sz w:val="18"/>
          <w:szCs w:val="18"/>
          <w:color w:val="auto"/>
        </w:rPr>
        <w:t>With reference to this Agreement and each other Loan Document,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herein or in such other Loan Document:</w:t>
      </w:r>
    </w:p>
    <w:p>
      <w:pPr>
        <w:spacing w:after="0" w:line="159" w:lineRule="exact"/>
        <w:rPr>
          <w:sz w:val="20"/>
          <w:szCs w:val="20"/>
          <w:color w:val="auto"/>
        </w:rPr>
      </w:pPr>
    </w:p>
    <w:p>
      <w:pPr>
        <w:jc w:val="both"/>
        <w:ind w:left="660" w:firstLine="644"/>
        <w:spacing w:after="0" w:line="252" w:lineRule="auto"/>
        <w:tabs>
          <w:tab w:leader="none" w:pos="16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“without limitation.”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any articles of incorporation, bylaws or similar organizational documents)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3"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6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if such action is taken or such condition exists or</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way prejudice an attempt by the Agent to prohibit, through equitable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8" w:name="page129"/>
    <w:bookmarkEnd w:id="128"/>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otherwise the taking of any action by the Borrower or any Subsidiary that would result in a Default. For the avoidance of doubt, if a particular action or condition is expressly permitted by an exception to a covenant and is not expressly prohibited by another provision in the same covenant, the taking of such action or the existence of such condition shall not result in a Default under such covenant.</w:t>
      </w:r>
    </w:p>
    <w:p>
      <w:pPr>
        <w:spacing w:after="0" w:line="180" w:lineRule="exact"/>
        <w:rPr>
          <w:sz w:val="20"/>
          <w:szCs w:val="20"/>
          <w:color w:val="auto"/>
        </w:rPr>
      </w:pPr>
    </w:p>
    <w:p>
      <w:pPr>
        <w:jc w:val="both"/>
        <w:ind w:left="200" w:firstLine="644"/>
        <w:spacing w:after="0" w:line="256" w:lineRule="auto"/>
        <w:tabs>
          <w:tab w:leader="none" w:pos="11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Accounting Terms.</w:t>
      </w:r>
    </w:p>
    <w:p>
      <w:pPr>
        <w:spacing w:after="0" w:line="229" w:lineRule="exact"/>
        <w:rPr>
          <w:sz w:val="20"/>
          <w:szCs w:val="20"/>
          <w:color w:val="auto"/>
        </w:rPr>
      </w:pPr>
    </w:p>
    <w:p>
      <w:pPr>
        <w:jc w:val="both"/>
        <w:ind w:left="200" w:firstLine="644"/>
        <w:spacing w:after="0" w:line="252" w:lineRule="auto"/>
        <w:tabs>
          <w:tab w:leader="none" w:pos="11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 computation of any financial covenant) contained herein, (i) Debt of the Borrower and its Subsidiaries shall be deemed to be carried at 100% of the outstanding principal amount thereof, and the effects of FASB ASC 825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any Loan Party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 10–25 (formerly known as FASB 159) or any similar accounting standard).</w:t>
      </w:r>
    </w:p>
    <w:p>
      <w:pPr>
        <w:spacing w:after="0" w:line="190" w:lineRule="exact"/>
        <w:rPr>
          <w:rFonts w:ascii="Times New Roman" w:cs="Times New Roman" w:eastAsia="Times New Roman" w:hAnsi="Times New Roman"/>
          <w:sz w:val="18"/>
          <w:szCs w:val="18"/>
          <w:color w:val="auto"/>
        </w:rPr>
      </w:pPr>
    </w:p>
    <w:p>
      <w:pPr>
        <w:jc w:val="both"/>
        <w:ind w:left="200" w:firstLine="644"/>
        <w:spacing w:after="0" w:line="256" w:lineRule="auto"/>
        <w:tabs>
          <w:tab w:leader="none" w:pos="11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Borrower shall provide to the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29" w:name="page130"/>
    <w:bookmarkEnd w:id="129"/>
    <w:p>
      <w:pPr>
        <w:ind w:left="660"/>
        <w:spacing w:after="0" w:line="282" w:lineRule="auto"/>
        <w:rPr>
          <w:sz w:val="20"/>
          <w:szCs w:val="20"/>
          <w:color w:val="auto"/>
        </w:rPr>
      </w:pPr>
      <w:r>
        <w:rPr>
          <w:rFonts w:ascii="Times New Roman" w:cs="Times New Roman" w:eastAsia="Times New Roman" w:hAnsi="Times New Roman"/>
          <w:sz w:val="18"/>
          <w:szCs w:val="18"/>
          <w:color w:val="auto"/>
        </w:rPr>
        <w:t>Lenders financial statements and other documents reasonably requested by the Agent hereunder setting forth a reconciliation between calculations of such ratio or requirement made before and after giving effect to such change in GAAP.</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 Rounding. </w:t>
      </w:r>
      <w:r>
        <w:rPr>
          <w:rFonts w:ascii="Times New Roman" w:cs="Times New Roman" w:eastAsia="Times New Roman" w:hAnsi="Times New Roman"/>
          <w:sz w:val="18"/>
          <w:szCs w:val="18"/>
          <w:color w:val="auto"/>
        </w:rPr>
        <w:t>Any financial ratios required to be maintained by the Borrower pursuant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1.05 Times of Day. </w:t>
      </w:r>
      <w:r>
        <w:rPr>
          <w:rFonts w:ascii="Times New Roman" w:cs="Times New Roman" w:eastAsia="Times New Roman" w:hAnsi="Times New Roman"/>
          <w:sz w:val="18"/>
          <w:szCs w:val="18"/>
          <w:color w:val="auto"/>
        </w:rPr>
        <w:t>Unless otherwise specified, all references herein to times of day shall be references to Pacific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(daylight or standard, 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Letter of Credit Amounts. </w:t>
      </w:r>
      <w:r>
        <w:rPr>
          <w:rFonts w:ascii="Times New Roman" w:cs="Times New Roman" w:eastAsia="Times New Roman" w:hAnsi="Times New Roman"/>
          <w:sz w:val="18"/>
          <w:szCs w:val="18"/>
          <w:color w:val="auto"/>
        </w:rPr>
        <w:t>Unless otherwise specified herein, the amount of an outstanding Letter of Credit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1.07 Rates. </w:t>
      </w:r>
      <w:r>
        <w:rPr>
          <w:rFonts w:ascii="Times New Roman" w:cs="Times New Roman" w:eastAsia="Times New Roman" w:hAnsi="Times New Roman"/>
          <w:sz w:val="18"/>
          <w:szCs w:val="18"/>
          <w:color w:val="auto"/>
        </w:rPr>
        <w:t>The Agent does not warrant, nor accept responsibility, nor shall the Agent have any liability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 Committed Loans. </w:t>
      </w:r>
      <w:r>
        <w:rPr>
          <w:rFonts w:ascii="Times New Roman" w:cs="Times New Roman" w:eastAsia="Times New Roman" w:hAnsi="Times New Roman"/>
          <w:sz w:val="18"/>
          <w:szCs w:val="18"/>
          <w:color w:val="auto"/>
        </w:rPr>
        <w:t>Subject to the terms and conditions set forth herein, each Lender severally agrees to make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loan, a “</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in Dollars to the Borrower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Committed Borrowing, (i) the Total Outstandings shall not exceed the Aggregate Commitments, and (ii) the aggregate Outstanding Amount of the Committed Loans of any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Applicable Percentage of the Outstanding Amount of all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0" w:name="page131"/>
    <w:bookmarkEnd w:id="13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Lender’s Applicable Percentage of the Outstanding Amount of all Swing Line Loans shall not exceed the amount of such Lender’s Commitment. Subject to the terms and conditions hereof, the Borrower may borrow Committed Loans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repay or prepay such Committed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reborrow such Committed Loans and borrow other Committed Loans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Committed Loans may be Base Rate Loans or Term SOFR Loans, as further provided herein.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Borrowings, Conversions and Continuations of Committed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61" w:lineRule="auto"/>
        <w:tabs>
          <w:tab w:leader="none" w:pos="16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Committed Borrowing, each conversion of Committed Loans from one Type to the other, and each continuation of Term SOFR Loans shall be made upon the Borrower’s irrevocable notice to the Agent, which may be given by:</w:t>
      </w:r>
    </w:p>
    <w:p>
      <w:pPr>
        <w:jc w:val="both"/>
        <w:ind w:left="660" w:hanging="4"/>
        <w:spacing w:after="0" w:line="250" w:lineRule="auto"/>
        <w:tabs>
          <w:tab w:leader="none" w:pos="9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telephone or (B)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Agent of a Committed Loan Notice. Each such notice must be received by the Agent not later than 11:00 a.m. (i) two Business Days prior to the requested date of any Borrowing of Term SOFR Loans or any conversion to or continuation of Term SOFR Loans or of any conversion of Term SOFR Loans to Base Rate Loans and (ii) one Business Day prior to the requested date of any Borrowing of Base Rate Loans. Each Borrowing of, conversion to or continuation of Term SOFR Loans shall be in a principal amount of $1,000,000 or a whole multiple of $100,000 in excess thereof. Except as provided in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each Borrowing of or conversion to Base Rate Loans shall be in a principal amount of $1,000,000 or a whole multiple of $100,000 in excess thereof. Each Committed Loan Notice (whether telephonic or written) shall specify (1) whether the Borrower is requesting a Committed Borrowing, a conversion of Committed Loans from one Type to the other, or a continuation of Loans, (2) the requested date of the Borrowing, conversion or continuation, as the case may be (which shall be a Business Day), (3) the principal amount of Committed Loans to be borrowed, converted or continued, (4) the Type of Committed Loans to be borrowed or to which existing Committed Loans are to be converted, and (5) if applicable, the duration of the Interest Period with respect thereto. If the Borrower fails to specify a Type of Committed Loan in a Committed Loan Notice or if the Borrower fails to give a timely notice requesting a conversion or continuation of a Term SOFR Loan, then the applicable Committed Loan shall be made as, or converted to, Base Rate Loans, unless such Committed Loan was a Term SOFR Loan, in which case such Committed Loan shall be continued as a Term SOFR Loan with an Interest Period of one month. Any such automatic conversion to a Base Rate Loan and any such continuation of a Term SOFR Loan, in either case, shall be effective as of the last day of the Interest Period then in effect with respect to the applicable Term SOFR Loans. If the Borrower requests a Borrowing of, conversion to, or continuation of Term SOFR Loans in any such Committed Loan Notice, but the Borrower fails to specify an Interest Period for such Committed Loan or continuation of a Term SOFR Loan, it will be deemed to have specified an Interest Period of one month.</w:t>
      </w:r>
    </w:p>
    <w:p>
      <w:pPr>
        <w:spacing w:after="0" w:line="20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Agent shall promptly notify each Lender of the amount of its Applicable Percentage of the applicable Committed Loans, and if no timely notice of a conversion or continuation is provided by the Borrower, the Agent shall notify each Lender of the details of any automatic conversion to Base Rate Loans or continuation of Term SOFR Loans described in the preceding subsection. In the case of a Committed Borrowing, each Lender shall make the amount of its Committed Loan available to the Agent in immediately available funds at the Agent’s Office not later than 12:00 p.m.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Agent shall make all funds so received available to the Borrower in like funds as received by the Agent either by (i) crediting the account of the Borrower on the books of First Hawaiian Bank with the amount of such funds or (ii) wire transfer of such funds,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1" w:name="page132"/>
    <w:bookmarkEnd w:id="131"/>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 xml:space="preserve">accordance with instructions provided to (and reasonably acceptable to) the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on the date the Committed Loan Notice with respect to such Borrowing is given by the Borrower, there are L/C Borrowings outstanding, then the proceeds of such Borrowing, first, shall be applied to the payment in full of any such L/C Borrowings, and second, shall be made available to the Borrower as provided above.</w:t>
      </w:r>
    </w:p>
    <w:p>
      <w:pPr>
        <w:spacing w:after="0" w:line="180" w:lineRule="exact"/>
        <w:rPr>
          <w:sz w:val="20"/>
          <w:szCs w:val="20"/>
          <w:color w:val="auto"/>
        </w:rPr>
      </w:pPr>
    </w:p>
    <w:p>
      <w:pPr>
        <w:jc w:val="both"/>
        <w:ind w:left="200" w:firstLine="644"/>
        <w:spacing w:after="0" w:line="266" w:lineRule="auto"/>
        <w:tabs>
          <w:tab w:leader="none" w:pos="11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175" w:lineRule="exact"/>
        <w:rPr>
          <w:rFonts w:ascii="Times New Roman" w:cs="Times New Roman" w:eastAsia="Times New Roman" w:hAnsi="Times New Roman"/>
          <w:sz w:val="18"/>
          <w:szCs w:val="18"/>
          <w:color w:val="auto"/>
        </w:rPr>
      </w:pPr>
    </w:p>
    <w:p>
      <w:pPr>
        <w:ind w:left="200" w:firstLine="644"/>
        <w:spacing w:after="0" w:line="282" w:lineRule="auto"/>
        <w:tabs>
          <w:tab w:leader="none" w:pos="11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determination of an interest rate by the Agent pursuant to any provision of this Agreement shall be conclusive and binding on the Borrower and the Lenders in the absence of manifest error.</w:t>
      </w:r>
    </w:p>
    <w:p>
      <w:pPr>
        <w:spacing w:after="0" w:line="161"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Committed Borrowings, all conversions of Committed Loans from one Type to the other, and all continuations of Committed Loans as the same Type, there shall not be more than ten Interest Periods in effect at any single time with respect to Term SOFR Loans.</w:t>
      </w:r>
    </w:p>
    <w:p>
      <w:pPr>
        <w:spacing w:after="0" w:line="175"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Agent and such Lender.</w:t>
      </w:r>
    </w:p>
    <w:p>
      <w:pPr>
        <w:spacing w:after="0" w:line="175"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not apply to Swing Line Loans.</w:t>
      </w:r>
    </w:p>
    <w:p>
      <w:pPr>
        <w:spacing w:after="0" w:line="225" w:lineRule="exact"/>
        <w:rPr>
          <w:rFonts w:ascii="Times New Roman" w:cs="Times New Roman" w:eastAsia="Times New Roman" w:hAnsi="Times New Roman"/>
          <w:sz w:val="18"/>
          <w:szCs w:val="18"/>
          <w:color w:val="auto"/>
        </w:rPr>
      </w:pPr>
    </w:p>
    <w:p>
      <w:pPr>
        <w:jc w:val="both"/>
        <w:ind w:left="200" w:firstLine="644"/>
        <w:spacing w:after="0" w:line="256" w:lineRule="auto"/>
        <w:tabs>
          <w:tab w:leader="none" w:pos="11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SOFR or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160" w:hanging="316"/>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4" w:lineRule="auto"/>
        <w:tabs>
          <w:tab w:leader="none" w:pos="27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the Letter of Credit Expiration Date, to issue Letters of Credit in Dollars for the account of the Borrower or any of its Subsidiaries, and to amend or extend Letters of Credit previously issued by it, in accordance with subsection (b) below, and (2) to honor drawings under the Letters of Credit; and (B) the Lenders severally agree to participate in Letters of Credit issued for the account of the Borrower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(w)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2" w:name="page133"/>
    <w:bookmarkEnd w:id="132"/>
    <w:p>
      <w:pPr>
        <w:jc w:val="both"/>
        <w:ind w:left="1840"/>
        <w:spacing w:after="0" w:line="252" w:lineRule="auto"/>
        <w:rPr>
          <w:sz w:val="20"/>
          <w:szCs w:val="20"/>
          <w:color w:val="auto"/>
        </w:rPr>
      </w:pPr>
      <w:r>
        <w:rPr>
          <w:rFonts w:ascii="Times New Roman" w:cs="Times New Roman" w:eastAsia="Times New Roman" w:hAnsi="Times New Roman"/>
          <w:sz w:val="18"/>
          <w:szCs w:val="18"/>
          <w:color w:val="auto"/>
        </w:rPr>
        <w:t xml:space="preserve">amount of the outstanding Letters of Credit issued by the L/C Issuer shall not exceed its L/C Commitment, (x) the Total Outstandings shall not exceed the Aggregate Commitments, (y) the aggregate Outstanding Amount of the Committed Loans of any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Applicable Percentage of the Outstanding Amount of all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Applicable Percentage of the Outstanding Amount of all Swing Line Loans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97" w:lineRule="exact"/>
        <w:rPr>
          <w:sz w:val="20"/>
          <w:szCs w:val="20"/>
          <w:color w:val="auto"/>
        </w:rPr>
      </w:pPr>
    </w:p>
    <w:p>
      <w:pPr>
        <w:ind w:left="2780" w:hanging="316"/>
        <w:spacing w:after="0"/>
        <w:tabs>
          <w:tab w:leader="none" w:pos="27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225" w:lineRule="exact"/>
        <w:rPr>
          <w:rFonts w:ascii="Times New Roman" w:cs="Times New Roman" w:eastAsia="Times New Roman" w:hAnsi="Times New Roman"/>
          <w:sz w:val="18"/>
          <w:szCs w:val="18"/>
          <w:color w:val="auto"/>
        </w:rPr>
      </w:pPr>
    </w:p>
    <w:p>
      <w:pPr>
        <w:jc w:val="both"/>
        <w:ind w:left="1500" w:firstLine="640"/>
        <w:spacing w:after="0" w:line="266" w:lineRule="auto"/>
        <w:tabs>
          <w:tab w:leader="none" w:pos="24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175" w:lineRule="exact"/>
        <w:rPr>
          <w:rFonts w:ascii="Times New Roman" w:cs="Times New Roman" w:eastAsia="Times New Roman" w:hAnsi="Times New Roman"/>
          <w:sz w:val="18"/>
          <w:szCs w:val="18"/>
          <w:color w:val="auto"/>
        </w:rPr>
      </w:pPr>
    </w:p>
    <w:p>
      <w:pPr>
        <w:jc w:val="both"/>
        <w:ind w:left="1500" w:firstLine="640"/>
        <w:spacing w:after="0" w:line="253" w:lineRule="auto"/>
        <w:tabs>
          <w:tab w:leader="none" w:pos="24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expiry date of such requested Letter of Credit would occur after the Letter of Credit Expiration Date, unless all the Lenders have approved such expiry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Letters of Credit with an expiry date after the Letter of Credit Expiration Date may be issued (but the L/C Issuer shall have no obligation to issue) so long as the Borrower agrees to Cash Collateralize such Letter of Credit in an amount equal to at least 103% of the face amount of such Letter of Credit prior to the Letter of Credit Expiration Date in accordance with the terms of this Agreement. The Borrower hereby agrees that on or before the Letter of Credit Expiration Date it shall Cash Collateralize any Letter of Credit existing and not expiring on the Letter of Credit Expiration Date in an amount equal to at least 103% of the face amount of such Letter of Credit (and in the event the Borrower fails to do so, the Agent may require each Lender to fund its participation interest in an amount equal to such Lender’s Applicable Percentage of the outstanding Letters of Credit for purposes of Cash Collateralizing the Letters of Credit). For the avoidance of doubt, the parties hereto agree that the obligations of the Lenders hereunder to reimburse the L/C Issuer for any Unreimbursed Amount with respect to any Letter of Credit shall terminate on the Maturity Date with respect to drawings occurring after that date.</w:t>
      </w:r>
    </w:p>
    <w:p>
      <w:pPr>
        <w:spacing w:after="0" w:line="187" w:lineRule="exact"/>
        <w:rPr>
          <w:rFonts w:ascii="Times New Roman" w:cs="Times New Roman" w:eastAsia="Times New Roman" w:hAnsi="Times New Roman"/>
          <w:sz w:val="18"/>
          <w:szCs w:val="18"/>
          <w:color w:val="auto"/>
        </w:rPr>
      </w:pPr>
    </w:p>
    <w:p>
      <w:pPr>
        <w:ind w:left="2780" w:hanging="316"/>
        <w:spacing w:after="0"/>
        <w:tabs>
          <w:tab w:leader="none" w:pos="27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225" w:lineRule="exact"/>
        <w:rPr>
          <w:sz w:val="20"/>
          <w:szCs w:val="20"/>
          <w:color w:val="auto"/>
        </w:rPr>
      </w:pPr>
    </w:p>
    <w:p>
      <w:pPr>
        <w:jc w:val="both"/>
        <w:ind w:left="1500" w:firstLine="640"/>
        <w:spacing w:after="0" w:line="266" w:lineRule="auto"/>
        <w:tabs>
          <w:tab w:leader="none" w:pos="247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3" w:name="page134"/>
    <w:bookmarkEnd w:id="133"/>
    <w:p>
      <w:pPr>
        <w:jc w:val="both"/>
        <w:ind w:left="1500"/>
        <w:spacing w:after="0" w:line="255" w:lineRule="auto"/>
        <w:rPr>
          <w:sz w:val="20"/>
          <w:szCs w:val="20"/>
          <w:color w:val="auto"/>
        </w:rPr>
      </w:pPr>
      <w:r>
        <w:rPr>
          <w:rFonts w:ascii="Times New Roman" w:cs="Times New Roman" w:eastAsia="Times New Roman" w:hAnsi="Times New Roman"/>
          <w:sz w:val="18"/>
          <w:szCs w:val="18"/>
          <w:color w:val="auto"/>
        </w:rPr>
        <w:t>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9" w:lineRule="exact"/>
        <w:rPr>
          <w:sz w:val="20"/>
          <w:szCs w:val="20"/>
          <w:color w:val="auto"/>
        </w:rPr>
      </w:pPr>
    </w:p>
    <w:p>
      <w:pPr>
        <w:ind w:left="1500" w:right="20" w:firstLine="640"/>
        <w:spacing w:after="0" w:line="282" w:lineRule="auto"/>
        <w:tabs>
          <w:tab w:leader="none" w:pos="247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 generally;</w:t>
      </w:r>
    </w:p>
    <w:p>
      <w:pPr>
        <w:spacing w:after="0" w:line="161" w:lineRule="exact"/>
        <w:rPr>
          <w:rFonts w:ascii="Times New Roman" w:cs="Times New Roman" w:eastAsia="Times New Roman" w:hAnsi="Times New Roman"/>
          <w:sz w:val="18"/>
          <w:szCs w:val="18"/>
          <w:color w:val="auto"/>
        </w:rPr>
      </w:pPr>
    </w:p>
    <w:p>
      <w:pPr>
        <w:ind w:left="2460" w:hanging="320"/>
        <w:spacing w:after="0"/>
        <w:tabs>
          <w:tab w:leader="none" w:pos="24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 or</w:t>
      </w:r>
    </w:p>
    <w:p>
      <w:pPr>
        <w:spacing w:after="0" w:line="225" w:lineRule="exact"/>
        <w:rPr>
          <w:rFonts w:ascii="Times New Roman" w:cs="Times New Roman" w:eastAsia="Times New Roman" w:hAnsi="Times New Roman"/>
          <w:sz w:val="18"/>
          <w:szCs w:val="18"/>
          <w:color w:val="auto"/>
        </w:rPr>
      </w:pPr>
    </w:p>
    <w:p>
      <w:pPr>
        <w:jc w:val="both"/>
        <w:ind w:left="1500" w:firstLine="640"/>
        <w:spacing w:after="0" w:line="256" w:lineRule="auto"/>
        <w:tabs>
          <w:tab w:leader="none" w:pos="247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87"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amend any Letter of Credit if the L/C Issuer would not be permitted at such time to issue such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55" w:lineRule="auto"/>
        <w:tabs>
          <w:tab w:leader="none" w:pos="279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188"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L/C Issuer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4" w:name="page135"/>
    <w:bookmarkEnd w:id="134"/>
    <w:p>
      <w:pPr>
        <w:jc w:val="both"/>
        <w:ind w:left="1820"/>
        <w:spacing w:after="0" w:line="252" w:lineRule="auto"/>
        <w:rPr>
          <w:sz w:val="20"/>
          <w:szCs w:val="20"/>
          <w:color w:val="auto"/>
        </w:rPr>
      </w:pPr>
      <w:r>
        <w:rPr>
          <w:rFonts w:ascii="Times New Roman" w:cs="Times New Roman" w:eastAsia="Times New Roman" w:hAnsi="Times New Roman"/>
          <w:sz w:val="18"/>
          <w:szCs w:val="18"/>
          <w:color w:val="auto"/>
        </w:rPr>
        <w:t>copy to the Agent) in the form of a Letter of Credit Application, appropriately completed and signed by an Authorized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 three Business Days (or such later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reasonably require. Additionally, the Borrower shall furnish to the L/C Issuer and the Agent such other documents and information pertaining to such requested Letter of Credit issuance or amendment, including any Issuer Documents, as the L/C Issuer or the Agent may reasonably require.</w:t>
      </w:r>
    </w:p>
    <w:p>
      <w:pPr>
        <w:spacing w:after="0" w:line="188" w:lineRule="exact"/>
        <w:rPr>
          <w:sz w:val="20"/>
          <w:szCs w:val="20"/>
          <w:color w:val="auto"/>
        </w:rPr>
      </w:pPr>
    </w:p>
    <w:p>
      <w:pPr>
        <w:jc w:val="both"/>
        <w:ind w:left="1820" w:firstLine="644"/>
        <w:spacing w:after="0" w:line="253" w:lineRule="auto"/>
        <w:tabs>
          <w:tab w:leader="none" w:pos="27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Agent (by telephone or in writing) that the Agent has received a copy of such Letter of Credit Application from the Borrower and, if not, the L/C Issuer will provide the Agent with a copy thereof. Unless the L/C Issuer has received written notice from any Lender, the Agent or the Borrower,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187"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sole discretion, agree to issue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5" w:name="page136"/>
    <w:bookmarkEnd w:id="135"/>
    <w:p>
      <w:pPr>
        <w:jc w:val="both"/>
        <w:ind w:left="1820"/>
        <w:spacing w:after="0" w:line="251" w:lineRule="auto"/>
        <w:rPr>
          <w:sz w:val="20"/>
          <w:szCs w:val="20"/>
          <w:color w:val="auto"/>
        </w:rPr>
      </w:pPr>
      <w:r>
        <w:rPr>
          <w:rFonts w:ascii="Times New Roman" w:cs="Times New Roman" w:eastAsia="Times New Roman" w:hAnsi="Times New Roman"/>
          <w:sz w:val="18"/>
          <w:szCs w:val="18"/>
          <w:color w:val="auto"/>
        </w:rPr>
        <w:t>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Agent that the Required Lenders have elected not to permit such extension or</w:t>
      </w:r>
    </w:p>
    <w:p>
      <w:pPr>
        <w:spacing w:after="0" w:line="11" w:lineRule="exact"/>
        <w:rPr>
          <w:sz w:val="20"/>
          <w:szCs w:val="20"/>
          <w:color w:val="auto"/>
        </w:rPr>
      </w:pPr>
    </w:p>
    <w:p>
      <w:pPr>
        <w:jc w:val="both"/>
        <w:ind w:left="1820" w:hanging="4"/>
        <w:spacing w:after="0" w:line="255" w:lineRule="auto"/>
        <w:tabs>
          <w:tab w:leader="none" w:pos="20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L/C Issuer not to permit such extension.</w:t>
      </w:r>
    </w:p>
    <w:p>
      <w:pPr>
        <w:spacing w:after="0" w:line="185" w:lineRule="exact"/>
        <w:rPr>
          <w:rFonts w:ascii="Times New Roman" w:cs="Times New Roman" w:eastAsia="Times New Roman" w:hAnsi="Times New Roman"/>
          <w:sz w:val="18"/>
          <w:szCs w:val="18"/>
          <w:color w:val="auto"/>
        </w:rPr>
      </w:pPr>
    </w:p>
    <w:p>
      <w:pPr>
        <w:jc w:val="both"/>
        <w:ind w:left="1820" w:firstLine="644"/>
        <w:spacing w:after="0" w:line="252" w:lineRule="auto"/>
        <w:tabs>
          <w:tab w:leader="none" w:pos="279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18"/>
          <w:szCs w:val="18"/>
          <w:u w:val="single" w:color="auto"/>
          <w:color w:val="auto"/>
        </w:rPr>
        <w:t>Auto-Reinstatement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18"/>
          <w:szCs w:val="18"/>
          <w:u w:val="single" w:color="auto"/>
          <w:color w:val="auto"/>
        </w:rPr>
        <w:t>Non-Reinstatement Deadline</w:t>
      </w:r>
      <w:r>
        <w:rPr>
          <w:rFonts w:ascii="Times New Roman" w:cs="Times New Roman" w:eastAsia="Times New Roman" w:hAnsi="Times New Roman"/>
          <w:sz w:val="18"/>
          <w:szCs w:val="18"/>
          <w:color w:val="auto"/>
        </w:rPr>
        <w:t>”), the L/C Issuer shall not permit such reinstatement if it has received a notice (which may be by telephone or in writing) on or before the day that is seven Business Days before the Non-Reinstatement Deadline</w:t>
      </w:r>
    </w:p>
    <w:p>
      <w:pPr>
        <w:spacing w:after="0" w:line="1" w:lineRule="exact"/>
        <w:rPr>
          <w:rFonts w:ascii="Times New Roman" w:cs="Times New Roman" w:eastAsia="Times New Roman" w:hAnsi="Times New Roman"/>
          <w:sz w:val="18"/>
          <w:szCs w:val="18"/>
          <w:color w:val="auto"/>
        </w:rPr>
      </w:pPr>
    </w:p>
    <w:p>
      <w:pPr>
        <w:jc w:val="both"/>
        <w:ind w:left="18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from the Agent that the Required Lenders have elected not to permit such reinstatement or (B) from the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is not then satisfied (treating such reinstatement as an L/C Credit Extension for purposes of this clause) and, in each case, directing the L/C Issuer not to permit such reinstatement.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6" w:name="page137"/>
    <w:bookmarkEnd w:id="136"/>
    <w:p>
      <w:pPr>
        <w:jc w:val="both"/>
        <w:ind w:left="1820" w:firstLine="644"/>
        <w:spacing w:after="0" w:line="261" w:lineRule="auto"/>
        <w:tabs>
          <w:tab w:leader="none" w:pos="27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Borrower and the Agent a true and complete copy of such Letter of Credit or amendment and any other Issuer Documents related thereto.</w:t>
      </w:r>
    </w:p>
    <w:p>
      <w:pPr>
        <w:spacing w:after="0" w:line="179"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2" w:lineRule="auto"/>
        <w:tabs>
          <w:tab w:leader="none" w:pos="279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L/C Issuer shall notify the Borrower and the Agent thereof. Not later than 11:00 a.m. on the date of any payment by the L/C Issuer under a Letter of Credit (each such date, an “</w:t>
      </w:r>
      <w:r>
        <w:rPr>
          <w:rFonts w:ascii="Times New Roman" w:cs="Times New Roman" w:eastAsia="Times New Roman" w:hAnsi="Times New Roman"/>
          <w:sz w:val="18"/>
          <w:szCs w:val="18"/>
          <w:u w:val="single" w:color="auto"/>
          <w:color w:val="auto"/>
        </w:rPr>
        <w:t>Honor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Borrower shall reimburse the L/C Issuer through the Agent in an amount equal to the amount of such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has received notice of such payment by 9:00 a.m. on such Honor Date, otherwise the Borrower shall make such payment not later than 11:00 a.m. on the following Business Day (together with interest thereon). If the Borrower fails to so reimburse the L/C Issuer by such time, the Agent shall promptly notify each Lender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Lender’s Applicable Percentage thereof. In such event, and in lieu of the obligation of the Borrower to reimburse the L/C Issuer as provided in the two immediately preceding sentences, the Borrower shall be deemed to have requested a Committed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Any notice given by the L/C Issuer or the Agent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2" w:lineRule="exact"/>
        <w:rPr>
          <w:sz w:val="20"/>
          <w:szCs w:val="20"/>
          <w:color w:val="auto"/>
        </w:rPr>
      </w:pPr>
    </w:p>
    <w:p>
      <w:pPr>
        <w:jc w:val="both"/>
        <w:ind w:left="1820" w:firstLine="644"/>
        <w:spacing w:after="0" w:line="255" w:lineRule="auto"/>
        <w:tabs>
          <w:tab w:leader="none" w:pos="27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Agent may apply Cash 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Loan to the Borrower in such amount. The Agent shall remit the funds so received to the L/C Issuer.</w:t>
      </w:r>
    </w:p>
    <w:p>
      <w:pPr>
        <w:spacing w:after="0" w:line="188" w:lineRule="exact"/>
        <w:rPr>
          <w:rFonts w:ascii="Times New Roman" w:cs="Times New Roman" w:eastAsia="Times New Roman" w:hAnsi="Times New Roman"/>
          <w:sz w:val="18"/>
          <w:szCs w:val="18"/>
          <w:color w:val="auto"/>
        </w:rPr>
      </w:pPr>
    </w:p>
    <w:p>
      <w:pPr>
        <w:jc w:val="both"/>
        <w:ind w:left="1820" w:firstLine="644"/>
        <w:spacing w:after="0" w:line="258" w:lineRule="auto"/>
        <w:tabs>
          <w:tab w:leader="none" w:pos="27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Committed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7" w:name="page138"/>
    <w:bookmarkEnd w:id="137"/>
    <w:p>
      <w:pPr>
        <w:ind w:left="1820"/>
        <w:spacing w:after="0"/>
        <w:rPr>
          <w:sz w:val="20"/>
          <w:szCs w:val="20"/>
          <w:color w:val="auto"/>
        </w:rPr>
      </w:pPr>
      <w:r>
        <w:rPr>
          <w:rFonts w:ascii="Times New Roman" w:cs="Times New Roman" w:eastAsia="Times New Roman" w:hAnsi="Times New Roman"/>
          <w:sz w:val="18"/>
          <w:szCs w:val="18"/>
          <w:color w:val="auto"/>
        </w:rPr>
        <w:t xml:space="preserve">event, each Lender’s payment to the Agent for the account of the L/C Issuer pursuant to </w:t>
      </w:r>
      <w:r>
        <w:rPr>
          <w:rFonts w:ascii="Times New Roman" w:cs="Times New Roman" w:eastAsia="Times New Roman" w:hAnsi="Times New Roman"/>
          <w:sz w:val="18"/>
          <w:szCs w:val="18"/>
          <w:u w:val="single" w:color="auto"/>
          <w:color w:val="auto"/>
        </w:rPr>
        <w:t>Section 2.03(c)</w:t>
      </w:r>
    </w:p>
    <w:p>
      <w:pPr>
        <w:spacing w:after="0" w:line="27" w:lineRule="exact"/>
        <w:rPr>
          <w:sz w:val="20"/>
          <w:szCs w:val="20"/>
          <w:color w:val="auto"/>
        </w:rPr>
      </w:pPr>
    </w:p>
    <w:p>
      <w:pPr>
        <w:ind w:left="1820" w:right="20" w:hanging="4"/>
        <w:spacing w:after="0" w:line="260" w:lineRule="auto"/>
        <w:tabs>
          <w:tab w:leader="none" w:pos="2090" w:val="left"/>
        </w:tabs>
        <w:numPr>
          <w:ilvl w:val="1"/>
          <w:numId w:val="10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u w:val="single" w:color="auto"/>
          <w:color w:val="auto"/>
        </w:rPr>
      </w:pPr>
    </w:p>
    <w:p>
      <w:pPr>
        <w:jc w:val="both"/>
        <w:ind w:left="1820" w:firstLine="644"/>
        <w:spacing w:after="0" w:line="266" w:lineRule="auto"/>
        <w:tabs>
          <w:tab w:leader="none" w:pos="279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Committed Loan or its L/C Advance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2.03(c)</w:t>
      </w:r>
      <w:r>
        <w:rPr>
          <w:rFonts w:ascii="Times New Roman" w:cs="Times New Roman" w:eastAsia="Times New Roman" w:hAnsi="Times New Roman"/>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Committed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91"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then, without limiting the other provisions of this Agreement, the L/C Issuer shall be entitled to recover from such Lender (acting through the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Agent) with respect to any amounts owing under this clause (vi) shall be conclusive absent manifest error.</w:t>
      </w:r>
    </w:p>
    <w:p>
      <w:pPr>
        <w:spacing w:after="0" w:line="187"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 by the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right="20" w:firstLine="644"/>
        <w:spacing w:after="0" w:line="282" w:lineRule="auto"/>
        <w:tabs>
          <w:tab w:leader="none" w:pos="2792"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L/C Issuer has made a payment under any Letter of Credit and has received from any Lender such Lender’s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8" w:name="page139"/>
    <w:bookmarkEnd w:id="138"/>
    <w:p>
      <w:pPr>
        <w:jc w:val="both"/>
        <w:ind w:left="1820"/>
        <w:spacing w:after="0" w:line="258" w:lineRule="auto"/>
        <w:rPr>
          <w:sz w:val="20"/>
          <w:szCs w:val="20"/>
          <w:color w:val="auto"/>
        </w:rPr>
      </w:pPr>
      <w:r>
        <w:rPr>
          <w:rFonts w:ascii="Times New Roman" w:cs="Times New Roman" w:eastAsia="Times New Roman" w:hAnsi="Times New Roman"/>
          <w:sz w:val="18"/>
          <w:szCs w:val="18"/>
          <w:color w:val="auto"/>
        </w:rPr>
        <w:t xml:space="preserve">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Agent receives for the account of the L/C Issuer any payment in respect of the related Unreimbursed Amount or interest thereon (whether directly from the Borrower or otherwise, including proceeds of Cash Collateral applied thereto by the Agent), the Agent will distribute to such Lender its Applicable Percentage thereof in the same funds as those received by the Agent.</w:t>
      </w:r>
    </w:p>
    <w:p>
      <w:pPr>
        <w:spacing w:after="0" w:line="183" w:lineRule="exact"/>
        <w:rPr>
          <w:sz w:val="20"/>
          <w:szCs w:val="20"/>
          <w:color w:val="auto"/>
        </w:rPr>
      </w:pPr>
    </w:p>
    <w:p>
      <w:pPr>
        <w:jc w:val="both"/>
        <w:ind w:left="1820" w:firstLine="644"/>
        <w:spacing w:after="0" w:line="254" w:lineRule="auto"/>
        <w:tabs>
          <w:tab w:leader="none" w:pos="27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Agent for the account of the L/C Issuer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L/C Issuer in its discretion), each Lender shall pay to the Agent for the account of the L/C Issuer its Applicable Percentage thereof on demand of the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91"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5"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162" w:lineRule="exact"/>
        <w:rPr>
          <w:sz w:val="20"/>
          <w:szCs w:val="20"/>
          <w:color w:val="auto"/>
        </w:rPr>
      </w:pPr>
    </w:p>
    <w:p>
      <w:pPr>
        <w:jc w:val="both"/>
        <w:ind w:left="1820" w:firstLine="644"/>
        <w:spacing w:after="0" w:line="258" w:lineRule="auto"/>
        <w:tabs>
          <w:tab w:leader="none" w:pos="27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3"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75"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 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39" w:name="page140"/>
    <w:bookmarkEnd w:id="139"/>
    <w:p>
      <w:pPr>
        <w:ind w:left="1820" w:right="140" w:firstLine="644"/>
        <w:spacing w:after="0" w:line="261" w:lineRule="auto"/>
        <w:tabs>
          <w:tab w:leader="none" w:pos="27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56" w:lineRule="auto"/>
        <w:tabs>
          <w:tab w:leader="none" w:pos="31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7" w:lineRule="exact"/>
        <w:rPr>
          <w:rFonts w:ascii="Times New Roman" w:cs="Times New Roman" w:eastAsia="Times New Roman" w:hAnsi="Times New Roman"/>
          <w:sz w:val="18"/>
          <w:szCs w:val="18"/>
          <w:color w:val="auto"/>
        </w:rPr>
      </w:pPr>
    </w:p>
    <w:p>
      <w:pPr>
        <w:jc w:val="both"/>
        <w:ind w:left="1820" w:right="20" w:firstLine="644"/>
        <w:spacing w:after="0" w:line="266" w:lineRule="auto"/>
        <w:tabs>
          <w:tab w:leader="none" w:pos="31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76" w:lineRule="exact"/>
        <w:rPr>
          <w:sz w:val="20"/>
          <w:szCs w:val="20"/>
          <w:color w:val="auto"/>
        </w:rPr>
      </w:pPr>
    </w:p>
    <w:p>
      <w:pPr>
        <w:jc w:val="both"/>
        <w:ind w:left="200" w:firstLine="648"/>
        <w:spacing w:after="0" w:line="261"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80" w:lineRule="exact"/>
        <w:rPr>
          <w:sz w:val="20"/>
          <w:szCs w:val="20"/>
          <w:color w:val="auto"/>
        </w:rPr>
      </w:pPr>
    </w:p>
    <w:p>
      <w:pPr>
        <w:jc w:val="both"/>
        <w:ind w:left="200" w:firstLine="644"/>
        <w:spacing w:after="0" w:line="252" w:lineRule="auto"/>
        <w:tabs>
          <w:tab w:leader="none" w:pos="1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 the Agent, any of their respective Related Parties nor any correspondent, participant or assignee of the L/C Issuer shall be liable or responsible for any of the matters described in clauses (i) through (viii)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and any applicable Subsidiary of the Borrower may have a claim against the L/C Issuer, and the L/C Issuer may be liable to the Borrower and any applicable Subsidiary of the Borrower, to the extent, but only to the extent, of any direct, as opposed to consequential or exemplary, damages suffered by the Borrower or such Subsidiary which the Borrower or such Subsidiary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0" w:name="page141"/>
    <w:bookmarkEnd w:id="140"/>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 The L/C Issuer shall provide to the Agent a list of outstanding Letters of Credit (together with type, amounts and denominated currency) issued by it on a monthly basis.</w:t>
      </w:r>
    </w:p>
    <w:p>
      <w:pPr>
        <w:spacing w:after="0" w:line="192" w:lineRule="exact"/>
        <w:rPr>
          <w:sz w:val="20"/>
          <w:szCs w:val="20"/>
          <w:color w:val="auto"/>
        </w:rPr>
      </w:pPr>
    </w:p>
    <w:p>
      <w:pPr>
        <w:jc w:val="both"/>
        <w:ind w:left="200" w:firstLine="644"/>
        <w:spacing w:after="0" w:line="258" w:lineRule="auto"/>
        <w:tabs>
          <w:tab w:leader="none" w:pos="117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3" w:lineRule="exact"/>
        <w:rPr>
          <w:rFonts w:ascii="Times New Roman" w:cs="Times New Roman" w:eastAsia="Times New Roman" w:hAnsi="Times New Roman"/>
          <w:sz w:val="18"/>
          <w:szCs w:val="18"/>
          <w:color w:val="auto"/>
        </w:rPr>
      </w:pPr>
    </w:p>
    <w:p>
      <w:pPr>
        <w:jc w:val="both"/>
        <w:ind w:left="200" w:firstLine="644"/>
        <w:spacing w:after="0" w:line="253" w:lineRule="auto"/>
        <w:tabs>
          <w:tab w:leader="none" w:pos="117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4" w:lineRule="exact"/>
        <w:rPr>
          <w:rFonts w:ascii="Times New Roman" w:cs="Times New Roman" w:eastAsia="Times New Roman" w:hAnsi="Times New Roman"/>
          <w:sz w:val="18"/>
          <w:szCs w:val="18"/>
          <w:color w:val="auto"/>
        </w:rPr>
      </w:pPr>
    </w:p>
    <w:p>
      <w:pPr>
        <w:jc w:val="both"/>
        <w:ind w:left="200" w:firstLine="644"/>
        <w:spacing w:after="0" w:line="257" w:lineRule="auto"/>
        <w:tabs>
          <w:tab w:leader="none" w:pos="117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shall pay to the Agent for the account of each Lender in accordance,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with its Applicable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daily amount available to be drawn under such Letter of Credit. Letter of Credit Fees shall be</w:t>
      </w:r>
    </w:p>
    <w:p>
      <w:pPr>
        <w:spacing w:after="0" w:line="1" w:lineRule="exact"/>
        <w:rPr>
          <w:rFonts w:ascii="Times New Roman" w:cs="Times New Roman" w:eastAsia="Times New Roman" w:hAnsi="Times New Roman"/>
          <w:sz w:val="18"/>
          <w:szCs w:val="18"/>
          <w:color w:val="auto"/>
        </w:rPr>
      </w:pPr>
    </w:p>
    <w:p>
      <w:pPr>
        <w:jc w:val="both"/>
        <w:ind w:left="200" w:hanging="4"/>
        <w:spacing w:after="0" w:line="251" w:lineRule="auto"/>
        <w:tabs>
          <w:tab w:leader="none" w:pos="4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and payable on the first Business Day after the end of each March, June, September and December, commencing with the first such date to occur after the issuance of such Letter of Credit, on the Letter of Credit Expiration Date and thereafter on demand, (ii) computed on a quarterly basis in arrears and (iii) computed for the actual number of days that such Letters of Credit are outstanding during the applicable quarter.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93"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The Borrower shall pay directly to the L/C Issuer for its own account a fronting fee with respect to each issuance or amendment of a Letter of Credit, at a rate and at the times separately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1" w:name="page142"/>
    <w:bookmarkEnd w:id="141"/>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between the Borrower and the L/C Issuer.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0" w:lineRule="exact"/>
        <w:rPr>
          <w:sz w:val="20"/>
          <w:szCs w:val="20"/>
          <w:color w:val="auto"/>
        </w:rPr>
      </w:pPr>
    </w:p>
    <w:p>
      <w:pPr>
        <w:ind w:left="200" w:firstLine="644"/>
        <w:spacing w:after="0" w:line="282" w:lineRule="auto"/>
        <w:tabs>
          <w:tab w:leader="none" w:pos="11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jc w:val="both"/>
        <w:ind w:left="200" w:firstLine="644"/>
        <w:spacing w:after="0" w:line="255" w:lineRule="auto"/>
        <w:tabs>
          <w:tab w:leader="none" w:pos="11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L/C Issuers</w:t>
      </w:r>
      <w:r>
        <w:rPr>
          <w:rFonts w:ascii="Times New Roman" w:cs="Times New Roman" w:eastAsia="Times New Roman" w:hAnsi="Times New Roman"/>
          <w:sz w:val="18"/>
          <w:szCs w:val="18"/>
          <w:color w:val="auto"/>
        </w:rPr>
        <w:t>. The Borrower may from time to time, upon not less than five (5) Business Days’ notice from the Borrower to the Agent (or such shorter period of time as may be agreed by the Agent in its sole discretion), designate a Lender hereunder as an L/C Issuer (upon obtaining such Lender’s prior consent thereto). The Agent will promptly notify the Lenders of any designation of any such additional L/C Issuers by the Borrower. Upon (i) notification to the Lenders of any additional L/C Issuer by the Agent and (ii) delivery by the Borrower of such contact and other information regarding such L/C Issuer as the Agent shall reasonably request, such Lender shall become an L/C Issuer for all purposes of this Agreement, and references to “L/C Issuer” shall mean and include such Lender in its capacity as an L/C Issuer.</w:t>
      </w:r>
    </w:p>
    <w:p>
      <w:pPr>
        <w:spacing w:after="0" w:line="188" w:lineRule="exact"/>
        <w:rPr>
          <w:rFonts w:ascii="Times New Roman" w:cs="Times New Roman" w:eastAsia="Times New Roman" w:hAnsi="Times New Roman"/>
          <w:sz w:val="18"/>
          <w:szCs w:val="18"/>
          <w:color w:val="auto"/>
        </w:rPr>
      </w:pPr>
    </w:p>
    <w:p>
      <w:pPr>
        <w:ind w:left="200" w:firstLine="644"/>
        <w:spacing w:after="0" w:line="282" w:lineRule="auto"/>
        <w:tabs>
          <w:tab w:leader="none" w:pos="11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Issuer Reports to the Agent</w:t>
      </w:r>
      <w:r>
        <w:rPr>
          <w:rFonts w:ascii="Times New Roman" w:cs="Times New Roman" w:eastAsia="Times New Roman" w:hAnsi="Times New Roman"/>
          <w:sz w:val="18"/>
          <w:szCs w:val="18"/>
          <w:color w:val="auto"/>
        </w:rPr>
        <w:t>. Unless otherwise agreed by the Agent, each L/C Issuer shall, in addition to its notification obligations set forth elsewhere in this Section, provide the Agent, the following:</w:t>
      </w:r>
    </w:p>
    <w:p>
      <w:pPr>
        <w:spacing w:after="0" w:line="161"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9"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on which such L/C Issuer makes a payment pursuant to a Letter of Credit, the date and amount of such payment;</w:t>
      </w:r>
    </w:p>
    <w:p>
      <w:pPr>
        <w:spacing w:after="0" w:line="161"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on which the Borrower fails to reimburse a payment made pursuant to a Letter of Credit required to be reimbursed to such L/C Issuer on such day, the date of such failure and the amount of such payment;</w:t>
      </w:r>
    </w:p>
    <w:p>
      <w:pPr>
        <w:spacing w:after="0" w:line="175"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other Business Day, such other information as the Agent shall reasonably request as to the Letters of Credit issued by such L/C Issuer; and</w:t>
      </w:r>
    </w:p>
    <w:p>
      <w:pPr>
        <w:spacing w:after="0" w:line="161"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Letter of Credit issued by an L/C Issuer is outstanding, such L/C Issuer shall deliver to the Agent (A) on the last Business Day of each calendar month, and (B) on each date that</w:t>
      </w:r>
    </w:p>
    <w:p>
      <w:pPr>
        <w:jc w:val="both"/>
        <w:ind w:left="1820" w:hanging="4"/>
        <w:spacing w:after="0" w:line="253" w:lineRule="auto"/>
        <w:tabs>
          <w:tab w:leader="none" w:pos="209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L/C Credit Extension occurs or (2) there is any expiration, cancellation and/or disbursement, in each case, with respect to any such Letter of Credit, a such information as the Agent shall reasonably request, including, the letter of credit number, maximum face amount, current face amount, beneficiary name, issuance date, expiry date and whether such Letter of Credit is may be automatically renewed or extended.</w:t>
      </w:r>
    </w:p>
    <w:p>
      <w:pPr>
        <w:spacing w:after="0" w:line="187" w:lineRule="exact"/>
        <w:rPr>
          <w:sz w:val="20"/>
          <w:szCs w:val="20"/>
          <w:color w:val="auto"/>
        </w:rPr>
      </w:pPr>
    </w:p>
    <w:p>
      <w:pPr>
        <w:ind w:lef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Agent shall maintain a record of all outstanding Letters of Credit based upon information provided by the Borrower and the L/C Issuers pursuant to this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2" w:name="page143"/>
    <w:bookmarkEnd w:id="142"/>
    <w:p>
      <w:pPr>
        <w:jc w:val="both"/>
        <w:ind w:left="200"/>
        <w:spacing w:after="0" w:line="258" w:lineRule="auto"/>
        <w:rPr>
          <w:sz w:val="20"/>
          <w:szCs w:val="20"/>
          <w:color w:val="auto"/>
        </w:rPr>
      </w:pPr>
      <w:r>
        <w:rPr>
          <w:rFonts w:ascii="Times New Roman" w:cs="Times New Roman" w:eastAsia="Times New Roman" w:hAnsi="Times New Roman"/>
          <w:sz w:val="18"/>
          <w:szCs w:val="18"/>
          <w:color w:val="auto"/>
        </w:rPr>
        <w:t>such record of the Agent shall, absent manifest error, be deemed a correct and conclusive record of all Letters of Credit outstanding from time to time hereunder. Notwithstanding the foregoing, if and to the extent the Agent determines that there are one or more discrepancies between information provided by the Borrower and any L/C Issuer hereunder, the Agent will notify the Borrower and such L/C Issuer thereof and the Borrower and such L/C Issuer shall endeavor to reconcile any such discrepancy.</w:t>
      </w:r>
    </w:p>
    <w:p>
      <w:pPr>
        <w:spacing w:after="0" w:line="179"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Swing Line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firstLine="644"/>
        <w:spacing w:after="0" w:line="267" w:lineRule="auto"/>
        <w:tabs>
          <w:tab w:leader="none" w:pos="117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Swing Line</w:t>
      </w:r>
      <w:r>
        <w:rPr>
          <w:rFonts w:ascii="Times New Roman" w:cs="Times New Roman" w:eastAsia="Times New Roman" w:hAnsi="Times New Roman"/>
          <w:sz w:val="17"/>
          <w:szCs w:val="17"/>
          <w:color w:val="auto"/>
        </w:rPr>
        <w:t xml:space="preserve">. Subject to the terms and conditions set forth herein and in any Autoborrow Agreement then in effect, the Swing Line Lender agrees, in reliance upon the agreements of the other Lenders set forth in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to make loans (each such loan, a “</w:t>
      </w:r>
      <w:r>
        <w:rPr>
          <w:rFonts w:ascii="Times New Roman" w:cs="Times New Roman" w:eastAsia="Times New Roman" w:hAnsi="Times New Roman"/>
          <w:sz w:val="17"/>
          <w:szCs w:val="17"/>
          <w:u w:val="single" w:color="auto"/>
          <w:color w:val="auto"/>
        </w:rPr>
        <w:t>Swing Line Loan</w:t>
      </w:r>
      <w:r>
        <w:rPr>
          <w:rFonts w:ascii="Times New Roman" w:cs="Times New Roman" w:eastAsia="Times New Roman" w:hAnsi="Times New Roman"/>
          <w:sz w:val="17"/>
          <w:szCs w:val="17"/>
          <w:color w:val="auto"/>
        </w:rPr>
        <w:t xml:space="preserve">”) to the Borrower in Dollars from time to time on any Business Day during the Availability Period in an aggregate amount not to exceed at any time outstanding the amount of the Swing Line Sublimit;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after giving effect to any Swing Line Loan, (A) the Total Outstandings shall not exceed the Aggregate Commitments and (B) the aggregate Outstanding Amount of the Committed Loans of any Lender,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such Lender’s Applicable Percentage of the Outstanding Amount of all L/C Obligations,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such Lender’s Applicable Percentage of the Outstanding Amount of all Swing Line Loans shall not exceed such Lender’s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Prior to a refinancing of a Swing Line Loan or the funding of a risk participation in Swing Line Loans, in either case, pursuant to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it is understood and agreed that the outstanding Swing Line Loans, when aggregated with the Applicable Percentage of the Outstanding Amount of Committed Loans and L/C Obligations of the Swing Line Lender, may exceed the amount of such Lender’s Commitment. Subject to the other terms and conditions hereof, the Borrower may borrow Swing Line Loans under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repay or prepay such Swing Line Loans, reborrow such Swing Line Loans and borrow other Swing Line Loans under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Each Swing Line Loan shall be a Base Rate Loan or a Term SOFR Daily Floating Rate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an Autoborrow Agreement is in effect, the Swing Line Lender and the Borrower may agree to an alternate rate of interest on Swing Line Loans under the Autoborrow Agreement with respect to any Swing Line Loans for which the Swing Line Lender has not requested that the Lenders fund Loans to refinance, or to purchase and fund risk participations in, such Swing Line Loans pursuant to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amount of such Swing Line Loan.</w:t>
      </w:r>
    </w:p>
    <w:p>
      <w:pPr>
        <w:spacing w:after="0" w:line="399" w:lineRule="exact"/>
        <w:rPr>
          <w:rFonts w:ascii="Times New Roman" w:cs="Times New Roman" w:eastAsia="Times New Roman" w:hAnsi="Times New Roman"/>
          <w:sz w:val="17"/>
          <w:szCs w:val="17"/>
          <w:color w:val="auto"/>
        </w:rPr>
      </w:pPr>
    </w:p>
    <w:p>
      <w:pPr>
        <w:jc w:val="both"/>
        <w:ind w:left="200" w:firstLine="644"/>
        <w:spacing w:after="0" w:line="254" w:lineRule="auto"/>
        <w:tabs>
          <w:tab w:leader="none" w:pos="117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Swing Line Borrowing shall be made upon the Borrower’s irrevocable notice to the Swing Line Lender and the Agent, which may be given by: (A) telephone or (B) a Swing 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Swing Line Lender and the Agent of a Swing Line Loan Notice. Each such notice must be received by the Swing Line Lender and the Agent not later than 1:00 p.m. on the requested borrowing date, and shall specify (i) the amount to be borrowed, which shall be a minimum of $100,000, and (ii) the requested borrowing date, which shall be a Business Day. Promptly after receipt by the Swing Line Lender of any telephonic Swing Line Loan Notice, the Swing Line Lender will confirm with the Agent (by telephone or in writing) that the Agent has also received such Swing Line Loan Notice and, if not, the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3" w:name="page144"/>
    <w:bookmarkEnd w:id="143"/>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 xml:space="preserve">Line Lender will notify the Agent (by telephone or in writing) of the contents thereof. Unless the Swing Line Lender has received notice (by telephone or in writing) from the Agent (including at the request of any Lender) prior to 2:00 p.m. on the date of the proposed Swing Line Borrowing (1) directing the Swing Line Lender not to make such Swing Line Loan as a result of the limitations set forth in the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(2)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189" w:lineRule="exact"/>
        <w:rPr>
          <w:sz w:val="20"/>
          <w:szCs w:val="20"/>
          <w:color w:val="auto"/>
        </w:rPr>
      </w:pPr>
    </w:p>
    <w:p>
      <w:pPr>
        <w:jc w:val="both"/>
        <w:ind w:left="200" w:firstLine="648"/>
        <w:spacing w:after="0" w:line="252" w:lineRule="auto"/>
        <w:rPr>
          <w:sz w:val="20"/>
          <w:szCs w:val="20"/>
          <w:color w:val="auto"/>
        </w:rPr>
      </w:pPr>
      <w:r>
        <w:rPr>
          <w:rFonts w:ascii="Times New Roman" w:cs="Times New Roman" w:eastAsia="Times New Roman" w:hAnsi="Times New Roman"/>
          <w:sz w:val="18"/>
          <w:szCs w:val="18"/>
          <w:color w:val="auto"/>
        </w:rPr>
        <w:t>In order to facilitate the borrowing of Swing Line Loans, the Borrower and the Swing Line Lender may mutually agree to, and are hereby authorized to, enter into an Autoborrow Agreement in form and substance satisfactory to the Agent, the Borrower and the Swing Line Lender (the “</w:t>
      </w:r>
      <w:r>
        <w:rPr>
          <w:rFonts w:ascii="Times New Roman" w:cs="Times New Roman" w:eastAsia="Times New Roman" w:hAnsi="Times New Roman"/>
          <w:sz w:val="18"/>
          <w:szCs w:val="18"/>
          <w:u w:val="single" w:color="auto"/>
          <w:color w:val="auto"/>
        </w:rPr>
        <w:t>Autoborrow Agreement</w:t>
      </w:r>
      <w:r>
        <w:rPr>
          <w:rFonts w:ascii="Times New Roman" w:cs="Times New Roman" w:eastAsia="Times New Roman" w:hAnsi="Times New Roman"/>
          <w:sz w:val="18"/>
          <w:szCs w:val="18"/>
          <w:color w:val="auto"/>
        </w:rPr>
        <w:t xml:space="preserve">”) providing for the automatic advance by the Swing Line Lender of Swing Line Loans under the conditions set forth in such agreement, which shall be in addition to the conditions set forth herein. At any time an Autoborrow Agreement is in effect, the requirements for Swing Line Borrowings set forth in the immediately preceding paragraph shall not apply, and all such Swing Line Borrowings shall be made in accordance with the Autoborrow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automatic advance made by Bank of America in reliance of the Autoborrow Agreement shall be deemed a Swing Line Loan as of the time such automatic advance is made notwithstanding any provision in the Autoborrow Agreement to the contrary. For purposes of determining the aggregate Outstanding Amount of all Committed Loans, Swing Line Loans and L/C Obligations at any time during which an Autoborrow Agreement is in effect (other than for purposes of calculating commitment fees), the Outstanding Amount of all Swing Line Loans shall be deemed to be the amount of the Swing Line Sublimit. For purposes of any Borrowing pursuant to the Autoborrow Agreement, all references to Bank of America in the Autoborrow Agreement shall be deemed to be a reference to Bank of America, in its capacity as Swing Line Lender hereunder.</w:t>
      </w:r>
    </w:p>
    <w:p>
      <w:pPr>
        <w:spacing w:after="0" w:line="197" w:lineRule="exact"/>
        <w:rPr>
          <w:sz w:val="20"/>
          <w:szCs w:val="20"/>
          <w:color w:val="auto"/>
        </w:rPr>
      </w:pPr>
    </w:p>
    <w:p>
      <w:pPr>
        <w:ind w:left="1160" w:hanging="316"/>
        <w:spacing w:after="0"/>
        <w:tabs>
          <w:tab w:leader="none" w:pos="11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 Line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2" w:lineRule="auto"/>
        <w:tabs>
          <w:tab w:leader="none" w:pos="279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at any time in its sole discretion may request, on behalf of the Borrower (which hereby irrevocably authorizes the Swing Line Lender to so request on its behalf), that each Lender make a Base Rate Loan in an amount equal to such Lender’s Applicable Percentage of the amount of Swing Line Loans then outstanding (which Base Rate Loans shall be used to refinance such Swing Line Loans).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Borrower with a copy of the applicable Committed Loan Notice promptly after delivering such notice to the Agent. Each Lender shall make an amount equal to its Applicable Percentage of the amount specified in such Committed Loan Notice available to the Agent in immediately available funds (and the Agent may apply Cash Collateral available with respect to the applicable Swing Line Loan) for the account of the Swing Line Lender at the Agent’s Office not later than 1:00 p.m. on the day specified in such Committed Loan Notice, whereupon,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2.04(c)(ii)</w:t>
      </w:r>
      <w:r>
        <w:rPr>
          <w:rFonts w:ascii="Times New Roman" w:cs="Times New Roman" w:eastAsia="Times New Roman" w:hAnsi="Times New Roman"/>
          <w:sz w:val="18"/>
          <w:szCs w:val="18"/>
          <w:color w:val="auto"/>
        </w:rPr>
        <w: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4" w:name="page145"/>
    <w:bookmarkEnd w:id="144"/>
    <w:p>
      <w:pPr>
        <w:jc w:val="both"/>
        <w:ind w:left="1820"/>
        <w:spacing w:after="0" w:line="261" w:lineRule="auto"/>
        <w:rPr>
          <w:sz w:val="20"/>
          <w:szCs w:val="20"/>
          <w:color w:val="auto"/>
        </w:rPr>
      </w:pPr>
      <w:r>
        <w:rPr>
          <w:rFonts w:ascii="Times New Roman" w:cs="Times New Roman" w:eastAsia="Times New Roman" w:hAnsi="Times New Roman"/>
          <w:sz w:val="18"/>
          <w:szCs w:val="18"/>
          <w:color w:val="auto"/>
        </w:rPr>
        <w:t xml:space="preserve">Lender that so makes funds available shall be deemed to have made a Base Rate Loan to the Borrower in such amount. The Agent shall remit the funds so received to the Swing Line Lender. To the extent that a Swing Line Loan has been refinanced with a Borrowing of Base Rate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2.04(c)(i)</w:t>
      </w:r>
      <w:r>
        <w:rPr>
          <w:rFonts w:ascii="Times New Roman" w:cs="Times New Roman" w:eastAsia="Times New Roman" w:hAnsi="Times New Roman"/>
          <w:sz w:val="18"/>
          <w:szCs w:val="18"/>
          <w:color w:val="auto"/>
        </w:rPr>
        <w:t>, such Swing Line Loan shall be deemed repaid for all purposes herein.</w:t>
      </w:r>
    </w:p>
    <w:p>
      <w:pPr>
        <w:spacing w:after="0" w:line="180" w:lineRule="exact"/>
        <w:rPr>
          <w:sz w:val="20"/>
          <w:szCs w:val="20"/>
          <w:color w:val="auto"/>
        </w:rPr>
      </w:pPr>
    </w:p>
    <w:p>
      <w:pPr>
        <w:jc w:val="both"/>
        <w:ind w:left="1820" w:firstLine="644"/>
        <w:spacing w:after="0" w:line="256" w:lineRule="auto"/>
        <w:tabs>
          <w:tab w:leader="none" w:pos="279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 Line Loan cannot be refinanced by such a Committed Borrowing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87"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the Swing Line Lender shall be entitled to recover from such Lender (acting through the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Agent) with respect to any amounts owing under this clause (iii)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Committed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Borrower to repay Swing Line Loans, together with interest as provided herein.</w:t>
      </w:r>
    </w:p>
    <w:p>
      <w:pPr>
        <w:spacing w:after="0" w:line="194"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5" w:name="page146"/>
    <w:bookmarkEnd w:id="145"/>
    <w:p>
      <w:pPr>
        <w:jc w:val="both"/>
        <w:ind w:left="1820" w:firstLine="644"/>
        <w:spacing w:after="0" w:line="261" w:lineRule="auto"/>
        <w:tabs>
          <w:tab w:leader="none" w:pos="27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54" w:lineRule="auto"/>
        <w:tabs>
          <w:tab w:leader="none" w:pos="27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Agent, plus interest thereon from the date of such demand to the date such amount is returned, at a rate per annum equal to the Federal Funds Rate. The Agent will make such demand upon the request of the Swing Line Lender. The obligations of the Lenders under this clause shall survive the payment in full of the Obligations and the termination of this Agreement.</w:t>
      </w:r>
    </w:p>
    <w:p>
      <w:pPr>
        <w:spacing w:after="0" w:line="191" w:lineRule="exact"/>
        <w:rPr>
          <w:rFonts w:ascii="Times New Roman" w:cs="Times New Roman" w:eastAsia="Times New Roman" w:hAnsi="Times New Roman"/>
          <w:sz w:val="18"/>
          <w:szCs w:val="18"/>
          <w:color w:val="auto"/>
        </w:rPr>
      </w:pPr>
    </w:p>
    <w:p>
      <w:pPr>
        <w:jc w:val="both"/>
        <w:ind w:left="200" w:firstLine="644"/>
        <w:spacing w:after="0" w:line="261" w:lineRule="auto"/>
        <w:tabs>
          <w:tab w:leader="none" w:pos="117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xml:space="preserve">. The Swing Line Lender shall be responsible for invoicing the Borrower for interest on the Swing Line Loans. Until each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79" w:lineRule="exact"/>
        <w:rPr>
          <w:rFonts w:ascii="Times New Roman" w:cs="Times New Roman" w:eastAsia="Times New Roman" w:hAnsi="Times New Roman"/>
          <w:sz w:val="18"/>
          <w:szCs w:val="18"/>
          <w:color w:val="auto"/>
        </w:rPr>
      </w:pPr>
    </w:p>
    <w:p>
      <w:pPr>
        <w:ind w:left="200" w:right="20" w:firstLine="644"/>
        <w:spacing w:after="0" w:line="282" w:lineRule="auto"/>
        <w:tabs>
          <w:tab w:leader="none" w:pos="117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Borrower shall make all payments of principal and interest in respect of the Swing Line Loans directly to the Swing Line Lender.</w:t>
      </w:r>
    </w:p>
    <w:p>
      <w:pPr>
        <w:spacing w:after="0" w:line="158"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b w:val="1"/>
          <w:bCs w:val="1"/>
          <w:color w:val="auto"/>
        </w:rPr>
        <w:t>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0" w:firstLine="644"/>
        <w:spacing w:after="0" w:line="252" w:lineRule="auto"/>
        <w:tabs>
          <w:tab w:leader="none" w:pos="11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delivery of a Notice of Loan Prepayment to the Agent, at any time or from time to time voluntarily prepay Committed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Agent not later than 11:00 a.m. (A) two Business Days prior to any date of prepayment of Term SOFR Loans and (B) on the date of prepayment of Base Rate Loans; (ii) any prepayment of Term SOFR Loans shall be in a principal amount of $1,000,000 or a whole multiple of $100,000 in excess thereof; and (iii) any prepayment of Base Rate Loans shall be in a principal amount of $1,000,000 or a whole multiple of $100,000 in excess thereof or, in each case, if less, the entire principal amount thereof then outstanding. Each such notice shall specify the date and amount of such prepayment and the Type(s) of Committed Loans to be prepaid and, if Term SOFR Loans are to be prepaid, the Interest Period(s) of such Loans. The Agent will promptly notify each Lender of its receipt of each such notice, and of the amount of such Lender’s Applicable Percentage of such prepayment. If the Borrower gives a prepayment notice, then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of prepayment given in connection with a notice of termination of the Committed Loans given by the Borrower may state that such prepayment notice is conditioned upon the effectiveness of other credit facilities or capital raising, in which case such notice may (subject to compliance by the Borrower with the requirements of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be revoked by the Borrower (by notice to the Agent on or prior to the specified effective date) if such condition is not satisfied. Any prepayment of a Term SOFR Loan shall be accompanied by all accrued interest on the amount prepaid, together with any additional amounts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6" w:name="page147"/>
    <w:bookmarkEnd w:id="146"/>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each such prepayment shall be applied to the Committed Loans of the Lenders in accordance with their respective Applicable Percentages.</w:t>
      </w:r>
    </w:p>
    <w:p>
      <w:pPr>
        <w:spacing w:after="0" w:line="162" w:lineRule="exact"/>
        <w:rPr>
          <w:sz w:val="20"/>
          <w:szCs w:val="20"/>
          <w:color w:val="auto"/>
        </w:rPr>
      </w:pPr>
    </w:p>
    <w:p>
      <w:pPr>
        <w:jc w:val="both"/>
        <w:ind w:left="660" w:firstLine="644"/>
        <w:spacing w:after="0" w:line="255" w:lineRule="auto"/>
        <w:tabs>
          <w:tab w:leader="none" w:pos="163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Autoborrow Agreement is not in effect, the Borrower may, upon delivery of a Notice of Loan Prepayment to the Swing Line Lender (with a copy to the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Swing Line Lender and the Agent not later than 1:00 p.m. on the date of the prepayment, and (ii)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Total Outstandings at any time exceed the Aggregate Commitments, the Borrower shall immediately prepay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2.05(c)</w:t>
      </w:r>
      <w:r>
        <w:rPr>
          <w:rFonts w:ascii="Times New Roman" w:cs="Times New Roman" w:eastAsia="Times New Roman" w:hAnsi="Times New Roman"/>
          <w:sz w:val="18"/>
          <w:szCs w:val="18"/>
          <w:color w:val="auto"/>
        </w:rPr>
        <w:t xml:space="preserve"> unless after the prepayment in full of the Loans the Total Outstandings exceed the Aggregate Commitments then in effect.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2.06 Termination or Reduction of Aggregate Commitments</w:t>
      </w:r>
      <w:r>
        <w:rPr>
          <w:rFonts w:ascii="Times New Roman" w:cs="Times New Roman" w:eastAsia="Times New Roman" w:hAnsi="Times New Roman"/>
          <w:sz w:val="18"/>
          <w:szCs w:val="18"/>
          <w:color w:val="auto"/>
        </w:rPr>
        <w:t>. The Borrower may, upon notice to the Agent, terminate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Aggregate Commitments, or from time to time permanently reduce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Agent not later than 11:00 a.m. five Business Days prior to the date of termination or reduction, (ii) any such partial reduction shall be in an aggregate amount of $10,000,000 or any whole multiple of $1,000,000 in excess thereof, (iii) the Borrower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of termination of the Aggregate Commitments given by the Borrower may state that such notice is conditioned upon the effectiveness of other credit facilities or capital raising, in which case such notice may be revoked by the Borrower (by notice to the Agent on or prior to the specified effective date) if such condition is not satisfied. The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8"/>
          <w:szCs w:val="18"/>
          <w:b w:val="1"/>
          <w:bCs w:val="1"/>
          <w:color w:val="auto"/>
        </w:rPr>
        <w:t>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20" w:firstLine="644"/>
        <w:spacing w:after="0" w:line="282" w:lineRule="auto"/>
        <w:tabs>
          <w:tab w:leader="none" w:pos="16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Lenders on the Maturity Date the aggregate principal amount of Committed Loans outstanding on such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Autoborrow Agreement is in effect, the Swing Line Loans shall be repaid in accordance with the terms of such Autoborrow Agreement. At any time an Autoborrow Agreement is not in effect, except to the extent previously refinanced with a Base Rate Loan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the Borrower shall repay each Swing Line Loan on the earlier to occur of (i) the date ten Business Days after such Loan is made and (ii)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47" w:name="page148"/>
    <w:bookmarkEnd w:id="147"/>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firstLine="644"/>
        <w:spacing w:after="0" w:line="253" w:lineRule="auto"/>
        <w:tabs>
          <w:tab w:leader="none" w:pos="117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subsection (b) below, (i) each Term SOFR Loan shall bear interest on the outstanding principal amount thereof for each Interest Period at a rate per annum equal to the sum of the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 each Base Rate Loan shall bear interest on the outstanding principal amount thereof from the applicable borrowing date at a rate per annum equal to the sum of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(iii) each Swing Line Loan that is a Base Rate Loan shall bear interest on the outstanding principal amount thereof from the applicable borrowing date at a rate per annum equal to the sum of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(iv) each Swing Line Loan that is a Term SOFR Daily Floating Rate Loan shall bear interest on the outstanding principal amount thereof from the applicable borrowing date at a rate per annum equal to the sum of the Term SOFR Daily Floating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Notwithstanding the foregoing, if an Autoborrow Agreement is in effect, Swing Line Loans made pursuant to such Autoborrow Agreement shall bear interest at such other rate per annum as may be provided for in such Autoborrow Agreement.</w:t>
      </w:r>
    </w:p>
    <w:p>
      <w:pPr>
        <w:spacing w:after="0" w:line="194" w:lineRule="exact"/>
        <w:rPr>
          <w:rFonts w:ascii="Times New Roman" w:cs="Times New Roman" w:eastAsia="Times New Roman" w:hAnsi="Times New Roman"/>
          <w:sz w:val="18"/>
          <w:szCs w:val="18"/>
          <w:color w:val="auto"/>
        </w:rPr>
      </w:pPr>
    </w:p>
    <w:p>
      <w:pPr>
        <w:jc w:val="both"/>
        <w:ind w:left="840" w:firstLine="4"/>
        <w:spacing w:after="0" w:line="261" w:lineRule="auto"/>
        <w:tabs>
          <w:tab w:leader="none" w:pos="11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58" w:lineRule="auto"/>
        <w:tabs>
          <w:tab w:leader="none" w:pos="279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w:t>
      </w:r>
    </w:p>
    <w:p>
      <w:pPr>
        <w:spacing w:after="0" w:line="183"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Required Lenders, while any Event of Default exists (other than as set forth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161" w:lineRule="exact"/>
        <w:rPr>
          <w:rFonts w:ascii="Times New Roman" w:cs="Times New Roman" w:eastAsia="Times New Roman" w:hAnsi="Times New Roman"/>
          <w:sz w:val="18"/>
          <w:szCs w:val="18"/>
          <w:color w:val="auto"/>
        </w:rPr>
      </w:pPr>
    </w:p>
    <w:p>
      <w:pPr>
        <w:jc w:val="both"/>
        <w:ind w:left="200" w:firstLine="644"/>
        <w:spacing w:after="0" w:line="261" w:lineRule="auto"/>
        <w:tabs>
          <w:tab w:leader="none" w:pos="117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to the extent permitted by applicable law, after the commencement of any proceeding under any Debtor Relief Law.</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7"/>
          <w:szCs w:val="17"/>
          <w:b w:val="1"/>
          <w:bCs w:val="1"/>
          <w:color w:val="auto"/>
        </w:rPr>
        <w:t xml:space="preserve">Fees. </w:t>
      </w:r>
      <w:r>
        <w:rPr>
          <w:rFonts w:ascii="Times New Roman" w:cs="Times New Roman" w:eastAsia="Times New Roman" w:hAnsi="Times New Roman"/>
          <w:sz w:val="17"/>
          <w:szCs w:val="17"/>
          <w:color w:val="auto"/>
        </w:rPr>
        <w:t>In addition to certain fees described in subsections (i) and (j)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firstLine="644"/>
        <w:spacing w:after="0" w:line="266" w:lineRule="auto"/>
        <w:tabs>
          <w:tab w:leader="none" w:pos="117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 shall pay to the Agent for the account of each Lender in accordance with its Applicable Percentage, a commitment fee equal to the product of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Aggregate Commitments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48" w:name="page149"/>
    <w:bookmarkEnd w:id="148"/>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 xml:space="preserve">the sum of (i) the Outstanding Amount of Committed Loans and (ii) the Outstanding Amount of L/C Obligations, subject to adjustment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period commencing on the Closing Date and ending on the last day of the Availability Period,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4" w:lineRule="exact"/>
        <w:rPr>
          <w:sz w:val="20"/>
          <w:szCs w:val="20"/>
          <w:color w:val="auto"/>
        </w:rPr>
      </w:pPr>
    </w:p>
    <w:p>
      <w:pPr>
        <w:ind w:left="1160" w:hanging="316"/>
        <w:spacing w:after="0"/>
        <w:tabs>
          <w:tab w:leader="none" w:pos="11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20" w:firstLine="644"/>
        <w:spacing w:after="0" w:line="266" w:lineRule="auto"/>
        <w:tabs>
          <w:tab w:leader="none" w:pos="27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or cause to be paid, to the Arranger and the Agent for their own accounts fees in the amounts and at the times specified in the Fee Letter. Such fees shall be fully earned when paid and shall not be refundable for any reason whatsoever.</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or cause to be paid, to the Lenders such fees as shall have been separately agreed upon in writing in the amounts and at the times so specified. Such fees shall be fully earned when paid and shall not be refundable for any reason whatsoever.</w:t>
      </w:r>
    </w:p>
    <w:p>
      <w:pPr>
        <w:spacing w:after="0" w:line="17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Computation of Interest and Fees; Retroactive Adjustment of Applicable Rate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firstLine="644"/>
        <w:spacing w:after="0" w:line="254" w:lineRule="auto"/>
        <w:tabs>
          <w:tab w:leader="none" w:pos="117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Agent of an interest rate or fee hereunder shall be conclusive and binding for all purposes, absent manifest error.</w:t>
      </w:r>
    </w:p>
    <w:p>
      <w:pPr>
        <w:spacing w:after="0" w:line="191" w:lineRule="exact"/>
        <w:rPr>
          <w:rFonts w:ascii="Times New Roman" w:cs="Times New Roman" w:eastAsia="Times New Roman" w:hAnsi="Times New Roman"/>
          <w:sz w:val="18"/>
          <w:szCs w:val="18"/>
          <w:color w:val="auto"/>
        </w:rPr>
      </w:pPr>
    </w:p>
    <w:p>
      <w:pPr>
        <w:jc w:val="both"/>
        <w:ind w:left="200" w:firstLine="644"/>
        <w:spacing w:after="0" w:line="253" w:lineRule="auto"/>
        <w:tabs>
          <w:tab w:leader="none" w:pos="117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any restatement of or other adjustment to the financial statements of the Borrower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Agent for the account of the applicable Lenders or the L/C Issuer, as the case may be, promptly on demand by the Agent (or, after the occurrence of an actual or deemed entry of an order for relief with respect to the Borrower under the Bankruptcy Code of the United States, automatically and without further action by the Agent, any Lender or the L/C Issuer), an amount equal to the excess of the amount of interest and fees that should have been paid for such period over the amount of interest and fees actually paid for such period. This paragraph shall not limit the rights of the Agent, any Lender or the L/C Issuer, as the case may be, under </w:t>
      </w:r>
      <w:r>
        <w:rPr>
          <w:rFonts w:ascii="Times New Roman" w:cs="Times New Roman" w:eastAsia="Times New Roman" w:hAnsi="Times New Roman"/>
          <w:sz w:val="18"/>
          <w:szCs w:val="18"/>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49" w:name="page150"/>
    <w:bookmarkEnd w:id="149"/>
    <w:p>
      <w:pPr>
        <w:ind w:left="20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Borrower’s obligations under this paragraph shall survive the termination of the Aggregate Commitments and the repayment of all other Obligations hereunder.</w:t>
      </w:r>
    </w:p>
    <w:p>
      <w:pPr>
        <w:spacing w:after="0" w:line="158"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0" w:firstLine="644"/>
        <w:spacing w:after="0" w:line="253" w:lineRule="auto"/>
        <w:tabs>
          <w:tab w:leader="none" w:pos="117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by the Agent in the ordinary course of business. The accounts or records maintained by the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4" w:lineRule="exact"/>
        <w:rPr>
          <w:rFonts w:ascii="Times New Roman" w:cs="Times New Roman" w:eastAsia="Times New Roman" w:hAnsi="Times New Roman"/>
          <w:sz w:val="18"/>
          <w:szCs w:val="18"/>
          <w:color w:val="auto"/>
        </w:rPr>
      </w:pPr>
    </w:p>
    <w:p>
      <w:pPr>
        <w:jc w:val="both"/>
        <w:ind w:left="200" w:firstLine="644"/>
        <w:spacing w:after="0" w:line="258" w:lineRule="auto"/>
        <w:tabs>
          <w:tab w:leader="none" w:pos="117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accounts and records referred to in subsection (a), each Lender and the Agent shall maintain in accordance with its usual practice accounts or records evidencing the purchases and sales by such Lender of participations in Letters of Credit and Swing Line Loans. In the event of any conflict between the accounts and records maintained by the Agent and the accounts and records of any Lender in respect of such matters, the accounts and records of the Agent shall control in the absence of manifest error.</w:t>
      </w:r>
    </w:p>
    <w:p>
      <w:pPr>
        <w:spacing w:after="0" w:line="179"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Payments Generally; Agent’s Clawback</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firstLine="644"/>
        <w:spacing w:after="0" w:line="253" w:lineRule="auto"/>
        <w:tabs>
          <w:tab w:leader="none" w:pos="117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Agent, for the account of the respective Lenders to which such payment is owed, at the Agent’s Office in Dollars and in immediately available funds not later than 11:00 a.m. on the date specified herein. The Agent will promptly distribute to each Lender its Applicable Percentage (or other applicable share as provided herein) of such payment in like funds as received by wire transfer to such Lender’s Lending Office. All payments received by the Agent after 11:00 a.m.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4" w:lineRule="exact"/>
        <w:rPr>
          <w:rFonts w:ascii="Times New Roman" w:cs="Times New Roman" w:eastAsia="Times New Roman" w:hAnsi="Times New Roman"/>
          <w:sz w:val="18"/>
          <w:szCs w:val="18"/>
          <w:color w:val="auto"/>
        </w:rPr>
      </w:pPr>
    </w:p>
    <w:p>
      <w:pPr>
        <w:jc w:val="both"/>
        <w:ind w:left="840" w:firstLine="4"/>
        <w:spacing w:after="0" w:line="258" w:lineRule="auto"/>
        <w:tabs>
          <w:tab w:leader="none" w:pos="116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Agent</w:t>
      </w:r>
      <w:r>
        <w:rPr>
          <w:rFonts w:ascii="Times New Roman" w:cs="Times New Roman" w:eastAsia="Times New Roman" w:hAnsi="Times New Roman"/>
          <w:sz w:val="18"/>
          <w:szCs w:val="18"/>
          <w:color w:val="auto"/>
        </w:rPr>
        <w:t xml:space="preserve">. Unless the Agent shall have received notice from a Lender prior to the proposed date of any Committed Borrowing of Term SOFR Loans (or, in the case of any Committed Borrowing of Base Rate Loans, prior to 12:00 p.m. on the date of such Committed Borrowing) that such Lender will not make available to the Agent such Lender’s share of such Committed Borrowing, the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Committed Borrowing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0" w:name="page151"/>
    <w:bookmarkEnd w:id="150"/>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 xml:space="preserve">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Committed Borrowing available to the Agent, then the applicable Lender and the Borrower severally agree to pay to the Agent forthwith on demand such corresponding amount in immediately available funds with interest thereon, for each day from and including the date such amount is made available to the Borrower to but excluding the date of payment to the Agent, at (A) in the case of a payment to be made by such Lender, the greater of the Federal Funds Rate and a rate determined by the Agent in accordance with banking industry rules on interbank compensation, plus any administrative, processing or similar fees customarily charged by the Agent in connection with the foregoing, and (B) in the case of a payment to be made by the Borrower, the interest rate applicable to Base Rate Loans. If the Borrower and such Lender shall pay such interest to the Agent for the same or an overlapping period, the Agent shall promptly remit to the Borrower the amount of such interest paid by the Borrower for such period. If such Lender pays its share of the applicable Committed Borrowing to the Agent, then the amount so paid shall constitute such Lender’s Committed Loan included in such Committed Borrowing. Any payment by the Borrower shall be without prejudice to any claim the Borrower may have against a Lender that shall have failed to make such payment to the Agent.</w:t>
      </w:r>
    </w:p>
    <w:p>
      <w:pPr>
        <w:spacing w:after="0" w:line="196" w:lineRule="exact"/>
        <w:rPr>
          <w:sz w:val="20"/>
          <w:szCs w:val="20"/>
          <w:color w:val="auto"/>
        </w:rPr>
      </w:pPr>
    </w:p>
    <w:p>
      <w:pPr>
        <w:jc w:val="both"/>
        <w:ind w:left="1820" w:firstLine="644"/>
        <w:spacing w:after="0" w:line="268" w:lineRule="auto"/>
        <w:tabs>
          <w:tab w:leader="none" w:pos="2792"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by Borrower; Presumptions by Agent</w:t>
      </w:r>
      <w:r>
        <w:rPr>
          <w:rFonts w:ascii="Times New Roman" w:cs="Times New Roman" w:eastAsia="Times New Roman" w:hAnsi="Times New Roman"/>
          <w:sz w:val="17"/>
          <w:szCs w:val="17"/>
          <w:color w:val="auto"/>
        </w:rPr>
        <w:t>. Unless the Agent shall have received notice from the Borrower prior to the date on which any payment is due to the Agent for the account of the Lenders or the L/C Issuer hereunder that the Borrower will not make such payment, the Agent may assume that the Borrower has made such payment on such date in accordance herewith and may, in reliance upon such assumption, distribute to the applicable Lenders or the L/C Issuer, as the case may be, the amount due. With respect to any payment that the Agent makes for the account of the Lenders or the L/C Issuer hereunder as to which the Agent determines (which determination shall be conclusive absent manifest error) that any of the following applies (such payment referred to as the “</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w:t>
      </w:r>
    </w:p>
    <w:p>
      <w:pPr>
        <w:jc w:val="both"/>
        <w:ind w:left="1820" w:hanging="4"/>
        <w:spacing w:after="0" w:line="251" w:lineRule="auto"/>
        <w:tabs>
          <w:tab w:leader="none" w:pos="208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in fact made such payment; (2) the Agent has made a payment in excess of the amount so paid by the Borrower (whether or not then owed); or (3) the Agent has for any reason otherwise erroneously made such payment; then each of the Lenders or the L/C Issuer, as the case may be, severally agrees to repay to the Agent forthwith on demand the Rescindable Amount so distributed to such Lender or the L/C Issuer,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spacing w:after="0" w:line="194" w:lineRule="exact"/>
        <w:rPr>
          <w:sz w:val="20"/>
          <w:szCs w:val="20"/>
          <w:color w:val="auto"/>
        </w:rPr>
      </w:pPr>
    </w:p>
    <w:p>
      <w:pPr>
        <w:ind w:left="200" w:firstLine="648"/>
        <w:spacing w:after="0" w:line="282" w:lineRule="auto"/>
        <w:rPr>
          <w:sz w:val="20"/>
          <w:szCs w:val="20"/>
          <w:color w:val="auto"/>
        </w:rPr>
      </w:pPr>
      <w:r>
        <w:rPr>
          <w:rFonts w:ascii="Times New Roman" w:cs="Times New Roman" w:eastAsia="Times New Roman" w:hAnsi="Times New Roman"/>
          <w:sz w:val="18"/>
          <w:szCs w:val="18"/>
          <w:color w:val="auto"/>
        </w:rPr>
        <w:t>A notice of the Agent to any Lender or the Borrower with respect to any amount owing under this subsection (b) shall be conclusive, absent manifest error.</w:t>
      </w:r>
    </w:p>
    <w:p>
      <w:pPr>
        <w:spacing w:after="0" w:line="162" w:lineRule="exact"/>
        <w:rPr>
          <w:sz w:val="20"/>
          <w:szCs w:val="20"/>
          <w:color w:val="auto"/>
        </w:rPr>
      </w:pPr>
    </w:p>
    <w:p>
      <w:pPr>
        <w:jc w:val="both"/>
        <w:ind w:left="200" w:firstLine="644"/>
        <w:spacing w:after="0" w:line="289" w:lineRule="auto"/>
        <w:tabs>
          <w:tab w:leader="none" w:pos="1172"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Satisfy Conditions Precedent</w:t>
      </w:r>
      <w:r>
        <w:rPr>
          <w:rFonts w:ascii="Times New Roman" w:cs="Times New Roman" w:eastAsia="Times New Roman" w:hAnsi="Times New Roman"/>
          <w:sz w:val="17"/>
          <w:szCs w:val="17"/>
          <w:color w:val="auto"/>
        </w:rPr>
        <w:t xml:space="preserve">. If any Lender makes available to the Agent funds for any Loan to be made by such Lender as provided in the foregoing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such funds are not made available to the Borrower by the Agent because the conditions to the applicable Credit Extension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are not satisfied or waived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1" w:name="page152"/>
    <w:bookmarkEnd w:id="151"/>
    <w:p>
      <w:pPr>
        <w:ind w:left="200" w:right="20"/>
        <w:spacing w:after="0" w:line="282" w:lineRule="auto"/>
        <w:rPr>
          <w:sz w:val="20"/>
          <w:szCs w:val="20"/>
          <w:color w:val="auto"/>
        </w:rPr>
      </w:pPr>
      <w:r>
        <w:rPr>
          <w:rFonts w:ascii="Times New Roman" w:cs="Times New Roman" w:eastAsia="Times New Roman" w:hAnsi="Times New Roman"/>
          <w:sz w:val="18"/>
          <w:szCs w:val="18"/>
          <w:color w:val="auto"/>
        </w:rPr>
        <w:t>accordance with the terms hereof, the Agent shall return such funds (in like funds as received from such Lender) to such Lender, without interest.</w:t>
      </w:r>
    </w:p>
    <w:p>
      <w:pPr>
        <w:spacing w:after="0" w:line="162" w:lineRule="exact"/>
        <w:rPr>
          <w:sz w:val="20"/>
          <w:szCs w:val="20"/>
          <w:color w:val="auto"/>
        </w:rPr>
      </w:pPr>
    </w:p>
    <w:p>
      <w:pPr>
        <w:jc w:val="both"/>
        <w:ind w:left="200" w:firstLine="644"/>
        <w:spacing w:after="0" w:line="256" w:lineRule="auto"/>
        <w:tabs>
          <w:tab w:leader="none" w:pos="117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Committed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2" w:lineRule="exact"/>
        <w:rPr>
          <w:sz w:val="20"/>
          <w:szCs w:val="20"/>
          <w:color w:val="auto"/>
        </w:rPr>
      </w:pPr>
    </w:p>
    <w:p>
      <w:pPr>
        <w:jc w:val="both"/>
        <w:ind w:left="2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2.13 Sharing of Payments by Lenders. </w:t>
      </w:r>
      <w:r>
        <w:rPr>
          <w:rFonts w:ascii="Times New Roman" w:cs="Times New Roman" w:eastAsia="Times New Roman" w:hAnsi="Times New Roman"/>
          <w:sz w:val="18"/>
          <w:szCs w:val="18"/>
          <w:color w:val="auto"/>
        </w:rPr>
        <w:t>If any Lender shall, by exercising any right of setoff or counterclaim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(a) notify the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2" w:lineRule="exact"/>
        <w:rPr>
          <w:sz w:val="20"/>
          <w:szCs w:val="20"/>
          <w:color w:val="auto"/>
        </w:rPr>
      </w:pPr>
    </w:p>
    <w:p>
      <w:pPr>
        <w:jc w:val="both"/>
        <w:ind w:left="1820" w:firstLine="644"/>
        <w:spacing w:after="0" w:line="266" w:lineRule="auto"/>
        <w:tabs>
          <w:tab w:leader="none" w:pos="27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55" w:lineRule="auto"/>
        <w:tabs>
          <w:tab w:leader="none" w:pos="27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or (z) any payment obtained by a Lender as consideration for the assignment of or sale of a participation in any of its Committed Loans or subparticipations in L/C Obligations or Swing Line Loans to any assignee or participant, other than an assignment to the Borrower or any Subsidiary thereof (as to which the provisions of this Section shall apply).</w:t>
      </w:r>
    </w:p>
    <w:p>
      <w:pPr>
        <w:spacing w:after="0" w:line="189" w:lineRule="exact"/>
        <w:rPr>
          <w:sz w:val="20"/>
          <w:szCs w:val="20"/>
          <w:color w:val="auto"/>
        </w:rPr>
      </w:pPr>
    </w:p>
    <w:p>
      <w:pPr>
        <w:jc w:val="both"/>
        <w:ind w:left="200" w:firstLine="648"/>
        <w:spacing w:after="0" w:line="261"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any Loan Party rights of setoff and counterclaim with respect to such participation as fully as if such Lender were a direct creditor of such Loan Party in the amount of such participation.</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Increases of Aggregate Commitments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2" w:name="page153"/>
    <w:bookmarkEnd w:id="152"/>
    <w:p>
      <w:pPr>
        <w:jc w:val="both"/>
        <w:ind w:lef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Borrower shall have the right, upon at least five Business Days’ prior written notice to the Agent, to increase the Aggregate Commitments by up to $250,000,000 in the aggregate in one or more increases, at any time prior to the date that is three months prior to the Maturity Date, </w:t>
      </w:r>
      <w:r>
        <w:rPr>
          <w:rFonts w:ascii="Times New Roman" w:cs="Times New Roman" w:eastAsia="Times New Roman" w:hAnsi="Times New Roman"/>
          <w:sz w:val="18"/>
          <w:szCs w:val="18"/>
          <w:u w:val="single" w:color="auto"/>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any such case, to satisfaction of the following conditions precedent:</w:t>
      </w:r>
    </w:p>
    <w:p>
      <w:pPr>
        <w:spacing w:after="0" w:line="180" w:lineRule="exact"/>
        <w:rPr>
          <w:sz w:val="20"/>
          <w:szCs w:val="20"/>
          <w:color w:val="auto"/>
        </w:rPr>
      </w:pPr>
    </w:p>
    <w:p>
      <w:pPr>
        <w:ind w:left="1160" w:hanging="316"/>
        <w:spacing w:after="0"/>
        <w:tabs>
          <w:tab w:leader="none" w:pos="11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Commitments shall not exceed $900,000,000 without the consent of the Required Lenders;</w:t>
      </w:r>
    </w:p>
    <w:p>
      <w:pPr>
        <w:spacing w:after="0" w:line="225"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on the date on which such increase is to become effective;</w:t>
      </w:r>
    </w:p>
    <w:p>
      <w:pPr>
        <w:spacing w:after="0" w:line="225" w:lineRule="exact"/>
        <w:rPr>
          <w:rFonts w:ascii="Times New Roman" w:cs="Times New Roman" w:eastAsia="Times New Roman" w:hAnsi="Times New Roman"/>
          <w:sz w:val="18"/>
          <w:szCs w:val="18"/>
          <w:color w:val="auto"/>
        </w:rPr>
      </w:pPr>
    </w:p>
    <w:p>
      <w:pPr>
        <w:jc w:val="both"/>
        <w:ind w:left="200" w:firstLine="644"/>
        <w:spacing w:after="0" w:line="256" w:lineRule="auto"/>
        <w:tabs>
          <w:tab w:leader="none" w:pos="11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and correct in all material respects (or, if such representation or warranty is qualified by materiality or Material Adverse Effect, it shall be true and correct in all respects as drafted) on and as of the date on which such increase is to become effective, except to the extent that such representations and warranties specifically refer to an earlier date, in which case they shall be true and correct in all material respects (or, if such representation or warranty is qualified by materiality or material adverse effect, it shall be true and correct in all respects as drafted) as of such earlier date;</w:t>
      </w:r>
    </w:p>
    <w:p>
      <w:pPr>
        <w:spacing w:after="0" w:line="187" w:lineRule="exact"/>
        <w:rPr>
          <w:rFonts w:ascii="Times New Roman" w:cs="Times New Roman" w:eastAsia="Times New Roman" w:hAnsi="Times New Roman"/>
          <w:sz w:val="18"/>
          <w:szCs w:val="18"/>
          <w:color w:val="auto"/>
        </w:rPr>
      </w:pPr>
    </w:p>
    <w:p>
      <w:pPr>
        <w:ind w:left="200" w:firstLine="644"/>
        <w:spacing w:after="0" w:line="282" w:lineRule="auto"/>
        <w:tabs>
          <w:tab w:leader="none" w:pos="11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 shall be in a minimum amount of $10,000,000, or such lesser amount equal to the remaining available increase amount, and in integral multiples of $1,000,000 in excess thereof;</w:t>
      </w:r>
    </w:p>
    <w:p>
      <w:pPr>
        <w:spacing w:after="0" w:line="161" w:lineRule="exact"/>
        <w:rPr>
          <w:rFonts w:ascii="Times New Roman" w:cs="Times New Roman" w:eastAsia="Times New Roman" w:hAnsi="Times New Roman"/>
          <w:sz w:val="18"/>
          <w:szCs w:val="18"/>
          <w:color w:val="auto"/>
        </w:rPr>
      </w:pPr>
    </w:p>
    <w:p>
      <w:pPr>
        <w:jc w:val="both"/>
        <w:ind w:left="200" w:firstLine="644"/>
        <w:spacing w:after="0" w:line="258" w:lineRule="auto"/>
        <w:tabs>
          <w:tab w:leader="none" w:pos="11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requested increase shall only be effective upon receipt by the Agent of (i)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(ii) documentation from each institution providing an additional Commitment evidencing its additional Commitment and its obligations under this Agreement in form and substance acceptable to the Agent;</w:t>
      </w:r>
    </w:p>
    <w:p>
      <w:pPr>
        <w:spacing w:after="0" w:line="183" w:lineRule="exact"/>
        <w:rPr>
          <w:rFonts w:ascii="Times New Roman" w:cs="Times New Roman" w:eastAsia="Times New Roman" w:hAnsi="Times New Roman"/>
          <w:sz w:val="18"/>
          <w:szCs w:val="18"/>
          <w:color w:val="auto"/>
        </w:rPr>
      </w:pPr>
    </w:p>
    <w:p>
      <w:pPr>
        <w:jc w:val="both"/>
        <w:ind w:left="200" w:firstLine="644"/>
        <w:spacing w:after="0" w:line="256" w:lineRule="auto"/>
        <w:tabs>
          <w:tab w:leader="none" w:pos="11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received all documents (including resolutions of the board of directors of the Loan Parties and opinions of counsel to the Loan Parties) it may reasonably request relating to the corporate or other necessary authority for such increase and the validity of such increase in the Aggregate Commitments, and any other matters relevant thereto, all in form and substance reasonably satisfactory to the Agent (it being understood that such documents will be limited, if applicable, to an officer’s certificate to the effect that the board resolutions of the Loan Parties adopted on or prior to the Closing Date and delivered pursuant to </w:t>
      </w:r>
      <w:r>
        <w:rPr>
          <w:rFonts w:ascii="Times New Roman" w:cs="Times New Roman" w:eastAsia="Times New Roman" w:hAnsi="Times New Roman"/>
          <w:sz w:val="18"/>
          <w:szCs w:val="18"/>
          <w:u w:val="single" w:color="auto"/>
          <w:color w:val="auto"/>
        </w:rPr>
        <w:t>Section 4.01(a)(ii)</w:t>
      </w:r>
      <w:r>
        <w:rPr>
          <w:rFonts w:ascii="Times New Roman" w:cs="Times New Roman" w:eastAsia="Times New Roman" w:hAnsi="Times New Roman"/>
          <w:sz w:val="18"/>
          <w:szCs w:val="18"/>
          <w:color w:val="auto"/>
        </w:rPr>
        <w:t xml:space="preserve"> remain in full force and effect and have not been modified); and</w:t>
      </w:r>
    </w:p>
    <w:p>
      <w:pPr>
        <w:spacing w:after="0" w:line="187" w:lineRule="exact"/>
        <w:rPr>
          <w:rFonts w:ascii="Times New Roman" w:cs="Times New Roman" w:eastAsia="Times New Roman" w:hAnsi="Times New Roman"/>
          <w:sz w:val="18"/>
          <w:szCs w:val="18"/>
          <w:color w:val="auto"/>
        </w:rPr>
      </w:pPr>
    </w:p>
    <w:p>
      <w:pPr>
        <w:jc w:val="both"/>
        <w:ind w:left="200" w:firstLine="644"/>
        <w:spacing w:after="0" w:line="261" w:lineRule="auto"/>
        <w:tabs>
          <w:tab w:leader="none" w:pos="11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Committed Loans are outstanding at the time of the increase in the Aggregate Commitments, the Borrower shall, if applicable, prepay one or more existing Committed Loans (such prepayment to be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in an amount necessary such that after giving effect to the increase in the Aggregate Commitments, each Lender will hold its pro rata share (based on its Applicable Percentage of the increased Aggregate Commitments) of outstanding Committed Loans.</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0" w:firstLine="644"/>
        <w:spacing w:after="0" w:line="282" w:lineRule="auto"/>
        <w:tabs>
          <w:tab w:leader="none" w:pos="117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If (i) the L/C Issuer has honored any full or partial drawing request under any Letter of Credit and such drawing has resulted in an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3" w:name="page154"/>
    <w:bookmarkEnd w:id="153"/>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 xml:space="preserve">Borrowing, (ii) as of the Letter of Credit Expiration Date, any L/C Obligation for any reason remains outstanding, (iii) the Borrower shall be required to provide Cash Collateral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(iv) there shall exist a Defaulting Lender, the Borrower shall immediately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within one Business Day (in all other cases) following any request by the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2.16(a)</w:t>
      </w:r>
    </w:p>
    <w:p>
      <w:pPr>
        <w:spacing w:after="0" w:line="3" w:lineRule="exact"/>
        <w:rPr>
          <w:sz w:val="20"/>
          <w:szCs w:val="20"/>
          <w:color w:val="auto"/>
        </w:rPr>
      </w:pPr>
    </w:p>
    <w:p>
      <w:pPr>
        <w:jc w:val="both"/>
        <w:ind w:left="200" w:hanging="4"/>
        <w:spacing w:after="0" w:line="251" w:lineRule="auto"/>
        <w:tabs>
          <w:tab w:leader="none" w:pos="521" w:val="left"/>
        </w:tabs>
        <w:numPr>
          <w:ilvl w:val="0"/>
          <w:numId w:val="1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any Cash Collateral provided by the Defaulting Lender). For purposes of clarification, if Fronting Exposure remains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the Agent shall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request that the Defaulting Lender deliver to the Agent Cash Collateral in an amount sufficient to cover the remaining Fronting Exposure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extent Fronting Exposure remains after giving effect to Cash Collateral provided by the Defaulting Lender, the Agent shall request that the Borrower deliver to the Agent Cash Collateral in an amount sufficient to cover the remaining Fronting Exposure. Such Cash Collateralization may be effected by means of a Borrowing of Committed Loans or a funding of participation interests (assuming for such purposes that the Letters of Credit that will survive the Maturity Date had been fully drawn on the Letter of Credit Expiration Date).</w:t>
      </w:r>
    </w:p>
    <w:p>
      <w:pPr>
        <w:spacing w:after="0" w:line="193" w:lineRule="exact"/>
        <w:rPr>
          <w:rFonts w:ascii="Times New Roman" w:cs="Times New Roman" w:eastAsia="Times New Roman" w:hAnsi="Times New Roman"/>
          <w:sz w:val="18"/>
          <w:szCs w:val="18"/>
          <w:u w:val="single" w:color="auto"/>
          <w:color w:val="auto"/>
        </w:rPr>
      </w:pPr>
    </w:p>
    <w:p>
      <w:pPr>
        <w:jc w:val="both"/>
        <w:ind w:left="200" w:firstLine="644"/>
        <w:spacing w:after="0" w:line="253" w:lineRule="auto"/>
        <w:tabs>
          <w:tab w:leader="none" w:pos="117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All Cash Collateral (other than credit support not constituting funds subject to deposit) shall be maintained in blocked, non-interest bearing deposit accounts at Bank of America. As of the Closing Date, the Borrower, and to the extent provided by any Defaulting Lender, such Defaulting Lender, hereby grants to (and subjects to the control of) the Agent, for the benefit of the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If at any time the Agent determines that Cash Collateral is subject to any right or claim of any Person other than the Agent or the L/C Issuer as herein provided, or that the total amount of such Cash Collateral is less than the Minimum Collateral Amount, the relevant Defaulting Lender and, to the extent Fronting Exposure remains thereafter, the Borrower will promptly upon demand by the Agent, pay or provide to the Agent additional Cash Collateral in an amount sufficient to eliminate such deficiency. The relevant Defaulting Lender or, to the extent not paid by the relevant Defaulting Lender, the Borrower, shall pay on demand therefor from time to time all customary account opening, activity and other administrative fees and charges in connection with the maintenance and disbursement of Cash Collateral.</w:t>
      </w:r>
    </w:p>
    <w:p>
      <w:pPr>
        <w:spacing w:after="0" w:line="187" w:lineRule="exact"/>
        <w:rPr>
          <w:rFonts w:ascii="Times New Roman" w:cs="Times New Roman" w:eastAsia="Times New Roman" w:hAnsi="Times New Roman"/>
          <w:sz w:val="18"/>
          <w:szCs w:val="18"/>
          <w:color w:val="auto"/>
        </w:rPr>
      </w:pPr>
    </w:p>
    <w:p>
      <w:pPr>
        <w:jc w:val="both"/>
        <w:ind w:left="200" w:firstLine="644"/>
        <w:spacing w:after="0" w:line="258" w:lineRule="auto"/>
        <w:tabs>
          <w:tab w:leader="none" w:pos="117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3" w:lineRule="exact"/>
        <w:rPr>
          <w:rFonts w:ascii="Times New Roman" w:cs="Times New Roman" w:eastAsia="Times New Roman" w:hAnsi="Times New Roman"/>
          <w:sz w:val="18"/>
          <w:szCs w:val="18"/>
          <w:color w:val="auto"/>
        </w:rPr>
      </w:pPr>
    </w:p>
    <w:p>
      <w:pPr>
        <w:jc w:val="both"/>
        <w:ind w:left="200" w:firstLine="644"/>
        <w:spacing w:after="0" w:line="255" w:lineRule="auto"/>
        <w:tabs>
          <w:tab w:leader="none" w:pos="117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xml:space="preserve">)) or (ii) the Agent’s and the L/C Issuer’s good faith determination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(x) that Cash Collateral furnished by or on behalf of the Borrower shall not be released during the continuance of a Default (and following application as provided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4" w:name="page155"/>
    <w:bookmarkEnd w:id="154"/>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 xml:space="preserve">otherwise applied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and (y) the Person providing Cash Collateral and the L/C Issuer, as applicable, may agree that Cash Collateral shall not be released but instead held to support future anticipated Fronting Exposure or other obligations. Between a Defaulting Lender and the Borrower as to any particular Cash Collateral, the Cash Collateral furnished by the Borrower shall be released prior to any Cash Collateral furnished by the Defaulting Lender.</w:t>
      </w:r>
    </w:p>
    <w:p>
      <w:pPr>
        <w:spacing w:after="0" w:line="17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8"/>
          <w:szCs w:val="18"/>
          <w:b w:val="1"/>
          <w:bCs w:val="1"/>
          <w:color w:val="auto"/>
        </w:rPr>
        <w:t>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0" w:firstLine="644"/>
        <w:spacing w:after="0" w:line="266" w:lineRule="auto"/>
        <w:tabs>
          <w:tab w:leader="none" w:pos="11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51" w:lineRule="auto"/>
        <w:tabs>
          <w:tab w:leader="none" w:pos="27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the 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Issuer or Swing 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if so determined by the Agent and the Borrower, to be held in a deposit account and released pro rata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5" w:name="page156"/>
    <w:bookmarkEnd w:id="155"/>
    <w:p>
      <w:pPr>
        <w:jc w:val="both"/>
        <w:ind w:left="1820"/>
        <w:spacing w:after="0" w:line="254" w:lineRule="auto"/>
        <w:rPr>
          <w:sz w:val="20"/>
          <w:szCs w:val="20"/>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2.16(a)(ii)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88" w:lineRule="exact"/>
        <w:rPr>
          <w:sz w:val="20"/>
          <w:szCs w:val="20"/>
          <w:color w:val="auto"/>
        </w:rPr>
      </w:pPr>
    </w:p>
    <w:p>
      <w:pPr>
        <w:ind w:left="2780" w:hanging="316"/>
        <w:spacing w:after="0"/>
        <w:tabs>
          <w:tab w:leader="none" w:pos="27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500" w:firstLine="640"/>
        <w:spacing w:after="0" w:line="266" w:lineRule="auto"/>
        <w:tabs>
          <w:tab w:leader="none" w:pos="247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left="1500" w:firstLine="640"/>
        <w:spacing w:after="0" w:line="266" w:lineRule="auto"/>
        <w:tabs>
          <w:tab w:leader="none" w:pos="247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500" w:firstLine="640"/>
        <w:spacing w:after="0" w:line="255" w:lineRule="auto"/>
        <w:tabs>
          <w:tab w:leader="none" w:pos="247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88" w:lineRule="exact"/>
        <w:rPr>
          <w:rFonts w:ascii="Times New Roman" w:cs="Times New Roman" w:eastAsia="Times New Roman" w:hAnsi="Times New Roman"/>
          <w:sz w:val="18"/>
          <w:szCs w:val="18"/>
          <w:color w:val="auto"/>
        </w:rPr>
      </w:pPr>
    </w:p>
    <w:p>
      <w:pPr>
        <w:jc w:val="both"/>
        <w:ind w:left="1820" w:firstLine="644"/>
        <w:spacing w:after="0" w:line="254" w:lineRule="auto"/>
        <w:tabs>
          <w:tab w:leader="none" w:pos="279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any Non-Defaulting Lender’s share of the Total Outstandings to exceed such Non-Defaulting Lender’s Commitment. Subject to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6" w:name="page157"/>
    <w:bookmarkEnd w:id="156"/>
    <w:p>
      <w:pPr>
        <w:jc w:val="both"/>
        <w:ind w:left="840" w:firstLine="652"/>
        <w:spacing w:after="0" w:line="258" w:lineRule="auto"/>
        <w:tabs>
          <w:tab w:leader="none" w:pos="181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 Line Loans</w:t>
      </w:r>
      <w:r>
        <w:rPr>
          <w:rFonts w:ascii="Times New Roman" w:cs="Times New Roman" w:eastAsia="Times New Roman" w:hAnsi="Times New Roman"/>
          <w:sz w:val="18"/>
          <w:szCs w:val="18"/>
          <w:color w:val="auto"/>
        </w:rPr>
        <w:t xml:space="preserve">. If the reallocation described in clause (a)(iv)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200" w:firstLine="644"/>
        <w:spacing w:after="0" w:line="253" w:lineRule="auto"/>
        <w:tabs>
          <w:tab w:leader="none" w:pos="11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Agent, the Swing Line Lender and the L/C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Committed Loans of the other Lenders or take such other actions as the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1" w:lineRule="exact"/>
        <w:rPr>
          <w:rFonts w:ascii="Times New Roman" w:cs="Times New Roman" w:eastAsia="Times New Roman" w:hAnsi="Times New Roman"/>
          <w:sz w:val="18"/>
          <w:szCs w:val="18"/>
          <w:color w:val="auto"/>
        </w:rPr>
      </w:pPr>
    </w:p>
    <w:p>
      <w:pPr>
        <w:ind w:left="200" w:firstLine="644"/>
        <w:spacing w:after="0" w:line="282" w:lineRule="auto"/>
        <w:tabs>
          <w:tab w:leader="none" w:pos="11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Defaulting Lender</w:t>
      </w:r>
      <w:r>
        <w:rPr>
          <w:rFonts w:ascii="Times New Roman" w:cs="Times New Roman" w:eastAsia="Times New Roman" w:hAnsi="Times New Roman"/>
          <w:sz w:val="18"/>
          <w:szCs w:val="18"/>
          <w:color w:val="auto"/>
        </w:rPr>
        <w:t>. Upon becoming aware that a Lender is a Defaulting Lender, the Agent shall reasonably promptly notify the Borrower that such Lender is a Defaulting Lender.</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22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160" w:hanging="316"/>
        <w:spacing w:after="0"/>
        <w:tabs>
          <w:tab w:leader="none" w:pos="11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6" w:lineRule="auto"/>
        <w:tabs>
          <w:tab w:leader="none" w:pos="2792"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Loan Document shall be made without deduction or withholding for any Taxes, except as required by applicable laws. If any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w:t>
      </w:r>
    </w:p>
    <w:p>
      <w:pPr>
        <w:spacing w:after="0" w:line="187"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Withholding Agent shall be required by the Code to withhold or deduct any Taxes, including both United States Federal backup withholding and withholding taxes, from any payment, then</w:t>
      </w:r>
    </w:p>
    <w:p>
      <w:pPr>
        <w:jc w:val="both"/>
        <w:ind w:left="1820" w:hanging="4"/>
        <w:spacing w:after="0" w:line="255" w:lineRule="auto"/>
        <w:tabs>
          <w:tab w:leader="none" w:pos="211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Agent shall withhold or make such deductions as are determined by the Withholding Agent to be required (as determined in the good faith discretion of such Withholding Agent), (B) the Withholding Agent shall timely pay the full amount withheld or deducted to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7" w:name="page158"/>
    <w:bookmarkEnd w:id="157"/>
    <w:p>
      <w:pPr>
        <w:jc w:val="both"/>
        <w:ind w:left="1820"/>
        <w:spacing w:after="0" w:line="254" w:lineRule="auto"/>
        <w:rPr>
          <w:sz w:val="20"/>
          <w:szCs w:val="20"/>
          <w:color w:val="auto"/>
        </w:rPr>
      </w:pPr>
      <w:r>
        <w:rPr>
          <w:rFonts w:ascii="Times New Roman" w:cs="Times New Roman" w:eastAsia="Times New Roman" w:hAnsi="Times New Roman"/>
          <w:sz w:val="18"/>
          <w:szCs w:val="18"/>
          <w:color w:val="auto"/>
        </w:rPr>
        <w:t xml:space="preserve">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 The applicable Withholding Agent (if distinct from the Agent) shall provide the Agent with at least ten days prior written notice prior to the date that such Withholding Agent makes any deduction or payment for Taxes in accordance with this subsection (ii).</w:t>
      </w:r>
    </w:p>
    <w:p>
      <w:pPr>
        <w:spacing w:after="0" w:line="192" w:lineRule="exact"/>
        <w:rPr>
          <w:sz w:val="20"/>
          <w:szCs w:val="20"/>
          <w:color w:val="auto"/>
        </w:rPr>
      </w:pPr>
    </w:p>
    <w:p>
      <w:pPr>
        <w:jc w:val="both"/>
        <w:ind w:left="1820" w:firstLine="644"/>
        <w:spacing w:after="0" w:line="253" w:lineRule="auto"/>
        <w:tabs>
          <w:tab w:leader="none" w:pos="27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Withholding Agent shall be required by any applicable laws other than the Code to withhold or deduct any Taxes from any payment, then (A) the Withholding Agent, as required by such laws, shall withhold or make such deductions as are determined by it to be required (as determined in the good faith discretion of such Withholding Agent),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94" w:lineRule="exact"/>
        <w:rPr>
          <w:rFonts w:ascii="Times New Roman" w:cs="Times New Roman" w:eastAsia="Times New Roman" w:hAnsi="Times New Roman"/>
          <w:sz w:val="18"/>
          <w:szCs w:val="18"/>
          <w:color w:val="auto"/>
        </w:rPr>
      </w:pPr>
    </w:p>
    <w:p>
      <w:pPr>
        <w:jc w:val="both"/>
        <w:ind w:left="200" w:firstLine="644"/>
        <w:spacing w:after="0" w:line="266" w:lineRule="auto"/>
        <w:tabs>
          <w:tab w:leader="none" w:pos="11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Loan Parties shall timely pay to the relevant Governmental Authority in accordance with applicable law, or at the option of the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2" w:lineRule="auto"/>
        <w:tabs>
          <w:tab w:leader="none" w:pos="279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except in each case, to the extent resulting from the gross negligence or willful misconduct of such Recipient. A certificate as to the amount of such payment or liability delivered to the Borrower by a Lender or the L/C Issuer (with a copy to the Agent), or by the Agent on its own behalf or on behalf of a Lender or the L/C Issuer, shall be conclusive absent manifest error. Each of the Loan Parties shall, and does hereby, jointly and severally indemnify the Agent, and shall make payment in respect thereof within 10 days after demand therefor, for any amount which a Lender or the L/C Issuer for any reason fails to pay indefeasibly to the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8" w:name="page159"/>
    <w:bookmarkEnd w:id="158"/>
    <w:p>
      <w:pPr>
        <w:jc w:val="both"/>
        <w:ind w:left="1820" w:firstLine="644"/>
        <w:spacing w:after="0" w:line="252" w:lineRule="auto"/>
        <w:tabs>
          <w:tab w:leader="none" w:pos="279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the L/C Issuer shall, and does hereby, severally indemnify, and shall make payment in respect thereof within 10 days after demand therefor,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the Agent against any Indemnified Taxes attributable to such Lender or the L/C Issuer (but only to the extent that any Loan Party has not already indemnified the Agent for such Indemnified Taxes and without limiting the obligation of the Loan Parties to do so),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the Agent and the Loan Parties,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the Agent and the Loan Parties, as applicable, against any Excluded Taxes attributable to such Lender or the L/C Issuer, in each case, that are payable or paid by the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L/C Issuer hereby authorizes the Agent to set off and apply any and all amounts at any time owing to such Lender or the L/C Issuer, as the case may be, under this Agreement or any other Loan Document against any amount due to the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200" w:firstLine="644"/>
        <w:spacing w:after="0" w:line="258" w:lineRule="auto"/>
        <w:tabs>
          <w:tab w:leader="none" w:pos="117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the Borrower or the Agent, as the case may be, after any payment of Taxes by the Borrower or by the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Agent or the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Agent, as the case may be.</w:t>
      </w:r>
    </w:p>
    <w:p>
      <w:pPr>
        <w:spacing w:after="0" w:line="183"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sz w:val="20"/>
          <w:szCs w:val="20"/>
          <w:color w:val="auto"/>
        </w:rPr>
      </w:pPr>
    </w:p>
    <w:p>
      <w:pPr>
        <w:ind w:left="2780" w:hanging="316"/>
        <w:spacing w:after="0"/>
        <w:tabs>
          <w:tab w:leader="none" w:pos="27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59" w:name="page160"/>
    <w:bookmarkEnd w:id="159"/>
    <w:p>
      <w:pPr>
        <w:jc w:val="both"/>
        <w:ind w:left="1500" w:firstLine="640"/>
        <w:spacing w:after="0" w:line="261" w:lineRule="auto"/>
        <w:tabs>
          <w:tab w:leader="none" w:pos="247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500" w:firstLine="640"/>
        <w:spacing w:after="0" w:line="261" w:lineRule="auto"/>
        <w:tabs>
          <w:tab w:leader="none" w:pos="247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2140" w:firstLine="648"/>
        <w:spacing w:after="0" w:line="255" w:lineRule="auto"/>
        <w:tabs>
          <w:tab w:leader="none" w:pos="311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(II) executed copies of IRS Form W-8ECI;</w:t>
      </w:r>
    </w:p>
    <w:p>
      <w:pPr>
        <w:spacing w:after="0" w:line="225" w:lineRule="exact"/>
        <w:rPr>
          <w:sz w:val="20"/>
          <w:szCs w:val="20"/>
          <w:color w:val="auto"/>
        </w:rPr>
      </w:pPr>
    </w:p>
    <w:p>
      <w:pPr>
        <w:jc w:val="both"/>
        <w:ind w:left="2140" w:firstLine="648"/>
        <w:spacing w:after="0" w:line="255" w:lineRule="auto"/>
        <w:tabs>
          <w:tab w:leader="none" w:pos="311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executed copies of IRS Form W-8BEN (or W-8BENE, as applicable); or</w:t>
      </w:r>
    </w:p>
    <w:p>
      <w:pPr>
        <w:spacing w:after="0" w:line="189" w:lineRule="exact"/>
        <w:rPr>
          <w:sz w:val="20"/>
          <w:szCs w:val="20"/>
          <w:color w:val="auto"/>
        </w:rPr>
      </w:pPr>
    </w:p>
    <w:p>
      <w:pPr>
        <w:jc w:val="both"/>
        <w:ind w:left="2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D-4</w:t>
      </w:r>
      <w:r>
        <w:rPr>
          <w:rFonts w:ascii="Times New Roman" w:cs="Times New Roman" w:eastAsia="Times New Roman" w:hAnsi="Times New Roman"/>
          <w:sz w:val="18"/>
          <w:szCs w:val="18"/>
          <w:color w:val="auto"/>
        </w:rPr>
        <w:t xml:space="preserve"> on behalf of each such direct and indirect partner;</w:t>
      </w:r>
    </w:p>
    <w:p>
      <w:pPr>
        <w:spacing w:after="0" w:line="192" w:lineRule="exact"/>
        <w:rPr>
          <w:sz w:val="20"/>
          <w:szCs w:val="20"/>
          <w:color w:val="auto"/>
        </w:rPr>
      </w:pPr>
    </w:p>
    <w:p>
      <w:pPr>
        <w:jc w:val="both"/>
        <w:ind w:left="1500" w:firstLine="640"/>
        <w:spacing w:after="0" w:line="266" w:lineRule="auto"/>
        <w:tabs>
          <w:tab w:leader="none" w:pos="247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prior to the date on which such Foreign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60" w:name="page161"/>
    <w:bookmarkEnd w:id="160"/>
    <w:p>
      <w:pPr>
        <w:jc w:val="both"/>
        <w:ind w:left="1500"/>
        <w:spacing w:after="0" w:line="258" w:lineRule="auto"/>
        <w:rPr>
          <w:sz w:val="20"/>
          <w:szCs w:val="20"/>
          <w:color w:val="auto"/>
        </w:rPr>
      </w:pPr>
      <w:r>
        <w:rPr>
          <w:rFonts w:ascii="Times New Roman" w:cs="Times New Roman" w:eastAsia="Times New Roman" w:hAnsi="Times New Roman"/>
          <w:sz w:val="18"/>
          <w:szCs w:val="18"/>
          <w:color w:val="auto"/>
        </w:rPr>
        <w:t>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3" w:lineRule="exact"/>
        <w:rPr>
          <w:sz w:val="20"/>
          <w:szCs w:val="20"/>
          <w:color w:val="auto"/>
        </w:rPr>
      </w:pPr>
    </w:p>
    <w:p>
      <w:pPr>
        <w:jc w:val="both"/>
        <w:ind w:left="1500" w:firstLine="640"/>
        <w:spacing w:after="0" w:line="253" w:lineRule="auto"/>
        <w:tabs>
          <w:tab w:leader="none" w:pos="247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92" w:lineRule="exact"/>
        <w:rPr>
          <w:sz w:val="20"/>
          <w:szCs w:val="20"/>
          <w:color w:val="auto"/>
        </w:rPr>
      </w:pPr>
    </w:p>
    <w:p>
      <w:pPr>
        <w:jc w:val="both"/>
        <w:ind w:left="18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Agent in writing of its legal inability to do so.</w:t>
      </w:r>
    </w:p>
    <w:p>
      <w:pPr>
        <w:spacing w:after="0" w:line="176" w:lineRule="exact"/>
        <w:rPr>
          <w:sz w:val="20"/>
          <w:szCs w:val="20"/>
          <w:color w:val="auto"/>
        </w:rPr>
      </w:pPr>
    </w:p>
    <w:p>
      <w:pPr>
        <w:ind w:left="2780" w:hanging="316"/>
        <w:spacing w:after="0"/>
        <w:tabs>
          <w:tab w:leader="none" w:pos="27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the term “Lender” includes any L/C Issuer.</w:t>
      </w:r>
    </w:p>
    <w:p>
      <w:pPr>
        <w:spacing w:after="0" w:line="225" w:lineRule="exact"/>
        <w:rPr>
          <w:rFonts w:ascii="Times New Roman" w:cs="Times New Roman" w:eastAsia="Times New Roman" w:hAnsi="Times New Roman"/>
          <w:sz w:val="18"/>
          <w:szCs w:val="18"/>
          <w:color w:val="auto"/>
        </w:rPr>
      </w:pPr>
    </w:p>
    <w:p>
      <w:pPr>
        <w:jc w:val="both"/>
        <w:ind w:left="200" w:firstLine="644"/>
        <w:spacing w:after="0" w:line="252" w:lineRule="auto"/>
        <w:tabs>
          <w:tab w:leader="none" w:pos="117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61" w:name="page162"/>
    <w:bookmarkEnd w:id="16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76" w:lineRule="exact"/>
        <w:rPr>
          <w:sz w:val="20"/>
          <w:szCs w:val="20"/>
          <w:color w:val="auto"/>
        </w:rPr>
      </w:pPr>
    </w:p>
    <w:p>
      <w:pPr>
        <w:jc w:val="both"/>
        <w:ind w:left="660" w:firstLine="644"/>
        <w:spacing w:after="0" w:line="266" w:lineRule="auto"/>
        <w:tabs>
          <w:tab w:leader="none" w:pos="163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Agent or any assignment of rights by, or the replacement of, a Lender or the L/C Issuer, the termination of the Aggregate Commitments and the repayment, satisfaction or discharge of all other Obligations.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3.02 Illegality. </w:t>
      </w:r>
      <w:r>
        <w:rPr>
          <w:rFonts w:ascii="Times New Roman" w:cs="Times New Roman" w:eastAsia="Times New Roman" w:hAnsi="Times New Roman"/>
          <w:sz w:val="18"/>
          <w:szCs w:val="18"/>
          <w:color w:val="auto"/>
        </w:rPr>
        <w:t>If any Lender determines that any law has made it unlawful, or that any Governmental Authority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asserted that it is unlawful, for any Lender or its applicable Lending Office to make, maintain or fund or charge interest with respect to any Credit Extension or to determine or charge interest rates based upon Term SOFR or the Term SOFR Daily Floating Rate, then, upon notice thereof by such Lender to the Borrower (through the Agent), (i) any obligation of such Lender to make or continue Term SOFR Loans, to make Term SOFR Daily Floating Rate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Agent without reference to the Term SOFR component of the Base Rate, in each case until such Lender notifies the Agent and the Borrower that the circumstances giving rise to such determination no longer exist. Upon receipt of such notice, (A) the Borrower shall, upon demand from such Lender (with a copy to the Agent), prepay or, if applicable, convert all Term SOFR Loans or Term SOFR Daily Floating Rate Loans of such Lender to Base Rate Loans (the interest rate on which Base Rate Loans of such Lender shall, if necessary to avoid such illegality, be determined by the Agent without reference to the Term SOFR component of the Base Rate), either (1) if such Lender may lawfully continue to maintain such Term SOFR Loans to such day, on the last day of the Interest Period therefor, (2) if such Lender may not lawfully continue to maintain such Term SOFR Loans to the last day of the Interest Period therefor, on the last day that such Lender may lawfully continue to maintain such Term SOFR Loans or (3) immediately, in the case of Term SOFR Daily Floating Rate Loans and (B) if such notice asserts the illegality of such Lender determining or charging interest rates based upon Term SOFR or the Term SOFR Daily Floating Rate, the Agent shall during the period of such suspension compute the Base Rate applicable to such Lender without reference to the Term SOFR component thereof until the Agent is advised in writing by such Lender that it is no longer illegal for such Lender to determine or charge interest rates based upon Term SOFR or the Term SOFR Daily Floating Rate. Upon any such prepayment or conversion, the Borrower shall also pay accrued interest on the amount so prepaid or converted.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8"/>
          <w:szCs w:val="18"/>
          <w:b w:val="1"/>
          <w:bCs w:val="1"/>
          <w:color w:val="auto"/>
        </w:rPr>
        <w:t>Inability to Determine Rates.</w:t>
      </w:r>
    </w:p>
    <w:p>
      <w:pPr>
        <w:spacing w:after="0" w:line="229" w:lineRule="exact"/>
        <w:rPr>
          <w:sz w:val="20"/>
          <w:szCs w:val="20"/>
          <w:color w:val="auto"/>
        </w:rPr>
      </w:pPr>
    </w:p>
    <w:p>
      <w:pPr>
        <w:jc w:val="both"/>
        <w:ind w:left="660" w:firstLine="644"/>
        <w:spacing w:after="0" w:line="253" w:lineRule="auto"/>
        <w:tabs>
          <w:tab w:leader="none" w:pos="163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Term SOFR Daily Floating Rate Loan or a conversion to or continuation thereof, (i) the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3.03(b)</w:t>
      </w:r>
      <w:r>
        <w:rPr>
          <w:rFonts w:ascii="Times New Roman" w:cs="Times New Roman" w:eastAsia="Times New Roman" w:hAnsi="Times New Roman"/>
          <w:sz w:val="18"/>
          <w:szCs w:val="18"/>
          <w:color w:val="auto"/>
        </w:rPr>
        <w:t xml:space="preserve"> or the Scheduled Unavailability Date has occurred (as applicable) or (B) adequate and reasonable means do not exist for determining (1) Term SOFR for any requested Interest Period with respect to a proposed Term SOFR Loan or in connection with an existing or proposed Base Rate Loan or (2) the Term SOFR Daily Floating Rate for an existing or proposed Term SOFR Daily Floating Rate Loan or (ii) (A) the Agent or the Required Lenders determine that for any reason that Term SOFR for any requested Interest Period with respect to a proposed Term SOFR Loan does not adequately and fairly reflect the cost to such Lenders of funding such Loan, in each case, the Agent will promptly so notify the Borrower and each Lender or (B) the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2" w:name="page163"/>
    <w:bookmarkEnd w:id="162"/>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 xml:space="preserve">Lender determines that for any reason the Term SOFR Daily Floating Rate with respect to a proposed Term SOFR Daily Floating Rate Loan or in connection with a Term SOFR Daily Floating Rate Loan does not adequately and fairly reflect the cost to the Swing Line Lender of funding such Swing Line Loan, in each case, the Swing Line Lender will promptly so notify the Borrower and the Agent. Thereafter, (x) the obligation of the Lenders to make or maintain Term SOFR Loans of the type covered by the Agent’s notice shall be suspended (to the extent of the affected Term SOFR Loans or Interest Periods), (y) the obligation of the Swing Line Lender to make or maintain Term SOFR Daily Floating Rate Loans shall be suspended and (z) in the event of a determination described in the preceding sentence with respect to the Term SOFR component of the Base Rate, the utilization of the Term SOFR component in determining the Base Rate shall be suspended, in each case until the Agent (or, in the case of a determination by the Required Lenders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Agent upon the instruction of the Required Lenders) revokes such notice. Upon receipt of such notice, (i) the Borrower may (A) revoke any pending request for a Committed Borrowing of, conversion to or continuation of Term SOFR Loans (to the extent of the affected Term SOFR Loans or Interest Periods) or, failing that, will be deemed to have converted such request into a request for a Committed Borrowing of Base Rate Loans in the amount specified therein or (B) revoke any pending request for a Swing Line Borrowing of Term SOFR Daily Floating Rate Loans (to the extent of the affected Term SOFR Daily Floating Loans) or, failing that, will be deemed to have converted such request into a request for a Swing Line Borrowing of Base Rate Loans in the amount specified therein and (ii) any outstanding Term SOFR Loans shall be deemed to have been converted to Base Rate Loans at the end of their respective applicable Interest Period.</w:t>
      </w:r>
    </w:p>
    <w:p>
      <w:pPr>
        <w:spacing w:after="0" w:line="193" w:lineRule="exact"/>
        <w:rPr>
          <w:sz w:val="20"/>
          <w:szCs w:val="20"/>
          <w:color w:val="auto"/>
        </w:rPr>
      </w:pPr>
    </w:p>
    <w:p>
      <w:pPr>
        <w:jc w:val="both"/>
        <w:ind w:left="200" w:firstLine="644"/>
        <w:spacing w:after="0" w:line="261" w:lineRule="auto"/>
        <w:tabs>
          <w:tab w:leader="none" w:pos="117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Loan Documents, if the Agent determines (which determination shall be conclusive absent manifest error), or the Borrower or Required Lenders notify the Agent (with, in the case of the Required Lenders, a copy to the Borrower) that the Borrower or Required Lenders (as applicable) have determined, that:</w:t>
      </w:r>
    </w:p>
    <w:p>
      <w:pPr>
        <w:spacing w:after="0" w:line="179"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and three month interest periods of Term SOFR, including, without limitation, because the Term SOFR Screen Rate is not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53" w:lineRule="auto"/>
        <w:tabs>
          <w:tab w:leader="none" w:pos="279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CME or any successor the administrator of the Term SOFR Screen Rate or a Governmental Authority having jurisdiction over the Agent or such administrator with respect to its publication of Term SOFR, in each case acting in such capacity, has made a public statement identifying a specific date after which one month and three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there is no successor administrator that is satisfactory to the Agent, that will continue to provide such interest periods of Term SOFR after such specific date (the latest date on which one month and three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then, on a date and time determined by the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63" w:name="page164"/>
    <w:bookmarkEnd w:id="163"/>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 xml:space="preserve">Loan Document with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any payment period for interest calculated that can be determined by the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200" w:right="20"/>
        <w:spacing w:after="0" w:line="282" w:lineRule="auto"/>
        <w:rPr>
          <w:sz w:val="20"/>
          <w:szCs w:val="20"/>
          <w:color w:val="auto"/>
        </w:rPr>
      </w:pPr>
      <w:r>
        <w:rPr>
          <w:rFonts w:ascii="Times New Roman" w:cs="Times New Roman" w:eastAsia="Times New Roman" w:hAnsi="Times New Roman"/>
          <w:sz w:val="18"/>
          <w:szCs w:val="18"/>
          <w:color w:val="auto"/>
        </w:rPr>
        <w:t>If the Successor Rate is Daily Simple SOFR plus the SOFR Adjustment, all interest payments will be payable on a quarterly basis.</w:t>
      </w:r>
    </w:p>
    <w:p>
      <w:pPr>
        <w:spacing w:after="0" w:line="162"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Any such amendment shall become effective at 5:00 p.m. on the fifth Business Day after the Agent shall have posted such proposed amendment to all Lenders and the Borrower unless, prior to such time, Lenders comprising the Required Lenders have delivered to the Agent written notice that such Required Lenders object to such amendment.</w:t>
      </w:r>
    </w:p>
    <w:p>
      <w:pPr>
        <w:spacing w:after="0" w:line="196"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The Agent will promptly (in one or more notices) notify the Borrower and each Lender of the implementation of any Successor Rate.</w:t>
      </w:r>
    </w:p>
    <w:p>
      <w:pPr>
        <w:spacing w:after="0" w:line="162"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Agent, such Successor Rate shall be applied in a manner as otherwise reasonably determined by the Agent.</w:t>
      </w:r>
    </w:p>
    <w:p>
      <w:pPr>
        <w:spacing w:after="0" w:line="176" w:lineRule="exact"/>
        <w:rPr>
          <w:sz w:val="20"/>
          <w:szCs w:val="20"/>
          <w:color w:val="auto"/>
        </w:rPr>
      </w:pPr>
    </w:p>
    <w:p>
      <w:pPr>
        <w:jc w:val="both"/>
        <w:ind w:left="200"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Agent shall post each such amendment implementing such Conforming Changes to the Borrower and the Lenders reasonably promptly after such amendment becomes effective.</w:t>
      </w:r>
    </w:p>
    <w:p>
      <w:pPr>
        <w:spacing w:after="0" w:line="187" w:lineRule="exact"/>
        <w:rPr>
          <w:sz w:val="20"/>
          <w:szCs w:val="20"/>
          <w:color w:val="auto"/>
        </w:rPr>
      </w:pPr>
    </w:p>
    <w:p>
      <w:pPr>
        <w:jc w:val="both"/>
        <w:ind w:left="200" w:right="2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those Lenders that either have not made, or do not have an obligation under this Agreement to make, the relevant Loans in Dollars shall be excluded from any determination of Required Lenders.</w:t>
      </w: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5" w:right="999" w:bottom="1440" w:gutter="0" w:footer="0" w:header="0"/>
        </w:sectPr>
      </w:pPr>
    </w:p>
    <w:bookmarkStart w:id="164" w:name="page165"/>
    <w:bookmarkEnd w:id="164"/>
    <w:p>
      <w:pPr>
        <w:ind w:left="2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Increased Costs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160" w:hanging="316"/>
        <w:spacing w:after="0"/>
        <w:tabs>
          <w:tab w:leader="none" w:pos="11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jc w:val="both"/>
        <w:ind w:left="1820" w:firstLine="644"/>
        <w:spacing w:after="0" w:line="266" w:lineRule="auto"/>
        <w:tabs>
          <w:tab w:leader="none" w:pos="27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5"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9"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any other condition, cost or expense affecting this Agreement or Term SOFR Loans made by such Lender or any Letter of Credit or participation therein;</w:t>
      </w:r>
    </w:p>
    <w:p>
      <w:pPr>
        <w:spacing w:after="0" w:line="162"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Committed Loan the interest on which is determined by reference to Term SOFR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92" w:lineRule="exact"/>
        <w:rPr>
          <w:sz w:val="20"/>
          <w:szCs w:val="20"/>
          <w:color w:val="auto"/>
        </w:rPr>
      </w:pPr>
    </w:p>
    <w:p>
      <w:pPr>
        <w:jc w:val="both"/>
        <w:ind w:left="200" w:firstLine="644"/>
        <w:spacing w:after="0" w:line="253" w:lineRule="auto"/>
        <w:tabs>
          <w:tab w:leader="none" w:pos="117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left="200" w:firstLine="644"/>
        <w:spacing w:after="0" w:line="258" w:lineRule="auto"/>
        <w:tabs>
          <w:tab w:leader="none" w:pos="117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10 Business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65" w:name="page166"/>
    <w:bookmarkEnd w:id="165"/>
    <w:p>
      <w:pPr>
        <w:jc w:val="both"/>
        <w:ind w:left="660" w:firstLine="644"/>
        <w:spacing w:after="0" w:line="254" w:lineRule="auto"/>
        <w:tabs>
          <w:tab w:leader="none" w:pos="16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L/C Issuer pursuant to the foregoing provisions of this Section for any increased costs incurred or reductions suffered more than three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three-month period referred to above shall be extended to include the period of retroactive effect thereof).</w:t>
      </w:r>
    </w:p>
    <w:p>
      <w:pPr>
        <w:spacing w:after="0" w:line="1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3.05 Compensation for Losses. </w:t>
      </w:r>
      <w:r>
        <w:rPr>
          <w:rFonts w:ascii="Times New Roman" w:cs="Times New Roman" w:eastAsia="Times New Roman" w:hAnsi="Times New Roman"/>
          <w:sz w:val="18"/>
          <w:szCs w:val="18"/>
          <w:color w:val="auto"/>
        </w:rPr>
        <w:t>Upon demand of any Lender (with a copy to the Agent) from time to time,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promptly compensate such Lender for and hold such Lender harmless from any loss, cost or expense incurred by it as a result of:</w:t>
      </w:r>
    </w:p>
    <w:p>
      <w:pPr>
        <w:spacing w:after="0" w:line="159" w:lineRule="exact"/>
        <w:rPr>
          <w:sz w:val="20"/>
          <w:szCs w:val="20"/>
          <w:color w:val="auto"/>
        </w:rPr>
      </w:pPr>
    </w:p>
    <w:p>
      <w:pPr>
        <w:ind w:left="660" w:firstLine="644"/>
        <w:spacing w:after="0" w:line="282" w:lineRule="auto"/>
        <w:tabs>
          <w:tab w:leader="none" w:pos="163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Term SOFR Loan on a day other than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Borrower (for a reason other than the failure of such Lender to make a Loan) to prepay, borrow, continue or convert any Term SOFR Loan on the date or in the amount notified by the Borrower; or (c)any assignment of a Term SOFR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(excluding any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3" w:lineRule="auto"/>
        <w:tabs>
          <w:tab w:leader="none" w:pos="163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then at the request of the Borrower such Lender or the L/C Issuer shall, as applicable, use reasonable efforts to take such actions, including, designate a different Lending Office for funding or booking its Loans hereunder or to assign its rights and obligations hereunder to another of its offices, branches or affiliates, if, in the reasonable judgment of such Lender or the L/C Issuer, such actions,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materially disadvantageous to such Lender or the L/C Issuer, as the case may be, (as compared to actions taken by such Lender with respect to other similarly situated borrowers). The Borrower hereby agrees to pay all reasonable costs and expenses incurred by any Lender or the L/C Issuer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6" w:name="page167"/>
    <w:bookmarkEnd w:id="166"/>
    <w:p>
      <w:pPr>
        <w:jc w:val="both"/>
        <w:ind w:left="660" w:firstLine="644"/>
        <w:spacing w:after="0" w:line="266" w:lineRule="auto"/>
        <w:tabs>
          <w:tab w:leader="none" w:pos="16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3.07 Survival. </w:t>
      </w:r>
      <w:r>
        <w:rPr>
          <w:rFonts w:ascii="Times New Roman" w:cs="Times New Roman" w:eastAsia="Times New Roman" w:hAnsi="Times New Roman"/>
          <w:sz w:val="18"/>
          <w:szCs w:val="18"/>
          <w:color w:val="auto"/>
        </w:rPr>
        <w:t>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repayment of all other Obligations hereunder, and resignation of the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4.01 Conditions to Effectiveness and Initial Credit Extensions. </w:t>
      </w:r>
      <w:r>
        <w:rPr>
          <w:rFonts w:ascii="Times New Roman" w:cs="Times New Roman" w:eastAsia="Times New Roman" w:hAnsi="Times New Roman"/>
          <w:sz w:val="18"/>
          <w:szCs w:val="18"/>
          <w:color w:val="auto"/>
        </w:rPr>
        <w:t>This Agreement shall become effective upon,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the L/C Issuer and each Lender to make its initial Credit Extension hereunder shall be subject to, in each case, satisfaction of the following conditions precedent:</w:t>
      </w:r>
    </w:p>
    <w:p>
      <w:pPr>
        <w:spacing w:after="0" w:line="175" w:lineRule="exact"/>
        <w:rPr>
          <w:sz w:val="20"/>
          <w:szCs w:val="20"/>
          <w:color w:val="auto"/>
        </w:rPr>
      </w:pPr>
    </w:p>
    <w:p>
      <w:pPr>
        <w:jc w:val="both"/>
        <w:ind w:left="660" w:firstLine="644"/>
        <w:spacing w:after="0" w:line="256" w:lineRule="auto"/>
        <w:tabs>
          <w:tab w:leader="none" w:pos="16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receipt of the following, each of which shall be originals or facsimiles (followed promptly by originals) unless otherwise specified, each properly executed by a Responsible Officer of the Borrower or the applicable Guarantor and, in the case of this Agreement, each Lender, each dated the Closing Date (or, in the case of certificates of governmental officials, a recent date before the Closing Date (or, as to any organization documents that have not been amended, modified or terminated since the closing date of the Existing Credit Agreement or the date thereafter on which they were most recently delivered to the Agent, such date)) and each in form and substance satisfactory to the Agent and each of the Lenders:</w:t>
      </w:r>
    </w:p>
    <w:p>
      <w:pPr>
        <w:spacing w:after="0" w:line="187" w:lineRule="exact"/>
        <w:rPr>
          <w:rFonts w:ascii="Times New Roman" w:cs="Times New Roman" w:eastAsia="Times New Roman" w:hAnsi="Times New Roman"/>
          <w:sz w:val="18"/>
          <w:szCs w:val="18"/>
          <w:color w:val="auto"/>
        </w:rPr>
      </w:pPr>
    </w:p>
    <w:p>
      <w:pPr>
        <w:jc w:val="both"/>
        <w:ind w:left="2280" w:firstLine="644"/>
        <w:spacing w:after="0" w:line="266" w:lineRule="auto"/>
        <w:tabs>
          <w:tab w:leader="none" w:pos="3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executed counterpart of this Agreement, (B) a Guaranty executed by each Material Domestic Subsidiary existing as of the Closing Date, and (C) a Note executed by the Borrower in favor of each Lender requesting a Note;</w:t>
      </w:r>
    </w:p>
    <w:p>
      <w:pPr>
        <w:spacing w:after="0" w:line="175" w:lineRule="exact"/>
        <w:rPr>
          <w:rFonts w:ascii="Times New Roman" w:cs="Times New Roman" w:eastAsia="Times New Roman" w:hAnsi="Times New Roman"/>
          <w:sz w:val="18"/>
          <w:szCs w:val="18"/>
          <w:color w:val="auto"/>
        </w:rPr>
      </w:pPr>
    </w:p>
    <w:p>
      <w:pPr>
        <w:jc w:val="both"/>
        <w:ind w:left="2280" w:firstLine="644"/>
        <w:spacing w:after="0" w:line="258" w:lineRule="auto"/>
        <w:tabs>
          <w:tab w:leader="none" w:pos="3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with specimen signatures and/or other certificates of the secretary or assistant secretary of each Loan Party as the Agent may reasonably require evidencing the identity, authority and capacity of each Authorized Officer thereof authorized to act as an Authorized Officer in connection with this Agreement and the other Loan Documents;</w:t>
      </w:r>
    </w:p>
    <w:p>
      <w:pPr>
        <w:spacing w:after="0" w:line="183" w:lineRule="exact"/>
        <w:rPr>
          <w:rFonts w:ascii="Times New Roman" w:cs="Times New Roman" w:eastAsia="Times New Roman" w:hAnsi="Times New Roman"/>
          <w:sz w:val="18"/>
          <w:szCs w:val="18"/>
          <w:color w:val="auto"/>
        </w:rPr>
      </w:pPr>
    </w:p>
    <w:p>
      <w:pPr>
        <w:jc w:val="both"/>
        <w:ind w:left="2280" w:firstLine="644"/>
        <w:spacing w:after="0" w:line="266" w:lineRule="auto"/>
        <w:tabs>
          <w:tab w:leader="none" w:pos="3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Agent may reasonably require to evidence that each Loan Party is duly organized or formed, and that each Loan Party is validly existing and is in good standing in its jurisdiction of organization;</w:t>
      </w:r>
    </w:p>
    <w:p>
      <w:pPr>
        <w:spacing w:after="0" w:line="175" w:lineRule="exact"/>
        <w:rPr>
          <w:rFonts w:ascii="Times New Roman" w:cs="Times New Roman" w:eastAsia="Times New Roman" w:hAnsi="Times New Roman"/>
          <w:sz w:val="18"/>
          <w:szCs w:val="18"/>
          <w:color w:val="auto"/>
        </w:rPr>
      </w:pPr>
    </w:p>
    <w:p>
      <w:pPr>
        <w:jc w:val="both"/>
        <w:ind w:left="2280" w:firstLine="644"/>
        <w:spacing w:after="0" w:line="266" w:lineRule="auto"/>
        <w:tabs>
          <w:tab w:leader="none" w:pos="3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opinions of Gibson, Dunn &amp; Crutcher LLP and Goodsill Anderson Quinn &amp; Stifel, addressed to the Agent and each Lender, as to such matters concerning the Loan Parties and the Loan Documents as the Lenders may reasonably request; and</w:t>
      </w:r>
    </w:p>
    <w:p>
      <w:pPr>
        <w:spacing w:after="0" w:line="175" w:lineRule="exact"/>
        <w:rPr>
          <w:rFonts w:ascii="Times New Roman" w:cs="Times New Roman" w:eastAsia="Times New Roman" w:hAnsi="Times New Roman"/>
          <w:sz w:val="18"/>
          <w:szCs w:val="18"/>
          <w:color w:val="auto"/>
        </w:rPr>
      </w:pPr>
    </w:p>
    <w:p>
      <w:pPr>
        <w:jc w:val="both"/>
        <w:ind w:left="2280" w:firstLine="644"/>
        <w:spacing w:after="0" w:line="258" w:lineRule="auto"/>
        <w:tabs>
          <w:tab w:leader="none" w:pos="3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certifying (A)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xml:space="preserve"> have been satisfied on and as of the Closing Date, (B) that there has been no event or circumstance since December 31, 2020 that has had or could be reasonably expected to have, either individually or in the aggregate, a Material Adverse Effect, and (C) that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7" w:name="page168"/>
    <w:bookmarkEnd w:id="167"/>
    <w:p>
      <w:pPr>
        <w:jc w:val="both"/>
        <w:ind w:left="2280" w:right="20"/>
        <w:spacing w:after="0" w:line="266" w:lineRule="auto"/>
        <w:rPr>
          <w:sz w:val="20"/>
          <w:szCs w:val="20"/>
          <w:color w:val="auto"/>
        </w:rPr>
      </w:pPr>
      <w:r>
        <w:rPr>
          <w:rFonts w:ascii="Times New Roman" w:cs="Times New Roman" w:eastAsia="Times New Roman" w:hAnsi="Times New Roman"/>
          <w:sz w:val="18"/>
          <w:szCs w:val="18"/>
          <w:color w:val="auto"/>
        </w:rPr>
        <w:t>are copies of all documents evidencing any actions, approval, or consents necessary in connection with this Agreement (or, if no actions, approval or consents are necessary, certifying that no actions, approval or consents are necessary).</w:t>
      </w:r>
    </w:p>
    <w:p>
      <w:pPr>
        <w:spacing w:after="0" w:line="176" w:lineRule="exact"/>
        <w:rPr>
          <w:sz w:val="20"/>
          <w:szCs w:val="20"/>
          <w:color w:val="auto"/>
        </w:rPr>
      </w:pPr>
    </w:p>
    <w:p>
      <w:pPr>
        <w:jc w:val="both"/>
        <w:ind w:left="660" w:firstLine="644"/>
        <w:spacing w:after="0" w:line="266" w:lineRule="auto"/>
        <w:tabs>
          <w:tab w:leader="none" w:pos="16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complete copy of each Note Purchase Agreement in effect as of the Closing Date (in each case, together with (x) an amendment to such Note Purchase Agreement in form and substance satisfactory to the Agent and (y) all exhibits and schedules thereto).</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any Lender, the Borrower shall have provided to such Lender, and such Lender shall be reasonably satisfied with, the documentation and other information so requested in connection with applicable “know your customer” and anti-money laundering rules and regulations, including, without limitation, the PATRIOT Act.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agreed in writing to be paid to the Agent, the Arranger or the Lenders on or before the Closing Date shall have been paid.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Agent, the Borrower shall have paid all fees, charges and disbursements of counsel to the Agent (directly to such counsel if requested by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 and the Agent).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Agent shall notify the Borrower in writing when this Agreement becomes effective. 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4.02 Conditions to all Credit Extensions. </w:t>
      </w:r>
      <w:r>
        <w:rPr>
          <w:rFonts w:ascii="Times New Roman" w:cs="Times New Roman" w:eastAsia="Times New Roman" w:hAnsi="Times New Roman"/>
          <w:sz w:val="18"/>
          <w:szCs w:val="18"/>
          <w:color w:val="auto"/>
        </w:rPr>
        <w:t>The obligation of each Lender to honor any Request for Credit Extension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 Committed Loan Notice requesting only a conversion of Committed Loans to the other Type, or a continuation of Term SOFR Loans) is subject to the following conditions precedent:</w:t>
      </w:r>
    </w:p>
    <w:p>
      <w:pPr>
        <w:spacing w:after="0" w:line="175" w:lineRule="exact"/>
        <w:rPr>
          <w:sz w:val="20"/>
          <w:szCs w:val="20"/>
          <w:color w:val="auto"/>
        </w:rPr>
      </w:pPr>
    </w:p>
    <w:p>
      <w:pPr>
        <w:jc w:val="both"/>
        <w:ind w:left="660" w:firstLine="644"/>
        <w:spacing w:after="0" w:line="254" w:lineRule="auto"/>
        <w:tabs>
          <w:tab w:leader="none" w:pos="163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(or, if such representation or warranty is qualified by materiality or Material Adverse Effect, it shall be true and correct in all respects as drafted) on and as of the date of such Credit Extension, except to the extent that such representations and warranties specifically refer to an earlier date, in which case they shall be true and correct in all material respects (or, if such representation or warranty is qualified by materiality or material adverse effect, it shall be true and correct in all respects as drafted)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subsections (a) and (b)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8" w:name="page169"/>
    <w:bookmarkEnd w:id="168"/>
    <w:p>
      <w:pPr>
        <w:ind w:left="660" w:right="20" w:firstLine="644"/>
        <w:spacing w:after="0" w:line="282" w:lineRule="auto"/>
        <w:tabs>
          <w:tab w:leader="none" w:pos="16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thereof.</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if applicable, the L/C Issuer or the Swing Line Lender (if no Autoborrow Agreement is then in effect) shall have received a Request for Credit Extension in accordance with the requirements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Committed Loan Notice requesting only a conversion of Committed Loans to the other Type or a continuation of Term SOFR Loans) submitted by the Borrower and each Swing Line Borrowing of Swing Line Loans pursuant to an Autoborrow Agreement shall be deemed to be a representation and warranty that the conditions specified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Agent and the Lenders that:</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Organization. </w:t>
      </w:r>
      <w:r>
        <w:rPr>
          <w:rFonts w:ascii="Times New Roman" w:cs="Times New Roman" w:eastAsia="Times New Roman" w:hAnsi="Times New Roman"/>
          <w:sz w:val="18"/>
          <w:szCs w:val="18"/>
          <w:color w:val="auto"/>
        </w:rPr>
        <w:t>Each Loan Party and each Material Subsidiary is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its organization. The Borrower and each Material Subsidiary has the full power and authority to own its properties and to carry on its business as now being conducted, and is duly qualified in every state where the nature of its business requires that it do so, and is in good standing under the laws of every jurisdiction outside the state of its organization in which it owns or leases property or conducts business and in which the failure to so qualify would have a Material Adverse Effect. The Borrower and each Material Subsidiary has complied in all material respects with (or is exempt from the application of) all material federal, state and local laws, regulations and orders that are (or in the absence of any exemption could be) applicable to the operations of its business, including public utility, bank holding company, state agricultural and Environmental and Safety Laws, in each case except to the extent that the failure to so comply would not reasonably be expected to have a Material Adverse Effect. Each Loan Party has full power, authority and right to execute and deliver, and to perform and observe, the provisions of this Agreement and the other Loan Documents to which such Loan Party is a party and to carry out the transactions contemplated hereby and thereby. The execution, delivery and performance of the Loan Documents by each Loan Party have been authorized by all necessary corporate and other action, and, when duly executed and delivered, will be the legal, valid and binding obligations of such Loan Party, enforceable against it in accordance with their respective terms.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5.02</w:t>
      </w:r>
      <w:r>
        <w:rPr>
          <w:sz w:val="20"/>
          <w:szCs w:val="20"/>
          <w:color w:val="auto"/>
        </w:rPr>
        <w:tab/>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6" w:lineRule="auto"/>
        <w:tabs>
          <w:tab w:leader="none" w:pos="163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Debt.</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delivered pursuant to </w:t>
      </w: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for the fiscal quarter ending September 30, 2020 (i) were prepared in accordance with GAAP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9" w:name="page170"/>
    <w:bookmarkEnd w:id="169"/>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throughout the period covered thereby, except as otherwise expressly noted therein; and (ii) fairly present the financial condition of the Borrower and its Subsidiaries as of the date thereof and their results of operations for the period covered thereby, subject, in the case of unaudited financial statements, to the absence of footnotes and to normal year-end audit adjustments).</w:t>
      </w:r>
    </w:p>
    <w:p>
      <w:pPr>
        <w:spacing w:after="0" w:line="176" w:lineRule="exact"/>
        <w:rPr>
          <w:sz w:val="20"/>
          <w:szCs w:val="20"/>
          <w:color w:val="auto"/>
        </w:rPr>
      </w:pPr>
    </w:p>
    <w:p>
      <w:pPr>
        <w:ind w:left="660" w:firstLine="644"/>
        <w:spacing w:after="0" w:line="282" w:lineRule="auto"/>
        <w:tabs>
          <w:tab w:leader="none" w:pos="163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5.03 Actions Pending. </w:t>
      </w:r>
      <w:r>
        <w:rPr>
          <w:rFonts w:ascii="Times New Roman" w:cs="Times New Roman" w:eastAsia="Times New Roman" w:hAnsi="Times New Roman"/>
          <w:sz w:val="18"/>
          <w:szCs w:val="18"/>
          <w:color w:val="auto"/>
        </w:rPr>
        <w:t>There is no action, suit, investigation or proceeding pending or, to the knowledge of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against the Borrower or any Subsidiary or any properties or rights of the Borrower or any Subsidiary, by or before any court, arbitrator or administrative or governmental body which could reasonably be expected to result in a Material Adverse Effect.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5.04 Outstanding Debt. </w:t>
      </w:r>
      <w:r>
        <w:rPr>
          <w:rFonts w:ascii="Times New Roman" w:cs="Times New Roman" w:eastAsia="Times New Roman" w:hAnsi="Times New Roman"/>
          <w:sz w:val="18"/>
          <w:szCs w:val="18"/>
          <w:color w:val="auto"/>
        </w:rPr>
        <w:t>Neither the Borrower nor any Subsidiary has any Debt outstanding except as not prohibited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5.05 Title to Properties. </w:t>
      </w:r>
      <w:r>
        <w:rPr>
          <w:rFonts w:ascii="Times New Roman" w:cs="Times New Roman" w:eastAsia="Times New Roman" w:hAnsi="Times New Roman"/>
          <w:sz w:val="18"/>
          <w:szCs w:val="18"/>
          <w:color w:val="auto"/>
        </w:rPr>
        <w:t>The Borrower and each Material Subsidiary have good and indefeasible title to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real properties (other than properties which they lease) and have good title to all of their other material properties and assets, including the properties and assets reflected in the most recent audited balance sheet referred to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or furnished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(other than properties and assets disposed of in the ordinary course of business) except where the failure to have such good title would not reasonably be expected to have a Material Adverse Effect. Such properties are not subject to any Liens of any kind except Liens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There is no material default, nor any event that, with notice or lapse of time or both, would constitute such a material default under any material lease to which either the Borrower or any Material Subsidiary is a lessee, lessor, sublessee or sublessor.</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5.06 Taxes. </w:t>
      </w:r>
      <w:r>
        <w:rPr>
          <w:rFonts w:ascii="Times New Roman" w:cs="Times New Roman" w:eastAsia="Times New Roman" w:hAnsi="Times New Roman"/>
          <w:sz w:val="18"/>
          <w:szCs w:val="18"/>
          <w:color w:val="auto"/>
        </w:rPr>
        <w:t>Except as could not, individually or in the aggregate, reasonably be expected to result in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Effect,(a) each Loan Party and each Material Subsidiary has filed all Federal and state income tax and all other material tax and informational returns which are required to be filed by it, and (b) the Borrower and each such Subsidiary has paid all taxes as shown on such returns and on all assessments received (other than such taxes as are not yet delinquent), except such taxes as are being contested in good faith by appropriate proceedings for which adequate reserves have been established in accordance with GAAP.</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5.07 Conflicting Agreements and Other Matters. </w:t>
      </w:r>
      <w:r>
        <w:rPr>
          <w:rFonts w:ascii="Times New Roman" w:cs="Times New Roman" w:eastAsia="Times New Roman" w:hAnsi="Times New Roman"/>
          <w:sz w:val="18"/>
          <w:szCs w:val="18"/>
          <w:color w:val="auto"/>
        </w:rPr>
        <w:t>Neither the execution nor delivery of this Agreement or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nor the making of Credit Extensions hereunder, nor fulfillment of nor compliance with the terms and provisions of this Agreement or the other Loan Documents will conflict with, or result in a breach of the terms, conditions or provisions of, or constitute a default under, or result in any violation of, or result in the creation of any Lien upon any of the properties or assets of the Borrower or any Subsidiary pursuant to, their respective articles of incorporation, bylaws or similar organizational documents, any award of any arbitrator or any agreement, instrument, order, judgment, decree, and after due investigation and to the Borrower’s best knowledge, any statute, law, rule or regulation to which the Borrower or any Subsidiary is subject. Neither the Borrower nor any Subsidiary is a party to, or otherwise subject to any provision contained in, any instrument evidencing any of their respective Debt, any agreement relating thereto or any other contract or agreement which restricts or otherwise limits the incurring of Debt pursuant hereto, except as set forth on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0" w:name="page171"/>
    <w:bookmarkEnd w:id="17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5.08 Subsidiaries</w:t>
      </w:r>
      <w:r>
        <w:rPr>
          <w:rFonts w:ascii="Times New Roman" w:cs="Times New Roman" w:eastAsia="Times New Roman" w:hAnsi="Times New Roman"/>
          <w:sz w:val="18"/>
          <w:szCs w:val="18"/>
          <w:color w:val="auto"/>
        </w:rPr>
        <w:t>.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complete and accurate list as of the Closing Date of each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Subsidiary.</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5.09 ERISA</w:t>
      </w:r>
      <w:r>
        <w:rPr>
          <w:rFonts w:ascii="Times New Roman" w:cs="Times New Roman" w:eastAsia="Times New Roman" w:hAnsi="Times New Roman"/>
          <w:sz w:val="18"/>
          <w:szCs w:val="18"/>
          <w:color w:val="auto"/>
        </w:rPr>
        <w:t>. No accumulated funding deficiency (as defined in section 302 of ERISA and section 412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waived, exists with respect to any Plan (other than a Multiemployer Plan). No liability to the PBGC has been or is expected by the Borrower or any ERISA Affiliate to be incurred with respect to any Plan (other than a Multiemployer Plan) by the Borrower, any Subsidiary or any ERISA Affiliate which is or would be materially adverse to the business, condition (financial or otherwise) or operations of the Borrower and its Subsidiaries taken as a whole. Neither the Borrower, any of its Subsidiaries or any ERISA Affiliate has incurred or presently expects to incur any withdrawal liability under Title IV of ERISA with respect to any Multiemployer Plan which is or would reasonably be expected to have a Material Adverse Effect. The execution and delivery of this Agreement and the other Loan Documents and the Credit Extensions hereunder will be exempt from, or did not and will not involve any transaction which is subject to the prohibitions of, section 406 of ERISA and did not and will not involve any transaction in connection with which a penalty could be imposed under section 502(i) of ERISA or a tax could be imposed pursuant to section 4975 of the Code. As of the Closing Date,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5.10 Government Consent</w:t>
      </w:r>
      <w:r>
        <w:rPr>
          <w:rFonts w:ascii="Times New Roman" w:cs="Times New Roman" w:eastAsia="Times New Roman" w:hAnsi="Times New Roman"/>
          <w:sz w:val="18"/>
          <w:szCs w:val="18"/>
          <w:color w:val="auto"/>
        </w:rPr>
        <w:t>. Neither the nature of the Borrower or any of its Subsidiaries, nor any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or properties, nor any relationship between the Borrower or a Subsidiary and any other Person, nor any circumstance in connection with the Credit Extensions hereunder is such as to require any authorization, consent, approval, exemption or other action by, notice to or filing with any court, administrative or governmental body (other than routine filings after the Closing Date with the SEC and/or state blue sky authorities) in connection with (a) the execution and delivery of this Agreement and the other Loan Documents or</w:t>
      </w:r>
    </w:p>
    <w:p>
      <w:pPr>
        <w:spacing w:after="0" w:line="3" w:lineRule="exact"/>
        <w:rPr>
          <w:sz w:val="20"/>
          <w:szCs w:val="20"/>
          <w:color w:val="auto"/>
        </w:rPr>
      </w:pPr>
    </w:p>
    <w:p>
      <w:pPr>
        <w:ind w:firstLine="8"/>
        <w:spacing w:after="0" w:line="260" w:lineRule="auto"/>
        <w:tabs>
          <w:tab w:leader="none" w:pos="26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of or compliance with the terms and provisions of this Agreement and the other Loan Documents, in either case, that has not been obtained.</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5.11 Investment Company Status; Margin Stock</w:t>
      </w:r>
      <w:r>
        <w:rPr>
          <w:rFonts w:ascii="Times New Roman" w:cs="Times New Roman" w:eastAsia="Times New Roman" w:hAnsi="Times New Roman"/>
          <w:sz w:val="18"/>
          <w:szCs w:val="18"/>
          <w:color w:val="auto"/>
        </w:rPr>
        <w:t>. The Borrower is not an “investment company” or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an “investment company” within the meaning of the Investment Company Act of 1940, or an “investment adviser” within the meaning of the Investment Advisers Act of 1940. No part of the proceeds of any Credit Extension will be used in any manner that is in violation of Regulations U or X issued by the FRB. After applying the proceeds of each Credit Extension, margin stock (within the meaning of Regulation U issued by the FRB) will not constitute more than 25% of the value of the assets (either of the Borrower alone or the Borrower and its Subsidiaries on a consolidated basis) that are subject to the provisions of this Agreement that may cause the Credit Extensions to be deemed secured, directly or indirectly, by margin stock.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5.12 Possession of Franchises, Licenses, Etc</w:t>
      </w:r>
      <w:r>
        <w:rPr>
          <w:rFonts w:ascii="Times New Roman" w:cs="Times New Roman" w:eastAsia="Times New Roman" w:hAnsi="Times New Roman"/>
          <w:sz w:val="18"/>
          <w:szCs w:val="18"/>
          <w:color w:val="auto"/>
        </w:rPr>
        <w:t>. The Borrower and its Subsidiaries possess all material franchises,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licenses, development and other permits and other authorizations from governmental political subdivisions or regulatory authorities and all material patents, trademarks, service marks, trade names, copyrights, licenses, easements, rights of way and other rights (collectively, “</w:t>
      </w:r>
      <w:r>
        <w:rPr>
          <w:rFonts w:ascii="Times New Roman" w:cs="Times New Roman" w:eastAsia="Times New Roman" w:hAnsi="Times New Roman"/>
          <w:sz w:val="18"/>
          <w:szCs w:val="18"/>
          <w:u w:val="single" w:color="auto"/>
          <w:color w:val="auto"/>
        </w:rPr>
        <w:t>Material Rights</w:t>
      </w:r>
      <w:r>
        <w:rPr>
          <w:rFonts w:ascii="Times New Roman" w:cs="Times New Roman" w:eastAsia="Times New Roman" w:hAnsi="Times New Roman"/>
          <w:sz w:val="18"/>
          <w:szCs w:val="18"/>
          <w:color w:val="auto"/>
        </w:rPr>
        <w:t>”), free from burdensome restriction, that are necessary in the judgment of the Borrower in any material respect for the ownership, maintenance and operation of their business, properties and assets, and neither the Borrower nor any of its Subsidiaries is in violation of any Material Rights except where the violation of such Material Rights would not reasonably be expected to have a Material Adverse Effect. No event has occurred which permits, or after notice or lapse of time or both would permit, the revocation or termination of any such Material Rights except where the revocation of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1" w:name="page172"/>
    <w:bookmarkEnd w:id="171"/>
    <w:p>
      <w:pPr>
        <w:jc w:val="both"/>
        <w:spacing w:after="0" w:line="282" w:lineRule="auto"/>
        <w:rPr>
          <w:sz w:val="20"/>
          <w:szCs w:val="20"/>
          <w:color w:val="auto"/>
        </w:rPr>
      </w:pPr>
      <w:r>
        <w:rPr>
          <w:rFonts w:ascii="Times New Roman" w:cs="Times New Roman" w:eastAsia="Times New Roman" w:hAnsi="Times New Roman"/>
          <w:sz w:val="18"/>
          <w:szCs w:val="18"/>
          <w:color w:val="auto"/>
        </w:rPr>
        <w:t>Rights would not reasonably be expected to have a Material Adverse Effect, or which materially and adversely affects the rights of the Borrower or its Subsidiaries thereunder.</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5.13 Environmental and Safety Matters</w:t>
      </w:r>
      <w:r>
        <w:rPr>
          <w:rFonts w:ascii="Times New Roman" w:cs="Times New Roman" w:eastAsia="Times New Roman" w:hAnsi="Times New Roman"/>
          <w:sz w:val="18"/>
          <w:szCs w:val="18"/>
          <w:color w:val="auto"/>
        </w:rPr>
        <w:t>. The Borrower and its Subsidiaries and all of their respective properties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do comply and to the knowledge of the Borrower, have complied at all times and in all respects with all Environmental and Safety Laws except where failure to comply would not result in a Material Adverse Effect.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5.14 Hostile Tender Offers</w:t>
      </w:r>
      <w:r>
        <w:rPr>
          <w:rFonts w:ascii="Times New Roman" w:cs="Times New Roman" w:eastAsia="Times New Roman" w:hAnsi="Times New Roman"/>
          <w:sz w:val="18"/>
          <w:szCs w:val="18"/>
          <w:color w:val="auto"/>
        </w:rPr>
        <w:t>. None of the proceeds of the Credit Extensions will be used to finance any offer to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(a) purchases for portfolio investment purposes of such shares, equity interests, securities or rights which, together with any shares, equity interests, securities or rights then owned by the Borrower and its Subsidiaries, represent less than 5% of the equity interests or beneficial ownership of such corporation or other entity, or (b) such offers or purchases as have been duly approved by the board of directors of such corporation or the equivalent governing body of such other entity.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5.15 Employee Relations</w:t>
      </w:r>
      <w:r>
        <w:rPr>
          <w:rFonts w:ascii="Times New Roman" w:cs="Times New Roman" w:eastAsia="Times New Roman" w:hAnsi="Times New Roman"/>
          <w:sz w:val="18"/>
          <w:szCs w:val="18"/>
          <w:color w:val="auto"/>
        </w:rPr>
        <w:t>. Neither the Borrower nor any Subsidiary is the subject of (a) any material strike, work slowdown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stoppage, union organizing drive or other similar activity or (b) any material action, suit, investigation or other proceeding involving alleged employment discrimination, unfair termination, employee safety or similar matters that in either case would reasonably be expected to have a Material Adverse Effect nor, to the best knowledge of the Borrower, is any such event imminent or likely to occur except those which, individually or in aggregate, could not reasonably be expected to have a Material Adverse Effect.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7"/>
          <w:szCs w:val="17"/>
          <w:b w:val="1"/>
          <w:bCs w:val="1"/>
          <w:color w:val="auto"/>
        </w:rPr>
        <w:t>Sanctions and Anti-Corruption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8" w:lineRule="auto"/>
        <w:tabs>
          <w:tab w:leader="none" w:pos="16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 Subsidiary nor, to the knowledge of senior management of any Loan Party, any Related Party is an individual or entity that is, or is owned or controlled by any individual or entity that is (i) currently the subject or target of any Sanctions, (ii) included on OFAC’s List of Specially Designated Nationals, or any similar list enforced by any other relevant sanctions authority applicable to the Borrower and its Subsidiaries or (iii) located, organized or resident in a Designated Jurisdiction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Subsidiaries has been charged with, or convicted of bribery or any other anti-corruption related activity under any law or regulation applicable to bribery or any other anti-corruption related activity in a U.S. or any non-U.S. country or jurisdiction, including but not limited to the United States Foreign Corrupt Practices Act of 1977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 the Borrower has established and maintained procedures and controls which it reasonably believes are adequate to promote and achieve compliance by the Borrower and its Subsidiaries in all material respects with all applicable Anti-Corruption Laws.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5.17 Disclosure</w:t>
      </w:r>
      <w:r>
        <w:rPr>
          <w:rFonts w:ascii="Times New Roman" w:cs="Times New Roman" w:eastAsia="Times New Roman" w:hAnsi="Times New Roman"/>
          <w:sz w:val="18"/>
          <w:szCs w:val="18"/>
          <w:color w:val="auto"/>
        </w:rPr>
        <w:t>. Neither this Agreement nor any other document, certificate or statement furnished to the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by or on behalf of the Borrower in connection herewith contains any untrue statement of a material fact or omits to state a material fact necessary in order to make the statements contained herein and therein, taken as a whole as of the date thereof,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projected financial information, the Borrower represents only that such information was prepared in good faith based upon assumptions believed to be reasonable at the time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2" w:name="page173"/>
    <w:bookmarkEnd w:id="172"/>
    <w:p>
      <w:pPr>
        <w:jc w:val="both"/>
        <w:spacing w:after="0" w:line="266" w:lineRule="auto"/>
        <w:rPr>
          <w:sz w:val="20"/>
          <w:szCs w:val="20"/>
          <w:color w:val="auto"/>
        </w:rPr>
      </w:pPr>
      <w:r>
        <w:rPr>
          <w:rFonts w:ascii="Times New Roman" w:cs="Times New Roman" w:eastAsia="Times New Roman" w:hAnsi="Times New Roman"/>
          <w:sz w:val="18"/>
          <w:szCs w:val="18"/>
          <w:color w:val="auto"/>
        </w:rPr>
        <w:t>available to it at such time, it being understood that the Borrower is under no obligation to update such projections or underlying information. As of the Closing Date, the information included in the Beneficial Ownership Certification, if applicable, is true and correct in all respects.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No Affected Financial Institution</w:t>
      </w:r>
      <w:r>
        <w:rPr>
          <w:rFonts w:ascii="Times New Roman" w:cs="Times New Roman" w:eastAsia="Times New Roman" w:hAnsi="Times New Roman"/>
          <w:sz w:val="17"/>
          <w:szCs w:val="17"/>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and after the Closing Date, and so long as any Lender shall have any Commitment hereunder, any Loan or other Obligation hereunder (other than any contingent indemnification Obligation) shall remain unpaid or unsatisfied, or any Letter of Credit shall remain outstanding:</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6.01</w:t>
      </w:r>
      <w:r>
        <w:rPr>
          <w:sz w:val="20"/>
          <w:szCs w:val="20"/>
          <w:color w:val="auto"/>
        </w:rPr>
        <w:tab/>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The Borrower shall deliver to the Agent (for distribution to the Lenders):</w:t>
      </w:r>
    </w:p>
    <w:p>
      <w:pPr>
        <w:spacing w:after="0" w:line="229" w:lineRule="exact"/>
        <w:rPr>
          <w:sz w:val="20"/>
          <w:szCs w:val="20"/>
          <w:color w:val="auto"/>
        </w:rPr>
      </w:pPr>
    </w:p>
    <w:p>
      <w:pPr>
        <w:jc w:val="both"/>
        <w:ind w:left="660" w:firstLine="644"/>
        <w:spacing w:after="0" w:line="255" w:lineRule="auto"/>
        <w:tabs>
          <w:tab w:leader="none" w:pos="163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in any event within 60 days after the end of each quarterly period (other than the last quarterly period) in each fiscal year (or if earlier, 5 days after the date required to be filed with the SEC), consolidated statements of income and cash flows of the Borrower and its Subsidiaries for the period from the beginning of the current fiscal year to the end of such quarterly period, and a consolidated balance sheet of the Borrower and its Subsidiaries as at the end of such quarterly period, setting forth in each case in comparative form figures for the corresponding period in the preceding fiscal year, all in reasonable detail and certified by an authorized financial officer of the Borrower, subject only to changes resulting from year-end adjustments;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3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and in any event within 120 days after the end of each fiscal year of the Borrower (or if earlier, 5 days after the date required to be filed with the SEC), consolidated statements of income and cash flows of the Borrower and its Subsidiaries for such year and a consolidated balance sheet of the Borrower and its Subsidiaries as at the end of such fiscal year, setting forth in each case in comparative form corresponding figures from the preceding annual audit, certified by independent public accountants of recognized national standing whose opinion shall be prepared in accordance with generally accepted auditing standards and shall not be subject to any “going concern” or like qualification or exception or any qualification or exception as to the scope of such audit;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shall not be a violation of this clause (b) if the opinion accompanying the financial statements for the last fiscal year prior to the Maturity Date is subject to a “going concern” or like qualification solely as a result of the impending maturity of the Loans under this Agreement;</w:t>
      </w:r>
    </w:p>
    <w:p>
      <w:pPr>
        <w:spacing w:after="0" w:line="18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each delivery of financial statements required by clauses (a) and (b) above, a Compliance Certificate</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1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setting forth computations showing the calculation of the covenants in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(y) stating that there exists no Default, or if any such Default exists, specifying the nature and period of existence thereof and what action the Borrower proposes to take with respect thereto and (z) attaching supplements to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as are necessary such that, as supplemented, such Schedule would be accurate and complete as of the date of such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3" w:name="page174"/>
    <w:bookmarkEnd w:id="173"/>
    <w:p>
      <w:pPr>
        <w:jc w:val="both"/>
        <w:ind w:left="660" w:right="20" w:firstLine="644"/>
        <w:spacing w:after="0" w:line="266" w:lineRule="auto"/>
        <w:tabs>
          <w:tab w:leader="none" w:pos="16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transmission thereof, copies of all such financial, proxy and information statements, notices and other reports as are sent to the Borrower’s public stockholders and copies of all registration statements (without exhibits) and all reports which are filed with the SEC;</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a copy of each other material report submitted to the Borrower or any of its Subsidiaries by independent accountants in connection with any material annual, interim or special audit made by them of the books of such Borrower or such Subsidiary;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certificate, statement or report furnished to any other lender to, or holder of the debt securities of, the Borrower pursuant to the terms of any indenture, loan, credit or similar agreement or instrument and not otherwise required to be furnished to the Lenders pursuant to any other clause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reasonable promptness, such other financial data as the Agent or any Lender may reasonably request.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also covenants that forthwith upon a Responsible Officer obtaining actual knowledge of a Default, it will deliver to the Agent and the Lenders an Officers’ Certificate specifying the nature and period of existence thereof and what action the Borrower proposes to take with respect thereto.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(ii) on which such documents are posted on the Borrower’s behalf on an Internet or intranet website, if any, to which each Lender and the Agent have access (whether a commercial, third-party website or whether sponsored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documents that are not available on http://www.sec.gov: (A) the Borrower shall deliver paper copies of such documents to the Agent or any Lender that requests the Borrower to deliver such paper copies until a written request to cease delivering paper copies is given by the Agent or such Lender and (B) the Borrower shall notify the Agent and each Lender (by fax transmission or e-mail transmission) of the posting of any such documents and upon the request of the Agent or any Lender, shall provide to the Agent by e-mail electronic versions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soft copies) of such documents. The Agent shall have no obligation to request the delivery of or to maintain paper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Borrower hereby acknowledges that (1) the Agent and/or the Arranger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by posting the Borrower Materials on Debt Domain, IntraLinks, Syndtrak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(2)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by the Borrower as “PUBLIC” which, at a minimum, shall mean that the word “PUBLIC” shall appear prominently on the first page thereof; (x) by marking Borrower Materials “PUBLIC,” the Borrower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4" w:name="page175"/>
    <w:bookmarkEnd w:id="174"/>
    <w:p>
      <w:pPr>
        <w:jc w:val="both"/>
        <w:spacing w:after="0" w:line="255" w:lineRule="auto"/>
        <w:rPr>
          <w:sz w:val="20"/>
          <w:szCs w:val="20"/>
          <w:color w:val="auto"/>
        </w:rPr>
      </w:pPr>
      <w:r>
        <w:rPr>
          <w:rFonts w:ascii="Times New Roman" w:cs="Times New Roman" w:eastAsia="Times New Roman" w:hAnsi="Times New Roman"/>
          <w:sz w:val="18"/>
          <w:szCs w:val="18"/>
          <w:color w:val="auto"/>
        </w:rPr>
        <w:t>authorized the Agent, the Arranger, the L/C Issuer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6.02 Inspection of Property</w:t>
      </w:r>
      <w:r>
        <w:rPr>
          <w:rFonts w:ascii="Times New Roman" w:cs="Times New Roman" w:eastAsia="Times New Roman" w:hAnsi="Times New Roman"/>
          <w:sz w:val="18"/>
          <w:szCs w:val="18"/>
          <w:color w:val="auto"/>
        </w:rPr>
        <w:t>. The Borrower shall, and shall cause its Subsidiaries to, permit any employees or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the Agent, any of its Related Parties or any other Lender with a Commitment in excess of $5,000,000, at such Person’s expense, to visit and inspect any of the properties of the Borrower and its Subsidiaries, to examine their books and financial records and to make copies thereof or extracts therefrom and to discuss their affairs, finances and accounts with the Responsible Officers and the Borrower’s independent certified public accountants, all at such reasonable times and as often as such Person may reasonably request; provided that a principal financial officer of the Borrower shall have reasonable prior notice of, and may elect to be present during, discussions with the Borrower’s independent public accountants.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6.03 Covenant to Secure Obligations Equally</w:t>
      </w:r>
      <w:r>
        <w:rPr>
          <w:rFonts w:ascii="Times New Roman" w:cs="Times New Roman" w:eastAsia="Times New Roman" w:hAnsi="Times New Roman"/>
          <w:sz w:val="18"/>
          <w:szCs w:val="18"/>
          <w:color w:val="auto"/>
        </w:rPr>
        <w:t>. (a) If the Borrower or any of its Domestic Subsidiaries shall create, assume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otherwise incur any Lien upon any of its property or assets, whether now owned or hereafter acquired, other than Liens permitted by the provisions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(including in such permitted Liens, without limitation, Liens securing Title XI Debt to the extent such Title XI Debt is permitted Priority Debt) or (b) if the Borrower or any of its Subsidiaries shall create, assume or otherwise incur any Lien upon any of its property or assets, whether now owned or hereafter acquired to secure its obligations under any Note Purchase Agreement (other than (x) the Collateral and/or (y) cash collateral in an amount not to exceed, for each such Note Purchase Agreement, the amount of Cash Collateral being provided by the Borrower and its Subsidiaries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then in either case, the Borrower will make, or will cause its Subsidiaries to make, effective provision whereby the Obligations will be secured by such Lien equally and ratably with any and all other Debt thereby secured so long as any such other Debt shall be so secured pursuant to an agreement or agreements (including security agreements and similar collateral documents and an intercreditor agreement) reasonably acceptable to the Required Lenders.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6.04 Maintenance of Properties; Insurance</w:t>
      </w:r>
      <w:r>
        <w:rPr>
          <w:rFonts w:ascii="Times New Roman" w:cs="Times New Roman" w:eastAsia="Times New Roman" w:hAnsi="Times New Roman"/>
          <w:sz w:val="18"/>
          <w:szCs w:val="18"/>
          <w:color w:val="auto"/>
        </w:rPr>
        <w:t>. The Borrower shall, and shall cause its Subsidiaries to (a) maintain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maintained in good repair, working order and condition all material properties used or useful at that time in its business and from time to time will make or cause to be made all appropriate repairs, renewals and replacements thereof and (b) maintain insurance with reputable and financially sound insurers in such amounts and against such liabilities and hazards as is customarily maintained by other companies operating similar businesses and together with each delivery of financial statements under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upon the request of the Agent, deliver certificates of insurance to the foregoing effect to the Agent.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7"/>
          <w:szCs w:val="17"/>
          <w:b w:val="1"/>
          <w:bCs w:val="1"/>
          <w:color w:val="auto"/>
        </w:rPr>
        <w:t>Environmental and Safety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61" w:lineRule="auto"/>
        <w:tabs>
          <w:tab w:leader="none" w:pos="16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promptly to the Agent notice of (i) any material enforcement, cleanup, removal or other material governmental or regulatory action instituted or, to the Borrower’s best knowledge, threatened against the Borrower or any Material Subsidiary pursuant to any Environmental and Safety Laws, (ii) all material Environmental Liabilities and Costs against or in respect of the property, Borrower or any Material Subsidiary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5" w:name="page176"/>
    <w:bookmarkEnd w:id="175"/>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material properties and (iii) the Borrower’s or any Material Subsidiary’s discovery of any occurrence or condition on any material real property adjoining or in the vicinity of any of its properties that the Borrower or such Material Subsidiary has reason to believe would cause such property or any material part thereof to be subject to any material restrictions on its ownership, occupancy, transferability or use under any Environmental and Safety Laws.</w:t>
      </w:r>
    </w:p>
    <w:p>
      <w:pPr>
        <w:spacing w:after="0" w:line="180" w:lineRule="exact"/>
        <w:rPr>
          <w:sz w:val="20"/>
          <w:szCs w:val="20"/>
          <w:color w:val="auto"/>
        </w:rPr>
      </w:pPr>
    </w:p>
    <w:p>
      <w:pPr>
        <w:jc w:val="both"/>
        <w:ind w:left="660" w:firstLine="644"/>
        <w:spacing w:after="0" w:line="266" w:lineRule="auto"/>
        <w:tabs>
          <w:tab w:leader="none" w:pos="163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shall cause its Material Subsidiaries to, keep and maintain its properties and conduct its and their operations in compliance in all material respects with all applicable Environmental and Safety Laws except where the failure to do so would not reasonably be expected to have a Material Adverse Effect.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6.06 Use of Proceeds</w:t>
      </w:r>
      <w:r>
        <w:rPr>
          <w:rFonts w:ascii="Times New Roman" w:cs="Times New Roman" w:eastAsia="Times New Roman" w:hAnsi="Times New Roman"/>
          <w:sz w:val="18"/>
          <w:szCs w:val="18"/>
          <w:color w:val="auto"/>
        </w:rPr>
        <w:t>. The Borrower shall, and shall cause its Subsidiaries to, use the proceeds of the Credit Extensions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finance working capital, capital expenditures (including Acquisitions) and other lawful corporate purposes, (b) to refinance certain existing indebtedness, (c) for support of commercial paper issued by the Borrower, and (d) to pay fees and expenses incurred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proceeds of any Credit Extension be used in contravention of any law or of any Loan Document.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6.07 United States Citizen</w:t>
      </w:r>
      <w:r>
        <w:rPr>
          <w:rFonts w:ascii="Times New Roman" w:cs="Times New Roman" w:eastAsia="Times New Roman" w:hAnsi="Times New Roman"/>
          <w:sz w:val="18"/>
          <w:szCs w:val="18"/>
          <w:color w:val="auto"/>
        </w:rPr>
        <w:t>. The Borrower covenants that it will, and will cause each of its Subsidiaries that owns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any Vessel, at all times to preserve and maintain its status as a Section 2 Citizen. For purposes hereof, “</w:t>
      </w:r>
      <w:r>
        <w:rPr>
          <w:rFonts w:ascii="Times New Roman" w:cs="Times New Roman" w:eastAsia="Times New Roman" w:hAnsi="Times New Roman"/>
          <w:sz w:val="18"/>
          <w:szCs w:val="18"/>
          <w:u w:val="single" w:color="auto"/>
          <w:color w:val="auto"/>
        </w:rPr>
        <w:t>Section 2 Citizen</w:t>
      </w:r>
      <w:r>
        <w:rPr>
          <w:rFonts w:ascii="Times New Roman" w:cs="Times New Roman" w:eastAsia="Times New Roman" w:hAnsi="Times New Roman"/>
          <w:sz w:val="18"/>
          <w:szCs w:val="18"/>
          <w:color w:val="auto"/>
        </w:rPr>
        <w:t>” means a Person that is a citizen of the United States as required for the coastwise trade under Section 50501 of Title 46 of the United States Code and the regulations in effect from time to time thereunder.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6.08</w:t>
      </w:r>
      <w:r>
        <w:rPr>
          <w:sz w:val="20"/>
          <w:szCs w:val="20"/>
          <w:color w:val="auto"/>
        </w:rPr>
        <w:tab/>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5" w:lineRule="auto"/>
        <w:tabs>
          <w:tab w:leader="none" w:pos="163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Together with each delivery of financial statements required by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the Borrower shall notify the Agent if any wholly-owned Subsidiary has become a Material Domestic Subsidiary after the Closing Date. Within 30 days after such notification (or such longer period as determined by Agent in its sole discretion), the Borrower shall cause such wholly-owned Material Domestic Subsidiary to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3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Guarantor is a party to any transaction of merger, consolidation or other combination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7.04(c)</w:t>
      </w:r>
      <w:r>
        <w:rPr>
          <w:rFonts w:ascii="Times New Roman" w:cs="Times New Roman" w:eastAsia="Times New Roman" w:hAnsi="Times New Roman"/>
          <w:sz w:val="18"/>
          <w:szCs w:val="18"/>
          <w:color w:val="auto"/>
        </w:rPr>
        <w:t>, the continuing or surviving Person of such transaction shall, within 30 days after the consummation of such transaction (or such longer period as determined by Agent in its sole discretion),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forgoing, concurrently with such time as any Person becomes a guarantor or other obligor under any Note Purchase Agreement, the Borrower shall cause such Person to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6" w:name="page177"/>
    <w:bookmarkEnd w:id="176"/>
    <w:p>
      <w:pPr>
        <w:jc w:val="both"/>
        <w:ind w:left="660" w:firstLine="644"/>
        <w:spacing w:after="0" w:line="261" w:lineRule="auto"/>
        <w:tabs>
          <w:tab w:leader="none" w:pos="16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exists, if a Guarantor ceases to be a Material Domestic Subsidiary, then upon the written request of the Borrower, the Agent shall release such Guarantor from its obligations under the Guaranty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release such Guarantor unless such Guarantor is not at such time (or concurrently with such release by the Agent will cease to be) a guarantor or obligor under any Note Purchase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6.10 Anti-Corruption Laws</w:t>
      </w:r>
      <w:r>
        <w:rPr>
          <w:rFonts w:ascii="Times New Roman" w:cs="Times New Roman" w:eastAsia="Times New Roman" w:hAnsi="Times New Roman"/>
          <w:sz w:val="18"/>
          <w:szCs w:val="18"/>
          <w:color w:val="auto"/>
        </w:rPr>
        <w:t>. The Borrower shall, and shall cause its Subsidiaries to, conduct its businesses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material respects with all applicable Anti-Corruption Laws and maintain procedures and controls which it reasonably believes are adequate to promote and achieve compliance in all material respects by the Borrower and its Subsidiaries with all applicable Anti-Corruption Laws.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Incumbency Certificates</w:t>
      </w:r>
      <w:r>
        <w:rPr>
          <w:rFonts w:ascii="Times New Roman" w:cs="Times New Roman" w:eastAsia="Times New Roman" w:hAnsi="Times New Roman"/>
          <w:sz w:val="18"/>
          <w:szCs w:val="18"/>
          <w:color w:val="auto"/>
        </w:rPr>
        <w:t>. To the extent reasonably requested by the Agent, the applicable Loan Party will provide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incumbency certificate for any Responsible Officer of such Loan Party, and to the extent reasonably requested by the Agent, appropriate authorization documentation, in form and substance reasonably satisfactory to the Agent.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6.12 KYC Information. </w:t>
      </w:r>
      <w:r>
        <w:rPr>
          <w:rFonts w:ascii="Times New Roman" w:cs="Times New Roman" w:eastAsia="Times New Roman" w:hAnsi="Times New Roman"/>
          <w:sz w:val="18"/>
          <w:szCs w:val="18"/>
          <w:color w:val="auto"/>
        </w:rPr>
        <w:t>Promptly following any request therefor, the Borrower will provide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reasonably requested by the Agent or any Lender for purposes of compliance with applicable “know your customer” and anti-money laundering rules and regulations, including, without limitation, the PATRIOT Act and any change in its status as exempt from the reporting requirements of the Beneficial Ownership Regulation and, if applicable, deliver to the Agent or directly to the applicable Lender any additional information (including a Beneficial Ownership Certification) necessary in order to comply with the Beneficial Ownership Regulation.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6.13 Most-Favored Lender. </w:t>
      </w:r>
      <w:r>
        <w:rPr>
          <w:rFonts w:ascii="Times New Roman" w:cs="Times New Roman" w:eastAsia="Times New Roman" w:hAnsi="Times New Roman"/>
          <w:sz w:val="18"/>
          <w:szCs w:val="18"/>
          <w:color w:val="auto"/>
        </w:rPr>
        <w:t>If the Borrower shall at any time on or after the Closing Date enter into any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or restatement of any Note Purchase Agreement in any manner which (a) has added or subsequently adds additional financial or negative covenants or events of default for the benefit of the holders of the notes issued pursuant to such Note Purchase Agreement or</w:t>
      </w:r>
    </w:p>
    <w:p>
      <w:pPr>
        <w:jc w:val="both"/>
        <w:ind w:firstLine="8"/>
        <w:spacing w:after="0" w:line="251" w:lineRule="auto"/>
        <w:tabs>
          <w:tab w:leader="none" w:pos="26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or subsequently makes the financial or negative covenants and/or events of default set forth therein more restrictive on the Borrower or any Subsidiary than the covenants and/or events of default contained in this Agreement, then such more restrictive financial or negative covenants, events of default and any related definitions (the “</w:t>
      </w: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18"/>
          <w:szCs w:val="18"/>
          <w:color w:val="auto"/>
        </w:rPr>
        <w:t>”) shall automatically be deemed to be incorporated into this Agreement by reference and this Agreement shall be deemed to be amended to include such Additional Provisions from the time any such modification, amendment or restatement of such Note Purchase Agreement becomes binding upon the Borrower. Promptly but in no event more than five (5) Business Days following the execution of any agreement providing for Additional Provisions, the Borrower shall furnish the Agent with a copy of such agreement. Upon written request of the Required Lenders, the Borrower will enter into an amendment to this Agreement pursuant to which this Agreement will be formally amended to incorporate the Additional Provisions on the terms set forth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and after the Closing Date, and so long as any Lender shall have any Commitment hereunder, any Loan or other Obligation (other than any contingent indemnification Obligation) hereunder shall remain unpaid or unsatisfied, or any Letter of Credit shall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7" w:name="page178"/>
    <w:bookmarkEnd w:id="177"/>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7.01 Financial Covenants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Minimum Consolidated Interest Coverage Ratio</w:t>
      </w:r>
      <w:r>
        <w:rPr>
          <w:rFonts w:ascii="Times New Roman" w:cs="Times New Roman" w:eastAsia="Times New Roman" w:hAnsi="Times New Roman"/>
          <w:sz w:val="18"/>
          <w:szCs w:val="18"/>
          <w:color w:val="auto"/>
        </w:rPr>
        <w:t>. The Borrower shall not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Interest Coverage Ratio as of the end of any fiscal quarter of the Borrower to be less than 3.50 to 1.0.</w:t>
      </w:r>
    </w:p>
    <w:p>
      <w:pPr>
        <w:spacing w:after="0" w:line="159" w:lineRule="exact"/>
        <w:rPr>
          <w:sz w:val="20"/>
          <w:szCs w:val="20"/>
          <w:color w:val="auto"/>
        </w:rPr>
      </w:pPr>
    </w:p>
    <w:p>
      <w:pPr>
        <w:jc w:val="both"/>
        <w:ind w:left="660" w:firstLine="644"/>
        <w:spacing w:after="0" w:line="255"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Consolidated Leverage Ratio</w:t>
      </w:r>
      <w:r>
        <w:rPr>
          <w:rFonts w:ascii="Times New Roman" w:cs="Times New Roman" w:eastAsia="Times New Roman" w:hAnsi="Times New Roman"/>
          <w:sz w:val="18"/>
          <w:szCs w:val="18"/>
          <w:color w:val="auto"/>
        </w:rPr>
        <w:t xml:space="preserve">. The Borrower shall not permit the Consolidated Leverage Ratio as of the end of any fiscal quarter of the Borrower to exceed 3.50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connection with any Acquisition in an Eligible Business Line that is not a Hostile Acquisition for which the aggregate purchase consideration equals or exceeds $75,000,000, the maximum permitted Consolidated Leverage Ratio, at the election of the Borrower, with prior written notice from the Borrower to the Agent, shall increase to 4.00 to 1.0 on one occasion during the term of this Agreement, for the period beginning on the date of the consummation of such Acquisition and continuing until the fourth consecutive fiscal quarter end which occurs on or after the date of the consummation of such Acquisition.</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Priority Debt</w:t>
      </w:r>
      <w:r>
        <w:rPr>
          <w:rFonts w:ascii="Times New Roman" w:cs="Times New Roman" w:eastAsia="Times New Roman" w:hAnsi="Times New Roman"/>
          <w:sz w:val="18"/>
          <w:szCs w:val="18"/>
          <w:color w:val="auto"/>
        </w:rPr>
        <w:t xml:space="preserve">. The Borrower shall not permit (i) the principal amount of Priority Debt at any time to exceed 17.5% of Consolidated Tangible Assets as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and (ii) the principal amount of Priority Debt that is not Title XI Priority Debt at any time to exceed 10% of Consolidated Tangible Assets as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7.02 Liens</w:t>
      </w:r>
      <w:r>
        <w:rPr>
          <w:rFonts w:ascii="Times New Roman" w:cs="Times New Roman" w:eastAsia="Times New Roman" w:hAnsi="Times New Roman"/>
          <w:sz w:val="18"/>
          <w:szCs w:val="18"/>
          <w:color w:val="auto"/>
        </w:rPr>
        <w:t>. The Borrower shall not, and shall not permit any Subsidiary to, create, assume or suffer to exist at any time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Lien on or with respect to any of its property or assets, whether now owned or hereafter acquired (whether or not provision is made for the equal and ratable securing of the Obligations in accordance with the provisions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but subject to the limitation on Priority Debt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except:</w:t>
      </w:r>
    </w:p>
    <w:p>
      <w:pPr>
        <w:spacing w:after="0" w:line="180" w:lineRule="exact"/>
        <w:rPr>
          <w:sz w:val="20"/>
          <w:szCs w:val="20"/>
          <w:color w:val="auto"/>
        </w:rPr>
      </w:pPr>
    </w:p>
    <w:p>
      <w:pPr>
        <w:ind w:left="660" w:firstLine="644"/>
        <w:spacing w:after="0" w:line="282" w:lineRule="auto"/>
        <w:tabs>
          <w:tab w:leader="none" w:pos="163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delinquent or which are being actively contested in good faith by appropriate proceedings and for which adequate reserves have been established to the extent required by GAAP;</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3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pursuant to ERISA) incidental to the conduct of its business or the ownership of its property and assets which were not incurred in connection with the borrowing of money or the obtaining of advances of credit (including, without limitation, Liens on vessels or equipment (i) for crew and stevedores wages, (ii) for salvage and general average, (iii) arising by operation of law in the ordinary course of business in operating, maintaining or repairing vessels,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damages arising from maritime torts which are unclaimed, or which are claimed and are covered by insurance and any deductible applicable thereto), and which do not in the aggregate materially detract from the value of its property or assets or materially impair the use thereof in the operation of its business;</w:t>
      </w:r>
    </w:p>
    <w:p>
      <w:pPr>
        <w:spacing w:after="0" w:line="18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of a Subsidiary securing obligations of such Subsidiary to the Borrower or another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the CCF to the extent incurred to secure the financing by the Borrower or Matson Navigation of “qualified vessels” as defined in Section 607 of the Merchant Marine Act, 1936, as amended;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listed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property covered thereby is not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8" w:name="page179"/>
    <w:bookmarkEnd w:id="178"/>
    <w:p>
      <w:pPr>
        <w:jc w:val="both"/>
        <w:ind w:left="660" w:firstLine="644"/>
        <w:spacing w:after="0" w:line="254" w:lineRule="auto"/>
        <w:tabs>
          <w:tab w:leader="none" w:pos="163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Debt not otherwise permitted by clauses (a) through (e) above, inclusive;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Priority Debt does not, at any time, exceed the level prohibited by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notwithstanding the foregoing, the Borrower shall not, and shall not permit any Subsidiary to, create or permit to exist any Lien on any property securing Debt outstanding or issued under the Note Purchase Agreements (other than cash collateral in an amount, for each such Note Purchase Agreement, not to exceed the amount of Cash Collateral being provided by the Borrower and its Subsidiaries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unless and until the Obligations shall be secured equally and ratably with such Debt pursuant to an agreement or agreements (including security agreements and similar collateral documents and an intercreditor agreement) reasonably acceptable to the Required Lenders;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securing obligations that do not constitute Debt existing on any property of any Person at the time it becomes a Subsidiary, or existing prior to the time of acquisition upon any property acquired by the Borrower or any Subsidiary through purchase, merger or consolidation or otherwise, whether or not assumed by the Borrower or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not encumber any other property of the Borrower or such Subsidiary (other than proceeds of such acquired property);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other Liens securing obligations that do not constitute Debt provided that the aggregate amount of such obligations does not exceed $25,000,000 at any time outstanding and (ii) other Liens securing obligations that do not constitute Debt provided that the aggregate fair market value (as reasonably determined by the Borrower acting in good faith) of all assets subject to all such Liens does not exceed $25,000,000; and</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pursuant to any Loan Document.</w:t>
      </w:r>
    </w:p>
    <w:p>
      <w:pPr>
        <w:spacing w:after="0" w:line="22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7.03 Loans, Advances and Investments</w:t>
      </w:r>
      <w:r>
        <w:rPr>
          <w:rFonts w:ascii="Times New Roman" w:cs="Times New Roman" w:eastAsia="Times New Roman" w:hAnsi="Times New Roman"/>
          <w:sz w:val="18"/>
          <w:szCs w:val="18"/>
          <w:color w:val="auto"/>
        </w:rPr>
        <w:t>. The Borrower shall not permit, and shall not permit any Subsidiary to make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 to remain outstanding any loan or advance to, or own, purchase or acquire any stock, obligations or securities of, or any other interest in, or make any capital contribution to, any Person, or consummate any Acquisition,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the Borrower or any Subsidiary may</w:t>
      </w:r>
    </w:p>
    <w:p>
      <w:pPr>
        <w:spacing w:after="0" w:line="398" w:lineRule="exact"/>
        <w:rPr>
          <w:sz w:val="20"/>
          <w:szCs w:val="20"/>
          <w:color w:val="auto"/>
        </w:rPr>
      </w:pPr>
    </w:p>
    <w:p>
      <w:pPr>
        <w:ind w:left="1620" w:hanging="316"/>
        <w:spacing w:after="0"/>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to remain outstanding, loans or advances to the Borrower or any Subsidiary;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 purchase or acquire stock, obligations or securities of a Subsidiary, and, so long as the Borrower is in compliance with the financial covenants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on a pro forma basis immediately after giving effect to such transaction, consummate Acquisitions;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own stock, obligations, securities or other investments (i) consisting of extensions of credit arising from the grant of trade credit, or received in settlement or partial satisfaction thereof of obligations (including any Debt or trade credit) owing to the Borrower or any Subsidiary or (ii) received in satisfaction of judgments or pursuant to any plan of reorganization or similar arrangement upon the bankruptcy or insolvency of trade creditors or account debtors;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investments in accordance with the resolutions of the Board of Directors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resolutions authorize only investments rated investment grade by S&amp;P, Moody’s, or any other nationally recognized credit rating agency or investments in the Borrower’s accounts receivable purchased or held by the CCF;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9" w:name="page180"/>
    <w:bookmarkEnd w:id="179"/>
    <w:p>
      <w:pPr>
        <w:ind w:left="660" w:right="20" w:firstLine="644"/>
        <w:spacing w:after="0" w:line="282" w:lineRule="auto"/>
        <w:tabs>
          <w:tab w:leader="none" w:pos="163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investment in any stock, obligations or securities of, or any other interest in, or any capital contribution to, an Eligible Business Line (subject, in the case of any Acquisition,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investments, loans and advances which in the aggregate (at original cost) do not exceed $50,000,000 at any time outstanding.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(i) amounts in the CCF may be invested only as provided in subsection (d) above and (ii) for the avoidance of doubt,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apply to any Guarantee.</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7.04 Merger</w:t>
      </w:r>
      <w:r>
        <w:rPr>
          <w:rFonts w:ascii="Times New Roman" w:cs="Times New Roman" w:eastAsia="Times New Roman" w:hAnsi="Times New Roman"/>
          <w:sz w:val="18"/>
          <w:szCs w:val="18"/>
          <w:color w:val="auto"/>
        </w:rPr>
        <w:t>. The Borrower shall not, and shall not permit any Subsidiary to, consummate any transaction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consolidation or other combination with any other Person;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firstLine="644"/>
        <w:spacing w:after="0" w:line="282" w:lineRule="auto"/>
        <w:tabs>
          <w:tab w:leader="none" w:pos="163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with the Borrower;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Borrower shall be the continuing or surviving corporation and immediately after such merger no Event of Default shall exist;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with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Material Domestic Subsidiary merges with a Foreign Subsidiary, such Material Domestic Subsidiary shall be the surviving Person and immediately after such merger no Event of Default shall exist;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Subsidiary may merge, consolidate or combine with any other Person in connection with an Acquisition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after such merger, consolidation or combination, no Event of Default shall exist and (ii) if the Borrower is a party to such transaction, the Borrower will be the continuing or surviving corporation.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7.05 Sale of Capital Assets</w:t>
      </w:r>
      <w:r>
        <w:rPr>
          <w:rFonts w:ascii="Times New Roman" w:cs="Times New Roman" w:eastAsia="Times New Roman" w:hAnsi="Times New Roman"/>
          <w:sz w:val="18"/>
          <w:szCs w:val="18"/>
          <w:color w:val="auto"/>
        </w:rPr>
        <w:t>. The Borrower shall not, and shall not permit any Subsidiary to, sell, lease, transfer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dispose of any Capital Asset to any Person, except that (a) any Loan Party may sell or otherwise dispose of any Capital Asset to any other Loan Party, (b) any Subsidiary that is not a Loan Party may sell or otherwise dispose of any Capital Asset to the Borrower or any other Subsidiary and (c) during any rolling twelve-month period, the Borrower or any Subsidiary may sell or otherwise dispose of Capital Assets which constituted up to 10% of the total value of the consolidated assets of Matson Navigation and its Subsidiaries as of December 31, 2020, so long as such Capital Assets, when considered together with all other Capital Assets sold or otherwise disposed of subsequent to December 31, 2020, do not constitute in excess of 30% of the total value of the consolidated assets of Matson Navigation and its Subsidiaries as of December 31, 2020;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Borrower and its Subsidiaries have reinvested the net cash proceeds from any such sale in Capital Assets within twelve (12) months of the date of such sale, or have committed to so reinvest such net cash proceeds by the end of such twelve-month period and have actually reinvested such net cash proceeds within eighteen (18) months of the date of such sale, the amount of such reinvested net cash proceeds shall not constitute utilization of the foregoing 30%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not apply to any Lien permitted hereunder.</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7.06 Use of Proceeds</w:t>
      </w:r>
      <w:r>
        <w:rPr>
          <w:rFonts w:ascii="Times New Roman" w:cs="Times New Roman" w:eastAsia="Times New Roman" w:hAnsi="Times New Roman"/>
          <w:sz w:val="18"/>
          <w:szCs w:val="18"/>
          <w:color w:val="auto"/>
        </w:rPr>
        <w:t>. The Borrower shall not use the proceeds of any Credit Extension, whether directly or indirectly,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0" w:name="page181"/>
    <w:bookmarkEnd w:id="18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7.07 Transactions with Affiliates and Stockholders</w:t>
      </w:r>
      <w:r>
        <w:rPr>
          <w:rFonts w:ascii="Times New Roman" w:cs="Times New Roman" w:eastAsia="Times New Roman" w:hAnsi="Times New Roman"/>
          <w:sz w:val="18"/>
          <w:szCs w:val="18"/>
          <w:color w:val="auto"/>
        </w:rPr>
        <w:t>. The Borrower shall not, and shall not permit any Subsidiary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directly or indirectly, purchase, acquire or lease any property from, or sell, transfer or lease any property to, or otherwise deal with, in the ordinary course of business or otherwise (a) any Affiliate, (b) any Person owning, beneficially or of record, directly or indirectly, either individually or together with all other Persons to whom such Person is related by blood, adoption or marriage, stock of the Borrower or stock of any Person owning stock of the Borrower (of any class having ordinary voting power for the election of directors) aggregating 5% or more of such voting power or (c) any Person related by blood, adoption or marriage to any Person described or coming within the provisions of clause (a) or (b) of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following shall be permitted: (i) the Borrower and Subsidiaries may enter into such transactions on terms no less favorable to the Borrower or Subsidiary than if no such relationship existed, (ii) customary fees, indemnities and reimbursements may be paid to officers, employees, consultants and directors of the Borrower and its Subsidiaries;</w:t>
      </w:r>
    </w:p>
    <w:p>
      <w:pPr>
        <w:spacing w:after="0" w:line="3" w:lineRule="exact"/>
        <w:rPr>
          <w:sz w:val="20"/>
          <w:szCs w:val="20"/>
          <w:color w:val="auto"/>
        </w:rPr>
      </w:pPr>
    </w:p>
    <w:p>
      <w:pPr>
        <w:jc w:val="both"/>
        <w:ind w:firstLine="8"/>
        <w:spacing w:after="0" w:line="253" w:lineRule="auto"/>
        <w:tabs>
          <w:tab w:leader="none" w:pos="33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enter into and make payments and provide benefits pursuant to reasonable and customary employment arrangements with officers and senior management employees; (iv) the Borrower may sell or issue its capital stock, (v) transactions between the Borrower and any Subsidiary, and among Subsidiaries of the Borrower and (vi) Restricted Payments made in compliance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7.08 Dividend Limitation</w:t>
      </w:r>
      <w:r>
        <w:rPr>
          <w:rFonts w:ascii="Times New Roman" w:cs="Times New Roman" w:eastAsia="Times New Roman" w:hAnsi="Times New Roman"/>
          <w:sz w:val="18"/>
          <w:szCs w:val="18"/>
          <w:color w:val="auto"/>
        </w:rPr>
        <w:t>. The Borrower shall not pay or declare any dividend on any class of stock or make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on account of any class of its stock, or redeem, purchase or otherwise acquire, directly or indirectly, any shares of its stock (all of the foregoing being herein called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unless (i) at the time any proposed Restricted Payment is to be made, and after giving effect to any proposed Restricted Payment, no Default exists or would exist after giving effect to such Restricted Payment and (ii) the Borrower is in compliance with the financial covenants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on a pro forma basis after giving effect to such Restricted Payment.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7.09 Sanctions</w:t>
      </w:r>
      <w:r>
        <w:rPr>
          <w:rFonts w:ascii="Times New Roman" w:cs="Times New Roman" w:eastAsia="Times New Roman" w:hAnsi="Times New Roman"/>
          <w:sz w:val="18"/>
          <w:szCs w:val="18"/>
          <w:color w:val="auto"/>
        </w:rPr>
        <w:t>. The Borrower shall not, and shall not permit any Subsidiary to, directly, or knowingly indirectly, 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any Credit Extension (a) in connection with any investment in, or any transaction or dealings with, any Person that, at the time of such funding, is the subject of Sanctions in a manner that will result in a violation of Sanctions, or (b) in any other manner in violation of Sanctions.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7.10 Anti-Corruption Laws</w:t>
      </w:r>
      <w:r>
        <w:rPr>
          <w:rFonts w:ascii="Times New Roman" w:cs="Times New Roman" w:eastAsia="Times New Roman" w:hAnsi="Times New Roman"/>
          <w:sz w:val="18"/>
          <w:szCs w:val="18"/>
          <w:color w:val="auto"/>
        </w:rPr>
        <w:t>. The Borrower shall not, and shall not permit any Subsidiary to, directly, or knowingly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use the proceeds of any Credit Extension for any purpose which would breach Anti-Corruption Laws in any material respect.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Any of the following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61" w:lineRule="auto"/>
        <w:tabs>
          <w:tab w:leader="none" w:pos="163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other Loan Party fails to pay (i) when and as required to be paid herein, any amount of principal of any Loan or any L/C Obligation, or (ii) within five days after the same becomes due, any interest on any Loan or on any L/C Obligation, any fee due hereunder or any other amount payable hereunder or under any other Loan Document; or</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fails to perform or observe any agreement contained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81" w:name="page182"/>
    <w:bookmarkEnd w:id="181"/>
    <w:p>
      <w:pPr>
        <w:jc w:val="both"/>
        <w:ind w:left="200" w:firstLine="644"/>
        <w:spacing w:after="0" w:line="289" w:lineRule="auto"/>
        <w:tabs>
          <w:tab w:leader="none" w:pos="1172"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Defaults</w:t>
      </w:r>
      <w:r>
        <w:rPr>
          <w:rFonts w:ascii="Times New Roman" w:cs="Times New Roman" w:eastAsia="Times New Roman" w:hAnsi="Times New Roman"/>
          <w:sz w:val="17"/>
          <w:szCs w:val="17"/>
          <w:color w:val="auto"/>
        </w:rPr>
        <w:t>. The Borrower or any other Loan Party fails to perform or observe any other covenant or agreement (not specified in subsection (a) or (b) above) contained in any Loan Document on its part to be performed or observed and such failure shall not be remedied within 30 days after any Responsible Officer obtains actual knowledge thereof; or</w:t>
      </w:r>
    </w:p>
    <w:p>
      <w:pPr>
        <w:spacing w:after="0" w:line="157" w:lineRule="exact"/>
        <w:rPr>
          <w:rFonts w:ascii="Times New Roman" w:cs="Times New Roman" w:eastAsia="Times New Roman" w:hAnsi="Times New Roman"/>
          <w:sz w:val="17"/>
          <w:szCs w:val="17"/>
          <w:color w:val="auto"/>
        </w:rPr>
      </w:pPr>
    </w:p>
    <w:p>
      <w:pPr>
        <w:jc w:val="both"/>
        <w:ind w:left="200" w:firstLine="644"/>
        <w:spacing w:after="0" w:line="256" w:lineRule="auto"/>
        <w:tabs>
          <w:tab w:leader="none" w:pos="11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Any representation or warranty made by the Borrower herein or by any Loan Party or any of its officers in any Loan Document or any writing furnished in connection with or pursuant to this Agreement or any other Loan Document shall be false or misleading in any material respect on the date as of which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breach of representation or warranty relates to clause (c) of the definition of Material Adverse Effect, such breach of representation or warranty shall only constitute an Event of Default under this subsection (d) if such Loan Party knowingly breached such representation or warranty; or</w:t>
      </w:r>
    </w:p>
    <w:p>
      <w:pPr>
        <w:spacing w:after="0" w:line="187" w:lineRule="exact"/>
        <w:rPr>
          <w:rFonts w:ascii="Times New Roman" w:cs="Times New Roman" w:eastAsia="Times New Roman" w:hAnsi="Times New Roman"/>
          <w:sz w:val="18"/>
          <w:szCs w:val="18"/>
          <w:color w:val="auto"/>
        </w:rPr>
      </w:pPr>
    </w:p>
    <w:p>
      <w:pPr>
        <w:jc w:val="both"/>
        <w:ind w:left="200" w:firstLine="644"/>
        <w:spacing w:after="0" w:line="254" w:lineRule="auto"/>
        <w:tabs>
          <w:tab w:leader="none" w:pos="11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xml:space="preserve">. (i) An Event of Default (as defined in any Note Purchase Agreement) has occurred and is continuing under such Note Purchase Agreement; or (ii) the Borrower or any Material Subsidiary defaults in any payment of principal of, or premium or interest on, any Debt (other than the Obligations) beyond any period of grace provided with respect thereto, or the Borrower or any Material Subsidiary fails to perform or observe any other agreement, term or condition contained in any agreement relating to any such Debt (or any other event under any such agreement occurs and is continuing) and the effect of such default or other failure or event is to cause, or to permit the holder or holders of such Debt (or a trustee on behalf of such holder or holders) to cause, such Debt to become due (or to be required to be repurchased by the Borrower or any Subsidiary) prior to any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Debt as to which such a default or other failure or event shall occur and be continuing exceeds $50,000,000; or</w:t>
      </w:r>
    </w:p>
    <w:p>
      <w:pPr>
        <w:spacing w:after="0" w:line="188" w:lineRule="exact"/>
        <w:rPr>
          <w:rFonts w:ascii="Times New Roman" w:cs="Times New Roman" w:eastAsia="Times New Roman" w:hAnsi="Times New Roman"/>
          <w:sz w:val="18"/>
          <w:szCs w:val="18"/>
          <w:color w:val="auto"/>
        </w:rPr>
      </w:pPr>
    </w:p>
    <w:p>
      <w:pPr>
        <w:ind w:left="1160" w:hanging="316"/>
        <w:spacing w:after="0"/>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p>
    <w:p>
      <w:pPr>
        <w:spacing w:after="0" w:line="225"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makes an assignment for the benefit of creditors or is generally not paying its debts as such debts become due; or</w:t>
      </w:r>
    </w:p>
    <w:p>
      <w:pPr>
        <w:spacing w:after="0" w:line="161" w:lineRule="exact"/>
        <w:rPr>
          <w:rFonts w:ascii="Times New Roman" w:cs="Times New Roman" w:eastAsia="Times New Roman" w:hAnsi="Times New Roman"/>
          <w:sz w:val="18"/>
          <w:szCs w:val="18"/>
          <w:color w:val="auto"/>
        </w:rPr>
      </w:pPr>
    </w:p>
    <w:p>
      <w:pPr>
        <w:ind w:left="1820" w:firstLine="644"/>
        <w:spacing w:after="0" w:line="282" w:lineRule="auto"/>
        <w:tabs>
          <w:tab w:leader="none" w:pos="279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decree or order for relief in respect of any Loan Party or any Material Subsidiary is entered under any Debtor Relief Laws of any jurisdiction; or</w:t>
      </w:r>
    </w:p>
    <w:p>
      <w:pPr>
        <w:spacing w:after="0" w:line="161" w:lineRule="exact"/>
        <w:rPr>
          <w:rFonts w:ascii="Times New Roman" w:cs="Times New Roman" w:eastAsia="Times New Roman" w:hAnsi="Times New Roman"/>
          <w:sz w:val="18"/>
          <w:szCs w:val="18"/>
          <w:color w:val="auto"/>
        </w:rPr>
      </w:pPr>
    </w:p>
    <w:p>
      <w:pPr>
        <w:jc w:val="both"/>
        <w:ind w:left="1820" w:firstLine="644"/>
        <w:spacing w:after="0" w:line="255" w:lineRule="auto"/>
        <w:tabs>
          <w:tab w:leader="none" w:pos="279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petitions or applies to any tribunal for, or consents to, the appointment of, or taking possession by, a trustee, receiver, custodian, liquidator or similar official of any Loan Party or any such Material Subsidiary, or of any substantial part of the assets of any Loan Party or any such Material Subsidiary, or commences a voluntary case under the Bankruptcy Code of the United States or any proceedings (other than proceedings for the voluntary liquidation and dissolution of a Material Subsidiary) relating to any Loan Party or any Material Subsidiary under any other Debtor Relief Laws; or</w:t>
      </w:r>
    </w:p>
    <w:p>
      <w:pPr>
        <w:spacing w:after="0" w:line="188"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or application of the type described in clause (iii) above is filed, or any such proceedings are commenced, against any Loan Party or any Material Subsidiary and any Loan Party or such Material Subsidiary by any act indicates its approval thereof, consent thereto or acquiescence therein, or an order, judgment or decree is entered appointing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2" w:name="page183"/>
    <w:bookmarkEnd w:id="182"/>
    <w:p>
      <w:pPr>
        <w:ind w:left="2280" w:right="20"/>
        <w:spacing w:after="0" w:line="282" w:lineRule="auto"/>
        <w:rPr>
          <w:sz w:val="20"/>
          <w:szCs w:val="20"/>
          <w:color w:val="auto"/>
        </w:rPr>
      </w:pPr>
      <w:r>
        <w:rPr>
          <w:rFonts w:ascii="Times New Roman" w:cs="Times New Roman" w:eastAsia="Times New Roman" w:hAnsi="Times New Roman"/>
          <w:sz w:val="18"/>
          <w:szCs w:val="18"/>
          <w:color w:val="auto"/>
        </w:rPr>
        <w:t>any such trustee, receiver, custodian, liquidator or similar official, or approving the petition in any such proceedings, and such order, judgment or decree remains unstayed and in effect for more than 30 days; or</w:t>
      </w:r>
    </w:p>
    <w:p>
      <w:pPr>
        <w:spacing w:after="0" w:line="162" w:lineRule="exact"/>
        <w:rPr>
          <w:sz w:val="20"/>
          <w:szCs w:val="20"/>
          <w:color w:val="auto"/>
        </w:rPr>
      </w:pPr>
    </w:p>
    <w:p>
      <w:pPr>
        <w:jc w:val="both"/>
        <w:ind w:left="660" w:firstLine="644"/>
        <w:spacing w:after="0" w:line="266" w:lineRule="auto"/>
        <w:tabs>
          <w:tab w:leader="none" w:pos="163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Etc</w:t>
      </w:r>
      <w:r>
        <w:rPr>
          <w:rFonts w:ascii="Times New Roman" w:cs="Times New Roman" w:eastAsia="Times New Roman" w:hAnsi="Times New Roman"/>
          <w:sz w:val="18"/>
          <w:szCs w:val="18"/>
          <w:color w:val="auto"/>
        </w:rPr>
        <w:t>. Any order, judgment or decree is entered in any proceedings against any Loan Party or any Material Subsidiary decreeing the dissolution of such Loan Party or such Material Subsidiary and such order, judgment or decree remains unstayed and in effect for more than 30 days;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3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Borrower or any ERISA Affiliate that a Plan may become a subject of such proceedings, (iii) the aggregate amount under all Plans of the fair market value of the assets (within the meaning of section 303 of ERISA), is less than 70% of the “Funding Target” (within the meaning of section 303 of ERISA), (iv) the Borrower or any ERISA Affiliate shall have incurred or is reasonably expected to incur any liability pursuant to Title I or IV or ERISA or the penalty or excise tax provisions of the Code relating to employee benefit plans, (v) the Borrower or any ERISA Affiliate withdraws from any Multiemployer Plan, or (vi) the Borrower or any Subsidiary establishes or amends any employee welfare benefit plan that provides post-employment welfare benefits in a manner that would increase the liability of the Borrower or any Subsidiary thereunder; and any such event or events described in clauses (i) through (vi) above, either individually or together with any other such event or events, could reasonably be expected to have a Material Adverse Effect of the type described in clause (a) or</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or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Any judgment(s) or decree(s) in the aggregate amount of $40,000,000 or more shall be entered against the Borrower or any of its Material Subsidiaries that are not paid or fully covered (beyond any applicable deductibles) by insurance and such judgment or decree shall not have been vacated, discharged or stayed or bonded pending appeal within 60 days from the entry thereof;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Agent shall, at the request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may, with the consent of, the Required Lenders, take any or all of the following actions:</w:t>
      </w:r>
    </w:p>
    <w:p>
      <w:pPr>
        <w:spacing w:after="0" w:line="159" w:lineRule="exact"/>
        <w:rPr>
          <w:sz w:val="20"/>
          <w:szCs w:val="20"/>
          <w:color w:val="auto"/>
        </w:rPr>
      </w:pPr>
    </w:p>
    <w:p>
      <w:pPr>
        <w:ind w:left="660" w:right="20" w:firstLine="644"/>
        <w:spacing w:after="0" w:line="282" w:lineRule="auto"/>
        <w:tabs>
          <w:tab w:leader="none" w:pos="163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3" w:name="page184"/>
    <w:bookmarkEnd w:id="183"/>
    <w:p>
      <w:pPr>
        <w:jc w:val="both"/>
        <w:ind w:left="660" w:firstLine="644"/>
        <w:spacing w:after="0" w:line="266" w:lineRule="auto"/>
        <w:tabs>
          <w:tab w:leader="none" w:pos="16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the Minimum Collateral Amount with respect thereto);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 all rights and remedies available to it, the Lenders and the L/C Issuer under the Loan Documents or applicable law or at equity;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Agent or any Lender.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2.16, be applied by the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-36195</wp:posOffset>
            </wp:positionV>
            <wp:extent cx="2286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Agent in its capacity as such;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4" w:name="page185"/>
    <w:bookmarkEnd w:id="18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and the L/C Issuer hereby irrevocably appoints Bank of America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L/C Issuer, and no Loan Party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Agent hereunder shall have the same rights and powers in its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 or any Subsidiary or other Affiliate thereof as if such Person were not the Agent hereunder and without any duty to account therefor to the Lenders or to provide notice to or consent of the Lenders with respect thereto.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Agent shall not have any duties or obligations except those expressly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other Loan Documents, and its duties hereunder shall be administrative in nature. Without limiting the generality of the foregoing, the Agent:</w:t>
      </w:r>
    </w:p>
    <w:p>
      <w:pPr>
        <w:spacing w:after="0" w:line="175" w:lineRule="exact"/>
        <w:rPr>
          <w:sz w:val="20"/>
          <w:szCs w:val="20"/>
          <w:color w:val="auto"/>
        </w:rPr>
      </w:pPr>
    </w:p>
    <w:p>
      <w:pPr>
        <w:ind w:left="1620" w:hanging="316"/>
        <w:spacing w:after="0"/>
        <w:tabs>
          <w:tab w:leader="none" w:pos="1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3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5" w:name="page186"/>
    <w:bookmarkEnd w:id="185"/>
    <w:p>
      <w:pPr>
        <w:jc w:val="both"/>
        <w:ind w:left="660" w:firstLine="644"/>
        <w:spacing w:after="0" w:line="266" w:lineRule="auto"/>
        <w:tabs>
          <w:tab w:leader="none" w:pos="163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or responsibility to disclose, and shall not be liable for the failure to disclose, any information relating to the Borrower, its Subsidiaries or any of its Affiliates that is communicated to or obtained by the Person serving as the Agent or any of its Affiliates in any capacity.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Neither the Agent nor any of its Related Parties shall be liable for any action taken or not taken by the Agent under or in connection with this Agreement or any other Loan Document or the transactions contemplated hereby or thereby (i) with the consent or at the request of the Required Lenders (or such other number or percentage of the Lenders as shall be necessary, or as the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Agent shall be deemed not to have knowledge of any Default unless and until notice describing such Default is given in writing to the Agent by the Borrower, a Lender or the L/C Issuer.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Neither the Agent nor any of its Related Parties shall have any duty or obligation to any Lender or participant or any other Person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(E)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Agent.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9.04 Reliance by Agent</w:t>
      </w:r>
      <w:r>
        <w:rPr>
          <w:rFonts w:ascii="Times New Roman" w:cs="Times New Roman" w:eastAsia="Times New Roman" w:hAnsi="Times New Roman"/>
          <w:sz w:val="18"/>
          <w:szCs w:val="18"/>
          <w:color w:val="auto"/>
        </w:rPr>
        <w:t>. The Agent shall be entitled to rely upon, and shall be fully protected in relying and shall not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notice to the contrary from such Lender or the L/C Issuer prior to the making of such Loan or the issuance, extension, renewal or increase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Agent. The Agent and any such sub-agent may perform any and all of its duties and exercise its rights and powers by or through their respective Related Parties. The exculpatory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6" w:name="page187"/>
    <w:bookmarkEnd w:id="186"/>
    <w:p>
      <w:pPr>
        <w:jc w:val="both"/>
        <w:spacing w:after="0" w:line="258" w:lineRule="auto"/>
        <w:rPr>
          <w:sz w:val="20"/>
          <w:szCs w:val="20"/>
          <w:color w:val="auto"/>
        </w:rPr>
      </w:pPr>
      <w:r>
        <w:rPr>
          <w:rFonts w:ascii="Times New Roman" w:cs="Times New Roman" w:eastAsia="Times New Roman" w:hAnsi="Times New Roman"/>
          <w:sz w:val="18"/>
          <w:szCs w:val="18"/>
          <w:color w:val="auto"/>
        </w:rPr>
        <w:t>provisions of this Article shall apply to any such sub-agent and to the Related Parties of the Agent and any such sub-agent, and shall apply to their respective activities in connection with the syndication of the credit facilities provided for herein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9.06</w:t>
      </w:r>
      <w:r>
        <w:rPr>
          <w:sz w:val="20"/>
          <w:szCs w:val="20"/>
          <w:color w:val="auto"/>
        </w:rPr>
        <w:tab/>
      </w:r>
      <w:r>
        <w:rPr>
          <w:rFonts w:ascii="Times New Roman" w:cs="Times New Roman" w:eastAsia="Times New Roman" w:hAnsi="Times New Roman"/>
          <w:sz w:val="18"/>
          <w:szCs w:val="18"/>
          <w:b w:val="1"/>
          <w:bCs w:val="1"/>
          <w:color w:val="auto"/>
        </w:rPr>
        <w:t>Resignation of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4"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and the L/C Issuer, appoint a successor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Agent be a Defaulting Lender). Whether or not a successor has been appointed, such resignation shall become effective in accordance with such notice on the Resignation Effective Date.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Agent shall be discharged from its duties and obligations hereunder and under the other Loan Documents, in each case solely in its capacity as Agent and as provided in subsection (d) below (except that in the case of any collateral security held by the Agent on behalf of the Lenders or the L/C Issuer under any of the Loan Documents, the retiring or removed Agent shall continue to hold such collateral security until such time as a successor Agent is appointed), and (2) except for any indemnity payments or other amounts then owed to the retiring or removed Agent, all payments, communications and determinations provided to be made by, to or through the Agent shall instead be made by or to each Lender and the L/C Issuer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Agent as of the Resignation Effective Date or the Removal Effective Date, as applicable), and the retiring or removed Agent shall be discharged from all of its duties and obligations hereunder or under the other Loan Documents (if not already discharged therefrom as provided above in this Section) .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7" w:name="page188"/>
    <w:bookmarkEnd w:id="187"/>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Agent, its sub-agents and their respective Related Parties in respect of any actions taken or omitted to be taken by any of them (i) while the retiring or removed Agent was acting as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Agent.</w:t>
      </w:r>
    </w:p>
    <w:p>
      <w:pPr>
        <w:spacing w:after="0" w:line="187" w:lineRule="exact"/>
        <w:rPr>
          <w:sz w:val="20"/>
          <w:szCs w:val="20"/>
          <w:color w:val="auto"/>
        </w:rPr>
      </w:pPr>
    </w:p>
    <w:p>
      <w:pPr>
        <w:jc w:val="both"/>
        <w:ind w:left="660" w:firstLine="644"/>
        <w:spacing w:after="0" w:line="252" w:lineRule="auto"/>
        <w:tabs>
          <w:tab w:leader="none" w:pos="163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Bank of America as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9.07 Non-Reliance on Agent and Other Lenders</w:t>
      </w:r>
      <w:r>
        <w:rPr>
          <w:rFonts w:ascii="Times New Roman" w:cs="Times New Roman" w:eastAsia="Times New Roman" w:hAnsi="Times New Roman"/>
          <w:sz w:val="18"/>
          <w:szCs w:val="18"/>
          <w:color w:val="auto"/>
        </w:rPr>
        <w:t>. Each Lender and the L/C Issuer expressly acknowledges that none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Agent nor the Arranger has made any representation or warranty to it, and that no act by the Agent or the Arranger hereafter taken, including any consent to, and acceptance of any assignment or review of the affairs of any Loan Party or any Affiliate thereof, shall be deemed to constitute any representation or warranty by the Agent or the Arranger to any Lender or the L/C Issuer as to any matter, including whether the Agent or the Arranger have disclosed material information in their (or their Related Parties’) possession. Each Lender and the L/C Issuer represents to the Agent and the Arranger that it has, independently and without reliance upon the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8" w:name="page189"/>
    <w:bookmarkEnd w:id="188"/>
    <w:p>
      <w:pPr>
        <w:jc w:val="both"/>
        <w:spacing w:after="0" w:line="255" w:lineRule="auto"/>
        <w:rPr>
          <w:sz w:val="20"/>
          <w:szCs w:val="20"/>
          <w:color w:val="auto"/>
        </w:rPr>
      </w:pPr>
      <w:r>
        <w:rPr>
          <w:rFonts w:ascii="Times New Roman" w:cs="Times New Roman" w:eastAsia="Times New Roman" w:hAnsi="Times New Roman"/>
          <w:sz w:val="18"/>
          <w:szCs w:val="18"/>
          <w:color w:val="auto"/>
        </w:rPr>
        <w:t>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 Anything herein to the contrary notwithstanding, none of the Bookrunners, arrangers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titles listed on the cover page hereof shall have any powers, duties or responsibilities under this Agreement or any of the other Loan Documents, except in its capacity, as applicable, as the Agent, a Lender or the L/C Issuer hereunder.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9.09 Guaranty Matters. </w:t>
      </w:r>
      <w:r>
        <w:rPr>
          <w:rFonts w:ascii="Times New Roman" w:cs="Times New Roman" w:eastAsia="Times New Roman" w:hAnsi="Times New Roman"/>
          <w:sz w:val="18"/>
          <w:szCs w:val="18"/>
          <w:color w:val="auto"/>
        </w:rPr>
        <w:t>So long as no Event of Default exists or would result therefrom, the Lenders and the L/C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irrevocably authorize the Agent, at its option and in its discretion, to release any Guarantor from its obligations under the Guaranty if such Person ceases to be a Material Domestic Subsidiary as a result of a transaction permitted under the Loan Documents. Upon request by the Agent at any time, the Required Lenders will confirm in writing the Agent’s authority to release any Guarantor from its obligations under the Guaranty pursuant to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9.10</w:t>
      </w:r>
      <w:r>
        <w:rPr>
          <w:sz w:val="20"/>
          <w:szCs w:val="20"/>
          <w:color w:val="auto"/>
        </w:rPr>
        <w:tab/>
      </w:r>
      <w:r>
        <w:rPr>
          <w:rFonts w:ascii="Times New Roman" w:cs="Times New Roman" w:eastAsia="Times New Roman" w:hAnsi="Times New Roman"/>
          <w:sz w:val="17"/>
          <w:szCs w:val="17"/>
          <w:b w:val="1"/>
          <w:bCs w:val="1"/>
          <w:color w:val="auto"/>
        </w:rPr>
        <w:t>Certain ERISA Matters.</w:t>
      </w:r>
    </w:p>
    <w:p>
      <w:pPr>
        <w:spacing w:after="0" w:line="229" w:lineRule="exact"/>
        <w:rPr>
          <w:sz w:val="20"/>
          <w:szCs w:val="20"/>
          <w:color w:val="auto"/>
        </w:rPr>
      </w:pPr>
    </w:p>
    <w:p>
      <w:pPr>
        <w:jc w:val="both"/>
        <w:ind w:left="660" w:firstLine="644"/>
        <w:spacing w:after="0" w:line="261" w:lineRule="auto"/>
        <w:tabs>
          <w:tab w:leader="none" w:pos="163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jc w:val="both"/>
        <w:ind w:left="2280" w:firstLine="644"/>
        <w:spacing w:after="0" w:line="261" w:lineRule="auto"/>
        <w:tabs>
          <w:tab w:leader="none" w:pos="325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9" w:lineRule="exact"/>
        <w:rPr>
          <w:rFonts w:ascii="Times New Roman" w:cs="Times New Roman" w:eastAsia="Times New Roman" w:hAnsi="Times New Roman"/>
          <w:sz w:val="18"/>
          <w:szCs w:val="18"/>
          <w:color w:val="auto"/>
        </w:rPr>
      </w:pPr>
    </w:p>
    <w:p>
      <w:pPr>
        <w:jc w:val="both"/>
        <w:ind w:left="2280" w:firstLine="644"/>
        <w:spacing w:after="0" w:line="254" w:lineRule="auto"/>
        <w:tabs>
          <w:tab w:leader="none" w:pos="325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1" w:lineRule="exact"/>
        <w:rPr>
          <w:rFonts w:ascii="Times New Roman" w:cs="Times New Roman" w:eastAsia="Times New Roman" w:hAnsi="Times New Roman"/>
          <w:sz w:val="18"/>
          <w:szCs w:val="18"/>
          <w:color w:val="auto"/>
        </w:rPr>
      </w:pPr>
    </w:p>
    <w:p>
      <w:pPr>
        <w:jc w:val="both"/>
        <w:ind w:left="2280" w:firstLine="644"/>
        <w:spacing w:after="0" w:line="256" w:lineRule="auto"/>
        <w:tabs>
          <w:tab w:leader="none" w:pos="325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9" w:name="page190"/>
    <w:bookmarkEnd w:id="189"/>
    <w:p>
      <w:pPr>
        <w:jc w:val="both"/>
        <w:ind w:left="2280"/>
        <w:spacing w:after="0" w:line="261" w:lineRule="auto"/>
        <w:rPr>
          <w:sz w:val="20"/>
          <w:szCs w:val="20"/>
          <w:color w:val="auto"/>
        </w:rPr>
      </w:pPr>
      <w:r>
        <w:rPr>
          <w:rFonts w:ascii="Times New Roman" w:cs="Times New Roman" w:eastAsia="Times New Roman" w:hAnsi="Times New Roman"/>
          <w:sz w:val="18"/>
          <w:szCs w:val="18"/>
          <w:color w:val="auto"/>
        </w:rPr>
        <w:t>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0" w:lineRule="exact"/>
        <w:rPr>
          <w:sz w:val="20"/>
          <w:szCs w:val="20"/>
          <w:color w:val="auto"/>
        </w:rPr>
      </w:pPr>
    </w:p>
    <w:p>
      <w:pPr>
        <w:ind w:left="2280" w:right="20" w:firstLine="644"/>
        <w:spacing w:after="0" w:line="282" w:lineRule="auto"/>
        <w:tabs>
          <w:tab w:leader="none" w:pos="3252"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 Lender.</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clause (i) in the immediately preceding clause (a) is true with respect to a Lender or</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3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b w:val="1"/>
          <w:bCs w:val="1"/>
          <w:u w:val="single" w:color="auto"/>
          <w:color w:val="auto"/>
        </w:rPr>
        <w:t>Recovery of Erroneous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Without limitation of any other provision in this Agreement, if at any time the Agent makes a payment hereunder in error to any Lender or the L/C Issuer (the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whether or not in respect of an Obligation due and owing by the Borrower at such time, where such payment is a Rescindable Amount, then in any such event, each Credit Party receiving a Rescindable Amount severally agrees to repay to the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Agent, at the greater of the Federal Funds Rate and a rate determined by the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Credit Party promptly upon determining that any payment made to such Credit Party comprised, in whole or in part, a Rescindable Amount.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10.01 Amendments, Etc</w:t>
      </w:r>
      <w:r>
        <w:rPr>
          <w:rFonts w:ascii="Times New Roman" w:cs="Times New Roman" w:eastAsia="Times New Roman" w:hAnsi="Times New Roman"/>
          <w:sz w:val="18"/>
          <w:szCs w:val="18"/>
          <w:color w:val="auto"/>
        </w:rPr>
        <w:t>. No amendment or waiver of any provision of this Agreement or any other Loan Document,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 to any departure by any Loan Party therefrom, shall be effective unless in writing signed by the Required Lenders and the Borrower or the applicable Loan Party, as the case may be, and acknowledged by the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3" w:lineRule="exact"/>
        <w:rPr>
          <w:sz w:val="20"/>
          <w:szCs w:val="20"/>
          <w:color w:val="auto"/>
        </w:rPr>
      </w:pPr>
    </w:p>
    <w:p>
      <w:pPr>
        <w:ind w:left="660" w:firstLine="644"/>
        <w:spacing w:after="0" w:line="282" w:lineRule="auto"/>
        <w:tabs>
          <w:tab w:leader="none" w:pos="163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without the written consent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0" w:name="page191"/>
    <w:bookmarkEnd w:id="190"/>
    <w:p>
      <w:pPr>
        <w:jc w:val="both"/>
        <w:ind w:left="660" w:firstLine="644"/>
        <w:spacing w:after="0" w:line="266" w:lineRule="auto"/>
        <w:tabs>
          <w:tab w:leader="none" w:pos="16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entitled to receive such payment;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Unreimbursed Amounts under Letters of Credit, or (subject to clause (iv)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receive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(i) to amend the definition of “Default Rate” or to waive any obligation of the Borrower to pay interest or Letter of Credit Fees at the Default Rate and (ii) to amend any financial covenant hereunder (or any defined term used therein) even if the effect of such amendment would be to reduce the rate of interest on any Loan or L/C Borrowing or to reduce any fee payable hereunder;</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directly and adversely affected thereby;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Guaranty without the written consent of each Lender, except to the extent the release of any Guarantor is permitted pursuant to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or the provisions of the Guaranty (in which case such release may be made by the Agent acting alone); or</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this Section or the definition of “Required Lenders” without the written consent of each Lender directly and adversely affected thereby;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Agent in addition to the Lenders required above, affect the rights or duties of the Agent under this Agreement or any other Loan Document; (iv) the Fee Letter may be amended, or rights or privileges thereunder waived, in a writing executed only by the parties thereto; (v) this Agreement may be amended and restated without the consent of any Lender (but with the consent of the Borrower and the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(vi) the Autoborrow Agreement and any fee letters executed in connection therewith may be amended, or rights or privileges thereunder waived, in a writing executed only by the parties thereto and</w:t>
      </w:r>
    </w:p>
    <w:p>
      <w:pPr>
        <w:spacing w:after="0" w:line="2" w:lineRule="exact"/>
        <w:rPr>
          <w:sz w:val="20"/>
          <w:szCs w:val="20"/>
          <w:color w:val="auto"/>
        </w:rPr>
      </w:pPr>
    </w:p>
    <w:p>
      <w:pPr>
        <w:jc w:val="both"/>
        <w:ind w:firstLine="8"/>
        <w:spacing w:after="0" w:line="252" w:lineRule="auto"/>
        <w:tabs>
          <w:tab w:leader="none" w:pos="37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and the Borrower may make amendments contemplated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1" w:name="page192"/>
    <w:bookmarkEnd w:id="1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notwithstanding the foregoing, the Borrower may, by written notice to the Agent from time to time,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to make one or more amendments or modifications to (A) allow the maturity of the Committed Loans of the accepting Lenders to be extended and (B) increase the Applicable Rate and/or fees payable with respect to the Committed Loans and Commitments of the accepting Lenders (“</w:t>
      </w:r>
      <w:r>
        <w:rPr>
          <w:rFonts w:ascii="Times New Roman" w:cs="Times New Roman" w:eastAsia="Times New Roman" w:hAnsi="Times New Roman"/>
          <w:sz w:val="18"/>
          <w:szCs w:val="18"/>
          <w:u w:val="single" w:color="auto"/>
          <w:color w:val="auto"/>
        </w:rPr>
        <w:t>Permitted Amendments</w:t>
      </w:r>
      <w:r>
        <w:rPr>
          <w:rFonts w:ascii="Times New Roman" w:cs="Times New Roman" w:eastAsia="Times New Roman" w:hAnsi="Times New Roman"/>
          <w:sz w:val="18"/>
          <w:szCs w:val="18"/>
          <w:color w:val="auto"/>
        </w:rPr>
        <w:t>”) pursuant to procedures reasonably specified by the Agent and reasonably acceptable to the Borrower. Such notice shall set forth (i) the terms and conditions of the requested Permitted Amendment and (ii) the date on which such Permitted Amendment is requested to become effective. Permitted Amendments shall become effective only with respect to the Committed Loans and/or Commitments of the Lenders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xml:space="preserve">”) and, in the case of any Accepting Lender, only with respect to such Lender’s Committed Loans and/or Commitments as to which such Lender’s acceptance has been made. The Borrower, each other Loan Party and each Accepting Lender shall execute and deliver to the Agent a Loan Modification Agreement and such other documentation as the Agent shall reasonably specify to evidence the acceptance of the Permitted Amendments and the terms and conditions thereof, and the Loan Parties shall also deliver such resolutions, opinions and other documents as reasonably requested by the Agent. The Agent shall promptly notify each Lender as to the effectiveness of each Loan Modification Agreement. Each of the parties hereto hereby agrees that (1) upon the effectiveness of any Loan Modification Agreement, this Agreement shall be deemed amended to the extent (but only to the extent) necessary to reflect the existence and terms of the Permitted Amendment evidenced thereby and only with respect to the Committed Loans and Commitments of the Accepting Lenders as to which such Lenders’ acceptance has been made and (2) any applicable Lender who is not an Accepting Lender may be replaced by the Borrower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provision herein to the contrary the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Agent shall not have received, within five Business Days of the date of such notice to the Lenders, a written notice from the Required Lenders stating that the Required Lenders object to such amendment.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10.02</w:t>
      </w:r>
      <w:r>
        <w:rPr>
          <w:sz w:val="20"/>
          <w:szCs w:val="20"/>
          <w:color w:val="auto"/>
        </w:rPr>
        <w:tab/>
      </w:r>
      <w:r>
        <w:rPr>
          <w:rFonts w:ascii="Times New Roman" w:cs="Times New Roman" w:eastAsia="Times New Roman" w:hAnsi="Times New Roman"/>
          <w:sz w:val="17"/>
          <w:szCs w:val="17"/>
          <w:b w:val="1"/>
          <w:bCs w:val="1"/>
          <w:color w:val="auto"/>
        </w:rPr>
        <w:t>Notices; Effectiveness; Electronic Communication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8" w:lineRule="auto"/>
        <w:tabs>
          <w:tab w:leader="none" w:pos="163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83" w:lineRule="exact"/>
        <w:rPr>
          <w:sz w:val="20"/>
          <w:szCs w:val="20"/>
          <w:color w:val="auto"/>
        </w:rPr>
      </w:pPr>
    </w:p>
    <w:p>
      <w:pPr>
        <w:jc w:val="both"/>
        <w:ind w:left="2300" w:firstLine="657"/>
        <w:spacing w:after="0" w:line="266" w:lineRule="auto"/>
        <w:tabs>
          <w:tab w:leader="none" w:pos="323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any other Loan Party, the Agent, the L/C Issuer or the Swing Line Lender, to the address, fax number, e-mail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2280" w:right="20" w:firstLine="644"/>
        <w:spacing w:after="0" w:line="282" w:lineRule="auto"/>
        <w:tabs>
          <w:tab w:leader="none" w:pos="32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fax number, e-mail address or telephone number specified in its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2" w:name="page193"/>
    <w:bookmarkEnd w:id="192"/>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00" w:firstLine="644"/>
        <w:spacing w:after="0" w:line="254" w:lineRule="auto"/>
        <w:tabs>
          <w:tab w:leader="none" w:pos="11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Agent, the Lenders, the Swing Line Lender and the L/C Issuer hereunder may be delivered or furnished by electronic communication (including e-mail, FPML messaging, and Internet or intranet websites) pursuant to an electronic communications agreement (or such other procedures approved by the Agent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Swing Line Lender or the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the Swing Line Lender or the L/C Issuer, as applicable, has notified the Agent that it is incapable of receiving notices under such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by electronic communication. The Agent, the Swing 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ind w:left="2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Unless the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8" w:lineRule="exact"/>
        <w:rPr>
          <w:sz w:val="20"/>
          <w:szCs w:val="20"/>
          <w:color w:val="auto"/>
        </w:rPr>
      </w:pPr>
    </w:p>
    <w:p>
      <w:pPr>
        <w:ind w:left="1160" w:hanging="316"/>
        <w:spacing w:after="0"/>
        <w:tabs>
          <w:tab w:leader="none" w:pos="116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Platform</w:t>
      </w:r>
      <w:r>
        <w:rPr>
          <w:rFonts w:ascii="Times New Roman" w:cs="Times New Roman" w:eastAsia="Times New Roman" w:hAnsi="Times New Roman"/>
          <w:sz w:val="17"/>
          <w:szCs w:val="17"/>
          <w:color w:val="auto"/>
        </w:rPr>
        <w:t>. THE PLATFORM IS PROVIDED “AS IS” AND “AS AVAILABLE.” THE AGENT PARTIES (AS</w:t>
      </w:r>
    </w:p>
    <w:p>
      <w:pPr>
        <w:spacing w:after="0" w:line="38" w:lineRule="exact"/>
        <w:rPr>
          <w:rFonts w:ascii="Times New Roman" w:cs="Times New Roman" w:eastAsia="Times New Roman" w:hAnsi="Times New Roman"/>
          <w:sz w:val="17"/>
          <w:szCs w:val="17"/>
          <w:color w:val="auto"/>
        </w:rPr>
      </w:pPr>
    </w:p>
    <w:p>
      <w:pPr>
        <w:jc w:val="both"/>
        <w:ind w:left="2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the L/C Issuer or any other Person for losses, claims, damages, liabilities or expenses of any kind (whether in tort, contract or otherwise) arising out of the Borrower’s, any other Loan Party’s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3" w:name="page194"/>
    <w:bookmarkEnd w:id="193"/>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80" w:lineRule="exact"/>
        <w:rPr>
          <w:sz w:val="20"/>
          <w:szCs w:val="20"/>
          <w:color w:val="auto"/>
        </w:rPr>
      </w:pPr>
    </w:p>
    <w:p>
      <w:pPr>
        <w:jc w:val="both"/>
        <w:ind w:left="660" w:firstLine="644"/>
        <w:spacing w:after="0" w:line="253" w:lineRule="auto"/>
        <w:tabs>
          <w:tab w:leader="none" w:pos="163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the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Agent, the L/C Issuer and the Swing Line Lender. In addition, each Lender agrees to notify the Agent from time to time to ensure that the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3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Agent, L/C Issuer and Lenders</w:t>
      </w:r>
      <w:r>
        <w:rPr>
          <w:rFonts w:ascii="Times New Roman" w:cs="Times New Roman" w:eastAsia="Times New Roman" w:hAnsi="Times New Roman"/>
          <w:sz w:val="18"/>
          <w:szCs w:val="18"/>
          <w:color w:val="auto"/>
        </w:rPr>
        <w:t>. The Agent, the L/C Issuer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the L/C Issuer, each Lender and the Related Parties of each of them from all losses, costs, expenses and liabilities resulting from the reliance by such Person on each notice purportedly given by or on behalf of the Borrower, except to the extent such losses, costs, expenses and liabilities resulted from the gross negligence or willful misconduct of such Person. All telephonic notices to and other telephonic communications with the Agent may be recorded by the Agent, and each of the parties hereto hereby consents to such recording.</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10.03 No Waiver; Cumulative Remedies</w:t>
      </w:r>
      <w:r>
        <w:rPr>
          <w:rFonts w:ascii="Times New Roman" w:cs="Times New Roman" w:eastAsia="Times New Roman" w:hAnsi="Times New Roman"/>
          <w:sz w:val="18"/>
          <w:szCs w:val="18"/>
          <w:color w:val="auto"/>
        </w:rPr>
        <w:t>. No failure by any Lender, the L/C Issuer or the Agent to exercise, and no delay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4" w:name="page195"/>
    <w:bookmarkEnd w:id="19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Agent hereunder and under the other Loan Documents, then (i) the Required Lenders shall have the rights otherwise ascribed to the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10.04</w:t>
      </w:r>
      <w:r>
        <w:rPr>
          <w:sz w:val="20"/>
          <w:szCs w:val="20"/>
          <w:color w:val="auto"/>
        </w:rPr>
        <w:tab/>
      </w:r>
      <w:r>
        <w:rPr>
          <w:rFonts w:ascii="Times New Roman" w:cs="Times New Roman" w:eastAsia="Times New Roman" w:hAnsi="Times New Roman"/>
          <w:sz w:val="17"/>
          <w:szCs w:val="17"/>
          <w:b w:val="1"/>
          <w:bCs w:val="1"/>
          <w:color w:val="auto"/>
        </w:rPr>
        <w:t>Expenses; Indemnity; Damage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3" w:lineRule="auto"/>
        <w:tabs>
          <w:tab w:leader="none" w:pos="163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 shall pay (i) except as provided in </w:t>
      </w:r>
      <w:r>
        <w:rPr>
          <w:rFonts w:ascii="Times New Roman" w:cs="Times New Roman" w:eastAsia="Times New Roman" w:hAnsi="Times New Roman"/>
          <w:sz w:val="18"/>
          <w:szCs w:val="18"/>
          <w:u w:val="single" w:color="auto"/>
          <w:color w:val="auto"/>
        </w:rPr>
        <w:t>Section 10.06(b)(iv)</w:t>
      </w:r>
      <w:r>
        <w:rPr>
          <w:rFonts w:ascii="Times New Roman" w:cs="Times New Roman" w:eastAsia="Times New Roman" w:hAnsi="Times New Roman"/>
          <w:sz w:val="18"/>
          <w:szCs w:val="18"/>
          <w:color w:val="auto"/>
        </w:rPr>
        <w:t>, all reasonable out-of-pocket expenses incurred by the Agent and its Affiliates (including the reasonable fees, charges and disbursements of counsel for the Agent), in connection with the syndication of the credit facilities provided for herein, the preparation, negotiation, execution, delivery and administration of this Agreement,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Agent, any Lender or the L/C Issuer (including the fees, charges and disbursements of any counsel for the Agent, any Lender or the L/C Issuer), in connection with the enforcement or protection of its rights (A) in connection with this Agreement,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3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Agent (and any sub-agent thereof), each Lender and the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Liabilities and Costs related in any way to the Borrower or any of its Subsidiaries, or (iv) any actual or prospective claim, litigation, investigation or proceeding relating to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5" w:name="page196"/>
    <w:bookmarkEnd w:id="195"/>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 xml:space="preserve">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or (z) arise solely from claims of any Indemnitee against one or more other Indemnitees that do not involve or have not resulted from (A) an act or omission of an Indemnitee in its capacity as Agent, L/C Issuer, arranger or bookrunner and (B) an act or omission (or an alleged act or omission) by the Borrower or any Subsidiary.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90" w:lineRule="exact"/>
        <w:rPr>
          <w:sz w:val="20"/>
          <w:szCs w:val="20"/>
          <w:color w:val="auto"/>
        </w:rPr>
      </w:pPr>
    </w:p>
    <w:p>
      <w:pPr>
        <w:jc w:val="both"/>
        <w:ind w:left="200" w:firstLine="644"/>
        <w:spacing w:after="0" w:line="252" w:lineRule="auto"/>
        <w:tabs>
          <w:tab w:leader="none" w:pos="11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or (b) of this Section to be paid by it to the Agent (or any sub-agent thereof), the L/C Issuer, the Swing Line Lender or any Related Party of any of the foregoing, each Lender severally agrees to pay to the Agent (or any such sub-agent), the L/C Issuer, the Swing Line Lender or such Related Party, as the case may be, such Lender’s pro rata share (determined as of the time that the applicable unreimbursed expense or indemnity payment is sought based on each Lender’s share of the outstanding Loans, unfunded Commitments and participation interests in Swing Line Loans and L/C Obligations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unreimbursed expense or indemnified loss, claim, damage, liability or related expense, as the case may be, was incurred by or asserted against the Agent (or any such sub-agent) or the L/C Issuer or the Swing Line Lender in its capacity as such, or against any Related Party of any of the foregoing acting for the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2.12(d)</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200" w:firstLine="644"/>
        <w:spacing w:after="0" w:line="253" w:lineRule="auto"/>
        <w:tabs>
          <w:tab w:leader="none" w:pos="11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To the fullest extent permitted by applicable law, neither any Loan Party nor any Indemnitee shall assert, and each party hereby waives, any claim against any Indemnitee or any Loan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(other than an Indemnitee may assert, and does not waive, a claim against any Loan Party, in respect of any such damages incurred or paid by an Indemnitee to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6" w:name="page197"/>
    <w:bookmarkEnd w:id="196"/>
    <w:p>
      <w:pPr>
        <w:ind w:left="660" w:firstLine="644"/>
        <w:spacing w:after="0" w:line="282" w:lineRule="auto"/>
        <w:tabs>
          <w:tab w:leader="none" w:pos="16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written demand therefor.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provisions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Agent, the L/C Issuer and the Swing Line Lender, the replacement of any Lender, the termination of the Aggregate Commitments and the repayment, satisfaction or discharge of all the other Obligations.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10.05 Payments Set Aside</w:t>
      </w:r>
      <w:r>
        <w:rPr>
          <w:rFonts w:ascii="Times New Roman" w:cs="Times New Roman" w:eastAsia="Times New Roman" w:hAnsi="Times New Roman"/>
          <w:sz w:val="18"/>
          <w:szCs w:val="18"/>
          <w:color w:val="auto"/>
        </w:rPr>
        <w:t>. To the extent that any payment by or on behalf of the Borrower is made to the Agent, the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or any Lender, or the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10.06</w:t>
      </w:r>
      <w:r>
        <w:rPr>
          <w:sz w:val="20"/>
          <w:szCs w:val="20"/>
          <w:color w:val="auto"/>
        </w:rPr>
        <w:tab/>
      </w: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3" w:lineRule="auto"/>
        <w:tabs>
          <w:tab w:leader="none" w:pos="163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Agent, the L/C Issuer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9"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firstLine="640"/>
        <w:spacing w:after="0" w:line="282" w:lineRule="auto"/>
        <w:tabs>
          <w:tab w:leader="none" w:pos="293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Loans at the time owing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7" w:name="page198"/>
    <w:bookmarkEnd w:id="197"/>
    <w:p>
      <w:pPr>
        <w:jc w:val="both"/>
        <w:ind w:left="1500"/>
        <w:spacing w:after="0" w:line="261" w:lineRule="auto"/>
        <w:rPr>
          <w:sz w:val="20"/>
          <w:szCs w:val="20"/>
          <w:color w:val="auto"/>
        </w:rPr>
      </w:pPr>
      <w:r>
        <w:rPr>
          <w:rFonts w:ascii="Times New Roman" w:cs="Times New Roman" w:eastAsia="Times New Roman" w:hAnsi="Times New Roman"/>
          <w:sz w:val="18"/>
          <w:szCs w:val="18"/>
          <w:color w:val="auto"/>
        </w:rPr>
        <w:t xml:space="preserve">contemporaneous assignments to related Approved Funds (determined after giving effect to such assignments) that equal at least the amount specified in </w:t>
      </w:r>
      <w:r>
        <w:rPr>
          <w:rFonts w:ascii="Times New Roman" w:cs="Times New Roman" w:eastAsia="Times New Roman" w:hAnsi="Times New Roman"/>
          <w:sz w:val="18"/>
          <w:szCs w:val="18"/>
          <w:u w:val="single" w:color="auto"/>
          <w:color w:val="auto"/>
        </w:rPr>
        <w:t>paragraph (b)(i)(B)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180" w:lineRule="exact"/>
        <w:rPr>
          <w:sz w:val="20"/>
          <w:szCs w:val="20"/>
          <w:color w:val="auto"/>
        </w:rPr>
      </w:pPr>
    </w:p>
    <w:p>
      <w:pPr>
        <w:jc w:val="both"/>
        <w:ind w:left="1500" w:firstLine="640"/>
        <w:spacing w:after="0" w:line="254" w:lineRule="auto"/>
        <w:tabs>
          <w:tab w:leader="none" w:pos="247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spacing w:after="0" w:line="191" w:lineRule="exact"/>
        <w:rPr>
          <w:rFonts w:ascii="Times New Roman" w:cs="Times New Roman" w:eastAsia="Times New Roman" w:hAnsi="Times New Roman"/>
          <w:sz w:val="18"/>
          <w:szCs w:val="18"/>
          <w:color w:val="auto"/>
        </w:rPr>
      </w:pPr>
    </w:p>
    <w:p>
      <w:pPr>
        <w:jc w:val="both"/>
        <w:ind w:left="1820" w:firstLine="644"/>
        <w:spacing w:after="0" w:line="261" w:lineRule="auto"/>
        <w:tabs>
          <w:tab w:leader="none" w:pos="2792"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79" w:lineRule="exact"/>
        <w:rPr>
          <w:rFonts w:ascii="Times New Roman" w:cs="Times New Roman" w:eastAsia="Times New Roman" w:hAnsi="Times New Roman"/>
          <w:sz w:val="18"/>
          <w:szCs w:val="18"/>
          <w:color w:val="auto"/>
        </w:rPr>
      </w:pPr>
    </w:p>
    <w:p>
      <w:pPr>
        <w:ind w:left="1820" w:right="20" w:firstLine="644"/>
        <w:spacing w:after="0" w:line="282" w:lineRule="auto"/>
        <w:tabs>
          <w:tab w:leader="none" w:pos="2792"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 this Section and, in addition:</w:t>
      </w:r>
    </w:p>
    <w:p>
      <w:pPr>
        <w:spacing w:after="0" w:line="161" w:lineRule="exact"/>
        <w:rPr>
          <w:rFonts w:ascii="Times New Roman" w:cs="Times New Roman" w:eastAsia="Times New Roman" w:hAnsi="Times New Roman"/>
          <w:sz w:val="18"/>
          <w:szCs w:val="18"/>
          <w:color w:val="auto"/>
        </w:rPr>
      </w:pPr>
    </w:p>
    <w:p>
      <w:pPr>
        <w:jc w:val="both"/>
        <w:ind w:left="2140" w:firstLine="648"/>
        <w:spacing w:after="0" w:line="266" w:lineRule="auto"/>
        <w:tabs>
          <w:tab w:leader="none" w:pos="3112"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175" w:lineRule="exact"/>
        <w:rPr>
          <w:rFonts w:ascii="Times New Roman" w:cs="Times New Roman" w:eastAsia="Times New Roman" w:hAnsi="Times New Roman"/>
          <w:sz w:val="18"/>
          <w:szCs w:val="18"/>
          <w:color w:val="auto"/>
        </w:rPr>
      </w:pPr>
    </w:p>
    <w:p>
      <w:pPr>
        <w:jc w:val="both"/>
        <w:ind w:left="2140" w:firstLine="648"/>
        <w:spacing w:after="0" w:line="266" w:lineRule="auto"/>
        <w:tabs>
          <w:tab w:leader="none" w:pos="3112"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Agent (such consent not to be unreasonably withheld or delayed) shall be required if such assignment is to a Person that is not a Lender, an Affiliate of such Lender or an Approved Fund with respect to such Lender; and</w:t>
      </w:r>
    </w:p>
    <w:p>
      <w:pPr>
        <w:spacing w:after="0" w:line="175" w:lineRule="exact"/>
        <w:rPr>
          <w:rFonts w:ascii="Times New Roman" w:cs="Times New Roman" w:eastAsia="Times New Roman" w:hAnsi="Times New Roman"/>
          <w:sz w:val="18"/>
          <w:szCs w:val="18"/>
          <w:color w:val="auto"/>
        </w:rPr>
      </w:pPr>
    </w:p>
    <w:p>
      <w:pPr>
        <w:ind w:left="2140" w:right="20" w:firstLine="648"/>
        <w:spacing w:after="0" w:line="282" w:lineRule="auto"/>
        <w:tabs>
          <w:tab w:leader="none" w:pos="3112"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Swing Line Lender (such consent not to be unreasonably withheld or delayed) shall be required for any assignment.</w:t>
      </w:r>
    </w:p>
    <w:p>
      <w:pPr>
        <w:spacing w:after="0" w:line="162" w:lineRule="exact"/>
        <w:rPr>
          <w:sz w:val="20"/>
          <w:szCs w:val="20"/>
          <w:color w:val="auto"/>
        </w:rPr>
      </w:pPr>
    </w:p>
    <w:p>
      <w:pPr>
        <w:jc w:val="both"/>
        <w:ind w:left="1500" w:firstLine="640"/>
        <w:spacing w:after="0" w:line="256" w:lineRule="auto"/>
        <w:tabs>
          <w:tab w:leader="none" w:pos="24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Agent may, in its sole discretion, elect to waive such processing and recordation fee in the case of any assignment. Except as otherwise provided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such processing and recordation fees, together with the costs and expenses of the Agent incurred in connection with the execution and delivery of such Assignment and Assumption, shall be paid by either the assignor or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8" w:name="page199"/>
    <w:bookmarkEnd w:id="198"/>
    <w:p>
      <w:pPr>
        <w:ind w:left="1500"/>
        <w:spacing w:after="0"/>
        <w:rPr>
          <w:sz w:val="20"/>
          <w:szCs w:val="20"/>
          <w:color w:val="auto"/>
        </w:rPr>
      </w:pPr>
      <w:r>
        <w:rPr>
          <w:rFonts w:ascii="Times New Roman" w:cs="Times New Roman" w:eastAsia="Times New Roman" w:hAnsi="Times New Roman"/>
          <w:sz w:val="18"/>
          <w:szCs w:val="18"/>
          <w:color w:val="auto"/>
        </w:rPr>
        <w:t>The assignee, if it is not a Lender, shall deliver to the Agent an Administrative Questionnaire.</w:t>
      </w:r>
    </w:p>
    <w:p>
      <w:pPr>
        <w:spacing w:after="0" w:line="225" w:lineRule="exact"/>
        <w:rPr>
          <w:sz w:val="20"/>
          <w:szCs w:val="20"/>
          <w:color w:val="auto"/>
        </w:rPr>
      </w:pPr>
    </w:p>
    <w:p>
      <w:pPr>
        <w:jc w:val="both"/>
        <w:ind w:left="1500" w:firstLine="640"/>
        <w:spacing w:after="0" w:line="258" w:lineRule="auto"/>
        <w:tabs>
          <w:tab w:leader="none" w:pos="247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Borrower or any of its Subsidiaries or Affiliates, (B) a natural person (or a holding company, investment vehicle or trust for, or owned and operated for the primary benefit of, a natural person) or (C) any Defaulting Lender or any of its Subsidiaries, or any Person who, upon becoming a Lender hereunder, would constitute any of the foregoing Persons described in this clause (C).</w:t>
      </w:r>
    </w:p>
    <w:p>
      <w:pPr>
        <w:spacing w:after="0" w:line="183" w:lineRule="exact"/>
        <w:rPr>
          <w:rFonts w:ascii="Times New Roman" w:cs="Times New Roman" w:eastAsia="Times New Roman" w:hAnsi="Times New Roman"/>
          <w:sz w:val="18"/>
          <w:szCs w:val="18"/>
          <w:color w:val="auto"/>
        </w:rPr>
      </w:pPr>
    </w:p>
    <w:p>
      <w:pPr>
        <w:jc w:val="both"/>
        <w:ind w:left="1500" w:firstLine="640"/>
        <w:spacing w:after="0" w:line="252" w:lineRule="auto"/>
        <w:tabs>
          <w:tab w:leader="none" w:pos="247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Committed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Committed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6"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and upon receipt of the original Note from the assignor marked “Cancelled,”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9" w:name="page200"/>
    <w:bookmarkEnd w:id="199"/>
    <w:p>
      <w:pPr>
        <w:jc w:val="both"/>
        <w:ind w:left="200" w:firstLine="644"/>
        <w:spacing w:after="0" w:line="254" w:lineRule="auto"/>
        <w:tabs>
          <w:tab w:leader="none" w:pos="117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Agent, acting solely for this purpose as an agent of the Borrower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left="200" w:firstLine="644"/>
        <w:spacing w:after="0" w:line="253" w:lineRule="auto"/>
        <w:tabs>
          <w:tab w:leader="none" w:pos="117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94" w:lineRule="exact"/>
        <w:rPr>
          <w:sz w:val="20"/>
          <w:szCs w:val="20"/>
          <w:color w:val="auto"/>
        </w:rPr>
      </w:pPr>
    </w:p>
    <w:p>
      <w:pPr>
        <w:jc w:val="both"/>
        <w:ind w:left="2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00" w:name="page201"/>
    <w:bookmarkEnd w:id="200"/>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unless otherwise required by law.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9" w:lineRule="exact"/>
        <w:rPr>
          <w:sz w:val="20"/>
          <w:szCs w:val="20"/>
          <w:color w:val="auto"/>
        </w:rPr>
      </w:pPr>
    </w:p>
    <w:p>
      <w:pPr>
        <w:jc w:val="both"/>
        <w:ind w:left="660" w:firstLine="644"/>
        <w:spacing w:after="0" w:line="261" w:lineRule="auto"/>
        <w:tabs>
          <w:tab w:leader="none" w:pos="16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a Lender acting as L/C Issuer or Swing Line Lender assigns all of its Commitment and Loans pursuant to subsection (b) above, such Lender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Borrower to appoint any such successor shall affect the resignation of the applicable Lender as L/C Issuer or Swing Line Lender, as the case may be. Any such appointment of a successor L/C Issuer or Swing Line Lender by the Borrower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shall not become effective until acceptance of the appointment by the successor L/C Issuer or Swing Line Lender. If a Lender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a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resigning L/C Issuer to effectively assume the obligations of such L/C Issuer with respect to such Letters of Credit.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10.07 Treatment of Certain Information; Confidentiality</w:t>
      </w:r>
      <w:r>
        <w:rPr>
          <w:rFonts w:ascii="Times New Roman" w:cs="Times New Roman" w:eastAsia="Times New Roman" w:hAnsi="Times New Roman"/>
          <w:sz w:val="18"/>
          <w:szCs w:val="18"/>
          <w:color w:val="auto"/>
        </w:rPr>
        <w:t>. Each of the Agent, the Lenders and the L/C Issuer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1" w:name="page202"/>
    <w:bookmarkEnd w:id="20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(ii) any actual or prospective counterparty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provider of any Platform or other electronic delivery service used by the Agent, the L/C Issuer and/or the Swing Line Lender to deliver Borrower Materials or notices to the Lenders (h) the CUSIP Service Bureau or any similar agency in connection with the application, issuance, publishing and monitoring of CUSIP numbers or other market identifiers with respect to the credit facilities provided hereunder, (i) with the prior written consent of the Borrower or (j)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(ii) becomes available to the Agent, any Lender, the L/C Issuer or any of their respective Affiliates on a nonconfidential basis from a source other than the Borrower or (iii)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In addition, the Agent and the Lenders may disclose the existence of this Agreement and information about this Agreement to market data collectors, similar service providers to the lending industry and service providers to the Agent and the Lenders in connection with the administration of this Agreement, the other Loan Documents and the Commitments.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or any Subsidiary relating to the Borrower or any Subsidiary or any of their respective businesses, other than any such information that is available to the Agent, any Lender or the L/C Issuer on a nonconfidential basis prior to disclosure by the Borrower or any Subsidiary.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10.08 Right of Setoff</w:t>
      </w:r>
      <w:r>
        <w:rPr>
          <w:rFonts w:ascii="Times New Roman" w:cs="Times New Roman" w:eastAsia="Times New Roman" w:hAnsi="Times New Roman"/>
          <w:sz w:val="18"/>
          <w:szCs w:val="18"/>
          <w:color w:val="auto"/>
        </w:rPr>
        <w:t>. If an Event of Default shall have occurred and be continuing, each Lender, the L/C Issuer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pending such payment, shall be segregated by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2" w:name="page203"/>
    <w:bookmarkEnd w:id="20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10.09 Interest Rate Limitation</w:t>
      </w:r>
      <w:r>
        <w:rPr>
          <w:rFonts w:ascii="Times New Roman" w:cs="Times New Roman" w:eastAsia="Times New Roman" w:hAnsi="Times New Roman"/>
          <w:sz w:val="18"/>
          <w:szCs w:val="18"/>
          <w:color w:val="auto"/>
        </w:rPr>
        <w:t>. Notwithstanding anything to the contrary contained in any Loan Document, the interest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Agent or a Lender exceeds the Maximum Rate, such Person may, to the extent permitted by applicable law, (a) characterize any payment that is not principal as an expense, fee, or premium rather than interest,</w:t>
      </w:r>
    </w:p>
    <w:p>
      <w:pPr>
        <w:spacing w:after="0" w:line="4" w:lineRule="exact"/>
        <w:rPr>
          <w:sz w:val="20"/>
          <w:szCs w:val="20"/>
          <w:color w:val="auto"/>
        </w:rPr>
      </w:pPr>
    </w:p>
    <w:p>
      <w:pPr>
        <w:ind w:right="20" w:firstLine="8"/>
        <w:spacing w:after="0" w:line="260" w:lineRule="auto"/>
        <w:tabs>
          <w:tab w:leader="none" w:pos="2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voluntary prepayments and the effects thereof, and (c) amortize, prorate, allocate, and spread in equal or unequal parts the total amount of interest throughout the contemplated term of the Obligations hereunder.</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10.10 Counterparts; Integration; Effectiveness</w:t>
      </w:r>
      <w:r>
        <w:rPr>
          <w:rFonts w:ascii="Times New Roman" w:cs="Times New Roman" w:eastAsia="Times New Roman" w:hAnsi="Times New Roman"/>
          <w:sz w:val="18"/>
          <w:szCs w:val="18"/>
          <w:color w:val="auto"/>
        </w:rPr>
        <w:t>. This Agreement and each of the other Loan Documents may be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parties to the Existing Credit Agreement each hereby agrees that, at such time as this Agreement shall have become effective pursuant to the terms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10.11 Survival of Representations and Warranties</w:t>
      </w:r>
      <w:r>
        <w:rPr>
          <w:rFonts w:ascii="Times New Roman" w:cs="Times New Roman" w:eastAsia="Times New Roman" w:hAnsi="Times New Roman"/>
          <w:sz w:val="18"/>
          <w:szCs w:val="18"/>
          <w:color w:val="auto"/>
        </w:rPr>
        <w:t>. All representations and warranties made hereunder and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or other document delivered pursuant hereto or thereto or in connection herewith or therewith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3" w:name="page204"/>
    <w:bookmarkEnd w:id="203"/>
    <w:p>
      <w:pPr>
        <w:jc w:val="both"/>
        <w:spacing w:after="0" w:line="282" w:lineRule="auto"/>
        <w:rPr>
          <w:sz w:val="20"/>
          <w:szCs w:val="20"/>
          <w:color w:val="auto"/>
        </w:rPr>
      </w:pPr>
      <w:r>
        <w:rPr>
          <w:rFonts w:ascii="Times New Roman" w:cs="Times New Roman" w:eastAsia="Times New Roman" w:hAnsi="Times New Roman"/>
          <w:sz w:val="18"/>
          <w:szCs w:val="18"/>
          <w:color w:val="auto"/>
        </w:rPr>
        <w:t>Extension, and shall continue in full force and effect as long as any Loan or any other Obligation hereunder shall remain unpaid or unsatisfied or any Letter of Credit shall remain outstanding.</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10.12 Severability</w:t>
      </w:r>
      <w:r>
        <w:rPr>
          <w:rFonts w:ascii="Times New Roman" w:cs="Times New Roman" w:eastAsia="Times New Roman" w:hAnsi="Times New Roman"/>
          <w:sz w:val="18"/>
          <w:szCs w:val="18"/>
          <w:color w:val="auto"/>
        </w:rPr>
        <w:t>. If any provision of this Agreement or the other Loan Documents is held to be illegal,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10.13 Replacement of Lenders</w:t>
      </w:r>
      <w:r>
        <w:rPr>
          <w:rFonts w:ascii="Times New Roman" w:cs="Times New Roman" w:eastAsia="Times New Roman" w:hAnsi="Times New Roman"/>
          <w:sz w:val="18"/>
          <w:szCs w:val="18"/>
          <w:color w:val="auto"/>
        </w:rPr>
        <w:t>. If the Borrower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if any Lender is a Defaulting Lender or a Non-Consenting Lender, then the Borrower may, at its sole expense and effort, upon notice to such Lender and the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6" w:lineRule="exact"/>
        <w:rPr>
          <w:sz w:val="20"/>
          <w:szCs w:val="20"/>
          <w:color w:val="auto"/>
        </w:rPr>
      </w:pPr>
    </w:p>
    <w:p>
      <w:pPr>
        <w:ind w:left="1620" w:hanging="316"/>
        <w:spacing w:after="0"/>
        <w:tabs>
          <w:tab w:leader="none" w:pos="1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10.14</w:t>
      </w:r>
      <w:r>
        <w:rPr>
          <w:sz w:val="20"/>
          <w:szCs w:val="20"/>
          <w:color w:val="auto"/>
        </w:rPr>
        <w:tab/>
      </w:r>
      <w:r>
        <w:rPr>
          <w:rFonts w:ascii="Times New Roman" w:cs="Times New Roman" w:eastAsia="Times New Roman" w:hAnsi="Times New Roman"/>
          <w:sz w:val="17"/>
          <w:szCs w:val="17"/>
          <w:b w:val="1"/>
          <w:bCs w:val="1"/>
          <w:color w:val="auto"/>
        </w:rPr>
        <w:t>Governing Law; Jurisdiction;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firstLine="644"/>
        <w:spacing w:after="0" w:line="282" w:lineRule="auto"/>
        <w:tabs>
          <w:tab w:leader="none" w:pos="163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CONTROVERSY, DISPUTE OR CAUSE OF ACTION (WHETHER IN CONTRACT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4" w:name="page205"/>
    <w:bookmarkEnd w:id="20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TORT OR OTHERWISE) BASED UPON, ARISING OUT OF OR RELATING TO THIS AGREEMENT AND THE TRANSACTIONS CONTEMPLATED HEREBY SHALL BE GOVERNED BY, AND CONSTRUED IN ACCORDANCE WITH, THE LAW OF THE STATE OF NEW YORK.</w:t>
      </w:r>
    </w:p>
    <w:p>
      <w:pPr>
        <w:spacing w:after="0" w:line="176" w:lineRule="exact"/>
        <w:rPr>
          <w:sz w:val="20"/>
          <w:szCs w:val="20"/>
          <w:color w:val="auto"/>
        </w:rPr>
      </w:pPr>
    </w:p>
    <w:p>
      <w:pPr>
        <w:jc w:val="both"/>
        <w:ind w:left="660" w:firstLine="644"/>
        <w:spacing w:after="0" w:line="252" w:lineRule="auto"/>
        <w:tabs>
          <w:tab w:leader="none" w:pos="163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IRREVOCABLY AND UNCONDITIONALLY AGREES THAT IT WILL NOT COMMENCE ANY ACTION, LITIGATION OR PROCEEDING OF ANY KIND OR DESCRIPTION, WHETHER IN LAW OR EQUITY, WHETHER IN CONTRACT OR IN TORT OR OTHERWISE, AGAINST THE AGENT, ANY LENDER, THE L/C ISSUER, OR ANY RELATED PARTY OF THE FOREGOING IN ANY WAY RELATING TO THIS AGREEMENT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ANY LENDER OR THE L/C ISSUER MAY OTHERWISE HAVE TO BRING ANY ACTION OR PROCEEDING RELATING TO THIS AGREEMENT OR ANY OTHER LOAN DOCUMENT AGAINST THE BORROWER OR ANY OTHER LOAN PARTY OR ITS PROPERTIES IN THE COURTS OF ANY JURISDICTION.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3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10.15 Waiver of Jury Trial</w:t>
      </w:r>
      <w:r>
        <w:rPr>
          <w:rFonts w:ascii="Times New Roman" w:cs="Times New Roman" w:eastAsia="Times New Roman" w:hAnsi="Times New Roman"/>
          <w:sz w:val="18"/>
          <w:szCs w:val="18"/>
          <w:color w:val="auto"/>
        </w:rPr>
        <w:t>. EACH PARTY HERETO HEREBY IRREVOCABLY WAIVES,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ANY RIGHT IT MAY HAVE TO A TRIAL BY JURY IN ANY LEGAL PROCEEDING DIRECTLY OR INDIRECTLY ARISING OUT OF OR RELATING TO THIS AGREEMENT OR ANY OTHER LOAN DOCUMENT OR THE TRANSACTIONS CONTEMPLATED HEREBY OR THEREBY (WHETHER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5" w:name="page206"/>
    <w:bookmarkEnd w:id="205"/>
    <w:p>
      <w:pPr>
        <w:jc w:val="both"/>
        <w:spacing w:after="0" w:line="257" w:lineRule="auto"/>
        <w:rPr>
          <w:sz w:val="20"/>
          <w:szCs w:val="20"/>
          <w:color w:val="auto"/>
        </w:rPr>
      </w:pPr>
      <w:r>
        <w:rPr>
          <w:rFonts w:ascii="Times New Roman" w:cs="Times New Roman" w:eastAsia="Times New Roman" w:hAnsi="Times New Roman"/>
          <w:sz w:val="18"/>
          <w:szCs w:val="18"/>
          <w:color w:val="auto"/>
        </w:rPr>
        <w:t>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jc w:val="both"/>
        <w:ind w:firstLine="8"/>
        <w:spacing w:after="0" w:line="255" w:lineRule="auto"/>
        <w:tabs>
          <w:tab w:leader="none" w:pos="3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10.16 No Advisory or Fiduciary Responsibility</w:t>
      </w:r>
      <w:r>
        <w:rPr>
          <w:rFonts w:ascii="Times New Roman" w:cs="Times New Roman" w:eastAsia="Times New Roman" w:hAnsi="Times New Roman"/>
          <w:sz w:val="18"/>
          <w:szCs w:val="18"/>
          <w:color w:val="auto"/>
        </w:rPr>
        <w:t>. In connection with all aspects of each transaction contemplated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 connection with any amendment, waiver or other modification hereof or of any other Loan Document), the Borrower acknowledges and agrees that: (i) (A) the arranging and other services regarding this Agreement provided by the Agent, the Arranger, the other lead arranger(s) and the Lenders are arm’s-length commercial transactions between the Borrower, each other Loan Party and their respective Affiliates, on the one hand, and the Agent, the Arranger, the other lead arranger(s) and the Lenders,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Agent, the Arranger, each other lead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Agent, the Arranger, any other lead arranger nor any Lender has any obligation to the Borrower, any other Loan Party or any of their respective Affiliates with respect to the transactions contemplated hereby except those obligations expressly set forth herein and in the other Loan Documents; and (iii) the Agent, the Arranger, the other lead arranger(s) and the Lenders and their respective Affiliates may be engaged in a broad range of transactions that involve interests that differ from those of the Borrower, the other Loan Parties and their respective Affiliates, and neither the Agent, the Arranger, any other lead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Agent, the Arranger, the other lead arranger(s) or any Lender with respect to any breach or alleged breach of agency or fiduciary duty in connection with any aspect of any transaction contemplated hereby.</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10.17</w:t>
      </w:r>
      <w:r>
        <w:rPr>
          <w:sz w:val="20"/>
          <w:szCs w:val="20"/>
          <w:color w:val="auto"/>
        </w:rPr>
        <w:tab/>
      </w:r>
      <w:r>
        <w:rPr>
          <w:rFonts w:ascii="Times New Roman" w:cs="Times New Roman" w:eastAsia="Times New Roman" w:hAnsi="Times New Roman"/>
          <w:sz w:val="17"/>
          <w:szCs w:val="17"/>
          <w:b w:val="1"/>
          <w:bCs w:val="1"/>
          <w:color w:val="auto"/>
        </w:rPr>
        <w:t>Electronic Execution of Assignments and Certain Other Documents.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Agreement and any document, amendment, approval, consent, information, notice, certificate, request, statement, disclosure or authorization related to this Agreement (each a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including Communications required to be in writing, may be in the form of an Electronic Record and may be executed using Electronic Signatures. The Borrower agrees that any Electronic Signature on or associated with any Communication shall be valid and binding on the Borrower and each of the other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Lenders of a manually signed paper Communication which has been converted into electronic form (such as scanned into PDF format), or an electronically signed Communication converted into another format, for transmission, delivery and/or retention. The Agent and each of the Lenders may,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6" w:name="page207"/>
    <w:bookmarkEnd w:id="206"/>
    <w:p>
      <w:pPr>
        <w:jc w:val="both"/>
        <w:spacing w:after="0" w:line="253" w:lineRule="auto"/>
        <w:rPr>
          <w:sz w:val="20"/>
          <w:szCs w:val="20"/>
          <w:color w:val="auto"/>
        </w:rPr>
      </w:pPr>
      <w:r>
        <w:rPr>
          <w:rFonts w:ascii="Times New Roman" w:cs="Times New Roman" w:eastAsia="Times New Roman" w:hAnsi="Times New Roman"/>
          <w:sz w:val="18"/>
          <w:szCs w:val="18"/>
          <w:color w:val="auto"/>
        </w:rPr>
        <w:t>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provided, further, without limiting the foregoing, (a) to the extent the Agent has agreed to accept such Electronic Signature, the Agent and each of the Lenders shall be entitled to rely on any such Electronic Signature purportedly given by or on behalf of any Loan Party without further verification and (b) upon the request of the Agent or any Lender, any Electronic Signature shall be promptly followed by such manually executed counterpart. For purposes hereof, “</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10.18 USA PATRIOT Act</w:t>
      </w:r>
      <w:r>
        <w:rPr>
          <w:rFonts w:ascii="Times New Roman" w:cs="Times New Roman" w:eastAsia="Times New Roman" w:hAnsi="Times New Roman"/>
          <w:sz w:val="18"/>
          <w:szCs w:val="18"/>
          <w:color w:val="auto"/>
        </w:rPr>
        <w:t>. Each Lender that is subject to the PATRIOT Act (as hereinafter defined) and the Agent (for itself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Loan Parties, which information includes the name, address and tax identification numbers of the Loan Parties and other information that will allow such Lender or the Agent, as applicable, to identify the Loan Parties in accordance with the PATRIOT Act. The Borrower shall, promptly following a request by the Agent or any Lender, provide all documentation and other information that the Agent or such Lender requests in order to comply with its ongoing obligations under applicable “know your customer” and anti-money laundering rules and regulations, including the PATRIOT Act.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10.19 Acknowledgement and Consent to Bail-In of Affected Financial Institutions</w:t>
      </w:r>
      <w:r>
        <w:rPr>
          <w:rFonts w:ascii="Times New Roman" w:cs="Times New Roman" w:eastAsia="Times New Roman" w:hAnsi="Times New Roman"/>
          <w:sz w:val="18"/>
          <w:szCs w:val="18"/>
          <w:color w:val="auto"/>
        </w:rPr>
        <w:t>. Solely to the extent any Lender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jc w:val="both"/>
        <w:ind w:left="660" w:firstLine="644"/>
        <w:spacing w:after="0" w:line="312" w:lineRule="auto"/>
        <w:tabs>
          <w:tab w:leader="none" w:pos="1632"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39" w:lineRule="exact"/>
        <w:rPr>
          <w:rFonts w:ascii="Times New Roman" w:cs="Times New Roman" w:eastAsia="Times New Roman" w:hAnsi="Times New Roman"/>
          <w:sz w:val="17"/>
          <w:szCs w:val="17"/>
          <w:color w:val="auto"/>
        </w:rPr>
      </w:pPr>
    </w:p>
    <w:p>
      <w:pPr>
        <w:ind w:left="1620" w:hanging="316"/>
        <w:spacing w:after="0"/>
        <w:tabs>
          <w:tab w:leader="none" w:pos="16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2280" w:firstLine="644"/>
        <w:spacing w:after="0" w:line="258" w:lineRule="auto"/>
        <w:tabs>
          <w:tab w:leader="none" w:pos="3292"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3" w:lineRule="exact"/>
        <w:rPr>
          <w:rFonts w:ascii="Times New Roman" w:cs="Times New Roman" w:eastAsia="Times New Roman" w:hAnsi="Times New Roman"/>
          <w:sz w:val="18"/>
          <w:szCs w:val="18"/>
          <w:color w:val="auto"/>
        </w:rPr>
      </w:pPr>
    </w:p>
    <w:p>
      <w:pPr>
        <w:ind w:left="2280" w:right="440" w:firstLine="644"/>
        <w:spacing w:after="0" w:line="282" w:lineRule="auto"/>
        <w:tabs>
          <w:tab w:leader="none" w:pos="3252"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7" w:name="page208"/>
    <w:bookmarkEnd w:id="20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10.20. Acknowledgement Regarding Any Supported QFCs. </w:t>
      </w:r>
      <w:r>
        <w:rPr>
          <w:rFonts w:ascii="Times New Roman" w:cs="Times New Roman" w:eastAsia="Times New Roman" w:hAnsi="Times New Roman"/>
          <w:sz w:val="18"/>
          <w:szCs w:val="18"/>
          <w:color w:val="auto"/>
        </w:rPr>
        <w:t>To the extent that the Loan Documents provide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left="660" w:firstLine="644"/>
        <w:spacing w:after="0" w:line="253" w:lineRule="auto"/>
        <w:tabs>
          <w:tab w:leader="none" w:pos="163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8" w:name="page209"/>
    <w:bookmarkEnd w:id="208"/>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PAGES OMITTED]</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09" w:name="page210"/>
    <w:bookmarkEnd w:id="20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33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Letter Agreement Counter Parties</w:t>
            </w:r>
          </w:p>
        </w:tc>
        <w:tc>
          <w:tcPr>
            <w:tcW w:w="2980" w:type="dxa"/>
            <w:vAlign w:val="bottom"/>
          </w:tcPr>
          <w:p>
            <w:pPr>
              <w:spacing w:after="0"/>
              <w:rPr>
                <w:sz w:val="20"/>
                <w:szCs w:val="20"/>
                <w:color w:val="auto"/>
              </w:rPr>
            </w:pPr>
          </w:p>
        </w:tc>
      </w:tr>
      <w:tr>
        <w:trPr>
          <w:trHeight w:val="44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4"/>
                <w:szCs w:val="24"/>
                <w:color w:val="auto"/>
              </w:rPr>
            </w:pPr>
          </w:p>
        </w:tc>
        <w:tc>
          <w:tcPr>
            <w:tcW w:w="30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9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Date Signed</w:t>
            </w:r>
          </w:p>
        </w:tc>
      </w:tr>
      <w:tr>
        <w:trPr>
          <w:trHeight w:val="223"/>
        </w:trPr>
        <w:tc>
          <w:tcPr>
            <w:tcW w:w="20" w:type="dxa"/>
            <w:vAlign w:val="bottom"/>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Heilmann, P.</w:t>
            </w:r>
          </w:p>
        </w:tc>
        <w:tc>
          <w:tcPr>
            <w:tcW w:w="24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Chief Legal Officer</w:t>
            </w:r>
          </w:p>
        </w:tc>
        <w:tc>
          <w:tcPr>
            <w:tcW w:w="2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23, 2014</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Lauer,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SVP, Ocean Services</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April 6, 2015</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Cerocke, G.</w:t>
            </w:r>
          </w:p>
        </w:tc>
        <w:tc>
          <w:tcPr>
            <w:tcW w:w="3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Gao, Q.</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Isotoff, L.</w:t>
            </w:r>
          </w:p>
        </w:tc>
        <w:tc>
          <w:tcPr>
            <w:tcW w:w="3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2022</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Kinney, R.</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2020</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K.</w:t>
            </w:r>
          </w:p>
        </w:tc>
        <w:tc>
          <w:tcPr>
            <w:tcW w:w="3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2022</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Rascon, L.</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C.</w:t>
            </w:r>
          </w:p>
        </w:tc>
        <w:tc>
          <w:tcPr>
            <w:tcW w:w="3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Sullivan,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2020</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Stuck, K.</w:t>
            </w:r>
          </w:p>
        </w:tc>
        <w:tc>
          <w:tcPr>
            <w:tcW w:w="3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11, 2018</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Taylor,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May 16, 2018</w:t>
            </w:r>
          </w:p>
        </w:tc>
      </w:tr>
      <w:tr>
        <w:trPr>
          <w:trHeight w:val="799"/>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0"/>
          <w:szCs w:val="20"/>
          <w:b w:val="1"/>
          <w:bCs w:val="1"/>
          <w:color w:val="auto"/>
        </w:rPr>
        <w:t>Exhibit 10.48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162560</wp:posOffset>
            </wp:positionV>
            <wp:extent cx="6377940" cy="3340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6377940" cy="33401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300" w:type="dxa"/>
            <w:vAlign w:val="bottom"/>
          </w:tcPr>
          <w:p>
            <w:pPr>
              <w:spacing w:after="0"/>
              <w:rPr>
                <w:sz w:val="22"/>
                <w:szCs w:val="22"/>
                <w:color w:val="auto"/>
              </w:rPr>
            </w:pPr>
          </w:p>
        </w:tc>
      </w:tr>
      <w:tr>
        <w:trPr>
          <w:trHeight w:val="44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 – DESCRIPTION AND CLASS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 – CONTRACT PRICE AND TERMS OF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III – LIQUIDATED DAMAGES AND TERMINATION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ARTICLE IV – WORK, SUPERVISION AND INSPECTION AND APPROVAL OF PLANS AND DRAWINGS,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REPORTING</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 – MODIFICATIONS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 – TRIALS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VII – DELIVERY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ARTICLE VIII – DELAYS AND EXTENSION OF TIME FOR DELIVERY DUE TO FORCE MAJEURE AND</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TERMINATION FOR EXCESSIVE DELAY</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IX-WARRANTY OF QUALITY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 – TERMINATION BY THE BUYER AND OPTIONS ON TERMINATION; GUARANTY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AGREEMENT AND BUYER’S RIGHT TO ADDITIONAL SECURITY; AUDIT AND INSPECTION RIGHTS</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 – BUYER’S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 –BUILDER’S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XIII – 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XIV – DISPUTE RESOLUTION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 – ASSIGNMENT OF CONTRACT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 – TITLE AND LIENS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XVII – PATENTS, TRADEMARKS, COPYRIGHTS, ETC.</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XVIII – BUYER’S SUPPLIES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XIX – COOPERATION REGARDING FINANCING AND RELATED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 –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 –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XXII – LIMITATION OF LIABILITY; INDEMNIFICATION AND NO BROKERAGE; AND</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FEDERAL CONTRACTOR REQUIREMENTS</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XXIII – CONFIDENTIALITY; PUBLIC ANNOUNCEMENTS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1 Schedule of Milestone Payments for Each Vessel</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2 Milestone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3 Escrow Instructions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4 Form of Invoice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5 Sample Steel Adjustment Calculation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6 Form of Change Order</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7 Freedom of Liens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8 Theoretical Calculation of the Carbon Intensity Indicator (CII)</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2"/>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9 Class Notations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Certain information has been excluded from this exhibit pursuant to Item 601(b)(10)(iv) of Regulation S-K because it is both (i) not material and (ii) the type that the registrant treats as private or confidential. The following symbol is included in this exhibit to indicate where such information has been omitted: [*].</w:t>
      </w:r>
    </w:p>
    <w:p>
      <w:pPr>
        <w:spacing w:after="0" w:line="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In addition, certain other information has been excluded from this exhibit pursuant to Item 601(a)(6) of Regulation S-K because disclosure of such information would constitute a clearly unwarranted invasion of personal privacy. The following symbol is included in this exhibit to indicate where such information has been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162560</wp:posOffset>
            </wp:positionV>
            <wp:extent cx="6377940" cy="3346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6377940" cy="33464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040</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THIS SHIPBUILDING CONTRACT </w:t>
      </w:r>
      <w:r>
        <w:rPr>
          <w:rFonts w:ascii="Times New Roman" w:cs="Times New Roman" w:eastAsia="Times New Roman" w:hAnsi="Times New Roman"/>
          <w:sz w:val="20"/>
          <w:szCs w:val="20"/>
          <w:color w:val="auto"/>
        </w:rPr>
        <w:t>(this “Contract”) is made as of November 1, 2022 by and between PHILLY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SHIPYARD, INC., a corporation organized under the laws of Pennsylvania, having its principal office at 2100 Kitty Hawk Avenue, Philadelphia, PA 19112 (hereinafter called the “BUILDER”), and MATSON NAVIGATION COMPANY, INC., a corporation organized under the laws of Hawaii, having its corporate offices at 555 12th Street, Oakland, CA 94607 (hereinafter called the “BUYER”).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WHEREAS, the BUILDER agrees to design, engineer, build, launch, equip, outfit, install or load the BUYER’s Supplies, as hereinafter defined, test, complete at its Philadelphia shipyard (hereinafter called the “Shipyard”) and sell and deliver to the BUYER one (1) containership of the ALOHA CLASS L vessel type designated as the BUILDER’s Hull No. 040, more fully described in Article 1 hereof (hereinafter called the “VESSEL”), and the BUYER agrees to purchase and take delivery of the VESSEL from the BUILDER and to pay for the same, upon the terms and subject to the conditions hereinafter set forth;</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WHEREAS, concurrent with the execution of this Contract, the BUYER and the BUILDER have executed two other Shipbuilding Contracts of even date herewith, each for the purchase of one (1) additional containership of the ALOHA CLASS L type vessel, designated as the BUILDER’s Hull Nos. 041 and 042 (hereinafter each called a “Sister Ship Contract” and collectively called the “Sister Ship Contracts”); and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WHEREAS, concurrent with the execution of this Contract, Philly Shipyard ASA (the “Guarantor”) has executed the Guaranty Agreement dated as of the date hereof guarantying the performance of this Contract and the Sister Ship Contracts by the BUILDER (the “Guaranty”).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in consideration of the mutual covenants herein, intending to be legally bound, 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DESCRIPTION AND CLASS</w:t>
      </w:r>
    </w:p>
    <w:p>
      <w:pPr>
        <w:spacing w:after="0" w:line="229"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VESSEL shall have the BUILDER’s Hull No. 040 and shall be designed, engineered, constructed, equipped, outfitted, installed or loaded with BUYER’s Supplies, tested and completed by BUILDER in accordance with the provisions of this Contract, and the Specification, as defined herein. The Specification for the construction of the VESSEL called “Aloha Class L,” Document No. ADE-CD-001 Rev A, dated October 25th, 2022, and the related drawings and plans identified in the Specification, including the General Arrangement, Document No. AA0030BL01 Rev. A, the Container Stowage Plan, Document No. AA0040BL01 Rev. A, and the Capacity Plan, Document No. AA3010BL02 Rev. A, are hereby adopted and agreed and made a part of this Contract with the same force and effect as though herein set out in full (herein collectively called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212" w:name="page213"/>
    <w:bookmarkEnd w:id="212"/>
    <w:p>
      <w:pPr>
        <w:jc w:val="both"/>
        <w:spacing w:after="0" w:line="244" w:lineRule="auto"/>
        <w:rPr>
          <w:sz w:val="20"/>
          <w:szCs w:val="20"/>
          <w:color w:val="auto"/>
        </w:rPr>
      </w:pPr>
      <w:r>
        <w:rPr>
          <w:rFonts w:ascii="Times New Roman" w:cs="Times New Roman" w:eastAsia="Times New Roman" w:hAnsi="Times New Roman"/>
          <w:sz w:val="20"/>
          <w:szCs w:val="20"/>
          <w:color w:val="auto"/>
        </w:rPr>
        <w:t>“Specification”). It is further understood by the parties that modifications to the Specification may be required to adjust to the BUILDER’s building methodologies and practices and the same shall be submitted to the BUYER for the BUYER’s approval, which shall not be unreasonably withheld. The BUYER will work with the BUILDER to reach agreement on a specification that meets the technical requirements while at the same time addresses the required goals of the BUILDER for maximizing productivity and minimizing unnecessary costs. The VESSEL shall be constructed, equipped, and maintained to qualify for the ratings of the American Bureau of Shipping (ABS) classification society (herein called the “Classification Society”), as described in the Specification, and to be eligible for U. S. registry and U.S. coastwise trade endorsements.</w:t>
      </w:r>
    </w:p>
    <w:p>
      <w:pPr>
        <w:spacing w:after="0" w:line="195" w:lineRule="exact"/>
        <w:rPr>
          <w:sz w:val="20"/>
          <w:szCs w:val="20"/>
          <w:color w:val="auto"/>
        </w:rPr>
      </w:pPr>
    </w:p>
    <w:p>
      <w:pPr>
        <w:ind w:left="640" w:hanging="632"/>
        <w:spacing w:after="0"/>
        <w:tabs>
          <w:tab w:leader="none" w:pos="640"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Dimensions and Characteristics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6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have the following dimensions and characteristics and the other dimensions and characteristics stated in the Specification:</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3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Dimensions:</w:t>
            </w:r>
          </w:p>
        </w:tc>
        <w:tc>
          <w:tcPr>
            <w:tcW w:w="2140" w:type="dxa"/>
            <w:vAlign w:val="bottom"/>
          </w:tcPr>
          <w:p>
            <w:pPr>
              <w:spacing w:after="0"/>
              <w:rPr>
                <w:sz w:val="22"/>
                <w:szCs w:val="22"/>
                <w:color w:val="auto"/>
              </w:rPr>
            </w:pPr>
          </w:p>
        </w:tc>
      </w:tr>
      <w:tr>
        <w:trPr>
          <w:trHeight w:val="4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Overall length:</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rPr>
              <w:t>260.3 m</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Length between P.P.:</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rPr>
              <w:t>248.5 m</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Breadth moulded:</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7"/>
              </w:rPr>
              <w:t>35.0 m</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Depth moulded:</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7"/>
              </w:rPr>
              <w:t>21.0 m</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Design draft:</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5"/>
              </w:rPr>
              <w:t>[*] m</w:t>
            </w:r>
          </w:p>
        </w:tc>
      </w:tr>
      <w:tr>
        <w:trPr>
          <w:trHeight w:val="25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Scantling draft</w:t>
            </w:r>
          </w:p>
        </w:tc>
        <w:tc>
          <w:tcPr>
            <w:tcW w:w="214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7"/>
              </w:rPr>
              <w:t>12.6 m</w:t>
            </w: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Cargo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deadweight shall be approximately 53,000 metric tons, corresponding to a mean draft in seawater (specific gravity 1.025 metric tons/m3) of 12.6 m. The specified deadweight shall include the items as listed in the Specification.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Container Carrying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container carrying capacity shall be 3,620 TEUs and as otherwise set out in the Specification, of which [*] TEUs are loadable hi-cube containers at a homogeneous weight of [*] MT per TEU at a draft of [*] m (hereinafter the “Guaranteed Loadable Container Capacity”).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Propulsion Machinery: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Type: Reversible slow speed two stroke dual fuel gas injection diesel engine.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(MCR) approx. 33,660kW.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Auxiliary Generators: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Type: 4 (four stroke) dual fuel gas injection diesel generators.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approx. 2 (two) 1,620 kW @ 900 rpm; 2 (two) 2,430 kW @ 900 rpm.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3" w:name="page214"/>
    <w:bookmarkEnd w:id="213"/>
    <w:p>
      <w:pPr>
        <w:ind w:left="200"/>
        <w:spacing w:after="0"/>
        <w:rPr>
          <w:sz w:val="20"/>
          <w:szCs w:val="20"/>
          <w:color w:val="auto"/>
        </w:rPr>
      </w:pPr>
      <w:r>
        <w:rPr>
          <w:rFonts w:ascii="Times New Roman" w:cs="Times New Roman" w:eastAsia="Times New Roman" w:hAnsi="Times New Roman"/>
          <w:sz w:val="20"/>
          <w:szCs w:val="20"/>
          <w:b w:val="1"/>
          <w:bCs w:val="1"/>
          <w:color w:val="auto"/>
        </w:rPr>
        <w:t>Speed:</w:t>
      </w:r>
    </w:p>
    <w:p>
      <w:pPr>
        <w:spacing w:after="0" w:line="233"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20"/>
          <w:szCs w:val="20"/>
          <w:color w:val="auto"/>
        </w:rPr>
        <w:t>The VESSEL's average speed on a sea trial undertaken in both directions over a measured distance, with clean hull, in calm weather, wind and sea not exceeding Beaufort [*] and with draft [*] m, shall be at least [*] knots with the main engine at NCR of [*] kW and with [*]% sea margin (the “Guaranteed Speed”) and the VESSEL’s design shall be in compliance with Energy Efficiency Design Index (EEDI) requirements for containerships at the Guaranteed Speed.</w:t>
      </w:r>
    </w:p>
    <w:p>
      <w:pPr>
        <w:spacing w:after="0" w:line="198"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The theoretical calculation of the Carbon Intensity Indicator (CII) for the VESSEL at the Guaranteed Speed, together with all of the underlying assumptions with respect thereto, are set forth for informational purposes in Exhibit 8. BUILDER does not provide any guarantee with respect to the VESSEL being in compliance with the CII during operations.</w:t>
      </w:r>
    </w:p>
    <w:p>
      <w:pPr>
        <w:spacing w:after="0" w:line="193"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0"/>
          <w:szCs w:val="20"/>
          <w:color w:val="auto"/>
        </w:rPr>
        <w:t>Early in the design process ship model tests shall be conducted to refine the hull form and improve the overall efficiency over the range of operating drafts and trims anticipated for the VESSEL for the intended service. Model tests shall be conducted at the drafts defined in the Specification but including the design draft, a deep ballast draft and the Summer Load Line draft. In addition, the model basin shall be tasked with providing a procedure for extrapolating the actual sea trial ship speed at a ballast condition to the speed at the design draft and main engine NCR power with [*]% sea margin. This procedure shall be submitted to the BUYER for approval along with the Model Test report.</w:t>
      </w:r>
    </w:p>
    <w:p>
      <w:pPr>
        <w:spacing w:after="0" w:line="145"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20"/>
          <w:szCs w:val="20"/>
          <w:color w:val="auto"/>
        </w:rPr>
        <w:t>The sea trial test for determination and verification of the VESSEL’s speed at the design draft and main engine NCR shall be based on the following:</w:t>
      </w:r>
    </w:p>
    <w:p>
      <w:pPr>
        <w:spacing w:after="0" w:line="132" w:lineRule="exact"/>
        <w:rPr>
          <w:sz w:val="20"/>
          <w:szCs w:val="20"/>
          <w:color w:val="auto"/>
        </w:rPr>
      </w:pPr>
    </w:p>
    <w:p>
      <w:pPr>
        <w:ind w:left="520" w:hanging="324"/>
        <w:spacing w:after="0" w:line="269" w:lineRule="auto"/>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sea trial speed test shall be conducted in water with a depth greater than 100m and at a deep ballast draft corresponding to the model tests.</w:t>
      </w:r>
    </w:p>
    <w:p>
      <w:pPr>
        <w:spacing w:after="0" w:line="118"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and sea conditions shall be Beaufort 6 or less, subject to approval of both parties.</w:t>
      </w:r>
    </w:p>
    <w:p>
      <w:pPr>
        <w:spacing w:after="0" w:line="175" w:lineRule="exact"/>
        <w:rPr>
          <w:rFonts w:ascii="Times New Roman" w:cs="Times New Roman" w:eastAsia="Times New Roman" w:hAnsi="Times New Roman"/>
          <w:sz w:val="20"/>
          <w:szCs w:val="20"/>
          <w:color w:val="auto"/>
        </w:rPr>
      </w:pPr>
    </w:p>
    <w:p>
      <w:pPr>
        <w:ind w:left="520" w:hanging="324"/>
        <w:spacing w:after="0" w:line="269" w:lineRule="auto"/>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Assessment of the distance traveled for determining the performance speed shall be conducted by means of DGPS (Differential Global Positioning System).</w:t>
      </w:r>
    </w:p>
    <w:p>
      <w:pPr>
        <w:spacing w:after="0" w:line="118"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influence of rudder helm during the test shall be avoided.</w:t>
      </w:r>
    </w:p>
    <w:p>
      <w:pPr>
        <w:spacing w:after="0" w:line="175" w:lineRule="exact"/>
        <w:rPr>
          <w:rFonts w:ascii="Times New Roman" w:cs="Times New Roman" w:eastAsia="Times New Roman" w:hAnsi="Times New Roman"/>
          <w:sz w:val="20"/>
          <w:szCs w:val="20"/>
          <w:color w:val="auto"/>
        </w:rPr>
      </w:pPr>
    </w:p>
    <w:p>
      <w:pPr>
        <w:ind w:left="520" w:right="20" w:hanging="324"/>
        <w:spacing w:after="0" w:line="269" w:lineRule="auto"/>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speed trial shall consist of runs in alternate directions at each of four power levels defined in the Specification.</w:t>
      </w:r>
    </w:p>
    <w:p>
      <w:pPr>
        <w:spacing w:after="0" w:line="118"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speed trial shall be corrected to calm water (no wind, no waves, no current) according to ISO 15016 “Ships and Marine Technology – Guidelines for the Assessment of Speed and Power Performance by Analysis of Speed Trial Data”.</w:t>
      </w:r>
    </w:p>
    <w:p>
      <w:pPr>
        <w:spacing w:after="0" w:line="133"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the speed trial at the ballast condition shall be projected, based on the model test results and the procedure developed by the model basin and approved by BUYER, to determine the speed at the design draft and main engine NCR power level with [*]% sea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69" w:right="99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0"/>
          <w:szCs w:val="20"/>
          <w:b w:val="1"/>
          <w:bCs w:val="1"/>
          <w:color w:val="auto"/>
        </w:rPr>
        <w:t>Fuel Consumption:</w:t>
      </w:r>
    </w:p>
    <w:p>
      <w:pPr>
        <w:spacing w:after="0" w:line="23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main engine on the test bed shall not exceed [*] grams per kW per hour plus a [*]% tolerance when the engine develops [*]% of SMCR under ISO conditions and Tier II mode for Ultra Low Sulfur MGO and shall not exceed [*] kJ/kWh of total energy consumption plus [*]% tolerance when the engine develops [*]% of SMCR under ISO conditions under Tier II mode on Natural Gas from Liquefied Natural Gas (“LNG”) (hereinafter the “Guaranteed Fuel Consumption of the Main Engine”).</w:t>
      </w:r>
    </w:p>
    <w:p>
      <w:pPr>
        <w:spacing w:after="0" w:line="198"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diesel generators on the test bed shall not exceed [*] grams per kW per hour plus a [*]% tolerance when the engine develops [*]% of MCR under ISO conditions and Tier II mode for Ultra Low Sulfur MGO (Based on technical engine specification dated June 2015) or [*] kJ/kWh of total energy consumption plus a [*]% tolerance when the engine develops [*]% of MCR under ISO conditions under Tier II mode for Natural Gas from Liquefied Natural Gas (hereinafter the “Guaranteed Fuel Consumption of the Diesel Generators”).</w:t>
      </w:r>
    </w:p>
    <w:p>
      <w:pPr>
        <w:spacing w:after="0" w:line="194"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Classification, Rules and Regulations: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including its machinery, equipment and outfittings shall be constructed in accordance with the rules of and under special survey of the Classification Society, with the class notations set forth on Exhibit 9 (herein referred to as the “Class”). Upon delivery and acceptance of the VESSEL, the BUILDER shall deliver to the BUYER a classification certificate with such class notations in accordance with Paragraph 3(d), Article VII hereof. Decisions of the Classification Society as to compliance or non-compliance with the rules thereof shall be final and binding upon both parties hereto.</w:t>
      </w:r>
    </w:p>
    <w:p>
      <w:pPr>
        <w:spacing w:after="0" w:line="197"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its performance of the work under this Contract, the BUILDER shall comply with all applicable laws, rules, regulations, and requirements of the regulatory bodies, which term shall include the Classification Society, the U.S. Coast Guard, and others as set forth in the Specification. At delivery thereof, the VESSEL shall be built and equipped in compliance with all rules and regulations for registration under the flag of the United States of America with a Coastwise endorsement and have all certificates and meet all rules, regulations requirements of the Classification Society and of the regulatory bodies required for operation of the VESSEL in the foreign and domestic trades of the United States as described in the Specification. If work in addition to work required by the Specification is required as a result of any statute enacted after the date of execution of this Contract, or by regulations or rules adopted by any of the regulatory bodies after such date, said work shall be performed pursuant to a Change Order under Article V.</w:t>
      </w:r>
    </w:p>
    <w:p>
      <w:pPr>
        <w:spacing w:after="0" w:line="205"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fees and charges incidental to the classification and with respect to compliance with the above referred rules, regulations and requirements applicable as of the date of this Contract shall be for account of the BUILDER.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Subcontracting:</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at its sole discretion and responsibility, subcontract portions of the construction work of the VESSEL. However, to subcontract more than 15% of the total hull steel weight to a single contractor, the BUILDER will need the prior written consent of the BUYER. The BUILDER shall nevertheless always be responsible under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15" w:name="page216"/>
    <w:bookmarkEnd w:id="215"/>
    <w:p>
      <w:pPr>
        <w:ind w:left="660"/>
        <w:spacing w:after="0" w:line="269" w:lineRule="auto"/>
        <w:rPr>
          <w:sz w:val="20"/>
          <w:szCs w:val="20"/>
          <w:color w:val="auto"/>
        </w:rPr>
      </w:pPr>
      <w:r>
        <w:rPr>
          <w:rFonts w:ascii="Times New Roman" w:cs="Times New Roman" w:eastAsia="Times New Roman" w:hAnsi="Times New Roman"/>
          <w:sz w:val="20"/>
          <w:szCs w:val="20"/>
          <w:color w:val="auto"/>
        </w:rPr>
        <w:t>Contract for the quality, workmanship and materials of the VESSEL (excluding, however BUYER’s Supplies). The BUYER’s rights hereunder shall not be in any way reduced in respect of such subcontracted work.</w:t>
      </w:r>
    </w:p>
    <w:p>
      <w:pPr>
        <w:spacing w:after="0" w:line="169"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Makers List</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 makers list of the equipment and machinery for the VESSEL is in Document No. ADE-CD-002 Rev A dated October 25th, 2022 (the “Makers List”). The BUILDER shall have the right to select any of the suppliers listed on the Makers List and may, subject to the BUYER’s prior written approval, select additional suppliers not listed on the Makers List. The BUILDER will advise the BUYER of individual suppliers selected by the BUILDER at least 30 days prior to any order being placed. If the BUYER requests the BUILDER to order any equipment or machinery from a supplier not selected by the BUILDER from the Maker’s List, the BUILDER will take reasonable steps to comply with such request, but the BUILDER may refuse to comply with the request unless the BUYER assumes the responsibility for the price and schedule impacts and for possible technical deficiencies, if any, compared with the BUILDER nominated supplier. The BUILDER assumes the responsibility for the price and schedule impacts and, subject to ARTICLE IX, for possible technical deficiencies for the BUILDER nominated supplier.</w:t>
      </w:r>
    </w:p>
    <w:p>
      <w:pPr>
        <w:spacing w:after="0" w:line="19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VESSEL shall be registered by the BUYER at its own cost and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CONTRACT PRICE AND TERMS OF PAYMENT</w:t>
      </w:r>
    </w:p>
    <w:p>
      <w:pPr>
        <w:spacing w:after="0" w:line="229"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 Price: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the VESSEL is THREE HUNDRED FIFTY-FIVE MILLION DOLLARS ($355,000,000) (herein called the “Original Contract Price”). The purchase price of the VESSEL is exclusive of BUYER’s Supplies as provided in Article XVIII hereof. The Original Contract Price shall be subject to upward or downward adjustment, if any, as hereinafter set forth in this Contract (herein called the “Contract Price”). The Contract Price is inclusive of all sales, use, excise taxes and customs duties paid or payable with respect to the delivery and acceptance of the VESSEL, and all federal and state income taxes payable by the BUILDER.</w:t>
      </w:r>
    </w:p>
    <w:p>
      <w:pPr>
        <w:spacing w:after="0" w:line="197"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Contract Price includes a BUYER’s allowance of up to [*] for spares including the propeller and tailshaft and other supplies to be selected by the BUYER. The BUILDER shall purchase, arrange for delivery and put these supplies on the VESSEL prior to delivery, at the BUILDER’S cost. Any unexpended amounts of this allowance shall be paid to the BUYER or offset against amounts due the BUILDER at delivery of the VESSEL. For the avoidance of doubt, the BUYER is responsible for the cost of spares in excess of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6" w:name="page217"/>
    <w:bookmarkEnd w:id="216"/>
    <w:p>
      <w:pPr>
        <w:ind w:left="652" w:hanging="652"/>
        <w:spacing w:after="0"/>
        <w:tabs>
          <w:tab w:leader="none" w:pos="652"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7" w:lineRule="auto"/>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pay the Contract Price to the BUILDER in: (i) a series of Milestone Payments throughout the construction period as provided in Paragraph 2(b) of this ARTICLE II; (ii) a Delivery Payment as provided in Paragraph 2(c) of this ARTICLE II; and (iii) a Guarantee Payment as provided in Paragraph 2(d) of this</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Payments shall be calculated as set forth in Exhibit 1. The first Milestone Payment shall be made concurrent with execution of this Contract and the Milestone Payment for Delivery shall be made concurrent with delivery of the VESSEL as provided in subparagraph (c) below. Each other Milestone Payment shall be made within fifteen (15) Business Days after the BUYER’s receipt of an invoice for such Milestone Payment from the BUILDER. The BUILDER’s invoice for each Milestone Payment shall be accompanied by the Certificate executed by an officer of the BUILDER and the BUYER certifying as to completion of the applicable milestone and including a no lien’s representation, in the forms set forth in Exhibits 2 and 7, supported by such other documentation as reasonably may be required by the BUYER. If there shall be any dispute as to the amount payable, then the BUYER shall deposit the disputed amount into escrow in accordance with subparagraph 2(c) of Article VII.</w:t>
      </w:r>
    </w:p>
    <w:p>
      <w:pPr>
        <w:spacing w:after="0" w:line="205" w:lineRule="exact"/>
        <w:rPr>
          <w:rFonts w:ascii="Times New Roman" w:cs="Times New Roman" w:eastAsia="Times New Roman" w:hAnsi="Times New Roman"/>
          <w:sz w:val="20"/>
          <w:szCs w:val="20"/>
          <w:color w:val="auto"/>
        </w:rPr>
      </w:pPr>
    </w:p>
    <w:p>
      <w:pPr>
        <w:jc w:val="both"/>
        <w:ind w:left="972" w:hanging="324"/>
        <w:spacing w:after="0" w:line="263" w:lineRule="auto"/>
        <w:tabs>
          <w:tab w:leader="none" w:pos="972"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Delivery Payment in the amount set forth in Exhibit 1 shall be paid at delivery of the VESSEL, subject to (i) deferral of payment of the amounts stated in the Delivery Certificate agreed to be withheld under the provisions of ARTICLE VII, Paragraph 2, and (ii) less the amount of liquidated damages, if any, at the time of delivery claimed by the BUYER pursuant to ARTICLE III. If there shall be any dispute as to the amount payable, then the BUYER shall deposit the disputed amount into escrow in accordance with subparagraph 2(c) of Article VII.</w:t>
      </w:r>
    </w:p>
    <w:p>
      <w:pPr>
        <w:spacing w:after="0" w:line="179" w:lineRule="exact"/>
        <w:rPr>
          <w:rFonts w:ascii="Times New Roman" w:cs="Times New Roman" w:eastAsia="Times New Roman" w:hAnsi="Times New Roman"/>
          <w:sz w:val="19"/>
          <w:szCs w:val="19"/>
          <w:color w:val="auto"/>
        </w:rPr>
      </w:pPr>
    </w:p>
    <w:p>
      <w:pPr>
        <w:jc w:val="both"/>
        <w:ind w:left="972" w:hanging="324"/>
        <w:spacing w:after="0" w:line="249" w:lineRule="auto"/>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Payment in the amount set forth in Exhibit 1, less the amount of liquidated damages, if any, agreed to be withheld pursuant to ARTICLE III, shall be deposited by the BUYER at the delivery of the VESSEL into escrow subject to the Escrow Instructions in the form of Exhibit 3 (the “Escrow Instructions”) and shall be paid to BUILDER as and when provided under subparagraph 5(f) of ARTICLE IX.</w:t>
      </w:r>
    </w:p>
    <w:p>
      <w:pPr>
        <w:spacing w:after="0" w:line="193"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be entitled to withhold from any payment any liquidated damages that are payable under</w:t>
      </w:r>
    </w:p>
    <w:p>
      <w:pPr>
        <w:spacing w:after="0" w:line="21" w:lineRule="exact"/>
        <w:rPr>
          <w:rFonts w:ascii="Times New Roman" w:cs="Times New Roman" w:eastAsia="Times New Roman" w:hAnsi="Times New Roman"/>
          <w:sz w:val="20"/>
          <w:szCs w:val="20"/>
          <w:color w:val="auto"/>
        </w:rPr>
      </w:pP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payments shall be made by the BUYER to the BUILDER except upon invoices submitted in the form set forth in Exhibit 4 executed and certified by the BUILDER in such manner as the BUYER may reasonably prescribe. Except for the first Milestone Payment, all payments shall be supported by the certificate as provided in Paragraph 2(d) or 2(e) of ARTICLE XVI, and in the case of Milestone Payments, by the Certificate and any additional information required by Paragraph 2(b) of this ARTICLE II.</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or decrease in the Contract Price resulting from a Contract Change under ARTICLE V shall be deemed a part of the Contract Price for the purpose of determining the payments under this ARTICLE II. Timing of payments or credits for a Contract Change will be mutually agreed as part of the Contract Change under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17" w:name="page218"/>
    <w:bookmarkEnd w:id="217"/>
    <w:p>
      <w:pPr>
        <w:ind w:left="660" w:hanging="652"/>
        <w:spacing w:after="0"/>
        <w:tabs>
          <w:tab w:leader="none" w:pos="6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remit the amount of each of the payments required by Paragraph 2 of this Article II by wire transfer in accordance with wire instructions provided by the BUILDER to the BUYER.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for Increase or Decrease in Steel Cost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Contract Price shall be subject to adjustment to reflect any increase or decrease in the cost of steel (inclusive of plates and profiles), determined in accordance with this Paragraph 4. The steel cost adjustment shall be computed using the following formula: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 ((Actual Steel Price / Base Steel Price) – 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calculation:</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“Actual Steel Price” means the weighted average of the monthly values of the Index published for the months during which the BUILDER actually orders each amount of steel for the VESSEL. The Actual Steel Price shall be expressed as value/short ton.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“Base Steel Price” means $[*]/short ton ($[*]/metric ton).</w:t>
      </w:r>
    </w:p>
    <w:p>
      <w:pPr>
        <w:spacing w:after="0" w:line="229"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“Index” means the CRU Plate Index for A36 Plate as published by the CRU / The Independent Authority™ (CRU) in London, England.</w:t>
      </w:r>
    </w:p>
    <w:p>
      <w:pPr>
        <w:spacing w:after="0" w:line="17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Upon delivery of the VESSEL, the BUILDER shall compute the steel cost adjustment to the Contract Price pursuant to this Paragraph 4. If a positive adjustment results, the BUILDER shall invoice the BUYER and the BUYER shall pay such amount at delivery of the VESSEL. If a negative adjustment results, the BUILDER shall credit such amount against the delivery payment for the VESSEL.</w:t>
      </w:r>
    </w:p>
    <w:p>
      <w:pPr>
        <w:spacing w:after="0" w:line="193"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An example of the steel cost adjustment is attached hereto as Exhibit 5 and is incorporated herein and made part of this Contract.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LIQUIDATED DAMAGES AND TERMINATION RIGHTS</w:t>
      </w:r>
    </w:p>
    <w:p>
      <w:pPr>
        <w:spacing w:after="0" w:line="23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Contract Price shall be subject to adjustment, as hereinafter set forth, in the event of the following contingencies (it being understood by both parties that any reduction of the Contract Price is by way of liquidated damages and not by way of penalty). The BUYER shall be entitled to offset or recoup from payments of the Contract Price as provided in Article II liquidated damages, or to exercise the below rights, upon the occurrence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18" w:name="page219"/>
    <w:bookmarkEnd w:id="218"/>
    <w:p>
      <w:pPr>
        <w:ind w:left="652" w:hanging="652"/>
        <w:spacing w:after="0"/>
        <w:tabs>
          <w:tab w:leader="none" w:pos="652"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Delivery:</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6" w:lineRule="auto"/>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pay liquidated damages for the first [*] days of delay of the delivery of the VESSEL beyond the Delivery Date as defined in Article VII hereof (ending at twelve o’clock midnight of the [*] day of delay) (the “Grace Period”). If the last day of the Grace Period does not fall on a Business Day, then the Grace Period shall be extended to the immediately following Business Day. “Business Day” means a day (other than a Saturday or Sunday) on which banks are open for general business in New York, NY.</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1" w:lineRule="auto"/>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if the delay in delivery of the VESSEL should continue for a period in excess of the Grace Period, then in such event, the BUILDER shall be responsible to the BUYER for payment of liquidated damages in the amount of [*] per day for each day that the delivery of the VESSEL is delayed beyond the end of the Grace Period. The total amount of liquidated damages shall not, however, exceed the amount that would be payable in the case of a delay of [*] days beyond the end of the Grace Period. If the delay in delivery of the VESSEL should continue for a period in excess of [*] days beyond the end of the Grace Period, then BUYER may at its option terminate this Contract in accordance with the provisions of Article X hereof. The BUILDER may, at any time after the expiration of the aforementioned [*] days of delay in delivery beyond the end of the Grace Period, if the BUYER has not served notice of termination as provided in Article X hereof, demand in writing that the BUYER shall make an election, in which case the BUYER shall, within fifteen (15) days after such demand is received by the BUYER, notify the BUILDER of its intention either to terminate this Contract or to consent to the acceptance of the VESSEL at an agreed future date; it being understood by the parties hereto that, if the VESSEL is not delivered by such future date, the BUYER shall have the same right of termination upon the same terms and conditions as hereinabove provided. For clarity, the BUILDER shall not be responsible for, and the BUYER shall not be entitled to receive, liquidated damages for any day of delay of delivery of the VESSEL on account of Permissible Delay as defined in Article VII, Paragraph 1(b).</w:t>
      </w:r>
    </w:p>
    <w:p>
      <w:pPr>
        <w:spacing w:after="0" w:line="202"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Speed</w:t>
      </w:r>
    </w:p>
    <w:p>
      <w:pPr>
        <w:spacing w:after="0" w:line="233" w:lineRule="exact"/>
        <w:rPr>
          <w:rFonts w:ascii="Times New Roman" w:cs="Times New Roman" w:eastAsia="Times New Roman" w:hAnsi="Times New Roman"/>
          <w:sz w:val="20"/>
          <w:szCs w:val="20"/>
          <w:b w:val="1"/>
          <w:bCs w:val="1"/>
          <w:color w:val="auto"/>
        </w:rPr>
      </w:pPr>
    </w:p>
    <w:p>
      <w:pPr>
        <w:ind w:left="972" w:hanging="324"/>
        <w:spacing w:after="0"/>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Speed is set forth in Article 1.</w:t>
      </w:r>
    </w:p>
    <w:p>
      <w:pPr>
        <w:spacing w:after="0" w:line="175"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speed of the VESSEL being less than the Guaranteed Speed minus 0.2 knots. However commencing with and including a deficiency of 0.2 knots below the Guaranteed Speed, liquidated damages shall be payable as set forth below:</w:t>
      </w:r>
    </w:p>
    <w:p>
      <w:pPr>
        <w:spacing w:after="0" w:line="133"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0.2 up to and including 0.5 knots below at $[*] per 0.1 knot below, and</w:t>
      </w:r>
    </w:p>
    <w:p>
      <w:pPr>
        <w:spacing w:after="0" w:line="175"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0.6 up to and including 1 knots below at $[*] per 0.1 knot below.</w:t>
      </w:r>
    </w:p>
    <w:p>
      <w:pPr>
        <w:spacing w:after="0" w:line="175"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deficiency in the Vessel Speed is more than 1 knot, the BUYER shall have the option of a total of $[*] deduction; or a right to reject the VESSEL and terminate this Contract.</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Excessive Fuel Consumption of the Main Engine</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Fuel Consumptions of the Main Engine for Ultra Low Sulfur MGO and LNG are set forth in Article I. The actual fuel consumptions of the main engine shall be determined by separate shop trials of the model of the VESSEL main engine on the test stand at the manufacturer’s Factory Authorized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19" w:name="page220"/>
    <w:bookmarkEnd w:id="219"/>
    <w:p>
      <w:pPr>
        <w:jc w:val="both"/>
        <w:ind w:left="972" w:hanging="324"/>
        <w:spacing w:after="0" w:line="249" w:lineRule="auto"/>
        <w:tabs>
          <w:tab w:leader="none" w:pos="972" w:val="left"/>
        </w:tabs>
        <w:numPr>
          <w:ilvl w:val="2"/>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fuel consumption of the main engine being more than the Guaranteed Fuel Consumption of the Main Engine up to [*]% over of the Guarantee for Ultra Low Sulfur MGO and LNG. However liquidated damages will be assessed for consumption in excess of the guarantee as follows:</w:t>
      </w:r>
    </w:p>
    <w:p>
      <w:pPr>
        <w:spacing w:after="0" w:line="139"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3"/>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 for each full gram/kWh above the [*]% tolerance;</w:t>
      </w:r>
    </w:p>
    <w:p>
      <w:pPr>
        <w:spacing w:after="0" w:line="175"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3"/>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3 below, the total amount payable shall not exceed [*]; and</w:t>
      </w:r>
    </w:p>
    <w:p>
      <w:pPr>
        <w:spacing w:after="0" w:line="175" w:lineRule="exact"/>
        <w:rPr>
          <w:rFonts w:ascii="Times New Roman" w:cs="Times New Roman" w:eastAsia="Times New Roman" w:hAnsi="Times New Roman"/>
          <w:sz w:val="20"/>
          <w:szCs w:val="20"/>
          <w:color w:val="auto"/>
        </w:rPr>
      </w:pPr>
    </w:p>
    <w:p>
      <w:pPr>
        <w:ind w:left="1292" w:hanging="320"/>
        <w:spacing w:after="0" w:line="269" w:lineRule="auto"/>
        <w:tabs>
          <w:tab w:leader="none" w:pos="1292" w:val="left"/>
        </w:tabs>
        <w:numPr>
          <w:ilvl w:val="3"/>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all efforts and remedies, the Main Engine fuel consumption is more than [*]% above the Guaranteed Fuel Consumption, the liquidated damages will be [*].</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Loadable Container Capacities</w:t>
      </w:r>
    </w:p>
    <w:p>
      <w:pPr>
        <w:spacing w:after="0" w:line="233" w:lineRule="exact"/>
        <w:rPr>
          <w:rFonts w:ascii="Times New Roman" w:cs="Times New Roman" w:eastAsia="Times New Roman" w:hAnsi="Times New Roman"/>
          <w:sz w:val="20"/>
          <w:szCs w:val="20"/>
          <w:b w:val="1"/>
          <w:bCs w:val="1"/>
          <w:color w:val="auto"/>
        </w:rPr>
      </w:pPr>
    </w:p>
    <w:p>
      <w:pPr>
        <w:ind w:left="652" w:right="20" w:hanging="328"/>
        <w:spacing w:after="0" w:line="269" w:lineRule="auto"/>
        <w:tabs>
          <w:tab w:leader="none" w:pos="65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Loadable Container Capacities of the VESSEL are set forth in Article 1 and the Specification. The Guaranteed Loadable Container Capacity shall be confirmed by the Class approved Trim &amp; Stability Booklet.</w:t>
      </w:r>
    </w:p>
    <w:p>
      <w:pPr>
        <w:spacing w:after="0" w:line="172" w:lineRule="exact"/>
        <w:rPr>
          <w:rFonts w:ascii="Times New Roman" w:cs="Times New Roman" w:eastAsia="Times New Roman" w:hAnsi="Times New Roman"/>
          <w:sz w:val="20"/>
          <w:szCs w:val="20"/>
          <w:color w:val="auto"/>
        </w:rPr>
      </w:pPr>
    </w:p>
    <w:p>
      <w:pPr>
        <w:jc w:val="both"/>
        <w:ind w:left="652" w:hanging="328"/>
        <w:spacing w:after="0" w:line="246" w:lineRule="auto"/>
        <w:tabs>
          <w:tab w:leader="none" w:pos="65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loadable container capacity of the VESSEL of TEUs consisting of hi-cube containers at a homogeneous weight of [*] MT per TEU at a draft of [*] m as determined by the Cargomax load program software utilizing the input data defined by the BUILDER is less than the Guaranteed Loadable Container Capacity, the BUYER shall have the option to: (i) obtain payment of liquidated damages at $[*] for each hi-cube TEU lost or (ii) reject the VESSEL and terminate this Contract.</w:t>
      </w:r>
    </w:p>
    <w:p>
      <w:pPr>
        <w:spacing w:after="0" w:line="19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Termination and Offset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652"/>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Article III, it is expressly understood and agreed by the parties hereto that: (a) if the BUYER terminates this Contract under this Article III, the BUYER shall not be entitled to any liquidated damages and in the event that any liquidated damages have been paid to the BUYER, the paid amount shall be deducted from the sums stipulated in Article X, Paragraph 1.f which otherwise would be payable to the BUYER; and (b) if BUYER does not terminate this Contract under this Article III, any amount of liquidated damages payable under this Article III may be offset from all payments due on the Contract Price. In the event the BUYER elects to reject the VESSEL and terminate this Contract, the BUYER shall be entitled to elect any of the remedies provided in Article X.</w:t>
      </w:r>
    </w:p>
    <w:p>
      <w:pPr>
        <w:spacing w:after="0" w:line="199" w:lineRule="exact"/>
        <w:rPr>
          <w:sz w:val="20"/>
          <w:szCs w:val="20"/>
          <w:color w:val="auto"/>
        </w:rPr>
      </w:pPr>
    </w:p>
    <w:p>
      <w:pPr>
        <w:jc w:val="center"/>
        <w:ind w:left="1000" w:right="200"/>
        <w:spacing w:after="0" w:line="273" w:lineRule="auto"/>
        <w:rPr>
          <w:sz w:val="20"/>
          <w:szCs w:val="20"/>
          <w:color w:val="auto"/>
        </w:rPr>
      </w:pPr>
      <w:r>
        <w:rPr>
          <w:rFonts w:ascii="Times New Roman" w:cs="Times New Roman" w:eastAsia="Times New Roman" w:hAnsi="Times New Roman"/>
          <w:sz w:val="20"/>
          <w:szCs w:val="20"/>
          <w:b w:val="1"/>
          <w:bCs w:val="1"/>
          <w:color w:val="auto"/>
        </w:rPr>
        <w:t>ARTICLE IV – WORK, SUPERVISION AND INSPECTION AND APPROVAL OF PLANS AND DRAWINGS, REPORTING</w:t>
      </w:r>
    </w:p>
    <w:p>
      <w:pPr>
        <w:spacing w:after="0" w:line="165" w:lineRule="exact"/>
        <w:rPr>
          <w:sz w:val="20"/>
          <w:szCs w:val="20"/>
          <w:color w:val="auto"/>
        </w:rPr>
      </w:pPr>
    </w:p>
    <w:p>
      <w:pPr>
        <w:ind w:left="652" w:hanging="652"/>
        <w:spacing w:after="0"/>
        <w:tabs>
          <w:tab w:leader="none" w:pos="652" w:val="left"/>
        </w:tabs>
        <w:numPr>
          <w:ilvl w:val="0"/>
          <w:numId w:val="2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Work and Material</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be constructed in a good, sound and workmanlike manner, in accordance with the U.S. and international shipbuilding and marine engineering standards and practices defined in the Specification (including, without limitation, those of ISO9001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20" w:name="page221"/>
    <w:bookmarkEnd w:id="220"/>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and ISO9002). All materials incorporated in the VESSEL shall be new, suitable, and of good commercial marine quality for the service intended.</w:t>
      </w:r>
    </w:p>
    <w:p>
      <w:pPr>
        <w:spacing w:after="0" w:line="169"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of Plans and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thirty (30) days after the date hereof, the parties hereto shall mutually agree upon a list of the plans and drawings for the VESSEL to be submitted to the BUYER and the submittal schedule therefor. The BUILDER shall submit electronic copies of such plans and drawings in English to the BUYER and the BUYER shall have fourteen (14) days to review and approve, disapprove or comment. The BUYER shall, within such 14-day period, return to the BUILDER electronic copies of such plans and drawings with the BUYER’s approval, disapproval or comments, if any. In the event that the BUYER shall fail to return such plans and drawings to the BUILDER within such 14-day period, such plans and drawings shall be deemed to have been automatically approved without any comment. Any disapproval by the BUYER shall include the reasons for the disapproval and shall be a result of nonconformance with the Specification or good shipbuilding practice (as described in Article IV, Paragraph 1). Any request by the BUYER for changes to any of these plans and drawings not in accordance with the Specification or good commercial shipbuilding practice, except those required by regulatory bodies, shall be handled as a request for change to the Specification in accordance with Paragraph 1, Article V. Any plans which subsequent to the BUYER’s approval require alteration shall be resubmitted to the BUYER for approval of the alteration and its impact. The BUILDER shall respond to the BUYER’s comments or disapproval within fourteen (14) days of receipt. In the event that the BUILDER shall fail to respond to the BUYER’s comments within such 14-day period, such comments shall be deemed to have been accepted.</w:t>
      </w:r>
    </w:p>
    <w:p>
      <w:pPr>
        <w:spacing w:after="0" w:line="202"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Buyer’s Representative and Builder’s Representative: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appoint, at its cost, two representatives who shall be duly authorized in writing by the BUYER (herein called the “Buyer’s Representative(s)”) to act on behalf of the BUYER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BUYER. In case the Buyer’s Representative is not stationed at the Shipyard, the BUYER shall give clear instructions to the BUILDER regarding the authority of other personnel representing the BUYER at the Shipyard.</w:t>
      </w:r>
    </w:p>
    <w:p>
      <w:pPr>
        <w:spacing w:after="0" w:line="199" w:lineRule="exact"/>
        <w:rPr>
          <w:rFonts w:ascii="Times New Roman" w:cs="Times New Roman" w:eastAsia="Times New Roman" w:hAnsi="Times New Roman"/>
          <w:sz w:val="20"/>
          <w:szCs w:val="20"/>
          <w:b w:val="1"/>
          <w:bCs w:val="1"/>
          <w:color w:val="auto"/>
        </w:rPr>
      </w:pPr>
    </w:p>
    <w:p>
      <w:pPr>
        <w:jc w:val="both"/>
        <w:ind w:left="6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BUILDER shall appoint one representative who shall be duly authorized in writing by the BUILDER (herein called “Builder’s Representative”) to act on behalf of the BUILDER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BUILDER. The BUYER has the right to request the BUILDER to replace the Builder’s Representative and/or his assistants who may be deemed unsuitable and unsatisfactory for the proper progress of the VESSEL’s construction. The BUILDER shall investigate the situation and if the BUILDER considers that such BUYER’s request is justified, the BUILDER shall effect such replacement as soon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1" w:name="page222"/>
    <w:bookmarkEnd w:id="221"/>
    <w:p>
      <w:pPr>
        <w:ind w:left="652" w:hanging="652"/>
        <w:spacing w:after="0"/>
        <w:tabs>
          <w:tab w:leader="none" w:pos="652"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Supervision and Inspection:</w:t>
      </w:r>
    </w:p>
    <w:p>
      <w:pPr>
        <w:spacing w:after="0" w:line="233" w:lineRule="exact"/>
        <w:rPr>
          <w:rFonts w:ascii="Times New Roman" w:cs="Times New Roman" w:eastAsia="Times New Roman" w:hAnsi="Times New Roman"/>
          <w:sz w:val="20"/>
          <w:szCs w:val="20"/>
          <w:b w:val="1"/>
          <w:bCs w:val="1"/>
          <w:color w:val="auto"/>
        </w:rPr>
      </w:pPr>
    </w:p>
    <w:p>
      <w:pPr>
        <w:jc w:val="both"/>
        <w:ind w:left="1292" w:right="20" w:hanging="644"/>
        <w:spacing w:after="0" w:line="244" w:lineRule="auto"/>
        <w:tabs>
          <w:tab w:leader="none" w:pos="129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necessary inspections of the VESSEL, its machinery, equipment and outfittings shall be carried out by the Buyer’s Representative, Classification Society, other regulatory bodies and/or an inspection team of the BUILDER throughout the entire period of construction, in order to ensure that the construction of the VESSEL is duly performed in accordance with this Contract. The BUILDER shall assign quality assurance personnel, who are independent of all production, scheduling, and marketing departments to inspect the work and materials to insure that the Contract requirements are met. The BUILDER will employ OEM representatives to supervise the installation of third party equipment as identified on the Makers List.</w:t>
      </w:r>
    </w:p>
    <w:p>
      <w:pPr>
        <w:spacing w:after="0" w:line="199" w:lineRule="exact"/>
        <w:rPr>
          <w:rFonts w:ascii="Times New Roman" w:cs="Times New Roman" w:eastAsia="Times New Roman" w:hAnsi="Times New Roman"/>
          <w:sz w:val="20"/>
          <w:szCs w:val="20"/>
          <w:color w:val="auto"/>
        </w:rPr>
      </w:pPr>
    </w:p>
    <w:p>
      <w:pPr>
        <w:jc w:val="both"/>
        <w:ind w:left="1292" w:hanging="644"/>
        <w:spacing w:after="0" w:line="242" w:lineRule="auto"/>
        <w:tabs>
          <w:tab w:leader="none" w:pos="129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and his assistants shall have, during the construction of the VESSEL, the right to attend all tests, trials and inspections of the VESSEL and its materials. The BUILDER shall give notice to the Buyer’s Representative reasonably in advance of the date (which in general shall be given no later than 1400 (2:00pm ET) on the prior Business Day), place and time of such tests, trials and inspections to be attended by him for his convenience. For weekend, or BUILDER holiday inspections, the schedule will be provided by noon on Friday for weekend inspections, or, for holidays, the Business Day preceding the holiday. The BUILDER shall furnish the BUYER an electronic copy of test procedures, related drawings and technical data required to carry out the inspection prior to the test or inspection in English. Failure of the Buyer’s Representative and/or his assistants to be present at such tests, trials and inspections after due notice to him as above provided shall be deemed a waiver of his right to be present. The BUILDER shall exercise reasonable efforts to schedule tests and, inspections between the hours of 7am and 6pm on Business Days. Final results shall be furnished to the BUYER for all tests, trials and inspections.</w:t>
      </w:r>
    </w:p>
    <w:p>
      <w:pPr>
        <w:spacing w:after="0" w:line="200" w:lineRule="exact"/>
        <w:rPr>
          <w:rFonts w:ascii="Times New Roman" w:cs="Times New Roman" w:eastAsia="Times New Roman" w:hAnsi="Times New Roman"/>
          <w:sz w:val="20"/>
          <w:szCs w:val="20"/>
          <w:color w:val="auto"/>
        </w:rPr>
      </w:pPr>
    </w:p>
    <w:p>
      <w:pPr>
        <w:jc w:val="both"/>
        <w:ind w:left="1292" w:hanging="644"/>
        <w:spacing w:after="0" w:line="258" w:lineRule="auto"/>
        <w:tabs>
          <w:tab w:leader="none" w:pos="1292"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help to determine that the VESSEL is being constructed in accordance with the terms of this Contract and the Specification, the Buyer’s Representative and his assistants shall, at all times until delivery and acceptance of the VESSEL, have the right to inspect the VESSEL, her engines and all accessories and all work in progress, or material utilized in connection with or intended for the construction of the VESSEL, wherever such work is being done, or such material is stored, including the yards, workshops, stores and offices of the BUILDER and the BUILDER’s contractors and subcontractors. The BUILDER shall arrange with its contractors and subcontractors that the Buyer’s Representative and his assistants have a similar right of inspection and supervision with respect to the work performed by the contractors and subcontractors.</w:t>
      </w:r>
    </w:p>
    <w:p>
      <w:pPr>
        <w:spacing w:after="0" w:line="186" w:lineRule="exact"/>
        <w:rPr>
          <w:rFonts w:ascii="Times New Roman" w:cs="Times New Roman" w:eastAsia="Times New Roman" w:hAnsi="Times New Roman"/>
          <w:sz w:val="19"/>
          <w:szCs w:val="19"/>
          <w:color w:val="auto"/>
        </w:rPr>
      </w:pPr>
    </w:p>
    <w:p>
      <w:pPr>
        <w:jc w:val="both"/>
        <w:ind w:left="1292" w:hanging="644"/>
        <w:spacing w:after="0" w:line="254" w:lineRule="auto"/>
        <w:tabs>
          <w:tab w:leader="none" w:pos="129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requiring approval from the Classification Society or U.S. Coast Guard, such inspections shall, to the extent possible, be carried out as a joint inspection by the Buyer’s Representative and the representative of the Classification Society or U.S. Coast Guard,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22" w:name="page223"/>
    <w:bookmarkEnd w:id="222"/>
    <w:p>
      <w:pPr>
        <w:jc w:val="both"/>
        <w:ind w:left="1292" w:hanging="644"/>
        <w:spacing w:after="0" w:line="254" w:lineRule="auto"/>
        <w:tabs>
          <w:tab w:leader="none" w:pos="1292"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shall, on behalf of the BUYER, make decisions or give advice or suggestions to the BUILDER on all problems arising during the course of or in connection with the construction of the VESSEL with a view to co-operating to the utmost with the BUILDER in the construction process.</w:t>
      </w:r>
    </w:p>
    <w:p>
      <w:pPr>
        <w:spacing w:after="0" w:line="187" w:lineRule="exact"/>
        <w:rPr>
          <w:rFonts w:ascii="Times New Roman" w:cs="Times New Roman" w:eastAsia="Times New Roman" w:hAnsi="Times New Roman"/>
          <w:sz w:val="20"/>
          <w:szCs w:val="20"/>
          <w:color w:val="auto"/>
        </w:rPr>
      </w:pPr>
    </w:p>
    <w:p>
      <w:pPr>
        <w:jc w:val="both"/>
        <w:ind w:left="1292" w:hanging="644"/>
        <w:spacing w:after="0" w:line="245" w:lineRule="auto"/>
        <w:tabs>
          <w:tab w:leader="none" w:pos="1292"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Buyer’s Representative discovers any materials, construction or workmanship that is not deemed to conform to the requirements of this Contract, the Buyer’s Representative shall promptly give the Builder’s Representative a notice in writing as to such non-conformity. Upon receipt of such notice from the Buyer’s Representative, the BUILDER shall correct such non-conformity, if the BUILDER agrees to his view. In the event of difference of opinion between the parties hereto, the BUILDER or the BUYER may request resolution of the matter in accordance with the provisions of Article XIV hereof.</w:t>
      </w:r>
    </w:p>
    <w:p>
      <w:pPr>
        <w:spacing w:after="0" w:line="197"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acceptance or approval of the BUYER or the Buyer’s Representative or exercise of BUYER’s rights hereunder shall in no way alter or diminish the BUILDER’s obligations under this Contract or its obligation to comply with regulatory body requirements.</w:t>
      </w:r>
    </w:p>
    <w:p>
      <w:pPr>
        <w:spacing w:after="0" w:line="18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BUILDER:</w:t>
      </w:r>
    </w:p>
    <w:p>
      <w:pPr>
        <w:spacing w:after="0" w:line="233" w:lineRule="exact"/>
        <w:rPr>
          <w:rFonts w:ascii="Times New Roman" w:cs="Times New Roman" w:eastAsia="Times New Roman" w:hAnsi="Times New Roman"/>
          <w:sz w:val="20"/>
          <w:szCs w:val="20"/>
          <w:b w:val="1"/>
          <w:bCs w:val="1"/>
          <w:color w:val="auto"/>
        </w:rPr>
      </w:pPr>
    </w:p>
    <w:p>
      <w:pPr>
        <w:jc w:val="both"/>
        <w:ind w:left="1212" w:hanging="321"/>
        <w:spacing w:after="0" w:line="254" w:lineRule="auto"/>
        <w:tabs>
          <w:tab w:leader="none" w:pos="1212"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furnish the Buyer’s Representatives and his assistants with suitably lighted, heated and air conditioned office accommodations and conference facilities for up to ten (10) persons and more particularly as follows:</w:t>
      </w:r>
    </w:p>
    <w:p>
      <w:pPr>
        <w:spacing w:after="0" w:line="18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Offices for ten on-site representatives complete with air conditioning and heat and furniture.</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dedicated parking spaces proximate to the location of offices.</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Lavatory facilities.</w:t>
      </w:r>
    </w:p>
    <w:p>
      <w:pPr>
        <w:spacing w:after="0" w:line="107" w:lineRule="exact"/>
        <w:rPr>
          <w:rFonts w:ascii="Times New Roman" w:cs="Times New Roman" w:eastAsia="Times New Roman" w:hAnsi="Times New Roman"/>
          <w:sz w:val="20"/>
          <w:szCs w:val="20"/>
          <w:color w:val="auto"/>
        </w:rPr>
      </w:pPr>
    </w:p>
    <w:p>
      <w:pPr>
        <w:ind w:left="2432" w:hanging="650"/>
        <w:spacing w:after="0" w:line="269" w:lineRule="auto"/>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individual offices, the remainder of desk locations may be arranged using dividers.</w:t>
      </w:r>
    </w:p>
    <w:p>
      <w:pPr>
        <w:spacing w:after="0" w:line="51" w:lineRule="exact"/>
        <w:rPr>
          <w:rFonts w:ascii="Times New Roman" w:cs="Times New Roman" w:eastAsia="Times New Roman" w:hAnsi="Times New Roman"/>
          <w:sz w:val="20"/>
          <w:szCs w:val="20"/>
          <w:color w:val="auto"/>
        </w:rPr>
      </w:pPr>
    </w:p>
    <w:p>
      <w:pPr>
        <w:ind w:left="2572" w:hanging="784"/>
        <w:spacing w:after="0"/>
        <w:tabs>
          <w:tab w:leader="none" w:pos="257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internet connections.</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telephone lines and telephones. Long distance charges to be billed to the BUYER.</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desks, chairs, waste baskets, etc.</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Fax machine with dedicated phone line.</w:t>
      </w:r>
    </w:p>
    <w:p>
      <w:pPr>
        <w:spacing w:after="0" w:line="107" w:lineRule="exact"/>
        <w:rPr>
          <w:rFonts w:ascii="Times New Roman" w:cs="Times New Roman" w:eastAsia="Times New Roman" w:hAnsi="Times New Roman"/>
          <w:sz w:val="20"/>
          <w:szCs w:val="20"/>
          <w:color w:val="auto"/>
        </w:rPr>
      </w:pPr>
    </w:p>
    <w:p>
      <w:pPr>
        <w:ind w:left="2432" w:hanging="650"/>
        <w:spacing w:after="0" w:line="269" w:lineRule="auto"/>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Copier able to copy and scan in color, two sided and collate paper sizes of letter, legal and 11x17.</w:t>
      </w:r>
    </w:p>
    <w:p>
      <w:pPr>
        <w:spacing w:after="0" w:line="51" w:lineRule="exact"/>
        <w:rPr>
          <w:rFonts w:ascii="Times New Roman" w:cs="Times New Roman" w:eastAsia="Times New Roman" w:hAnsi="Times New Roman"/>
          <w:sz w:val="20"/>
          <w:szCs w:val="20"/>
          <w:color w:val="auto"/>
        </w:rPr>
      </w:pPr>
    </w:p>
    <w:p>
      <w:pPr>
        <w:ind w:left="2592" w:hanging="804"/>
        <w:spacing w:after="0"/>
        <w:tabs>
          <w:tab w:leader="none" w:pos="259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dispenser with water refill service.</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 table.</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four drawer legal size file cabinets.</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Conference Table (8 person) with chairs.</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Microwave.</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Refrigerator with freezer – 15+ cubic ft.</w:t>
      </w:r>
    </w:p>
    <w:p>
      <w:pPr>
        <w:spacing w:after="0" w:line="107" w:lineRule="exact"/>
        <w:rPr>
          <w:rFonts w:ascii="Times New Roman" w:cs="Times New Roman" w:eastAsia="Times New Roman" w:hAnsi="Times New Roman"/>
          <w:sz w:val="20"/>
          <w:szCs w:val="20"/>
          <w:color w:val="auto"/>
        </w:rPr>
      </w:pPr>
    </w:p>
    <w:p>
      <w:pPr>
        <w:ind w:left="2432" w:hanging="650"/>
        <w:spacing w:after="0"/>
        <w:tabs>
          <w:tab w:leader="none" w:pos="243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room with lockers, shower and cleaning services.</w:t>
      </w:r>
    </w:p>
    <w:p>
      <w:pPr>
        <w:spacing w:after="0" w:line="10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BUILDER: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the BUYER’S subcontractors, employees and agents, shall at all times be deemed to be employees or agents of the BUYER. The BUILDER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23" w:name="page224"/>
    <w:bookmarkEnd w:id="223"/>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shall be under no liability whatsoever for personal injuries to, or death of, such Buyer’s Representative or employees or agents of the BUYER, or for damage to, or loss or destruction of, their property, unless such injury, death, damage, loss or destruction is shown to have been caused by the gross negligence or willful acts of the BUILDER and/or its subcontractors and/or their employees or agents (including Builder’s Representative).</w:t>
      </w:r>
    </w:p>
    <w:p>
      <w:pPr>
        <w:spacing w:after="0" w:line="189"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undertake and assure that the Buyer’s Representative shall carry out his duties hereunder in accordance with the normal shipbuilding practices of the BUILDER and in such a way as to avoid any unnecessary increase in building cost, delay in or interference with the design and construction of the VESSEL, and/or any disturbance in the construction schedule of the BUILDER. The BUILDER has the right to request the BUYER to replace the Buyer’s Representative and/or his assistants who may be deemed unsuitable and unsatisfactory for the proper progress of the VESSEL’s construction. The BUYER shall investigate the situation by sending his representatives to the Shipyard if necessary, and if the BUYER considers that such BUILDER’s request is justified, the BUYER shall effect such replacement as soon as practicable.</w:t>
      </w:r>
    </w:p>
    <w:p>
      <w:pPr>
        <w:spacing w:after="0" w:line="202"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BUYER’s subcontractors, employees and agents, shall comply with BUILDER’s standard security, safety, and environmental policies and procedures (including, without limitation, COVID-19 protocols) and also shall comply with all applicable federal, state, and local safety and environmental laws and regulations. BUILDER may deny access to the Shipyard to any person or entity who fails to comply with such policies, procedures, laws or regulations or has been banned from the Shipyard in the past on such basis.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employees, agents and subcontractors of the BUILDER shall at all times be deemed to be employees, agents and subcontractors of the BUILDER. The BUYER shall be under no liability whatsoever for personal injuries to, or death of, such BUILDER’s employees, agents, or subcontractors, or for damage to, or loss or destruction of, their property, unless such injury, death, damage, loss or destruction is shown to have been caused by the gross negligence or willful acts of the BUYER, and/or its subcontractors and/or their employees or agents (including Buyer’s Representative).</w:t>
      </w:r>
    </w:p>
    <w:p>
      <w:pPr>
        <w:spacing w:after="0" w:line="1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by Regulatory Bodies; BUYER’s access to Communications with Regulatory Bodies: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plans or data required by the Classification Society or other relevant regulatory bodies in connection with approval of the VESSEL shall be prepared and submitted by the BUILDER or its subcontractors and suppliers, except such data that is explicitly requested by the relevant regulatory body to be submitted by the BUYER. The BUILDER agrees to provide the BUYER with full reading and copying rights for all plan approval documents and written correspondence sent to or received from the Classification Society and other regulatory bodies and to sign the standard Classification Society authorization allowing such access. The BUILDER further agrees to copy the BUYER on all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4" w:name="page225"/>
    <w:bookmarkEnd w:id="224"/>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communications with the Classification Society and to make reasonable efforts to include the Buyer’s Representative in any in-person meetings with the Classification Society (it being understood that such meetings may proceed without the BUYER’s Representative in attendance) to the extent such communications or meetings will cover technical information (including comments originated from ABS design review). The BUILDER is not obligated to include the BUYER in communications or discussions (a) about commercial issues between the BUILDER, subcontractors and ABS, or (b) including documentation with proprietary information, unless expressly authorized by the owner of such information. The BUYER will provide a specific email address to be copied on email conversations to ease the collection burden of this requirement.</w:t>
      </w:r>
    </w:p>
    <w:p>
      <w:pPr>
        <w:spacing w:after="0" w:line="20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BUILDER, on behalf of itself and any subcontractors, shall grant oversight privileges to the BUYER and other related project team members through ABS Eagle Construct/Engineering Manager to allow the BUYER to review the design review status regarding pending and/or outstanding items and any other relevant technical information about the BUILDER and subcontractor scope.</w:t>
      </w:r>
    </w:p>
    <w:p>
      <w:pPr>
        <w:spacing w:after="0" w:line="193"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In addition, the BUILDER on behalf of itself and any subcontractors will give written permission for ABS to inform the BUYER and other related project team members, or notify directly under the BUYER’s formal request, the classification status regarding pending and/or outstanding items and any other relevant technical information about the BUILDER and subcontractor’s scope. Such permission should be emailed, faxed or mailed to ABS Account Manager, Project Manager, Attending Surveyor or Engineering office by the BUILDER on behalf of itself and any subcontractors.</w:t>
      </w:r>
    </w:p>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BUYER agrees to copy the BUILDER on all written communications with the Classification Society related to the BUILDER’s and its subcontractor’s scope and to make reasonable efforts to include the BUILDER’s Representative in any in-person meetings with the Classification Society (it being understood that such meetings may proceed without the BUILDER’s Representative in attendance).</w:t>
      </w:r>
    </w:p>
    <w:p>
      <w:pPr>
        <w:spacing w:after="0" w:line="19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addition, the BUYER shall not raise any issue or question regarding the VESSEL with ABS without first raising such issue or question with the BUILDER, and then only if the BUILDER’s response is unreasonably delayed or deemed inadequate.</w:t>
      </w:r>
    </w:p>
    <w:p>
      <w:pPr>
        <w:spacing w:after="0" w:line="184"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Master Schedule: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At the time of execution of this Contract, the BUYER shall be provided with the latest official version of the master schedule showing the main production activities for the VESSEL and the main production activities for the final outfitting, mechanical completion and testing of the VESSEL. The master schedule shall include the build strategy, master milestone schedule and key event schedule. The BUILDER shall report to the BUYER as to the purchasing schedule progress and the project progress percentage of completion on the VESSEL and tasks on a bi-weekly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0"/>
          <w:szCs w:val="20"/>
          <w:b w:val="1"/>
          <w:bCs w:val="1"/>
          <w:color w:val="auto"/>
        </w:rPr>
        <w:t>ARTICLE V – MODIFICATIONS</w:t>
      </w:r>
    </w:p>
    <w:p>
      <w:pPr>
        <w:spacing w:after="0" w:line="229"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Modifications of Specification: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Specification may only be modified and/or changed by written agreement of the parties hereto. The BUILDER and the BUYER shall first agree, in writing, before such modifications and/or changes are carried out, to alterations in the Contract Price, the Delivery Date and other terms and conditions of this Contract and Specification occasioned by or resulting from such modifications and/or changes. There shall be no cost for the BUILDER’S provision of an estimate regardless whether a proposed change is implemented.</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such agreed changes shall be described on a change order in the form set forth in Exhibit 6 signed by the authorized representatives of the parties hereto manifesting agreements of the parties as to the work to be provided or deleted, and the effect on the Contract Price and the Delivery Date, which shall constitute amendments to this Contract and/or the Specification (each such change, a “Change Order”).</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make minor changes to the Specification, if found necessary to suit the BUILDER’s local facilities; the availability of materials; introduction of improved production methods or otherwise, provided that the BUILDER shall obtain the BUYER’s prior written approval, which shall not be unreasonably withheld.</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Based on Class Requirements, etc.:</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after the date of this Contract, any requirements as to class, or as to rules and regulations to which the construction of the VESSEL is required to conform, are altered or changed by the Classification Society or the other regulatory bodies authorized to make such alterations or changes, the following provisions shall apply:</w:t>
      </w:r>
    </w:p>
    <w:p>
      <w:pPr>
        <w:spacing w:after="0" w:line="187" w:lineRule="exact"/>
        <w:rPr>
          <w:rFonts w:ascii="Times New Roman" w:cs="Times New Roman" w:eastAsia="Times New Roman" w:hAnsi="Times New Roman"/>
          <w:sz w:val="20"/>
          <w:szCs w:val="20"/>
          <w:b w:val="1"/>
          <w:bCs w:val="1"/>
          <w:color w:val="auto"/>
        </w:rPr>
      </w:pPr>
    </w:p>
    <w:p>
      <w:pPr>
        <w:jc w:val="both"/>
        <w:ind w:left="980" w:hanging="324"/>
        <w:spacing w:after="0" w:line="243" w:lineRule="auto"/>
        <w:tabs>
          <w:tab w:leader="none" w:pos="980"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compulsory for the VESSEL, either of the parties hereto, upon receipt of such information from the Classification Society or such other regulatory bodies, shall promptly transmit the same to the other in writing, and the BUILDER shall thereupon incorporate such alterations or changes into the construction of the VESSEL. The BUILDER shall present to the BUYER the adjustment required by the BUILDER in the Contract Price, the Delivery Date and other terms and conditions of this Contract occasioned by the change. The adjustment shall then be agreed on as a Change Order in accordance with Paragraph 1 of this Article. If the parties cannot agree on the Change Order, then the matter shall be submitted for final decision in accordance with Article XIV hereof. In such case, work on the compulsory alteration or change shall proceed without waiting for the final decision on the Change Order.</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not compulsory for the VESSEL, but the BUYER desires to incorporate such alterations or changes into the construction of the VESSEL, then, the BUYER shall notify the BUILDER of such intention and such notice shall be treated as a request for a modification or change in accordance with Paragraph 1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26" w:name="page227"/>
    <w:bookmarkEnd w:id="226"/>
    <w:p>
      <w:pPr>
        <w:ind w:left="660" w:hanging="652"/>
        <w:spacing w:after="0"/>
        <w:tabs>
          <w:tab w:leader="none" w:pos="660"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Substitution of Materials: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any of the materials required by the Specification or otherwise under this Contract for the construction of the VESSEL cannot be procured in time or are in short supply to maintain the Delivery Date of the VESSEL, or alternative materials are claimed by the BUILDER to be available which are suitable as substitutes by reason of advances in technology, the updating or improvements of, or changes in, specified materials or changes in the manufacture or production thereof; the BUILDER may, provided that the BUILDER shall obtain the BUYER’s prior written approval, which shall not be unreasonably withheld, supply other materials capable of meeting the requirements of the Classification Society and of the rules, regulations and requirements with which the construction of the VESSEL must comply. Any agreement as to such substitution of materials shall be effected in the manner provided in Paragraph 1 of this Article, and shall, likewise, include alterations in the Contract Price and other terms and conditions of this Contract occasioned by or resulting from such substitution.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 – TRIALS</w:t>
      </w:r>
    </w:p>
    <w:p>
      <w:pPr>
        <w:spacing w:after="0" w:line="229"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receive from the BUILDER at least fourteen (14) days’ prior notice in writing of the time and place of the trial run of the VESSEL, and a description of the trials to be performed, and the BUYER shall give prompt written acknowledgment of the receipt of such notice. The BUYER shall have the right to have a reasonable number (up to ten (10)) of authorized representatives, employees, inspectors and any other person reasonably designated by the BUYER present at the trial runs.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after due notice as described above, conduct trial runs of the VESSEL without the presence of the Buyer’s Representative or other authorized representative of the BUYER provided that the Classification Society and U.S. Coast Guard are present. In such case, the BUYER shall be obligated to accept the results of the trial runs on the basis of a certificate of the BUILDER, confirmed by the Classification Society and U.S. Coast Guard, stating the results of the runs.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Weather Conditions: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trial run shall be carried out under weather conditions deemed favorable enough in the judgment of the BUILDER subject to approval by the BUYER. In the event of unfavorable weather on the date specified for the trial run, the same shall take place on the first available day thereafter that the weather condition permits. It is agreed that, if during the trial run of the VESSEL, the weather should suddenly become so unfavorable that orderly conduct of the trial run can no longer be continued, the trial run shall be discontinued and postponed until the first favorable day next following, unless the BUYER shall assent in writing to acceptance of the VESSEL on the basis of the trial run already made before such discontinuance has occurred.</w:t>
      </w:r>
    </w:p>
    <w:p>
      <w:pPr>
        <w:spacing w:after="0" w:line="19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delay of trial run caused by such unfavorable weather condition shall operate to postpone the Delivery Date by the period of delay involved and such delay shall be deemed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27" w:name="page228"/>
    <w:bookmarkEnd w:id="227"/>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as a Permissible Delay in the delivery of the VESSEL. Within twenty-four (24) hours from the cessation of a delay in the trial run caused by unfavorable weather, the BUILDER shall advise the BUYER in writing of the new proposed date for the trial run.</w:t>
      </w:r>
    </w:p>
    <w:p>
      <w:pPr>
        <w:spacing w:after="0" w:line="184" w:lineRule="exact"/>
        <w:rPr>
          <w:sz w:val="20"/>
          <w:szCs w:val="20"/>
          <w:color w:val="auto"/>
        </w:rPr>
      </w:pPr>
    </w:p>
    <w:p>
      <w:pPr>
        <w:ind w:left="652" w:hanging="652"/>
        <w:spacing w:after="0"/>
        <w:tabs>
          <w:tab w:leader="none" w:pos="652"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Conducted:</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5" w:lineRule="auto"/>
        <w:tabs>
          <w:tab w:leader="none" w:pos="97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expenses in connection with the trial run are to be for the account of the BUILDER and the BUILDER shall provide at its own expense the necessary crew to comply with conditions of safe navigation. The trial run shall be conducted in the manner prescribed in the Specification, and shall prove fulfillment of the performance requirements for the trial run as set forth in the Specification. The course of trial run shall be determined by the</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BUILDER.</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fuel oil, LNG, lubricating oil, greases and fresh water necessary for the trial run of the VESSEL shall be supplied by the BUILDER at the Shipyard prior to the time of the trial run, and the BUYER shall pay the BUILDER upon delivery of the VESSEL (i) the cost of the quantities of fuel oil, lubricating oil, greases and fresh water not consumed during the trial run at the original purchase price, and (ii) the cost of all LNG (whether or not consumed during the trial run) at the original purchase price. In measuring the consumed quantity, lubricating oils and greases remaining in the main engine, other machinery and their pipes, stern tube and the like, shall be excluded. The BUILDER shall arrange for the quantity of fuel oil, LNG, lubricating oils, greases and fresh water to be loaded on the VESSEL at delivery in accordance with the instructions of the BUYER, at the BUYER’S cost. The BUILDER shall remove all waste and debris about the VESSEL and all sludge and oily water wastes from the VESSEL prior to delivery, at the BUILDER’S cost. The BUYER shall promptly reimburse the BUILDER for the cost of all LNG bunkering operations, including, without limitation, operational procedures, cleaning, and safety measures.</w:t>
      </w:r>
    </w:p>
    <w:p>
      <w:pPr>
        <w:spacing w:after="0" w:line="196"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Acceptance or Rejection:</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6" w:lineRule="auto"/>
        <w:tabs>
          <w:tab w:leader="none" w:pos="97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trial run, the BUILDER shall give the BUYER written notice of completion of the trial run along with copies of all sea trial test reports, including if the BUILDER considers that the results of the trial run indicate the conformity of the VESSEL to this Contract and the Specification. The BUYER shall, within three (3) days after receipt of such notice from the BUILDER, provide the BUILDER written notice of its intent to accept or reject the VESSEL on the Delivery Date.</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should the results of the trial run indicate that the VESSEL, or any part or equipment thereof, does not conform to the requirements of this Contract and/or the Specification, or if the BUILDER is in agreement as to non-conformity as specified in the BUYER’s notice of rejection, then, the BUILDER shall with the written concurrence of the BUYER take the necessary steps to correct such non-conformity. Upon completion of correction and testing of such non-conformity, the BUILDER shall give the BUYER written notice thereof. The BUYER shall, within two (2) days after receipt of such notice from the BUILDER, notify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28" w:name="page229"/>
    <w:bookmarkEnd w:id="228"/>
    <w:p>
      <w:pPr>
        <w:jc w:val="both"/>
        <w:ind w:left="980"/>
        <w:spacing w:after="0" w:line="246" w:lineRule="auto"/>
        <w:rPr>
          <w:sz w:val="20"/>
          <w:szCs w:val="20"/>
          <w:color w:val="auto"/>
        </w:rPr>
      </w:pPr>
      <w:r>
        <w:rPr>
          <w:rFonts w:ascii="Times New Roman" w:cs="Times New Roman" w:eastAsia="Times New Roman" w:hAnsi="Times New Roman"/>
          <w:sz w:val="20"/>
          <w:szCs w:val="20"/>
          <w:color w:val="auto"/>
        </w:rPr>
        <w:t>BUILDER of its acceptance or rejection of the VESSEL. The BUYER may only demand a new trial run if this is the only way the BUILDER can prove that the nonconformities have been corrected. In the event a new trial run takes place, the provisions set forth in Paragraphs 1, 2 and 3 hereof shall govern this trial run except that the BUILDER shall be entitled to give a written notice of two (2) days for such new trial run. Upon completion of the additional trial run, the provisions of this Paragraph 4 shall apply.</w:t>
      </w:r>
    </w:p>
    <w:p>
      <w:pPr>
        <w:spacing w:after="0" w:line="198" w:lineRule="exact"/>
        <w:rPr>
          <w:sz w:val="20"/>
          <w:szCs w:val="20"/>
          <w:color w:val="auto"/>
        </w:rPr>
      </w:pPr>
    </w:p>
    <w:p>
      <w:pPr>
        <w:ind w:left="980" w:hanging="324"/>
        <w:spacing w:after="0" w:line="269" w:lineRule="auto"/>
        <w:tabs>
          <w:tab w:leader="none" w:pos="98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event that the BUYER rejects the VESSEL, the BUYER shall specify in its notice of rejection in what respect the VESSEL, or any part or equipment thereof does not conform to this Contract.</w:t>
      </w:r>
    </w:p>
    <w:p>
      <w:pPr>
        <w:spacing w:after="0" w:line="172"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 fails to provide the BUILDER written notice of the acceptance of or the rejection together with the reason therefor of the VESSEL within the period as provided in the above subparagraphs (a) or (b), the BUYER shall be deemed to have accepted the VESSEL.</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may dispute the rejection of the VESSEL by the BUYER under this Paragraph 4, in which case the matter shall be submitted for final decision in accordance with Article XIV hereof.</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Acceptance:</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9" w:lineRule="auto"/>
        <w:tabs>
          <w:tab w:leader="none" w:pos="98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VESSEL as above provided shall be final and binding and the VESSEL will be deemed to be in conformity with this Contract except as set forth in subparagraph b immediately below. The BUYER shall not refuse formal delivery of the VESSEL as hereinafter provided, if the BUILDER complies with all other procedural requirements for delivery as provided in Article VII hereof.</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8" w:lineRule="auto"/>
        <w:tabs>
          <w:tab w:leader="none" w:pos="980" w:val="left"/>
        </w:tabs>
        <w:numPr>
          <w:ilvl w:val="1"/>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minor work or items on the VESSEL are incomplete or missing when the VESSEL otherwise is ready for delivery and such work or items do not materially affect the operation, trade or schedule of the VESSEL nor are likely to cause damage or excessive deterioration to the VESSEL or void warranty requirements, the BUYER shall not withhold its consent to accept delivery of the VESSEL subject to the right of the BUYER to have such items completed by the BUILDER in a reasonable manner and period of time. The parties shall on delivery execute a protocol of outstanding work and a schedule for completion of such work or agree as to an adjustment of the Contract Price in lieu of completion of such work. The BUILDER agrees that any such monetary payments to and repairs done by BUYER shall not void the BUILDER’s or any manufacturer’s warranties.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 DELIVERY</w:t>
      </w:r>
    </w:p>
    <w:p>
      <w:pPr>
        <w:spacing w:after="0" w:line="229"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 and Place:</w:t>
      </w:r>
    </w:p>
    <w:p>
      <w:pPr>
        <w:spacing w:after="0" w:line="233" w:lineRule="exact"/>
        <w:rPr>
          <w:rFonts w:ascii="Times New Roman" w:cs="Times New Roman" w:eastAsia="Times New Roman" w:hAnsi="Times New Roman"/>
          <w:sz w:val="20"/>
          <w:szCs w:val="20"/>
          <w:b w:val="1"/>
          <w:bCs w:val="1"/>
          <w:color w:val="auto"/>
        </w:rPr>
      </w:pPr>
    </w:p>
    <w:p>
      <w:pPr>
        <w:ind w:left="980" w:right="20" w:hanging="324"/>
        <w:spacing w:after="0" w:line="269" w:lineRule="auto"/>
        <w:tabs>
          <w:tab w:leader="none" w:pos="980"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VESSEL shall be delivered by the BUILDER to the BUYER at the Shipyard or at another location acceptable to both parties hereto. The original Delivery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9" w:name="page230"/>
    <w:bookmarkEnd w:id="229"/>
    <w:p>
      <w:pPr>
        <w:ind w:left="972"/>
        <w:spacing w:after="0"/>
        <w:rPr>
          <w:sz w:val="20"/>
          <w:szCs w:val="20"/>
          <w:color w:val="auto"/>
        </w:rPr>
      </w:pPr>
      <w:r>
        <w:rPr>
          <w:rFonts w:ascii="Times New Roman" w:cs="Times New Roman" w:eastAsia="Times New Roman" w:hAnsi="Times New Roman"/>
          <w:sz w:val="20"/>
          <w:szCs w:val="20"/>
          <w:color w:val="auto"/>
        </w:rPr>
        <w:t>for the VESSEL shall be October [*], 2026 (herein called the “Original Delivery Date”).</w:t>
      </w:r>
    </w:p>
    <w:p>
      <w:pPr>
        <w:spacing w:after="0" w:line="229" w:lineRule="exact"/>
        <w:rPr>
          <w:sz w:val="20"/>
          <w:szCs w:val="20"/>
          <w:color w:val="auto"/>
        </w:rPr>
      </w:pPr>
    </w:p>
    <w:p>
      <w:pPr>
        <w:ind w:left="972" w:hanging="324"/>
        <w:spacing w:after="0" w:line="269" w:lineRule="auto"/>
        <w:tabs>
          <w:tab w:leader="none" w:pos="972"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on account of such causes which under the terms of this Contract permit the BUILDER to postpone the delivery of the VESSEL shall be understood to be Permissible Delay (herein called “Permissible Delay”).</w:t>
      </w:r>
    </w:p>
    <w:p>
      <w:pPr>
        <w:spacing w:after="0" w:line="172"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Delivery Date shall be adjusted by the total Permissible Delay and the adjusted date shall be the Delivery Date (herein called the “Delivery Date”). The VESSEL shall be delivered by the BUILDER to the BUYER on or before the Delivery Date.</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advises that it has contracts committing the BUILDER to construct five training ships and up to two subsea rock installation vessels (the “other contracts”). The BUILDER advises that the Original Delivery Date is being committed to taking into account BUILDER’s obligations under the other contracts. The BUILDER agrees that its obligations under the other contracts and any delay in its deliveries under the other contracts would not constitute a Permissible Delay as defined in subparagraph b. of this Paragraph 1, or a Force Majeure event under Article VIII of this Contract, unless the conditions under Article VIII apply to or otherwise impact the facilities or workforce at the Shipyard available for the construction of the VESSEL under this Contract.</w:t>
      </w:r>
    </w:p>
    <w:p>
      <w:pPr>
        <w:spacing w:after="0" w:line="19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and How Effected:</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1" w:lineRule="auto"/>
        <w:tabs>
          <w:tab w:leader="none" w:pos="972"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work on the VESSEL is complete or substantially complete in accordance with this Contract and the VESSEL has passed the tests required by this Contract, the VESSEL as completed or substantially completed shall be delivered by the BUILDER and accepted by the BUYER alongside a safe and accessible pier at the Shipyard, or at such other place as may be mutually agreed to by the BUILDER and the BUYER, where there must be sufficient water for the VESSEL always to be afloat and during egress from the berth, custom to the contrary notwithstanding, free and clear of all liens, security interests, and claims of every nature, excepting, however those in favor of a claimant, other than BUILDER, arising out of the acts or omissions of the BUYER, with not less than ten (10) days’ prior written notice to the BUYER of such delivery. As used in this Contract, the term “substantially complete” shall mean complete except for minor items not affecting the commercial utility and safe operation of the VESSEL, with all certificates required for operation of the VESSEL, and not violating any requirement of a regulatory body. Unless waived by the BUYER, the VESSEL shall not be deemed to be “substantially complete” if a delivery deficiency will require the VESSEL to be taken out of service prior to the VESSEL’S regular maintenance schedule or if the aggregate value of such delivery deficiencies is in excess of [*]. For the avoidance of doubt, if the Classification Society issues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30" w:name="page231"/>
    <w:bookmarkEnd w:id="230"/>
    <w:p>
      <w:pPr>
        <w:ind w:left="972"/>
        <w:spacing w:after="0" w:line="269" w:lineRule="auto"/>
        <w:rPr>
          <w:sz w:val="20"/>
          <w:szCs w:val="20"/>
          <w:color w:val="auto"/>
        </w:rPr>
      </w:pPr>
      <w:r>
        <w:rPr>
          <w:rFonts w:ascii="Times New Roman" w:cs="Times New Roman" w:eastAsia="Times New Roman" w:hAnsi="Times New Roman"/>
          <w:sz w:val="20"/>
          <w:szCs w:val="20"/>
          <w:color w:val="auto"/>
        </w:rPr>
        <w:t>Certificate of Class with a condition of class, the BUYER shall not be obligated to accept the VESSEL with such condition of class.</w:t>
      </w:r>
    </w:p>
    <w:p>
      <w:pPr>
        <w:spacing w:after="0" w:line="173" w:lineRule="exact"/>
        <w:rPr>
          <w:sz w:val="20"/>
          <w:szCs w:val="20"/>
          <w:color w:val="auto"/>
        </w:rPr>
      </w:pPr>
    </w:p>
    <w:p>
      <w:pPr>
        <w:jc w:val="both"/>
        <w:ind w:left="972" w:hanging="324"/>
        <w:spacing w:after="0" w:line="253" w:lineRule="auto"/>
        <w:tabs>
          <w:tab w:leader="none" w:pos="972"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that the BUYER shall have fulfilled all of its obligations stipulated under this Contract, delivery of the VESSEL shall be effected forthwith by the concurrent delivery by each of the parties hereto to the other of the PROTOCOL OF DELIVERY AND ACCEPTANCE, acknowledging delivery of the VESSEL by the BUILDER and acceptance thereof by the BUYER. The BUYER and the BUILDER agree to describe in the Protocol of Delivery and Acceptance (i) the amount of reduction in the Contract Price at delivery of the VESSEL in lieu of completion of uncompleted work and correction of defects, deficiencies, or damage by the BUILDER, and, if the amount of the proposed reduction is more than the amounts due from the BUYER at delivery, the amount to be paid by the BUILDER to the BUYER to the extent the price reduction amount is insufficient; and/or (ii) (y) the uncompleted work and defects, deficiencies, or damage to be completed and corrected by the BUILDER after delivery of the VESSEL, such completion and correction to be performed in the same manner as provided for Guarantee work under Article IX, and (z) the amount of the Contract Price to be withheld until the uncompleted work is completed and the defects, deficiencies, or damage are corrected. The BUILDER agrees to perform such completion and correction in such manner after delivery of the VESSEL. The BUYER shall pay the BUILDER for satisfactory performance of such completion and correction after delivery in the manner set forth in ARTICLE IX. If the BUYER and the BUILDER fail to agree as to any of the items to be included in the Protocol of Delivery and Acceptance pursuant to this Article, such items shall be resolved pursuant to</w:t>
      </w:r>
    </w:p>
    <w:p>
      <w:pPr>
        <w:spacing w:after="0" w:line="9" w:lineRule="exact"/>
        <w:rPr>
          <w:rFonts w:ascii="Times New Roman" w:cs="Times New Roman" w:eastAsia="Times New Roman" w:hAnsi="Times New Roman"/>
          <w:sz w:val="19"/>
          <w:szCs w:val="19"/>
          <w:color w:val="auto"/>
        </w:rPr>
      </w:pPr>
    </w:p>
    <w:p>
      <w:pPr>
        <w:ind w:left="97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ARTICLE XIV.</w:t>
      </w:r>
    </w:p>
    <w:p>
      <w:pPr>
        <w:spacing w:after="0" w:line="207" w:lineRule="exact"/>
        <w:rPr>
          <w:rFonts w:ascii="Times New Roman" w:cs="Times New Roman" w:eastAsia="Times New Roman" w:hAnsi="Times New Roman"/>
          <w:sz w:val="19"/>
          <w:szCs w:val="19"/>
          <w:color w:val="auto"/>
        </w:rPr>
      </w:pPr>
    </w:p>
    <w:p>
      <w:pPr>
        <w:jc w:val="both"/>
        <w:ind w:left="972" w:hanging="324"/>
        <w:spacing w:after="0" w:line="245" w:lineRule="auto"/>
        <w:tabs>
          <w:tab w:leader="none" w:pos="97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dispute concerning any Milestone Payment or the payment due upon delivery of the VESSEL, including the question of the BUYER’s right to offset any claim it may have, the BUYER shall pay the undisputed amount to the BUILDER and shall deposit the disputed amount into escrow subject to the Escrow Instructions. The BUILDER cannot in such case refuse to deliver the VESSEL and the BUYER cannot refuse to take delivery of the VESSEL. Any such disputed amount shall be paid as agreed by the parties or as determined by Article XIV.</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thirty (30) days prior to the expected delivery of the VESSEL, employees of the BUYER or the BUYERS’s contractors or agents shall be entitled to access to the VESSEL to engage in such activities and perform such work as the BUYER may specify on a not-to-interfere basis. Two (2) weeks prior to delivery of the VESSEL the BUYER shall have access on a not-to-interfere basis to familiarize the crew with the VESSEL and to provision the VESSEL.</w:t>
      </w:r>
    </w:p>
    <w:p>
      <w:pPr>
        <w:spacing w:after="0" w:line="19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Documents to be Delivered to the BUYER: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delivery and acceptance of the VESSEL, the BUILDER shall deliver to the BUYER the following documents, which shall accompany the PROTOCOL OF DELIVERY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31" w:name="page232"/>
    <w:bookmarkEnd w:id="231"/>
    <w:p>
      <w:pPr>
        <w:ind w:left="972" w:hanging="324"/>
        <w:spacing w:after="0"/>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TRIALS of the VESSEL made pursuant to the Specification.</w:t>
      </w:r>
    </w:p>
    <w:p>
      <w:pPr>
        <w:spacing w:after="0" w:line="229"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INVENTORY of the equipment of the VESSEL, including spare parts and the like, all as specified in the Specification; and Inventory of Hazardous Material (MEPC.197(2)).</w:t>
      </w:r>
    </w:p>
    <w:p>
      <w:pPr>
        <w:spacing w:after="0" w:line="172" w:lineRule="exact"/>
        <w:rPr>
          <w:rFonts w:ascii="Times New Roman" w:cs="Times New Roman" w:eastAsia="Times New Roman" w:hAnsi="Times New Roman"/>
          <w:sz w:val="20"/>
          <w:szCs w:val="20"/>
          <w:color w:val="auto"/>
        </w:rPr>
      </w:pPr>
    </w:p>
    <w:p>
      <w:pPr>
        <w:ind w:left="972" w:right="20" w:hanging="324"/>
        <w:spacing w:after="0" w:line="269" w:lineRule="auto"/>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STORES OF CONSUMABLE NATURE referred to under subparagraph 3(b) of Article VI hereof, including the original purchase price thereof.</w:t>
      </w:r>
    </w:p>
    <w:p>
      <w:pPr>
        <w:spacing w:after="0" w:line="172"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clean and free of conditions, including the BUILDER’s CERTIFICATE on Form CG-1261, USCG CERTIFICATE OF INSPECTION Form CG-841, USCG approved Automation Test Procedures, USCG approved Bunkering Procedures for LNG, HFO, MGO and Lube Oils, USCG approved Cold Ironing (AMP) Procedures, and CLASSIFICATION CERTIFICATES and all type approval certificates required to be furnished upon delivery of the VESSEL pursuant to this Contract and the Specification or that are required by the regulatory bodies. It is agreed that if, through no fault on the part of the BUILDER, the classification and/or other certificates are not available at the time of delivery of the VESSEL, provisional certificates shall be accepted by the BUYER, provided that the BUILDER shall furnish the BUYER with the formal certificates as promptly as possible after such formal certificates have been issued.</w:t>
      </w:r>
    </w:p>
    <w:p>
      <w:pPr>
        <w:spacing w:after="0" w:line="199" w:lineRule="exact"/>
        <w:rPr>
          <w:rFonts w:ascii="Times New Roman" w:cs="Times New Roman" w:eastAsia="Times New Roman" w:hAnsi="Times New Roman"/>
          <w:sz w:val="20"/>
          <w:szCs w:val="20"/>
          <w:color w:val="auto"/>
        </w:rPr>
      </w:pPr>
    </w:p>
    <w:p>
      <w:pPr>
        <w:jc w:val="both"/>
        <w:ind w:left="972" w:hanging="324"/>
        <w:spacing w:after="0" w:line="263" w:lineRule="auto"/>
        <w:tabs>
          <w:tab w:leader="none" w:pos="972"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WARRANTY of the BUILDER that the VESSEL is delivered to the BUYER free and clear of any liens, charges, claims, mortgages, or other encumbrances upon the BUYER’s title thereto, and in particular, that the VESSEL is absolutely free of all burdens in the nature of imposts, taxes or charges imposed by local or federal authorities, as well as of all liabilities of the BUILDER to its subcontractors, employees and crew, and of all liabilities arising from the operation of the VESSEL in trial runs, or otherwise, prior to delivery.</w:t>
      </w:r>
    </w:p>
    <w:p>
      <w:pPr>
        <w:spacing w:after="0" w:line="179" w:lineRule="exact"/>
        <w:rPr>
          <w:rFonts w:ascii="Times New Roman" w:cs="Times New Roman" w:eastAsia="Times New Roman" w:hAnsi="Times New Roman"/>
          <w:sz w:val="19"/>
          <w:szCs w:val="19"/>
          <w:color w:val="auto"/>
        </w:rPr>
      </w:pPr>
    </w:p>
    <w:p>
      <w:pPr>
        <w:jc w:val="both"/>
        <w:ind w:left="972" w:hanging="324"/>
        <w:spacing w:after="0" w:line="246" w:lineRule="auto"/>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DRAWINGS AND PLANS pertaining to the VESSEL as stipulated in the Specification together with all drawings required to be submitted to regulatory bodies. Detailed design drawings for hull, structural, electrical, piping and outfitting drawings developed by BUILDER or any design agent for the construction of the VESSEL requested by the BUYER shall be provided in a format to be agreed at an additional cost to be billed at $100.00 per hour.</w:t>
      </w:r>
    </w:p>
    <w:p>
      <w:pPr>
        <w:spacing w:after="0" w:line="198"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INVOICE and BILL OF SALE.</w:t>
      </w:r>
    </w:p>
    <w:p>
      <w:pPr>
        <w:spacing w:after="0" w:line="229" w:lineRule="exact"/>
        <w:rPr>
          <w:sz w:val="20"/>
          <w:szCs w:val="20"/>
          <w:color w:val="auto"/>
        </w:rPr>
      </w:pPr>
    </w:p>
    <w:p>
      <w:pPr>
        <w:ind w:left="652"/>
        <w:spacing w:after="0" w:line="269" w:lineRule="auto"/>
        <w:rPr>
          <w:sz w:val="20"/>
          <w:szCs w:val="20"/>
          <w:color w:val="auto"/>
        </w:rPr>
      </w:pPr>
      <w:r>
        <w:rPr>
          <w:rFonts w:ascii="Times New Roman" w:cs="Times New Roman" w:eastAsia="Times New Roman" w:hAnsi="Times New Roman"/>
          <w:sz w:val="20"/>
          <w:szCs w:val="20"/>
          <w:color w:val="auto"/>
        </w:rPr>
        <w:t>The BUILDER will cooperate with the BUYER to provide any other documents reasonably required by the BUYER to secure financing for the VESSEL.</w:t>
      </w:r>
    </w:p>
    <w:p>
      <w:pPr>
        <w:spacing w:after="0" w:line="169" w:lineRule="exact"/>
        <w:rPr>
          <w:sz w:val="20"/>
          <w:szCs w:val="20"/>
          <w:color w:val="auto"/>
        </w:rPr>
      </w:pPr>
    </w:p>
    <w:p>
      <w:pPr>
        <w:ind w:left="652" w:hanging="652"/>
        <w:spacing w:after="0"/>
        <w:tabs>
          <w:tab w:leader="none" w:pos="652"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Tender of the VESSEL:</w:t>
      </w:r>
    </w:p>
    <w:p>
      <w:pPr>
        <w:spacing w:after="0" w:line="233"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fails to take delivery of the VESSEL after completion thereof according to this Contract without any justifiable reason, the BUILDER shall have the right to tender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20"/>
          <w:szCs w:val="20"/>
          <w:color w:val="auto"/>
        </w:rPr>
        <w:t>delivery of the VESSEL after compliance with all procedural requirements as above provided.</w:t>
      </w:r>
    </w:p>
    <w:p>
      <w:pPr>
        <w:spacing w:after="0" w:line="225" w:lineRule="exact"/>
        <w:rPr>
          <w:sz w:val="20"/>
          <w:szCs w:val="20"/>
          <w:color w:val="auto"/>
        </w:rPr>
      </w:pPr>
    </w:p>
    <w:p>
      <w:pPr>
        <w:ind w:left="660" w:hanging="652"/>
        <w:spacing w:after="0"/>
        <w:tabs>
          <w:tab w:leader="none" w:pos="66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Risk:</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provisions of Article XVI concerning passage of title to the material and the VESSEL during the construction period, the risk of loss of the VESSEL shall pass to the BUYER only upon delivery and acceptance thereof having been completed as stated above; it being expressly understood that, until such delivery is effected, risk of loss of the VESSEL and her equipment shall remain with the BUILDER.</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BUILDER’s entering into this Contract, the performance of the BUILDER’S obligations hereunder and the sale of the VESSEL to BUYER will not result in any violation of or be in conflict with, or result in a breach of or constitute a default under, any term or provision of any agreement, instrument or other restriction to which the BUILDER is a party or by which it is bound.</w:t>
      </w:r>
    </w:p>
    <w:p>
      <w:pPr>
        <w:spacing w:after="0" w:line="18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the VESSEL:</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BUYER shall take possession of the VESSEL immediately upon delivery and acceptance thereof and shall remove the VESSEL from the premises of the Shipyard within ten (10) days after delivery and acceptance thereof is completed. If the BUYER shall not remove the VESSEL from the premises of the Shipyard within the aforesaid ten</w:t>
      </w:r>
    </w:p>
    <w:p>
      <w:pPr>
        <w:jc w:val="both"/>
        <w:ind w:left="660" w:hanging="4"/>
        <w:spacing w:after="0" w:line="242" w:lineRule="auto"/>
        <w:tabs>
          <w:tab w:leader="none" w:pos="1056"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then, in such event the BUYER shall pay to the BUILDER the mooring charges of the VESSEL at the rate of $[*] per day plus utilities. Such additional time on the BUILDER’s premises shall not exceed twenty-one (21) days.</w:t>
      </w:r>
    </w:p>
    <w:p>
      <w:pPr>
        <w:spacing w:after="0" w:line="196"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ARTICLE VIII – EXTENSION OF TIME FOR DELIVERY DUE TO FORCE MAJEURE AND TERMINATION FOR EXCESSIVE DELAY</w:t>
      </w:r>
    </w:p>
    <w:p>
      <w:pPr>
        <w:spacing w:after="0" w:line="165" w:lineRule="exact"/>
        <w:rPr>
          <w:sz w:val="20"/>
          <w:szCs w:val="20"/>
          <w:color w:val="auto"/>
        </w:rPr>
      </w:pPr>
    </w:p>
    <w:p>
      <w:pPr>
        <w:ind w:left="660" w:hanging="652"/>
        <w:spacing w:after="0"/>
        <w:tabs>
          <w:tab w:leader="none" w:pos="660"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Causes of Force Majeure:</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Force Majeure (herein called “Force Majeure”) is any or more of the events defined below:</w:t>
      </w:r>
    </w:p>
    <w:p>
      <w:pPr>
        <w:spacing w:after="0" w:line="229"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Acts of God; acts of princes or rulers; requirements of government authorities; delays caused by regulatory bodies whose documents or approvals are required; war or other hostilities or preparations thereto; blockade; revolution; insurrections; mobilizations; civil war; civil commotion; riots; strikes and other labor disturbances including local strikes affecting the BUILDER (not including any strikes or industrial disturbances resulting from unilateral changes made by the BUILDER under existing labor contracts); sabotages; acts of terrorists; lockouts; labor shortages, provided the BUILDER has exercised diligence in the recruitment and training of labor; plague; epidemics; pandemics; fire; flood; typhoons, hurricanes, storms or other weather conditions (other than ordinary storms or ordinary inclement weather conditions); earthquakes; tidal waves; landslides; explosions; collisions; strandings; embargoes; delays in transportation; import restrictions; shortage of materials, equipment or machinery or delay in delivery or inability to take delivery thereof, provided that such materials, equipment or machinery at the time of ordering could reasonably be expected by the BUILDER to be delivered in time, the BUILDER’S choice of a vendor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3" w:name="page234"/>
    <w:bookmarkEnd w:id="233"/>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subcontractor was reasonable and the BUILDER has exercised due diligence to monitor the actions and to expedite delivery of the vendor or to obtain substitute performance; prolonged failure or restriction of electric current or petroleum; non-delivery or late delivery of BUYER’S Supplies to BUILDER’S custody or other delay caused by any default or omission on the part of the BUYER in carrying out any of its obligations under this Contract; or destruction of or damage to the worksite or other works of the BUILDER, its main subcontractors or to the VESSEL or any part thereof, by any causes heretofore described in this Paragraph and any other causes properly to be considered to be beyond the BUILDER’s reasonable control; provided that there shall be excluded any such causes that are in existence as of the date of execution of this Contract or as to a cause impacting a contractor or subcontractor, a cause known to the party as of the date of execution of the contract or subcontract.</w:t>
      </w:r>
    </w:p>
    <w:p>
      <w:pPr>
        <w:spacing w:after="0" w:line="19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Parties acknowledge the current world events surrounding the COVID-19 pandemic and the Russia-Ukraine military conflict and agree that any future act, event, or circumstance caused by or arising from the COVID-19 pandemic or Russia-Ukraine military conflict otherwise meeting the definition of an event of Force Majeure is not excepted from that definition because of the duration and nature of the pandemic or the military conflict.</w:t>
      </w:r>
    </w:p>
    <w:p>
      <w:pPr>
        <w:spacing w:after="0" w:line="193"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20"/>
          <w:szCs w:val="20"/>
          <w:color w:val="auto"/>
        </w:rPr>
        <w:t>Any delay in the delivery of the VESSEL caused by an event of Force Majeure as to which the provisions of this Article VIII have been satisfied shall operate to postpone the Delivery Date by the number of days of delay involved.</w:t>
      </w:r>
    </w:p>
    <w:p>
      <w:pPr>
        <w:spacing w:after="0" w:line="184" w:lineRule="exact"/>
        <w:rPr>
          <w:sz w:val="20"/>
          <w:szCs w:val="20"/>
          <w:color w:val="auto"/>
        </w:rPr>
      </w:pPr>
    </w:p>
    <w:p>
      <w:pPr>
        <w:ind w:left="660" w:hanging="652"/>
        <w:spacing w:after="0"/>
        <w:tabs>
          <w:tab w:leader="none" w:pos="660" w:val="left"/>
        </w:tabs>
        <w:numPr>
          <w:ilvl w:val="0"/>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Delay: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ten (10) days from the date of commencement of the delay on account of Permissible Delays as defined in Paragraph 3 of this Article below, the BUILDER shall advise the BUYER in writing of the date such delay commences and the reasons therefor along with BUILDER’s proposed recovery plan. BUILDER shall exercise its commercially reasonable best efforts to develop a recovery plan that addresses the condition causing the delay and minimizes the length of the delay. Failure of the BUILDER to provide notification of any claim for postponement of the Delivery Date within such ten (10) days shall be deemed to be a waiver by the BUILDER of its right to propose such postponement.</w:t>
      </w:r>
    </w:p>
    <w:p>
      <w:pPr>
        <w:spacing w:after="0" w:line="199"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Likewise within ten (10) days after such delay ends, the BUILDER shall advise the BUYER in writing of the date such delay ended, and also shall specify the period of time by which the BUILDER asserts that the Delivery Date is postponed by reason of such delay. Within ten (10) days after receipt of such notification, BUYER shall inform BUILDER that BUYER either (1) accepts the new Delivery Date contained in such notification, or (2) disputes BUILDER’s postponement of the Delivery Date, which dispute will be resolved under the provisions of Article XIV. Failure of the BUYER to inform the BUILDER that it either accepts the new Delivery Date or disputes the postponement of the Delivery Date within ten (10) days after receipt of BUILDER’s notification shall be deemed to be a waiver by the BUYER of its right to object to such postponement.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4" w:name="page235"/>
    <w:bookmarkEnd w:id="234"/>
    <w:p>
      <w:pPr>
        <w:ind w:left="660" w:hanging="652"/>
        <w:spacing w:after="0"/>
        <w:tabs>
          <w:tab w:leader="none" w:pos="660" w:val="left"/>
        </w:tabs>
        <w:numPr>
          <w:ilvl w:val="0"/>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Permissible Delay:</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Delays on account of such causes as specified in Paragraph 1 of this Article shall be understood to be Permissible Delays provided that the BUILDER provides the notices set forth in Paragraph 2 of this Article.</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Terminate for Excessive Delay due to Force Majeure: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total accumulated time of all delays on account of the causes specified in Paragraph 1 of this Article only (excluding all other types of delays which, under the terms of this Contract, permit postponement of the Delivery Date), amounts to [*] months or more, then, in such event, the BUYER may terminate this Contract in accordance with the provisions of Article X hereof. The BUILDER may, at any time after the accumulated time of the aforementioned delays justifying termination by the BUYER, demand in writing that the BUYER shall make an election, in which case the BUYER shall, within twenty (20) days after such demand is received by the BUYER, notify the BUILDER in writing of either (1) its intention to terminate this Contract, or (2) consent to a postponement of the Delivery Date to a specific future date. If any further delay occurs beyond such specific future date on account of causes specified in Paragraph 1 of this Article only (and excluding all other types of delays as described above), that amounts to one (1) month or more, the BUYER shall have the same right of termination upon the same terms as hereinabove provided (except that this original six month period is reduced to one month for the further delay described in this sentence).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 – WARRANTY OF QUALITY</w:t>
      </w:r>
    </w:p>
    <w:p>
      <w:pPr>
        <w:spacing w:after="0" w:line="229"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Guarantees at Delivery:</w:t>
      </w:r>
    </w:p>
    <w:p>
      <w:pPr>
        <w:spacing w:after="0" w:line="233"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guarantees that at the time of delivery the VESSEL will: (i) comply with applicable laws, lawful regulations, written standards and written interpretations of the regulatory bodies required for the VESSEL's operation in the foreign and domestic trades of the United States in effect on the date of delivery of the VESSEL, except as noted in the PROTOCOL OF DELIVERY AND ACCEPTANCE; and (ii) meet the requirements in the Specification and plans, except as noted in the PROTOCOL OF DELIVERY AND ACCEPTANCE. The effect of any changes in laws, lawful regulations, standards and written interpretations of the regulatory bodies between the effective date of this Contract and the delivery of the VESSEL shall be incorporated into this Contract by a Change Order under ARTICLE V.</w:t>
      </w:r>
    </w:p>
    <w:p>
      <w:pPr>
        <w:spacing w:after="0" w:line="20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 of all changes to the VESSEL noted in the PROTOCOL OF DELIVERY AND ACCEPTANCE shall be for the account of the BUILDER, except as provided in subparagraph (a) of ARTICLE V, Paragraph 2.</w:t>
      </w:r>
    </w:p>
    <w:p>
      <w:pPr>
        <w:spacing w:after="0" w:line="18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Warranty:</w:t>
      </w:r>
    </w:p>
    <w:p>
      <w:pPr>
        <w:spacing w:after="0" w:line="233"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hereinafter set forth, the BUILDER undertakes to remedy, free of charge to the BUYER, any deficiency, defects, failure, breaking down or deterioration beyond that caused by ordinary wear and tear (jointly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35" w:name="page236"/>
    <w:bookmarkEnd w:id="235"/>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“defects”) in the VESSEL which are due to defective material, faulty design and/or bad workmanship on the part of the BUILDER and/or its contractors or subcontractors, provided that the defects are discovered within a period of twelve (12) months after the date of delivery of the VESSEL (the “Guarantee Period”) and a notice thereof is duly given to the BUILDER as hereinbelow provided. In computing the Guarantee Period there shall be excluded any time the VESSEL is prevented from entering or is taken out of service on account of any defect for which the BUILDER is responsible. For the purpose of this Article, the VESSEL shall include her hull, machinery, equipment and gear, but excludes any parts of the VESSEL that have been supplied by or on behalf of the BUYER. Upon expiration of the Guarantee Period, and to the extent permitted by vendors and subcontractors, the BUILDER agrees to transfer any guarantees or warranties supplied to it by vendors and subcontractors.</w:t>
      </w:r>
    </w:p>
    <w:p>
      <w:pPr>
        <w:spacing w:after="0" w:line="206" w:lineRule="exact"/>
        <w:rPr>
          <w:sz w:val="20"/>
          <w:szCs w:val="20"/>
          <w:color w:val="auto"/>
        </w:rPr>
      </w:pPr>
    </w:p>
    <w:p>
      <w:pPr>
        <w:jc w:val="both"/>
        <w:ind w:left="1300" w:hanging="644"/>
        <w:spacing w:after="0" w:line="245" w:lineRule="auto"/>
        <w:tabs>
          <w:tab w:leader="none" w:pos="130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BUILDER’s guarantee of the coatings shall be back to back with the guarantee of the coatings by the coatings manufacturer. During the Guarantee Period, the BUILDER shall be responsible for correction of paint defects in accordance with the guarantee of the coatings by the coatings manufacturer. After the expiration of the VESSEL Guarantee Period, the coating manufacturer’s extended warranty shall be transferred to the BUYER under Article IX subparagraph 5d. The coating manufacturer’s warranty shall be for at least sixty (60) months from delivery of the VESSEL.</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Defects: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notify the BUILDER in writing of any defects for which claim is made under this guarantee as promptly as possible after discovery thereof. If the defect was discovered during drydocking of the VESSEL, the BUYER must notify the BUILDER in time for the BUILDER to inspect the defect before the VESSEL leaves the drydock if this is necessary for a prudent inspection of the defect. The BUYER’s written notice shall in sufficient detail describe the nature and extent of the defects. The BUILDER shall have no obligation for any defects discovered prior to the expiry date of the said twelve (12) months period, unless notice of such defects is received by the BUILDER not later than thirty (30) days after such expiry date.</w:t>
      </w:r>
    </w:p>
    <w:p>
      <w:pPr>
        <w:spacing w:after="0" w:line="19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Remedy of Defects:</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6" w:lineRule="auto"/>
        <w:tabs>
          <w:tab w:leader="none" w:pos="98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promptly remedy, at its expense, any defects, against which the VESSEL is guaranteed under this Article, by making all necessary repairs or replacements at the Shipyard, if practicable. Upon having remedied such defects the BUILDER shall give the BUYER a further guarantee period of six (6) months for the aforementioned repairs or replacements from the date such repair or replacement is accomplished, which extended period shall not reduce the original twelve (12) month Guarantee Period.</w:t>
      </w:r>
    </w:p>
    <w:p>
      <w:pPr>
        <w:spacing w:after="0" w:line="198"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if it is impractical to bring the VESSEL to the Shipyard, or if the BUILDER is unable to remedy the defects within a period of time satisfactory to the BUYER due to the BUILDER’S or the VESSEL’s working schedule or any other reason,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6" w:name="page237"/>
    <w:bookmarkEnd w:id="236"/>
    <w:p>
      <w:pPr>
        <w:jc w:val="both"/>
        <w:ind w:left="980"/>
        <w:spacing w:after="0" w:line="254" w:lineRule="auto"/>
        <w:rPr>
          <w:sz w:val="20"/>
          <w:szCs w:val="20"/>
          <w:color w:val="auto"/>
        </w:rPr>
      </w:pPr>
      <w:r>
        <w:rPr>
          <w:rFonts w:ascii="Times New Roman" w:cs="Times New Roman" w:eastAsia="Times New Roman" w:hAnsi="Times New Roman"/>
          <w:sz w:val="19"/>
          <w:szCs w:val="19"/>
          <w:color w:val="auto"/>
        </w:rPr>
        <w:t>BUYER may cause the necessary repairs or replacements to be made elsewhere which is deemed suitable for the purpose, provided that, in such event, the BUILDER may forward or supply replacement parts or materials to the VESSEL, unless forwarding or supplying thereof to the VESSEL would impair or delay the operation or working schedule of the VESSEL. In the event that the BUYER proposes to cause the necessary repairs or replacements to be made to the VESSEL at any other shipyard or works than the Shipyard, the BUYER shall first, but in all events as soon as possible, give the BUILDER notice in writing of the time and place such repairs or replacements will be made, and if the VESSEL is not thereby delayed, or her operation or working schedule is not thereby impaired, the BUILDER shall have the right to verify by its own representative(s) the nature and extent of the defects complained of. The BUILDER shall, in such case, promptly advise the BUYER in writing, after such examination has been completed, of its acceptance or rejection of the defects as ones that are covered by the guarantee herein provided. Upon the BUILDER’s acceptance of the defects as justifying remedy under this Article, or upon resolution of a dispute in accordance with the provisions of Article XIV hereof, the BUILDER shall immediately pay to the BUYER for such repairs or replacements the sum of BUYER’S documented costs therefor up to a sum equal to the reasonable cost of making the same repairs or replacements in the Shipyard. Subject to a written agreement with the BUILDER, warranty repairs may be made by the crewmembers of the VESSEL, provided however that the BUYER submits documentation for the work performed and the BUILDER will not reimburse the BUYER at labor rates currently in excess of $68.00 per hour (as escalated at 2.5% per year after delivery). For the avoidance of doubt, if the BUILDER is unable to remedy the defects within a period of time satisfactory to BUYER due to the BUILDER’S or the VESSEL’s working schedule or any other reason, BUYER shall not be obligated to operate the VESSEL with a defect even if the Classification Society agrees that the Vessel may be operated with a condition of class, and the BUYER shall be entitled to cause the necessary repairs or replacements to be made as provided in this paragraph.</w:t>
      </w:r>
    </w:p>
    <w:p>
      <w:pPr>
        <w:spacing w:after="0" w:line="200" w:lineRule="exact"/>
        <w:rPr>
          <w:sz w:val="20"/>
          <w:szCs w:val="20"/>
          <w:color w:val="auto"/>
        </w:rPr>
      </w:pPr>
    </w:p>
    <w:p>
      <w:pPr>
        <w:spacing w:after="0" w:line="223" w:lineRule="exact"/>
        <w:rPr>
          <w:sz w:val="20"/>
          <w:szCs w:val="20"/>
          <w:color w:val="auto"/>
        </w:rPr>
      </w:pPr>
    </w:p>
    <w:p>
      <w:pPr>
        <w:jc w:val="both"/>
        <w:ind w:left="980" w:hanging="324"/>
        <w:spacing w:after="0" w:line="249" w:lineRule="auto"/>
        <w:tabs>
          <w:tab w:leader="none" w:pos="98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the VESSEL shall be taken at the BUYER’s cost, risk and responsibility to the place elected, ready in all respects for such repairs or replacements. Any preparation, draining of pipes, cleaning of spaces to make them accessible for warranty repairs, marine chemist’s certificates, including gas free certificate shall be at the BUILDER’s cost.</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defect cannot reasonably be corrected except by drydocking the VESSEL, the BUYER shall be entitled to postpone correction and repair until a subsequent drydocking of the VESSEL. The BUYER may withhold the estimated cost of correction and repair from the Guarantee Payment until such drydocking.</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under this Article shall be referred to dispute resolution in accordance with the provisions of Article XIV hereof.</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Extent of the BUILDER’s Responsibility:</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have no responsibility or liability for any other defects whatsoever in the VESSEL than the defects specified in Paragraphs 1 and 2 of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7" w:name="page238"/>
    <w:bookmarkEnd w:id="237"/>
    <w:p>
      <w:pPr>
        <w:jc w:val="both"/>
        <w:ind w:left="520"/>
        <w:spacing w:after="0" w:line="242" w:lineRule="auto"/>
        <w:rPr>
          <w:sz w:val="20"/>
          <w:szCs w:val="20"/>
          <w:color w:val="auto"/>
        </w:rPr>
      </w:pPr>
      <w:r>
        <w:rPr>
          <w:rFonts w:ascii="Times New Roman" w:cs="Times New Roman" w:eastAsia="Times New Roman" w:hAnsi="Times New Roman"/>
          <w:sz w:val="20"/>
          <w:szCs w:val="20"/>
          <w:color w:val="auto"/>
        </w:rPr>
        <w:t>Article. Nor shall the BUILDER in any circumstances be responsible or liable for any consequential or special losses, damages or expenses including, but not limited to, loss of time, loss or breach of charters or other contractual commitments, loss of profit or earning or demurrage directly or indirectly occasioned to the BUYER by reason of the defects specified in Paragraphs 1 and 2 of this Article or due to repairs, replacements or other works done to the VESSEL to remedy such defects; except that in the event a defect in an item of equipment or machinery causes any damage to such item of equipment or machinery or to other immediately adjacent equipment, machinery, components or portions of the VESSEL, the BUILDER shall be liable for not only the cost of correcting or repairing the defect but also for the cost of correcting or repairing such damage to such item of equipment or machinery and to such other immediately adjacent equipment, machinery, components or portions of the VESSEL caused by such defect.</w:t>
      </w:r>
    </w:p>
    <w:p>
      <w:pPr>
        <w:spacing w:after="0" w:line="206" w:lineRule="exact"/>
        <w:rPr>
          <w:sz w:val="20"/>
          <w:szCs w:val="20"/>
          <w:color w:val="auto"/>
        </w:rPr>
      </w:pPr>
    </w:p>
    <w:p>
      <w:pPr>
        <w:jc w:val="both"/>
        <w:ind w:left="520" w:hanging="324"/>
        <w:spacing w:after="0" w:line="246" w:lineRule="auto"/>
        <w:tabs>
          <w:tab w:leader="none" w:pos="5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be responsible for any defects in any part of the VESSEL which may subsequent to delivery of the VESSEL have been replaced or in any way repaired by any other contractor, or for any defects which have been caused or aggravated by omission or improper use and maintenance of the VESSEL on the part of the BUYER, its servants or agents or by ordinary wear and tear or by any other circumstances whatsoever beyond the control of the BUILDER.</w:t>
      </w:r>
    </w:p>
    <w:p>
      <w:pPr>
        <w:spacing w:after="0" w:line="198" w:lineRule="exact"/>
        <w:rPr>
          <w:rFonts w:ascii="Times New Roman" w:cs="Times New Roman" w:eastAsia="Times New Roman" w:hAnsi="Times New Roman"/>
          <w:sz w:val="20"/>
          <w:szCs w:val="20"/>
          <w:color w:val="auto"/>
        </w:rPr>
      </w:pPr>
    </w:p>
    <w:p>
      <w:pPr>
        <w:jc w:val="both"/>
        <w:ind w:left="520" w:hanging="324"/>
        <w:spacing w:after="0" w:line="243" w:lineRule="auto"/>
        <w:tabs>
          <w:tab w:leader="none" w:pos="5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guaranty survey of the VESSEL shall be conducted by the BUYER at or near the expiration of the Guarantee Period. Such survey shall be based on the defects in the contract work appearing or discovered during the Guarantee Period. In the event that the VESSEL is not available for the guarantee survey on or before the end of the Guarantee Period, the BUYER promptly shall submit to the BUILDER a list of all of the defects in the contract work appearing or discovered during the Guarantee Period and all damage for which the BUILDER is liable under the provisions of this Article IX. The final guarantee survey shall be held at such port in the United States as the BUYER designates and seven (7) days’ written notice of time and place for such guarantee survey shall be given to the BUILDER by the BUYER. The BUILDER shall have the right to attend the guarantee survey.</w:t>
      </w:r>
    </w:p>
    <w:p>
      <w:pPr>
        <w:spacing w:after="0" w:line="199"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the Guarantee Period, the BUILDER agrees to transfer and assign to the BUYER, as to any item of material installed in the VESSEL, the guarantee rights of the BUILDER against the vendor of such item of material where under the terms of such vendor’s guarantee the vendor’s obligations extend for a period beyond the Guarantee Period; provided that the BUILDER may exclude from such assignment any rights against the vendor in favor of the BUILDER for guarantee deficiencies and damages within the Guarantee Period. The BUILDER shall advise the BUYER of the terms of any such guarantees that are assigned to the BUYER.</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9" w:lineRule="auto"/>
        <w:tabs>
          <w:tab w:leader="none" w:pos="5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as hereinabove in this Article replaces and excludes any other liability, guarantee, warranty and/or condition imposed or implied by the law, customary, statutory or otherwise, by reason of the construction and sale of the VESSEL for and to the BUYER. THE BUILDER MAKES NO FURTHER WARRANTIES, EXPRESS OR IMPLIED, INCLUDING ANY WARRANTY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38" w:name="page239"/>
    <w:bookmarkEnd w:id="238"/>
    <w:p>
      <w:pPr>
        <w:ind w:left="972" w:right="20"/>
        <w:spacing w:after="0" w:line="269" w:lineRule="auto"/>
        <w:rPr>
          <w:sz w:val="20"/>
          <w:szCs w:val="20"/>
          <w:color w:val="auto"/>
        </w:rPr>
      </w:pPr>
      <w:r>
        <w:rPr>
          <w:rFonts w:ascii="Times New Roman" w:cs="Times New Roman" w:eastAsia="Times New Roman" w:hAnsi="Times New Roman"/>
          <w:sz w:val="20"/>
          <w:szCs w:val="20"/>
          <w:color w:val="auto"/>
        </w:rPr>
        <w:t>OF MERCHANTABILITY OR FITNESS OF THE VESSEL, ITS MACHINERY OR EQUIPMENT FOR A PARTICULAR PURPOSE.</w:t>
      </w:r>
    </w:p>
    <w:p>
      <w:pPr>
        <w:spacing w:after="0" w:line="173" w:lineRule="exact"/>
        <w:rPr>
          <w:sz w:val="20"/>
          <w:szCs w:val="20"/>
          <w:color w:val="auto"/>
        </w:rPr>
      </w:pPr>
    </w:p>
    <w:p>
      <w:pPr>
        <w:jc w:val="both"/>
        <w:ind w:left="972" w:hanging="324"/>
        <w:spacing w:after="0" w:line="245" w:lineRule="auto"/>
        <w:tabs>
          <w:tab w:leader="none" w:pos="972"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withhold the Guarantee Payment and deposit the full amount into an escrow account as provided in Article II. The BUYER shall pay to the BUILDER the entire Guarantee Payment, less any amount to cover any outstanding defect, upon completion of the Guarantee Period for the VESSEL. Any amounts withheld beyond the end of the Guarantee Period pursuant this Article IX shall be paid upon the correction of each defect for which such amounts were withheld. Any dispute with respect to the amounts due under this Paragraph shall be settled pursuant to Article XIV.</w:t>
      </w:r>
    </w:p>
    <w:p>
      <w:pPr>
        <w:spacing w:after="0" w:line="19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Engineer:</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have the right (at its cost) to appoint a guarantee engineer to serve on the VESSEL as its representative for such portion of the guarantee period as the BUILDER may decide. The guarantee engineer shall be a properly documented citizen of the United States. The BUYER and its employees shall give the guarantee engineer full cooperation in carrying out his duties as the representative of the BUILDER on board the VESSEL. The BUYER shall accord the guarantee engineer the treatment comparable to the VESSEL’s chief engineer and shall provide him with accommodations and subsistence at no cost of the BUILDER and/or the guarantee engineer.</w:t>
      </w:r>
    </w:p>
    <w:p>
      <w:pPr>
        <w:spacing w:after="0" w:line="197"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Pertaining to the detailed particulars of this Paragraph, an agreement will be made according to this effect between the parties hereto upon delivery of the VESSEL.</w:t>
      </w:r>
    </w:p>
    <w:p>
      <w:pPr>
        <w:spacing w:after="0" w:line="172"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guarantee engineer shall, at all times and in all respects, be deemed to be an employee of the BUILDER. The BUYER shall be under no liability whatsoever to the BUILDER or the guarantee engineer for personal injuries, including death, suffered by the guarantee engineer during the time when he is on board the VESSEL, unless such injury or death, is shown to have been caused by the gross negligence or willful acts of the BUYER, and/or its subcontractors and/or their employees or agents (including Buyer’s Representative), while acting within the scope of their employment or engagement. Nor shall the BUYER be under any other liability whatsoever to the guarantee engineer.</w:t>
      </w:r>
    </w:p>
    <w:p>
      <w:pPr>
        <w:spacing w:after="0" w:line="195" w:lineRule="exact"/>
        <w:rPr>
          <w:sz w:val="20"/>
          <w:szCs w:val="20"/>
          <w:color w:val="auto"/>
        </w:rPr>
      </w:pPr>
    </w:p>
    <w:p>
      <w:pPr>
        <w:jc w:val="center"/>
        <w:ind w:left="1000" w:right="220"/>
        <w:spacing w:after="0" w:line="300" w:lineRule="auto"/>
        <w:rPr>
          <w:sz w:val="20"/>
          <w:szCs w:val="20"/>
          <w:color w:val="auto"/>
        </w:rPr>
      </w:pPr>
      <w:r>
        <w:rPr>
          <w:rFonts w:ascii="Times New Roman" w:cs="Times New Roman" w:eastAsia="Times New Roman" w:hAnsi="Times New Roman"/>
          <w:sz w:val="19"/>
          <w:szCs w:val="19"/>
          <w:b w:val="1"/>
          <w:bCs w:val="1"/>
          <w:color w:val="auto"/>
        </w:rPr>
        <w:t>ARTICLE X – TERMINATION BY THE BUYER AND OPTIONS ON TERMINATION; GUARANTY AGREEMENT AND BUYER’S RIGHT TO ADDITIONAL SECURITY; AUDIT AND INSPECTION RIGHTS</w:t>
      </w:r>
    </w:p>
    <w:p>
      <w:pPr>
        <w:spacing w:after="0" w:line="142" w:lineRule="exact"/>
        <w:rPr>
          <w:sz w:val="20"/>
          <w:szCs w:val="20"/>
          <w:color w:val="auto"/>
        </w:rPr>
      </w:pPr>
    </w:p>
    <w:p>
      <w:pPr>
        <w:ind w:left="652" w:hanging="652"/>
        <w:spacing w:after="0"/>
        <w:tabs>
          <w:tab w:leader="none" w:pos="652"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60" w:lineRule="auto"/>
        <w:tabs>
          <w:tab w:leader="none" w:pos="972" w:val="left"/>
        </w:tabs>
        <w:numPr>
          <w:ilvl w:val="1"/>
          <w:numId w:val="2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In the event that the BUYER shall exercise its right of termination of this Contract under and pursuant to any of the provisions of this Contract specifically permitting the BUYER to do so, then the BUYER shall notify the BUILDER in writing and such termination shall be effective as of the date notice thereof is received by the</w:t>
      </w:r>
    </w:p>
    <w:p>
      <w:pPr>
        <w:ind w:left="972"/>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BUILDER.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39" w:name="page240"/>
    <w:bookmarkEnd w:id="239"/>
    <w:p>
      <w:pPr>
        <w:jc w:val="both"/>
        <w:ind w:left="520" w:hanging="324"/>
        <w:spacing w:after="0" w:line="254" w:lineRule="auto"/>
        <w:tabs>
          <w:tab w:leader="none" w:pos="52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of BUYER</w:t>
      </w:r>
      <w:r>
        <w:rPr>
          <w:rFonts w:ascii="Times New Roman" w:cs="Times New Roman" w:eastAsia="Times New Roman" w:hAnsi="Times New Roman"/>
          <w:sz w:val="20"/>
          <w:szCs w:val="20"/>
          <w:color w:val="auto"/>
        </w:rPr>
        <w:t>: In the event that the BUYER elects to terminate this Contract, the BUYER may elect to remove the VESSEL, complete the work, sell the work in process or obtain a refund. Such election shall be made by notice to the BUILDER as provided below.</w:t>
      </w:r>
    </w:p>
    <w:p>
      <w:pPr>
        <w:spacing w:after="0" w:line="187" w:lineRule="exact"/>
        <w:rPr>
          <w:rFonts w:ascii="Times New Roman" w:cs="Times New Roman" w:eastAsia="Times New Roman" w:hAnsi="Times New Roman"/>
          <w:sz w:val="20"/>
          <w:szCs w:val="20"/>
          <w:color w:val="auto"/>
        </w:rPr>
      </w:pPr>
    </w:p>
    <w:p>
      <w:pPr>
        <w:jc w:val="both"/>
        <w:ind w:left="520" w:hanging="324"/>
        <w:spacing w:after="0" w:line="243" w:lineRule="auto"/>
        <w:tabs>
          <w:tab w:leader="none" w:pos="52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Remove</w:t>
      </w:r>
      <w:r>
        <w:rPr>
          <w:rFonts w:ascii="Times New Roman" w:cs="Times New Roman" w:eastAsia="Times New Roman" w:hAnsi="Times New Roman"/>
          <w:sz w:val="20"/>
          <w:szCs w:val="20"/>
          <w:color w:val="auto"/>
        </w:rPr>
        <w:t>: In the event the BUYER shall elect to terminate this Contract, at the BUYER's option the BUYER may elect in writing within [*] days after the termination of this Contract to remove the work in process from the Shipyard. Such removal, including preparation therefor, shall be performed at the BUILDER's expense, and, if reasonably possible, the BUILDER shall furnish forces and equipment for such removal and preparation. The BUYER shall reimburse the BUILDER for the reasonable cost of such removal and preparation. As reasonably practical, the BUILDER shall assign to the BUYER, all existing subcontracts and purchase orders required to complete the VESSEL for which the work in process is being removed as the BUYER may direct.</w:t>
      </w:r>
    </w:p>
    <w:p>
      <w:pPr>
        <w:spacing w:after="0" w:line="202" w:lineRule="exact"/>
        <w:rPr>
          <w:rFonts w:ascii="Times New Roman" w:cs="Times New Roman" w:eastAsia="Times New Roman" w:hAnsi="Times New Roman"/>
          <w:sz w:val="20"/>
          <w:szCs w:val="20"/>
          <w:color w:val="auto"/>
        </w:rPr>
      </w:pPr>
    </w:p>
    <w:p>
      <w:pPr>
        <w:jc w:val="both"/>
        <w:ind w:left="520" w:hanging="324"/>
        <w:spacing w:after="0" w:line="256" w:lineRule="auto"/>
        <w:tabs>
          <w:tab w:leader="none" w:pos="520"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Completion of the Work</w:t>
      </w:r>
      <w:r>
        <w:rPr>
          <w:rFonts w:ascii="Times New Roman" w:cs="Times New Roman" w:eastAsia="Times New Roman" w:hAnsi="Times New Roman"/>
          <w:sz w:val="19"/>
          <w:szCs w:val="19"/>
          <w:color w:val="auto"/>
        </w:rPr>
        <w:t>: In the event the BUYER shall elect to terminate this Contract, at the BUYER's option, the BUYER may elect to have all or part of the work completed. The BUYER for such purposes may take possession and use and occupy so much of the Shipyard and the equipment, tools, machinery, and appliances in the Shipyard as may be needed by the BUYER for such purposes. In such instance as reasonably practical the BUILDER shall assign all subcontracts and orders for material, work, services and supplies to be used in the performance of this Contract to the BUYER as the BUYER may direct. Completion of all or a part of the work shall be performed at the BUILDER's expense with the BUYER to reimburse the BUILDER for the amount that would have been payable to the BUILDER had such work been completed by the BUILDER, and the BUILDER to reimburse the BUYER for any additional costs incurred by the BUYER in completion of such work in accordance with the terms of this Contract (including the plans and specifications referred to herein) as existing on the date of termination of this Contract, evidenced by documented invoices provided to the BUILDER.</w:t>
      </w:r>
    </w:p>
    <w:p>
      <w:pPr>
        <w:spacing w:after="0" w:line="190" w:lineRule="exact"/>
        <w:rPr>
          <w:rFonts w:ascii="Times New Roman" w:cs="Times New Roman" w:eastAsia="Times New Roman" w:hAnsi="Times New Roman"/>
          <w:sz w:val="19"/>
          <w:szCs w:val="19"/>
          <w:color w:val="auto"/>
        </w:rPr>
      </w:pPr>
    </w:p>
    <w:p>
      <w:pPr>
        <w:jc w:val="both"/>
        <w:ind w:left="520" w:hanging="324"/>
        <w:spacing w:after="0" w:line="242" w:lineRule="auto"/>
        <w:tabs>
          <w:tab w:leader="none" w:pos="52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of the Work</w:t>
      </w:r>
      <w:r>
        <w:rPr>
          <w:rFonts w:ascii="Times New Roman" w:cs="Times New Roman" w:eastAsia="Times New Roman" w:hAnsi="Times New Roman"/>
          <w:sz w:val="20"/>
          <w:szCs w:val="20"/>
          <w:color w:val="auto"/>
        </w:rPr>
        <w:t>: In the event the BUYER shall elect to terminate this Contract and not complete the construction of the VESSEL and the BUYER so notifies the BUILDER, at any time within [*] days from the date of delivering such notice to the BUILDER, the BUYER may sell the VESSEL in a partially completed condition, work in progress, material to be installed in the VESSEL, together with copies of all Plans, Specification, working plans, calculations and other records reasonably required to complete the construction of the VESSEL. The BUYER shall have access to the Shipyard in order to conduct the sale. The sale may be consummated without appraisal or evaluation of the VESSEL, and shall be conducted in the manner determined by the BUYER but the BUYER shall use reasonable efforts to secure the best price possible in respect of the VESSEL. Any purchaser at any such sale shall be given reasonable time, not less than sixty (60) days from the date of sale, within which to remove from the Shipyard the VESSEL, work in progress, and material. Either party may become a purchaser at such a sale. The proceeds of the sale shall be applied first to payment of all costs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40" w:name="page241"/>
    <w:bookmarkEnd w:id="240"/>
    <w:p>
      <w:pPr>
        <w:jc w:val="both"/>
        <w:ind w:left="980"/>
        <w:spacing w:after="0" w:line="246" w:lineRule="auto"/>
        <w:rPr>
          <w:sz w:val="20"/>
          <w:szCs w:val="20"/>
          <w:color w:val="auto"/>
        </w:rPr>
      </w:pPr>
      <w:r>
        <w:rPr>
          <w:rFonts w:ascii="Times New Roman" w:cs="Times New Roman" w:eastAsia="Times New Roman" w:hAnsi="Times New Roman"/>
          <w:sz w:val="20"/>
          <w:szCs w:val="20"/>
          <w:color w:val="auto"/>
        </w:rPr>
        <w:t>expenses, including reasonable attorneys' fees incurred by the BUYER or its assigns in making such sale; second, to reimburse the BUYER for payments theretofore made by the BUYER to the BUILDER on account of such VESSEL; and, third, to payment of any damages, demands, or deficiencies arising by reason of default of the BUILDER. In the event the proceeds of the sale shall not be sufficient to make the payments required by the preceding sentence, the difference shall be paid by the BUILDER to the BUYER.</w:t>
      </w:r>
    </w:p>
    <w:p>
      <w:pPr>
        <w:spacing w:after="0" w:line="194" w:lineRule="exact"/>
        <w:rPr>
          <w:sz w:val="20"/>
          <w:szCs w:val="20"/>
          <w:color w:val="auto"/>
        </w:rPr>
      </w:pPr>
    </w:p>
    <w:p>
      <w:pPr>
        <w:jc w:val="both"/>
        <w:ind w:left="980" w:hanging="324"/>
        <w:spacing w:after="0" w:line="241" w:lineRule="auto"/>
        <w:tabs>
          <w:tab w:leader="none" w:pos="98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 BUYER elects to obtain a refund the BUILDER shall promptly refund to the BUYER the full amount of all sums paid by the BUYER to the BUILDER on account of the VESSEL (unless the BUILDER proceeds to dispute resolution under the provisions of Article XIV hereof). In such event, the BUILDER shall pay the BUYER interest at the rate of 250 basis points per annum above Term SOFR for a three month tenor on the amount required herein to be refunded to the BUYER, computed from the respective dates on which such sums were paid by the BUYER to the BUILDER to the date of remittance by transfer of such refund to the BUYER by the BUILDER, provided, however, that if such rescission by the BUYER is made under the provisions of Paragraph 4 of Article VIII hereof, the BUILDER shall not be required to pay any interest. “Term SOFR” as of any day means (i) the Term SOFR Reference Rate for a 3 month tenor on the applicable day, if such day is a Business Day, as such rate is published by the Term SOFR Administrator and (ii) the Term SOFR Reference Rate for a 3 month tenor on the Business Day most recently preceding such day, if such day is not a Business Day, as such rate was published by the Term SOFR Administrator on such preceding Business Day. “Term SOFR Administrator” means CME Group Benchmark Administration Limited (CBA) (or a successor administrator of the Term SOFR Reference Rate selected by the BUYER in its reasonable discretion). “Term SOFR Reference Rate” means the forward-looking term rate based on SOFR.</w:t>
      </w:r>
    </w:p>
    <w:p>
      <w:pPr>
        <w:spacing w:after="0" w:line="211" w:lineRule="exact"/>
        <w:rPr>
          <w:rFonts w:ascii="Times New Roman" w:cs="Times New Roman" w:eastAsia="Times New Roman" w:hAnsi="Times New Roman"/>
          <w:sz w:val="20"/>
          <w:szCs w:val="20"/>
          <w:color w:val="auto"/>
        </w:rPr>
      </w:pPr>
    </w:p>
    <w:p>
      <w:pPr>
        <w:jc w:val="both"/>
        <w:ind w:left="98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promptly transfer title to the VESSEL and the work to the BUILDER upon receipt of the payment provided under this subparagraph. Upon such refund by the BUILDER to the BUYER, all obligations, duties and liabilities of each of the parties hereto to the other under this Contract shall be forthwith completely discharged.</w:t>
      </w:r>
    </w:p>
    <w:p>
      <w:pPr>
        <w:spacing w:after="0" w:line="189"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Guaranty; the BUYER’s Right to Receive Additional Financial Information; the BUYER’s Right to Demand Additional Security</w:t>
      </w:r>
    </w:p>
    <w:p>
      <w:pPr>
        <w:spacing w:after="0" w:line="169" w:lineRule="exact"/>
        <w:rPr>
          <w:rFonts w:ascii="Times New Roman" w:cs="Times New Roman" w:eastAsia="Times New Roman" w:hAnsi="Times New Roman"/>
          <w:sz w:val="20"/>
          <w:szCs w:val="20"/>
          <w:b w:val="1"/>
          <w:bCs w:val="1"/>
          <w:color w:val="auto"/>
        </w:rPr>
      </w:pPr>
    </w:p>
    <w:p>
      <w:pPr>
        <w:jc w:val="both"/>
        <w:ind w:left="980" w:hanging="324"/>
        <w:spacing w:after="0" w:line="249" w:lineRule="auto"/>
        <w:tabs>
          <w:tab w:leader="none" w:pos="98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obligations assumed by the BUYER under this Contract, and as an inducement to the BUYER to enter into this Contract, the GUARANTOR has furnished to the BUYER the Guaranty guarantying the BUILDER’S performance of its obligations under this Contract. The commitment made by the Guarantor under the Guaranty is an important consideration to the BUYER under this Contract.</w:t>
      </w:r>
    </w:p>
    <w:p>
      <w:pPr>
        <w:spacing w:after="0" w:line="193"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conditions of the BUILDER and the GUARANTOR are an important consideration to the BUYER under this Contract. The BUILDER shall provide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1" w:name="page242"/>
    <w:bookmarkEnd w:id="241"/>
    <w:p>
      <w:pPr>
        <w:ind w:left="520"/>
        <w:spacing w:after="0" w:line="269" w:lineRule="auto"/>
        <w:rPr>
          <w:sz w:val="20"/>
          <w:szCs w:val="20"/>
          <w:color w:val="auto"/>
        </w:rPr>
      </w:pPr>
      <w:r>
        <w:rPr>
          <w:rFonts w:ascii="Times New Roman" w:cs="Times New Roman" w:eastAsia="Times New Roman" w:hAnsi="Times New Roman"/>
          <w:sz w:val="20"/>
          <w:szCs w:val="20"/>
          <w:color w:val="auto"/>
        </w:rPr>
        <w:t>BUYER with annual and quarterly financial statements of both the BUILDER and the GUARANTOR in accordance with paragraph (d) below.</w:t>
      </w:r>
    </w:p>
    <w:p>
      <w:pPr>
        <w:spacing w:after="0" w:line="173" w:lineRule="exact"/>
        <w:rPr>
          <w:sz w:val="20"/>
          <w:szCs w:val="20"/>
          <w:color w:val="auto"/>
        </w:rPr>
      </w:pPr>
    </w:p>
    <w:p>
      <w:pPr>
        <w:jc w:val="both"/>
        <w:ind w:left="520" w:hanging="324"/>
        <w:spacing w:after="0" w:line="253" w:lineRule="auto"/>
        <w:tabs>
          <w:tab w:leader="none" w:pos="5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there occurs a breach of a “material” covenant (i.e., financial covenant or negative covenant) or any payment default under any bond, debenture, note or other evidence of indebtedness of the BUILDER or the GUARANTOR, in an aggregate principal amount of at least [*], or under any indenture or other instrument under which any such evidence of indebtedness has been issued or by which it is governed, which breach or default gives the holder the right to accelerate such indebtedness and which breach or default is not cured within any applicable grace or cure period, then, in order to secure the performance by the BUILDER under this Contract, the BUILDER or the GUARANTOR shall provide or maintain upon the BUYER’S request either (x) cash collateral in the amount of [*] deposited in an escrow account, in form and substance reasonably satisfactory to the BUYER (the “Cash Collateral”) or (y) a letter of credit or similar instrument, in form and substance reasonably satisfactory to the BUYER, and issued by a bank or other financial institution reasonably satisfactory to the BUYER, in the face amount of [*] (the “Letter of Credit”); and if the BUILDER or the GUARANTOR fails to provide the Cash Collateral or to provide or maintain the Letter of Credit (as applicable, the “Security”) within [*] days after the BUYER’s request, then the BUYER shall be entitled to terminate this Contract and exercise any of the rights in Paragraph 1 of this Article X. If, after the Security is provided to the BUYER, the underlying breach or default is cured or waived, unless the BUILDER has elected to cure a BUILDER’s Default under Article XII, subparagraph 1(g) by providing Security, then the requirement to provide the Security shall cease to apply and the Cash Collateral shall be returned or the Letter of Credit shall be cancelled, as applicable. The provision of the Security to the BUYER under this Paragraph 2(c) will also satisfy the requirements of Paragraph 2(c) of Article X of the Sister Ship Contracts. The BUYER shall not access the Cash Collateral or draw on the Letter of Credit unless and until this Contract has been terminated by the</w:t>
      </w:r>
    </w:p>
    <w:p>
      <w:pPr>
        <w:spacing w:after="0" w:line="5"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BUYER.</w:t>
      </w:r>
    </w:p>
    <w:p>
      <w:pPr>
        <w:spacing w:after="0" w:line="207" w:lineRule="exact"/>
        <w:rPr>
          <w:rFonts w:ascii="Times New Roman" w:cs="Times New Roman" w:eastAsia="Times New Roman" w:hAnsi="Times New Roman"/>
          <w:sz w:val="19"/>
          <w:szCs w:val="19"/>
          <w:color w:val="auto"/>
        </w:rPr>
      </w:pPr>
    </w:p>
    <w:p>
      <w:pPr>
        <w:jc w:val="both"/>
        <w:ind w:left="520" w:hanging="324"/>
        <w:spacing w:after="0" w:line="242" w:lineRule="auto"/>
        <w:tabs>
          <w:tab w:leader="none" w:pos="5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will provide the BUYER with: (i) audited annual financial statements of the GUARANTOR and its subsidiaries, on a consolidated basis, that shall be accompanied by an opinion thereon of KPMG AS or other independent certified public accountants of recognized standing that such statements present fairly, in all material respects, the consolidated financial position of the companies being reported, within one hundred twenty (120) days of the close of each fiscal year, and (ii) unaudited quarterly financial statements of the GUARANTOR and its subsidiaries, on a consolidated basis, certified, as appropriate, by a senior financial officer of the BUILDER or the GUARANTOR on behalf of such entity as fairly presenting, in all material respects, the consolidated financial position of the companies being reported, within sixty (60) days of the close of each fiscal quarter (other than the fourth fiscal quarter of each fiscal year). The BUILDER shall provide unaudited quarterly financial statements of the BUILDER on a stand-alone basis to the extent there is any material difference in such unaudited quarterly financial statements and the unaudited quarterly financial statements required by clause (ii) above with respect to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0"/>
          <w:szCs w:val="20"/>
          <w:b w:val="1"/>
          <w:bCs w:val="1"/>
          <w:color w:val="auto"/>
        </w:rPr>
        <w:t>ARTICLE XI – BUYER’S DEFAULT</w:t>
      </w:r>
    </w:p>
    <w:p>
      <w:pPr>
        <w:spacing w:after="0" w:line="229" w:lineRule="exact"/>
        <w:rPr>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 of BUYER’s Default:</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be deemed to be in default of performance of its obligations under this Contract in the following cases:</w:t>
      </w:r>
    </w:p>
    <w:p>
      <w:pPr>
        <w:spacing w:after="0" w:line="172"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take delivery of the VESSEL, when the VESSEL is duly tendered for delivery by the BUILDER under the provisions of Article VII hereof.</w:t>
      </w:r>
    </w:p>
    <w:p>
      <w:pPr>
        <w:spacing w:after="0" w:line="172"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make any payment under Article II in this Contract when such payment is due, absent a good faith dispute about the amount payable, and such failure is not remedied within [*] days after written notice thereof from BUILDER.</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being dissolved or adjudged bankrupt or making a general assignment for the benefit of its creditors, or the appointment of a receiver or receivers of any kind whatsoever, whether or not appointed in bankruptcy, common law or equity proceedings, whether temporary or permanent, for the property of the BUYER, or the filing by the BUYER of a petition for reorganization or other proceedings with reference to the BUYER, under the Bankruptcy Code of the United States or any similar law, state or federal or in any other jurisdiction in which the BUYER has assets or is registered to do business, or the filing of such petition of creditors and approval thereof by the Court, whether proposed by a creditor, a stockholder or any other person whatsoever, or the filing of an answer to such a petition admitting insolvency or inability to pay its debts.</w:t>
      </w:r>
    </w:p>
    <w:p>
      <w:pPr>
        <w:spacing w:after="0" w:line="19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and Charge: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is in default of a payment as to any installment as provided in Paragraph 1(a) and (b) of this Article, the BUYER shall pay interest on such installment at Term SOFR for a three month tenor plus 250 basis points per annum from the due date thereof to the date of payment to the BUILDER on the full amount including interest. In case the BUYER shall fail to take delivery of the VESSEL as provided in Paragraph 1(a) of this Article, the BUYER shall be deemed in default of the final payment and shall pay interest thereon at the same rate as aforesaid from and including the day on which the VESSEL is tendered for delivery by the BUILDER. In any event of default by the BUYER, the BUYER shall also pay all charges and expenses incurred by the BUILDER in connection with such default.</w:t>
      </w:r>
    </w:p>
    <w:p>
      <w:pPr>
        <w:spacing w:after="0" w:line="19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Default:</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occurs as provided hereinbefore, the Delivery Date shall be postponed for the period of continuance of such default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43" w:name="page244"/>
    <w:bookmarkEnd w:id="243"/>
    <w:p>
      <w:pPr>
        <w:jc w:val="both"/>
        <w:ind w:left="972" w:hanging="324"/>
        <w:spacing w:after="0" w:line="246" w:lineRule="auto"/>
        <w:tabs>
          <w:tab w:leader="none" w:pos="972"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continues for a period of fifteen (15) days after receipt of written notice from the BUILDER, the BUILDER may, at its option, terminate this Contract by giving notice of such effect to the BUYER in writing. Upon receipt by the BUYER of such notice of termination, this Contract shall forthwith become terminated and any of the BUYER’s Supplies in the BUILDER’s custody shall be tendered to the BUYER and if not promptly removed up by the BUYER shall become the sole property of the BUILDER.</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such termination of this Contract, the BUILDER shall be entitled to retain any installments theretofore paid by the BUYER to the BUILDER on account of this Contract in trust (both for itself and the BUYER) until disposition of the VESSEL as hereinafter provided, whereupon the same shall be applied as provided in Paragraph 4 below.</w:t>
      </w:r>
    </w:p>
    <w:p>
      <w:pPr>
        <w:spacing w:after="0" w:line="189"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of the VESSEL:</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termination of this Contract as above provided, the BUILDER shall have full right and power either to complete or not to complete the VESSEL as it deems fit, and to sell the VESSEL at a public or private sale on such terms and conditions as the BUILDER thinks fit without being answerable for any loss or damage.</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sale of the VESSEL in its completed state, the proceeds of the sale received by the BUILDER shall be applied as follows: first, to the payment of all expenses attending such sale and otherwise incurred by the BUILDER as a result of the BUYER’s default; and second, to payment of all unpaid installments of the Contract Price and interest on such installments at Term SOFR for a three month tenor plus 250 basis points per annum from the respective due dates thereof to the date of application.</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sale of the VESSEL in its incomplete state, the proceeds of sale received by the BUILDER shall be applied as follows: first, to all expenses attending such sale and otherwise incurred by the BUILDER as a result of the BUYER’s default; second, to payment of all costs of construction of the VESSEL less the installments paid to the BUILDER; and third, to payment of compensation to the BUILDER in an amount equal to ten percent (10%) of all costs of construction of the VESSEL, representing a reasonable loss of profit on such costs due to the termination of this Contract.</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either of the above events of sale, if the proceeds of sale exceed the total of amounts to which such proceeds are to be applied under subparagraphs b or c of this Paragraph 4, the BUILDER shall promptly pay the excess to the BUYER without interest, provided, however, that the amount of such payment to the BUYER shall in no event exceed the total amount of installments already paid by the BUYER.</w:t>
      </w:r>
    </w:p>
    <w:p>
      <w:pPr>
        <w:spacing w:after="0" w:line="193"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proceeds of sale are insufficient to pay such total amounts payable under subparagraphs b or c of this Paragraph 4, the BUYER shall promptly pay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44" w:name="page245"/>
    <w:bookmarkEnd w:id="244"/>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deficiency, plus interest thereon at Term SOFR for a three month tenor plus two percent (2%) per annum running on and from the date of the sale closing until the date the full amount of said deficiency and interest is received by the BUILDER, to the BUILDER upon request.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XII – BUILDER’S DEFAULT</w:t>
      </w:r>
    </w:p>
    <w:p>
      <w:pPr>
        <w:spacing w:after="0" w:line="229"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 of BUILDER’s Default: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shall constitute events of default of the BUILDER under this Contract (each a “BUILDER’S Default”):</w:t>
      </w:r>
    </w:p>
    <w:p>
      <w:pPr>
        <w:spacing w:after="0" w:line="229" w:lineRule="exact"/>
        <w:rPr>
          <w:sz w:val="20"/>
          <w:szCs w:val="20"/>
          <w:color w:val="auto"/>
        </w:rPr>
      </w:pPr>
    </w:p>
    <w:p>
      <w:pPr>
        <w:jc w:val="both"/>
        <w:ind w:left="980" w:hanging="324"/>
        <w:spacing w:after="0" w:line="263" w:lineRule="auto"/>
        <w:tabs>
          <w:tab w:leader="none" w:pos="98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BUILDER fails to timely perform any obligation of the BUILDER under this Contract, and such failure is material and not remedied within thirty (30) days after written notice thereof from the BUYER;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166" w:lineRule="exact"/>
        <w:rPr>
          <w:rFonts w:ascii="Times New Roman" w:cs="Times New Roman" w:eastAsia="Times New Roman" w:hAnsi="Times New Roman"/>
          <w:sz w:val="19"/>
          <w:szCs w:val="19"/>
          <w:color w:val="auto"/>
        </w:rPr>
      </w:pPr>
    </w:p>
    <w:p>
      <w:pPr>
        <w:jc w:val="both"/>
        <w:ind w:left="980" w:hanging="324"/>
        <w:spacing w:after="0" w:line="242" w:lineRule="auto"/>
        <w:tabs>
          <w:tab w:leader="none" w:pos="9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or the GUARANTOR (the “BUILDER PARTIES”) being dissolved or adjudged as bankrupt or making a general assignment for the benefit of its creditors, or the appointment of a receiver or receivers of any kind whatsoever, whether or not appointed in bankruptcy, common law or equity proceedings, whether temporary or permanent, for the property of the BUILDER, or the filing by any of the BUILDER PARTIES of a petition for reorganization or other proceedings with reference to any of the BUILDER PARTIES, under any of the provisions of the Bankruptcy Code of the United States or any similar law, state or federal or in any jurisdiction in which any of the BUILDER PARTIES has assets or is registered to do business, or the filing of such petition by creditors and approval thereof by the Court, whether proposed by a creditor, a stockholder or any other person whatsoever, or the filing of an answer to such petition admitting insolvency or inability to pay its debts, or if the BUILDER fails to assume this Contract within thirty (30) days of the filing of a petition by or against the BUILDER under the U.S. Bankruptcy Code or similar law.</w:t>
      </w:r>
    </w:p>
    <w:p>
      <w:pPr>
        <w:spacing w:after="0" w:line="203"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BUILDER to prosecute the work with such diligence and in such manner as will clearly prevent it from completing said work in accordance with the Delivery Date as adjusted plus [*] days, except and to the extent that such failure is due to one or more of the causes stated in ARTICLE VIII, which default continues unremedied for a period of thirty (30) days after written notice to the BUILDER thereof;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solely due to the fault of the BUILDER a total of [*] days of delay in delivery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5" w:name="page246"/>
    <w:bookmarkEnd w:id="245"/>
    <w:p>
      <w:pPr>
        <w:ind w:left="972"/>
        <w:spacing w:after="0"/>
        <w:rPr>
          <w:sz w:val="20"/>
          <w:szCs w:val="20"/>
          <w:color w:val="auto"/>
        </w:rPr>
      </w:pPr>
      <w:r>
        <w:rPr>
          <w:rFonts w:ascii="Times New Roman" w:cs="Times New Roman" w:eastAsia="Times New Roman" w:hAnsi="Times New Roman"/>
          <w:sz w:val="20"/>
          <w:szCs w:val="20"/>
          <w:color w:val="auto"/>
        </w:rPr>
        <w:t>VESSEL has elapsed after the Delivery Date as adjusted; or</w:t>
      </w:r>
    </w:p>
    <w:p>
      <w:pPr>
        <w:spacing w:after="0" w:line="216" w:lineRule="exact"/>
        <w:rPr>
          <w:sz w:val="20"/>
          <w:szCs w:val="20"/>
          <w:color w:val="auto"/>
        </w:rPr>
      </w:pPr>
    </w:p>
    <w:p>
      <w:pPr>
        <w:ind w:left="972" w:hanging="324"/>
        <w:spacing w:after="0" w:line="269" w:lineRule="auto"/>
        <w:tabs>
          <w:tab w:leader="none" w:pos="972"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BUILDER’s Default under either of the Sister Ship Contracts continues unremedied beyond any applicable notice and cure period specified therein.</w:t>
      </w:r>
    </w:p>
    <w:p>
      <w:pPr>
        <w:spacing w:after="0" w:line="159" w:lineRule="exact"/>
        <w:rPr>
          <w:rFonts w:ascii="Times New Roman" w:cs="Times New Roman" w:eastAsia="Times New Roman" w:hAnsi="Times New Roman"/>
          <w:sz w:val="20"/>
          <w:szCs w:val="20"/>
          <w:color w:val="auto"/>
        </w:rPr>
      </w:pPr>
    </w:p>
    <w:p>
      <w:pPr>
        <w:jc w:val="both"/>
        <w:ind w:left="972" w:hanging="324"/>
        <w:spacing w:after="0" w:line="274" w:lineRule="auto"/>
        <w:tabs>
          <w:tab w:leader="none" w:pos="972"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or statement made or deemed to be made by the BUILDER herein or in any statement or certificate delivered or required to be delivered by an officer of the BUILDER pursuant hereto shall prove to be untrue in any material respect on the date as of which it was made or deemed to have been made.</w:t>
      </w:r>
    </w:p>
    <w:p>
      <w:pPr>
        <w:spacing w:after="0" w:line="156" w:lineRule="exact"/>
        <w:rPr>
          <w:rFonts w:ascii="Times New Roman" w:cs="Times New Roman" w:eastAsia="Times New Roman" w:hAnsi="Times New Roman"/>
          <w:sz w:val="19"/>
          <w:szCs w:val="19"/>
          <w:color w:val="auto"/>
        </w:rPr>
      </w:pPr>
    </w:p>
    <w:p>
      <w:pPr>
        <w:jc w:val="both"/>
        <w:ind w:left="972" w:hanging="324"/>
        <w:spacing w:after="0" w:line="242" w:lineRule="auto"/>
        <w:tabs>
          <w:tab w:leader="none" w:pos="972"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there occurs a default under any bond, debenture, note or other evidence of indebtedness of the BUILDER or the GUARANTOR, or under any indenture or other instrument under which any such evidence of indebtedness has been issued or by which it is governed, which default gives the holder the right to accelerate such indebtedness and which breach is not cured within any applicable grace or cure period, and (ii) such default results in the acceleration of the maturity of indebtedness in an aggregate principal amount of at least [*], unless the BUILDER and/or the GUARANTOR provides Security to the BUYER. Any Security provided to cure a BUILDER’s Default under this Article XII subparagraph 1(g) shall be maintained by the BUILDER for the benefit of the BUYER until the earlier of (x) delivery of the VESSEL and the vessels subject to the Sister Ship Contracts or (y) four (4) consecutive quarters of debt compliance during which the BUILDER is not in bankruptcy.</w:t>
      </w:r>
    </w:p>
    <w:p>
      <w:pPr>
        <w:spacing w:after="0" w:line="20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BUYER’s Remedies: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the occurrence of a BUILDER’s Default, the BUYER may, at its option, cease to make payments hereunder and exercise any other remedy available to it by law, including without limitation, to terminate this Contract by giving notice of such effect to the BUILDER in accordance with ARTICLE X hereof, which termination shall be effective, without further act or deed immediately upon the receipt of such notice provided, such termination shall not prevent either party from initiating proceedings pursuant to the provisions of Article XIV with respect to any claim it may allege concerning rights and obligations under this Contract. Upon the giving of such notice, the BUYER may elect any of the options set forth in Article X.</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XIII – INSURANCE</w:t>
      </w:r>
    </w:p>
    <w:p>
      <w:pPr>
        <w:spacing w:after="0" w:line="229" w:lineRule="exact"/>
        <w:rPr>
          <w:sz w:val="20"/>
          <w:szCs w:val="20"/>
          <w:color w:val="auto"/>
        </w:rPr>
      </w:pPr>
    </w:p>
    <w:p>
      <w:pPr>
        <w:ind w:left="652" w:hanging="652"/>
        <w:spacing w:after="0"/>
        <w:tabs>
          <w:tab w:leader="none" w:pos="652" w:val="left"/>
        </w:tabs>
        <w:numPr>
          <w:ilvl w:val="0"/>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Builder’s Insurance:</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any and all times during the term of this Contract, BUILDER shall at its own expense maintain, with an insurance company or companies, with a minimum rating by A.M. Best Company and/or Standard &amp; Poor’s of A minus or equivalent, and authorized to do business in the state in which work is to be performed, insurance and surety coverage’s of the kind and in the minimum amounts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46" w:name="page247"/>
    <w:bookmarkEnd w:id="246"/>
    <w:p>
      <w:pPr>
        <w:ind w:left="520" w:hanging="324"/>
        <w:spacing w:after="0"/>
        <w:tabs>
          <w:tab w:leader="none" w:pos="52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argo Insurance, Builder’s Risk Insurance and Property Insurance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3"/>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Cargo Insurance</w:t>
      </w:r>
      <w:r>
        <w:rPr>
          <w:rFonts w:ascii="Times New Roman" w:cs="Times New Roman" w:eastAsia="Times New Roman" w:hAnsi="Times New Roman"/>
          <w:sz w:val="20"/>
          <w:szCs w:val="20"/>
          <w:color w:val="auto"/>
        </w:rPr>
        <w:t>. BUILDER shall maintain All Risk Marine/War Risk Cargo Insurance subject to a limit of $[*] any one conveyance on all machinery, materials or equipment to be installed as part of the VESSEL, at all times commencing with the earlier of BUILDER taking title or having an insurable interest and while in transit until such machinery, materials or equipment reaches the Shipyard and risk of loss is properly transferred to a Property Insurance policy or a Hull Builder’s Risk Insurance policy. In the event that any shipment (by sea, air, etc.) exceeds the $[*] limit, then five (5) days before such shipment, BUILDER will disclose the value of such shipment to BUYER and verify that adequate insurance is in place. BUILDER shall promptly provide BUYER with a certificate evidencing the cargo insurance if a new policy is procured.</w:t>
      </w:r>
    </w:p>
    <w:p>
      <w:pPr>
        <w:spacing w:after="0" w:line="199" w:lineRule="exact"/>
        <w:rPr>
          <w:rFonts w:ascii="Times New Roman" w:cs="Times New Roman" w:eastAsia="Times New Roman" w:hAnsi="Times New Roman"/>
          <w:sz w:val="20"/>
          <w:szCs w:val="20"/>
          <w:color w:val="auto"/>
        </w:rPr>
      </w:pPr>
    </w:p>
    <w:p>
      <w:pPr>
        <w:jc w:val="both"/>
        <w:ind w:left="840" w:firstLine="658"/>
        <w:spacing w:after="0" w:line="245" w:lineRule="auto"/>
        <w:tabs>
          <w:tab w:leader="none" w:pos="2135" w:val="left"/>
        </w:tabs>
        <w:numPr>
          <w:ilvl w:val="3"/>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Insurance</w:t>
      </w:r>
      <w:r>
        <w:rPr>
          <w:rFonts w:ascii="Times New Roman" w:cs="Times New Roman" w:eastAsia="Times New Roman" w:hAnsi="Times New Roman"/>
          <w:sz w:val="20"/>
          <w:szCs w:val="20"/>
          <w:color w:val="auto"/>
        </w:rPr>
        <w:t>. From the time that the first machinery, material or equipment to be installed or included as part of each VESSEL enters the Shipyard, and until the laying of the keel of the VESSEL, BUILDER, at its expense, shall keep all such machinery, material and equipment, including all items furnished by BUYER to the extent that BUYER has declared the value of such items to BUILDER, insured at all times under BUILDER'S existing property insurance policy and/or a Hull Builder’s Risk Insurance policy.</w:t>
      </w:r>
    </w:p>
    <w:p>
      <w:pPr>
        <w:spacing w:after="0" w:line="197" w:lineRule="exact"/>
        <w:rPr>
          <w:rFonts w:ascii="Times New Roman" w:cs="Times New Roman" w:eastAsia="Times New Roman" w:hAnsi="Times New Roman"/>
          <w:sz w:val="20"/>
          <w:szCs w:val="20"/>
          <w:color w:val="auto"/>
        </w:rPr>
      </w:pPr>
    </w:p>
    <w:p>
      <w:pPr>
        <w:ind w:left="2140" w:hanging="648"/>
        <w:spacing w:after="0"/>
        <w:tabs>
          <w:tab w:leader="none" w:pos="2140" w:val="left"/>
        </w:tabs>
        <w:numPr>
          <w:ilvl w:val="3"/>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Builder’s risk insurance:</w:t>
      </w:r>
    </w:p>
    <w:p>
      <w:pPr>
        <w:spacing w:after="0" w:line="229" w:lineRule="exact"/>
        <w:rPr>
          <w:rFonts w:ascii="Times New Roman" w:cs="Times New Roman" w:eastAsia="Times New Roman" w:hAnsi="Times New Roman"/>
          <w:sz w:val="20"/>
          <w:szCs w:val="20"/>
          <w:color w:val="auto"/>
        </w:rPr>
      </w:pPr>
    </w:p>
    <w:p>
      <w:pPr>
        <w:jc w:val="both"/>
        <w:ind w:left="1480" w:hanging="636"/>
        <w:spacing w:after="0" w:line="242" w:lineRule="auto"/>
        <w:tabs>
          <w:tab w:leader="none" w:pos="1480"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w:t>
      </w:r>
      <w:r>
        <w:rPr>
          <w:rFonts w:ascii="Times New Roman" w:cs="Times New Roman" w:eastAsia="Times New Roman" w:hAnsi="Times New Roman"/>
          <w:sz w:val="20"/>
          <w:szCs w:val="20"/>
          <w:color w:val="auto"/>
        </w:rPr>
        <w:t>. From the time of the laying of the keel of the VESSEL, and until delivery of the VESSEL, BUILDER, at its expense, shall keep the VESSEL and all machinery, material and equipment to be installed in the VESSEL, including all items furnished by BUYER (to the extent that BUYER has declared the value of such items to BUILDER) insured at all times under an all-risk form Marine Builders Risk policy, acceptable to BUYER (such acceptance not to be unreasonably withheld), it being agreed that if such policy is acceptable to the lender(s) providing construction period financing for the VESSEL, if any, then such policy shall be deemed to be acceptable to BUYER. BUILDER may utilize existing policies of insurance that cover the risks listed in subparagraph (a)(iii)(2) of this Article, provided that such policies are maintained by BUILDER in accordance with the provisions of paragraph (a) of this Article.</w:t>
      </w:r>
    </w:p>
    <w:p>
      <w:pPr>
        <w:spacing w:after="0" w:line="205"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w:t>
      </w:r>
      <w:r>
        <w:rPr>
          <w:rFonts w:ascii="Times New Roman" w:cs="Times New Roman" w:eastAsia="Times New Roman" w:hAnsi="Times New Roman"/>
          <w:sz w:val="20"/>
          <w:szCs w:val="20"/>
          <w:color w:val="auto"/>
        </w:rPr>
        <w:t>. The insurance shall cover all usual marine risks, and in particular, but without prejudice to the generality of the foregoing, shall cover the following risks to the extent such insurance is available on commercially reasonable terms:</w:t>
      </w:r>
    </w:p>
    <w:p>
      <w:pPr>
        <w:spacing w:after="0" w:line="187" w:lineRule="exact"/>
        <w:rPr>
          <w:rFonts w:ascii="Times New Roman" w:cs="Times New Roman" w:eastAsia="Times New Roman" w:hAnsi="Times New Roman"/>
          <w:sz w:val="20"/>
          <w:szCs w:val="20"/>
          <w:color w:val="auto"/>
        </w:rPr>
      </w:pPr>
    </w:p>
    <w:p>
      <w:pPr>
        <w:jc w:val="both"/>
        <w:ind w:left="2120" w:hanging="641"/>
        <w:spacing w:after="0" w:line="254" w:lineRule="auto"/>
        <w:tabs>
          <w:tab w:leader="none" w:pos="2120" w:val="left"/>
        </w:tabs>
        <w:numPr>
          <w:ilvl w:val="2"/>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risks of loss or damage, including earthquake, volcanic eruption, hurricane, named windstorm and tidal wave, in respect of the VESSEL and all machinery, material and equipment, whether at the Shipyard or BUILDER’s suppliers’ premises or 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47" w:name="page248"/>
    <w:bookmarkEnd w:id="247"/>
    <w:p>
      <w:pPr>
        <w:ind w:left="2120" w:right="20"/>
        <w:spacing w:after="0" w:line="269" w:lineRule="auto"/>
        <w:rPr>
          <w:sz w:val="20"/>
          <w:szCs w:val="20"/>
          <w:color w:val="auto"/>
        </w:rPr>
      </w:pPr>
      <w:r>
        <w:rPr>
          <w:rFonts w:ascii="Times New Roman" w:cs="Times New Roman" w:eastAsia="Times New Roman" w:hAnsi="Times New Roman"/>
          <w:sz w:val="20"/>
          <w:szCs w:val="20"/>
          <w:color w:val="auto"/>
        </w:rPr>
        <w:t>transit to the Shipyard or other place of BUILDER custody, including and during launching and trials;</w:t>
      </w:r>
    </w:p>
    <w:p>
      <w:pPr>
        <w:spacing w:after="0" w:line="173" w:lineRule="exact"/>
        <w:rPr>
          <w:sz w:val="20"/>
          <w:szCs w:val="20"/>
          <w:color w:val="auto"/>
        </w:rPr>
      </w:pPr>
    </w:p>
    <w:p>
      <w:pPr>
        <w:ind w:left="2120" w:hanging="641"/>
        <w:spacing w:after="0"/>
        <w:tabs>
          <w:tab w:leader="none" w:pos="21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Strikes, riots, civil commotions, and malicious damage;</w:t>
      </w:r>
    </w:p>
    <w:p>
      <w:pPr>
        <w:spacing w:after="0" w:line="229" w:lineRule="exact"/>
        <w:rPr>
          <w:rFonts w:ascii="Times New Roman" w:cs="Times New Roman" w:eastAsia="Times New Roman" w:hAnsi="Times New Roman"/>
          <w:sz w:val="20"/>
          <w:szCs w:val="20"/>
          <w:color w:val="auto"/>
        </w:rPr>
      </w:pPr>
    </w:p>
    <w:p>
      <w:pPr>
        <w:jc w:val="both"/>
        <w:ind w:left="2120" w:right="20" w:hanging="641"/>
        <w:spacing w:after="0" w:line="254" w:lineRule="auto"/>
        <w:tabs>
          <w:tab w:leader="none" w:pos="21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War Risks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jc w:val="both"/>
        <w:ind w:left="2120" w:hanging="641"/>
        <w:spacing w:after="0" w:line="254" w:lineRule="auto"/>
        <w:tabs>
          <w:tab w:leader="none" w:pos="21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Terrorism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ind w:left="2120" w:hanging="641"/>
        <w:spacing w:after="0"/>
        <w:tabs>
          <w:tab w:leader="none" w:pos="21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and indemnity coverage including full Collision.</w:t>
      </w:r>
    </w:p>
    <w:p>
      <w:pPr>
        <w:spacing w:after="0" w:line="229"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Coverage shall include [*] percent ([*]%) cost escalation coverage and coverage for soft costs including liquidated damages for delay, additional construction financing interest, construction loan fees, engineering expenses/fees, insurance premiums, accounting fees, project administration expenses, attorneys’ fees and fees and other costs associated with such damage or loss and with Regulatory Agency approvals. Policy deductible shall be no more than $[*] per occurrence. Coverage shall be the equivalent of the American Institute Builder’s Risk Clauses (Feb 8, 1979) and American Hull Insurance Syndicate Addendum No. 1 (May 15, 1985, SRCC) and shall include Pre-Keel coverage. Coverage shall be written without risk of liability of the BUYER for payment and without deduction for depreciation. There shall be no coinsurance penalty provision in any such policy.</w:t>
      </w:r>
    </w:p>
    <w:p>
      <w:pPr>
        <w:spacing w:after="0" w:line="19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In addition to liability for physical loss of, damage to, or damage caused by the VESSEL imposed upon the BUILDER by law or by the Contract, the Marine Builder’s Risk Insurance Policy shall be written to specifically include, in part:</w:t>
      </w:r>
    </w:p>
    <w:p>
      <w:pPr>
        <w:spacing w:after="0" w:line="188" w:lineRule="exact"/>
        <w:rPr>
          <w:sz w:val="20"/>
          <w:szCs w:val="20"/>
          <w:color w:val="auto"/>
        </w:rPr>
      </w:pPr>
    </w:p>
    <w:p>
      <w:pPr>
        <w:ind w:left="2120" w:hanging="641"/>
        <w:spacing w:after="0"/>
        <w:tabs>
          <w:tab w:leader="none" w:pos="212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Ship underway activity as often as necessary for completion and testing of the VESSEL;</w:t>
      </w:r>
    </w:p>
    <w:p>
      <w:pPr>
        <w:spacing w:after="0" w:line="33" w:lineRule="exact"/>
        <w:rPr>
          <w:rFonts w:ascii="Times New Roman" w:cs="Times New Roman" w:eastAsia="Times New Roman" w:hAnsi="Times New Roman"/>
          <w:sz w:val="19"/>
          <w:szCs w:val="19"/>
          <w:color w:val="auto"/>
        </w:rPr>
      </w:pPr>
    </w:p>
    <w:p>
      <w:pPr>
        <w:ind w:left="2120" w:hanging="641"/>
        <w:spacing w:after="0" w:line="239" w:lineRule="auto"/>
        <w:tabs>
          <w:tab w:leader="none" w:pos="21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BUYER’s Supplies, if any, from the time of delivery of the BUYER’s Supplies to the BUILDER;</w:t>
      </w:r>
    </w:p>
    <w:p>
      <w:pPr>
        <w:ind w:left="2120" w:hanging="641"/>
        <w:spacing w:after="0"/>
        <w:tabs>
          <w:tab w:leader="none" w:pos="21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policy is primary to all other collectible insurance; and</w:t>
      </w:r>
    </w:p>
    <w:p>
      <w:pPr>
        <w:ind w:left="2120" w:hanging="641"/>
        <w:spacing w:after="0" w:line="246" w:lineRule="auto"/>
        <w:tabs>
          <w:tab w:leader="none" w:pos="21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Underwriters’ waiver of subrogation in favor of the BUYER and all subcontractors of any tier.</w:t>
      </w:r>
    </w:p>
    <w:p>
      <w:pPr>
        <w:spacing w:after="0" w:line="195"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Sum</w:t>
      </w:r>
      <w:r>
        <w:rPr>
          <w:rFonts w:ascii="Times New Roman" w:cs="Times New Roman" w:eastAsia="Times New Roman" w:hAnsi="Times New Roman"/>
          <w:sz w:val="20"/>
          <w:szCs w:val="20"/>
          <w:color w:val="auto"/>
        </w:rPr>
        <w:t>. The minimum sum insured, and the limit of the BUILDER’s liability, at any date from at the point of laying the keel onward, shall be the value of the contract work completed to such date, which shall not be less than the total sum of Milestone Payments paid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48" w:name="page249"/>
    <w:bookmarkEnd w:id="248"/>
    <w:p>
      <w:pPr>
        <w:ind w:left="1480"/>
        <w:spacing w:after="0"/>
        <w:rPr>
          <w:sz w:val="20"/>
          <w:szCs w:val="20"/>
          <w:color w:val="auto"/>
        </w:rPr>
      </w:pPr>
      <w:r>
        <w:rPr>
          <w:rFonts w:ascii="Times New Roman" w:cs="Times New Roman" w:eastAsia="Times New Roman" w:hAnsi="Times New Roman"/>
          <w:sz w:val="20"/>
          <w:szCs w:val="20"/>
          <w:color w:val="auto"/>
        </w:rPr>
        <w:t>date, plus the value declared by the BUYER to the BUILDER for the BUYER’s Supplies.</w:t>
      </w:r>
    </w:p>
    <w:p>
      <w:pPr>
        <w:spacing w:after="0" w:line="229" w:lineRule="exact"/>
        <w:rPr>
          <w:sz w:val="20"/>
          <w:szCs w:val="20"/>
          <w:color w:val="auto"/>
        </w:rPr>
      </w:pPr>
    </w:p>
    <w:p>
      <w:pPr>
        <w:ind w:left="520" w:hanging="324"/>
        <w:spacing w:after="0"/>
        <w:tabs>
          <w:tab w:leader="none" w:pos="52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Insurance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40" w:right="20"/>
        <w:spacing w:after="0" w:line="269" w:lineRule="auto"/>
        <w:rPr>
          <w:sz w:val="20"/>
          <w:szCs w:val="20"/>
          <w:color w:val="auto"/>
        </w:rPr>
      </w:pPr>
      <w:r>
        <w:rPr>
          <w:rFonts w:ascii="Times New Roman" w:cs="Times New Roman" w:eastAsia="Times New Roman" w:hAnsi="Times New Roman"/>
          <w:sz w:val="20"/>
          <w:szCs w:val="20"/>
          <w:color w:val="auto"/>
        </w:rPr>
        <w:t>BUILDER, at its expense, shall keep and maintain in effect the following additional insurance for the duration of this Contract:</w:t>
      </w:r>
    </w:p>
    <w:p>
      <w:pPr>
        <w:spacing w:after="0" w:line="173" w:lineRule="exact"/>
        <w:rPr>
          <w:sz w:val="20"/>
          <w:szCs w:val="20"/>
          <w:color w:val="auto"/>
        </w:rPr>
      </w:pPr>
    </w:p>
    <w:p>
      <w:pPr>
        <w:jc w:val="both"/>
        <w:ind w:left="1480" w:hanging="636"/>
        <w:spacing w:after="0" w:line="242" w:lineRule="auto"/>
        <w:tabs>
          <w:tab w:leader="none" w:pos="14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General Liability</w:t>
      </w:r>
      <w:r>
        <w:rPr>
          <w:rFonts w:ascii="Times New Roman" w:cs="Times New Roman" w:eastAsia="Times New Roman" w:hAnsi="Times New Roman"/>
          <w:sz w:val="20"/>
          <w:szCs w:val="20"/>
          <w:color w:val="auto"/>
        </w:rPr>
        <w:t xml:space="preserve"> coverage to include, but not limited to, broad form property damage, personal injury, premises, completed operations and products liability, non-owned watercraft coverage with an “in rem” endorsement, and contractual liability covering all liability assumed by BUILDER under the terms of this Contract and with limits of liability not less than $5,000,000 any one occurrence or series of occurrences arising out of any one event, subject to an aggregate limit of $5,000,000 in the period of insurance for Products Liability. The BUILDER shall maintain such insurance through the expiration of the Guarantee Period. This coverage shall include broad form property damage, personal injury, broad form blanket contractual liability, products and completed operations (for one year following final acceptance of the VESSEL), and insured indemnity obligations.</w:t>
      </w:r>
    </w:p>
    <w:p>
      <w:pPr>
        <w:spacing w:after="0" w:line="205" w:lineRule="exact"/>
        <w:rPr>
          <w:rFonts w:ascii="Times New Roman" w:cs="Times New Roman" w:eastAsia="Times New Roman" w:hAnsi="Times New Roman"/>
          <w:sz w:val="20"/>
          <w:szCs w:val="20"/>
          <w:color w:val="auto"/>
        </w:rPr>
      </w:pPr>
    </w:p>
    <w:p>
      <w:pPr>
        <w:ind w:left="1480" w:hanging="636"/>
        <w:spacing w:after="0" w:line="269" w:lineRule="auto"/>
        <w:tabs>
          <w:tab w:leader="none" w:pos="14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Automobile Liability</w:t>
      </w:r>
      <w:r>
        <w:rPr>
          <w:rFonts w:ascii="Times New Roman" w:cs="Times New Roman" w:eastAsia="Times New Roman" w:hAnsi="Times New Roman"/>
          <w:sz w:val="20"/>
          <w:szCs w:val="20"/>
          <w:color w:val="auto"/>
        </w:rPr>
        <w:t xml:space="preserve"> insurance with a combined single limit of $2,000,000 each accident for bodily injury and property damage.</w:t>
      </w:r>
    </w:p>
    <w:p>
      <w:pPr>
        <w:spacing w:after="0" w:line="172" w:lineRule="exact"/>
        <w:rPr>
          <w:rFonts w:ascii="Times New Roman" w:cs="Times New Roman" w:eastAsia="Times New Roman" w:hAnsi="Times New Roman"/>
          <w:sz w:val="20"/>
          <w:szCs w:val="20"/>
          <w:color w:val="auto"/>
        </w:rPr>
      </w:pPr>
    </w:p>
    <w:p>
      <w:pPr>
        <w:jc w:val="both"/>
        <w:ind w:left="1480" w:hanging="636"/>
        <w:spacing w:after="0" w:line="249" w:lineRule="auto"/>
        <w:tabs>
          <w:tab w:leader="none" w:pos="14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Worker’s Compensation and Longshore and Harbor Worker’s Compensation Act</w:t>
      </w:r>
      <w:r>
        <w:rPr>
          <w:rFonts w:ascii="Times New Roman" w:cs="Times New Roman" w:eastAsia="Times New Roman" w:hAnsi="Times New Roman"/>
          <w:sz w:val="20"/>
          <w:szCs w:val="20"/>
          <w:color w:val="auto"/>
        </w:rPr>
        <w:t xml:space="preserve"> insurance (or an authorized and approved program of self-insurance therefor) conforming to the statutory requirements of the Commonwealth of Pennsylvania and the United States of America, respectively, and including Employers Liability with minimum limits of $1,000,000 each accident.</w:t>
      </w:r>
    </w:p>
    <w:p>
      <w:pPr>
        <w:spacing w:after="0" w:line="193" w:lineRule="exact"/>
        <w:rPr>
          <w:rFonts w:ascii="Times New Roman" w:cs="Times New Roman" w:eastAsia="Times New Roman" w:hAnsi="Times New Roman"/>
          <w:sz w:val="20"/>
          <w:szCs w:val="20"/>
          <w:color w:val="auto"/>
        </w:rPr>
      </w:pPr>
    </w:p>
    <w:p>
      <w:pPr>
        <w:ind w:left="1480" w:hanging="636"/>
        <w:spacing w:after="0" w:line="269" w:lineRule="auto"/>
        <w:tabs>
          <w:tab w:leader="none" w:pos="14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Maritime Employer’s Liability</w:t>
      </w:r>
      <w:r>
        <w:rPr>
          <w:rFonts w:ascii="Times New Roman" w:cs="Times New Roman" w:eastAsia="Times New Roman" w:hAnsi="Times New Roman"/>
          <w:sz w:val="20"/>
          <w:szCs w:val="20"/>
          <w:color w:val="auto"/>
        </w:rPr>
        <w:t xml:space="preserve"> Insurance (including transportation, wages, Maintenance and Cure) for limits not less than $2,000,000 each person and each occurrence.</w:t>
      </w:r>
    </w:p>
    <w:p>
      <w:pPr>
        <w:spacing w:after="0" w:line="172" w:lineRule="exact"/>
        <w:rPr>
          <w:rFonts w:ascii="Times New Roman" w:cs="Times New Roman" w:eastAsia="Times New Roman" w:hAnsi="Times New Roman"/>
          <w:sz w:val="20"/>
          <w:szCs w:val="20"/>
          <w:color w:val="auto"/>
        </w:rPr>
      </w:pPr>
    </w:p>
    <w:p>
      <w:pPr>
        <w:jc w:val="both"/>
        <w:ind w:left="1480" w:hanging="636"/>
        <w:spacing w:after="0" w:line="274" w:lineRule="auto"/>
        <w:tabs>
          <w:tab w:leader="none" w:pos="148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Excess Liability</w:t>
      </w:r>
      <w:r>
        <w:rPr>
          <w:rFonts w:ascii="Times New Roman" w:cs="Times New Roman" w:eastAsia="Times New Roman" w:hAnsi="Times New Roman"/>
          <w:sz w:val="19"/>
          <w:szCs w:val="19"/>
          <w:color w:val="auto"/>
        </w:rPr>
        <w:t xml:space="preserve"> insurance in the minimum amount of $[*] per occurrence, subject to an aggregate limit of $[*] in the period of insurance for Products Liability, in excess of the liability coverages specified in Article XIII, subparagraphs (b)(1), (b)(2), (b)(3) for employers liability only, and (b)(4).</w:t>
      </w:r>
    </w:p>
    <w:p>
      <w:pPr>
        <w:spacing w:after="0" w:line="169" w:lineRule="exact"/>
        <w:rPr>
          <w:rFonts w:ascii="Times New Roman" w:cs="Times New Roman" w:eastAsia="Times New Roman" w:hAnsi="Times New Roman"/>
          <w:sz w:val="19"/>
          <w:szCs w:val="19"/>
          <w:color w:val="auto"/>
        </w:rPr>
      </w:pPr>
    </w:p>
    <w:p>
      <w:pPr>
        <w:jc w:val="both"/>
        <w:ind w:left="1480" w:hanging="636"/>
        <w:spacing w:after="0" w:line="245" w:lineRule="auto"/>
        <w:tabs>
          <w:tab w:leader="none" w:pos="14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Pollution Liability</w:t>
      </w:r>
      <w:r>
        <w:rPr>
          <w:rFonts w:ascii="Times New Roman" w:cs="Times New Roman" w:eastAsia="Times New Roman" w:hAnsi="Times New Roman"/>
          <w:sz w:val="20"/>
          <w:szCs w:val="20"/>
          <w:color w:val="auto"/>
        </w:rPr>
        <w:t xml:space="preserve"> insurance to include coverage for a) sudden and accidental pollution prior to the Vessel being launched in an amount not less than $5,000,000 per occurrence; and b) shipyard/vessel pollution after the Vessel is launched in an amount not less than $5,000,000 per occurrence containing customary terms and conditions that are acceptable to BUYER and no more restrictive than provided under WQIS policy forms or equivalent. This requirement may be satisfied by either coverage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49" w:name="page250"/>
    <w:bookmarkEnd w:id="249"/>
    <w:p>
      <w:pPr>
        <w:ind w:left="1480"/>
        <w:spacing w:after="0" w:line="269" w:lineRule="auto"/>
        <w:rPr>
          <w:sz w:val="20"/>
          <w:szCs w:val="20"/>
          <w:color w:val="auto"/>
        </w:rPr>
      </w:pPr>
      <w:r>
        <w:rPr>
          <w:rFonts w:ascii="Times New Roman" w:cs="Times New Roman" w:eastAsia="Times New Roman" w:hAnsi="Times New Roman"/>
          <w:sz w:val="20"/>
          <w:szCs w:val="20"/>
          <w:color w:val="auto"/>
        </w:rPr>
        <w:t>under the Commercial General Liability policy required by Article 13 (1)(b)(1) or a separate pollution liability policy.</w:t>
      </w:r>
    </w:p>
    <w:p>
      <w:pPr>
        <w:spacing w:after="0" w:line="173" w:lineRule="exact"/>
        <w:rPr>
          <w:sz w:val="20"/>
          <w:szCs w:val="20"/>
          <w:color w:val="auto"/>
        </w:rPr>
      </w:pPr>
    </w:p>
    <w:p>
      <w:pPr>
        <w:ind w:left="840" w:right="20"/>
        <w:spacing w:after="0" w:line="269" w:lineRule="auto"/>
        <w:rPr>
          <w:sz w:val="20"/>
          <w:szCs w:val="20"/>
          <w:color w:val="auto"/>
        </w:rPr>
      </w:pPr>
      <w:r>
        <w:rPr>
          <w:rFonts w:ascii="Times New Roman" w:cs="Times New Roman" w:eastAsia="Times New Roman" w:hAnsi="Times New Roman"/>
          <w:sz w:val="20"/>
          <w:szCs w:val="20"/>
          <w:color w:val="auto"/>
        </w:rPr>
        <w:t>The insurance coverage limits stated above can be met utilizing the BUILDER’s umbrella/excess liability policy.</w:t>
      </w:r>
    </w:p>
    <w:p>
      <w:pPr>
        <w:spacing w:after="0" w:line="173" w:lineRule="exact"/>
        <w:rPr>
          <w:sz w:val="20"/>
          <w:szCs w:val="20"/>
          <w:color w:val="auto"/>
        </w:rPr>
      </w:pPr>
    </w:p>
    <w:p>
      <w:pPr>
        <w:ind w:left="520" w:hanging="324"/>
        <w:spacing w:after="0"/>
        <w:tabs>
          <w:tab w:leader="none" w:pos="52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Insurance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480" w:hanging="636"/>
        <w:spacing w:after="0" w:line="241" w:lineRule="auto"/>
        <w:tabs>
          <w:tab w:leader="none" w:pos="148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policy identified in paragraph (a) of Article XIII shall provide that it is primary insurance to and noncontributing with any other insurance carried by the BUYER, and shall obligate the insurer to give the BUYER not less than 14 days prior written notice in the event of policy cancellation (except for war risk insurance, which shall be not less than 7 days advance written notification). Each policy identified in paragraphs (b)(1) and (2) of Article XIII shall provide that it is primary insurance to and noncontributing with any other insurance carried by the BUYER, and shall obligate the insurer to give the BUYER not less than 30 days’ prior written notice in the event of policy cancellation (or 10 days’ prior written notice in the event of policy cancellation due to failure to pay premiums). Primary and noncontributing language shall be stated affirmatively on the certificates, and the insurance required under subparagraphs (a)(2)(iii) and (b)(1, 2, and 5) of Article XIII shall include appropriate endorsements evidencing such additional insured language required of the BUILDER and the insurance required under subparagraphs (a)(2)(iii) and (b)(1, 2, 3, 4, and 5) of Article XIII shall include appropriate endorsements evidencing waiver of subrogation language required of the BUILDER.</w:t>
      </w:r>
    </w:p>
    <w:p>
      <w:pPr>
        <w:spacing w:after="0" w:line="276" w:lineRule="exact"/>
        <w:rPr>
          <w:rFonts w:ascii="Times New Roman" w:cs="Times New Roman" w:eastAsia="Times New Roman" w:hAnsi="Times New Roman"/>
          <w:sz w:val="20"/>
          <w:szCs w:val="20"/>
          <w:color w:val="auto"/>
        </w:rPr>
      </w:pPr>
    </w:p>
    <w:p>
      <w:pPr>
        <w:jc w:val="both"/>
        <w:ind w:left="1500" w:hanging="656"/>
        <w:spacing w:after="0" w:line="243" w:lineRule="auto"/>
        <w:tabs>
          <w:tab w:leader="none" w:pos="150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evidencing the policies described in this Article, in a form reasonably satisfactory to the BUYER, shall be delivered to the BUYER within ten (10) days of the date of this Contract and renewals thereof shall be delivered to the BUYER within ten (10) days after expiration of the respective policy terms. Not later than 60 days prior to commencement of Work, the BUILDER shall provide summaries of the policies referred to in Article XIII (1)(a) and Article XIII (1) (b) and a complete copy of the policy referred to in Article XIII (1) (c); provided, however, that the BUILDER may redact itemized pricing information for machinery, material and equipment from those policies not related to VESSEL but, if such information is redacted, then the BUILDER at a minimum will provide the aggregate total value for such machinery, material and equipment .</w:t>
      </w:r>
    </w:p>
    <w:p>
      <w:pPr>
        <w:spacing w:after="0" w:line="199"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policies referred to in Paragraph (a) of Article XIII shall name the BUYER and its assigns as loss payee as their interests may appear, subject to the prior senior assignment of such policies to the lender(s) providing construction period financing for the VESSEL, if any.</w:t>
      </w:r>
    </w:p>
    <w:p>
      <w:pPr>
        <w:spacing w:after="0" w:line="187" w:lineRule="exact"/>
        <w:rPr>
          <w:rFonts w:ascii="Times New Roman" w:cs="Times New Roman" w:eastAsia="Times New Roman" w:hAnsi="Times New Roman"/>
          <w:sz w:val="20"/>
          <w:szCs w:val="20"/>
          <w:color w:val="auto"/>
        </w:rPr>
      </w:pPr>
    </w:p>
    <w:p>
      <w:pPr>
        <w:ind w:left="1500" w:right="20" w:hanging="656"/>
        <w:spacing w:after="0" w:line="269" w:lineRule="auto"/>
        <w:tabs>
          <w:tab w:leader="none" w:pos="150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(b) (3) and (4) of Article XIII, the BUILDER agrees that for all Worker’s Compensation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50" w:name="page251"/>
    <w:bookmarkEnd w:id="250"/>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Longshore and Harbor Worker’s Compensation Act Insurance, or authorized and approved self-insurance therefor, and all Employer’s Liability and Maritime Employer’s Liability Insurance policies, they shall contain waivers of rights of subrogation against the BUYER and its parent, subsidiaries, and affiliated companies.</w:t>
      </w:r>
    </w:p>
    <w:p>
      <w:pPr>
        <w:spacing w:after="0" w:line="193" w:lineRule="exact"/>
        <w:rPr>
          <w:sz w:val="20"/>
          <w:szCs w:val="20"/>
          <w:color w:val="auto"/>
        </w:rPr>
      </w:pPr>
    </w:p>
    <w:p>
      <w:pPr>
        <w:jc w:val="both"/>
        <w:ind w:left="1500" w:right="20" w:hanging="656"/>
        <w:spacing w:after="0" w:line="244" w:lineRule="auto"/>
        <w:tabs>
          <w:tab w:leader="none" w:pos="15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(a)(2)(iii), and (b) (1) and (2) of Article XIII, the BUILDER agrees that for all Collision, Protection and Indemnity Liability, Commercial General Liability and Automobile Liability that the BUYER and its parent, subsidiaries, and affiliated companies shall be named as additional assured on those policies and such policies shall contain waivers of underwriter’s rights of subrogation. It is agreed that such naming and waiving shall apply only to the extent of the legally enforceable indemnity obligations and risks assumed by the BUILDER in this Contract.</w:t>
      </w:r>
    </w:p>
    <w:p>
      <w:pPr>
        <w:spacing w:after="0" w:line="145" w:lineRule="exact"/>
        <w:rPr>
          <w:rFonts w:ascii="Times New Roman" w:cs="Times New Roman" w:eastAsia="Times New Roman" w:hAnsi="Times New Roman"/>
          <w:sz w:val="20"/>
          <w:szCs w:val="20"/>
          <w:color w:val="auto"/>
        </w:rPr>
      </w:pPr>
    </w:p>
    <w:p>
      <w:pPr>
        <w:jc w:val="both"/>
        <w:ind w:left="1500" w:hanging="656"/>
        <w:spacing w:after="0" w:line="243" w:lineRule="auto"/>
        <w:tabs>
          <w:tab w:leader="none" w:pos="15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BUILDER does not provide insurance that meets BUYER’s coverage requirements as set forth in Article XIII Paragraphs 1(a) – (c), or if BUILDER fails to provide insurance documentation as required by Article XIII, Paragraph 1.c.(2) and such failure is not cured within thirty (30) days after notice from BUYER, then BUYER reserves the right, but not the obligation, to procure and maintain any or all of the insurance required by Article XIII, Paragraphs 1(a)- (c), for and in the name of BUILDER, in lieu of BUILDER provided insurance with terms reasonably agreeable to BUILDER. If such insurance is purchased by BUYER, BUILDER shall deduct the actual premium cost thereof (as substantiated by documentation reasonably satisfactory to BUYER) from the Contract Price.</w:t>
      </w:r>
    </w:p>
    <w:p>
      <w:pPr>
        <w:spacing w:after="0" w:line="199"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Deductibles</w:t>
      </w:r>
      <w:r>
        <w:rPr>
          <w:rFonts w:ascii="Times New Roman" w:cs="Times New Roman" w:eastAsia="Times New Roman" w:hAnsi="Times New Roman"/>
          <w:sz w:val="20"/>
          <w:szCs w:val="20"/>
          <w:color w:val="auto"/>
        </w:rPr>
        <w:t>. Policy deductibles shall be no more than USD $[*] per occurrence. BUILDER is responsible for and will pay all deductible payments and self-insured retentions under the required insurance, and BUILDER will act as BUYER’s insurer for the amount of those deductibles and retentions under the terms and conditions of the policies to which the deductibles pertain. Coverage shall be written without risk of liability of BUYER for payment and without deduction for depreciation. There shall be no coinsurance penalty provision in any such policy.</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4" w:lineRule="auto"/>
        <w:tabs>
          <w:tab w:leader="none" w:pos="52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 Limits and BUILDER’s Liability.</w:t>
      </w:r>
      <w:r>
        <w:rPr>
          <w:rFonts w:ascii="Times New Roman" w:cs="Times New Roman" w:eastAsia="Times New Roman" w:hAnsi="Times New Roman"/>
          <w:sz w:val="20"/>
          <w:szCs w:val="20"/>
          <w:color w:val="auto"/>
        </w:rPr>
        <w:t xml:space="preserve"> The insurance coverage limits stated in this Article XIII are minimum insurance coverage requirements, not limits of BUILDER’s liability. Notwithstanding the above-required insurance policies, BUILDER shall be obligated for the full and total amount of any damage, injury, expense or loss to the extent provided in this Contract. Should BUILDER fail to procure or maintain any of these insurance coverages, or by any act or omission vitiate or invalidate any of the aforesaid insurance coverages, BUILDER shall pay to BUYER all losses and indemnify BUYER against all claims and demands which would otherwise have been covered by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51" w:name="page252"/>
    <w:bookmarkEnd w:id="251"/>
    <w:p>
      <w:pPr>
        <w:ind w:left="660" w:hanging="652"/>
        <w:spacing w:after="0"/>
        <w:tabs>
          <w:tab w:leader="none" w:pos="66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Application of Recovered Amount:</w:t>
      </w:r>
    </w:p>
    <w:p>
      <w:pPr>
        <w:spacing w:after="0" w:line="17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Partial Loss:</w:t>
      </w:r>
    </w:p>
    <w:p>
      <w:pPr>
        <w:spacing w:after="0" w:line="229" w:lineRule="exact"/>
        <w:rPr>
          <w:rFonts w:ascii="Times New Roman" w:cs="Times New Roman" w:eastAsia="Times New Roman" w:hAnsi="Times New Roman"/>
          <w:sz w:val="20"/>
          <w:szCs w:val="20"/>
          <w:color w:val="auto"/>
        </w:rPr>
      </w:pPr>
    </w:p>
    <w:p>
      <w:pPr>
        <w:jc w:val="both"/>
        <w:ind w:left="13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VESSEL shall be damaged by any insured cause whatsoever prior to acceptance thereof by the BUYER and in the further event that such damage shall not constitute an actual or a constructive total loss of the VESSEL, the BUILDER shall apply the amount recovered under the insurance policy referred to in Paragraph 1 of this Article to the repair of such damage satisfactory to the Classification Society, and the BUYER shall accept the VESSEL under this Contract if completed in accordance with this Contract and Specification.</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Loss:</w:t>
      </w:r>
    </w:p>
    <w:p>
      <w:pPr>
        <w:spacing w:after="0" w:line="229" w:lineRule="exact"/>
        <w:rPr>
          <w:rFonts w:ascii="Times New Roman" w:cs="Times New Roman" w:eastAsia="Times New Roman" w:hAnsi="Times New Roman"/>
          <w:sz w:val="20"/>
          <w:szCs w:val="20"/>
          <w:color w:val="auto"/>
        </w:rPr>
      </w:pPr>
    </w:p>
    <w:p>
      <w:pPr>
        <w:ind w:left="13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in the event that the VESSEL is determined to be an actual or constructive total loss, the BUILDER shall by the mutual agreement between the parties hereto, either:</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46" w:lineRule="auto"/>
        <w:tabs>
          <w:tab w:leader="none" w:pos="1960"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 in accordance with the terms of this Contract, in which case the amount recovered under said insurance policy shall be applied to the reconstruction of the VESSEL and/or replacement of any damaged BUYER’s Supplies, provided the parties hereto shall have first agreed in writing to such reasonable postponement of the Delivery Date and adjustment of other terms of this Contract including the Contract Price as may be necessary for the completion of such reconstruction; or</w:t>
      </w:r>
    </w:p>
    <w:p>
      <w:pPr>
        <w:spacing w:after="0" w:line="198" w:lineRule="exact"/>
        <w:rPr>
          <w:rFonts w:ascii="Times New Roman" w:cs="Times New Roman" w:eastAsia="Times New Roman" w:hAnsi="Times New Roman"/>
          <w:sz w:val="20"/>
          <w:szCs w:val="20"/>
          <w:color w:val="auto"/>
        </w:rPr>
      </w:pPr>
    </w:p>
    <w:p>
      <w:pPr>
        <w:jc w:val="both"/>
        <w:ind w:left="1960" w:hanging="656"/>
        <w:spacing w:after="0" w:line="246" w:lineRule="auto"/>
        <w:tabs>
          <w:tab w:leader="none" w:pos="1960"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Refund immediately to the BUYER the amount of all installments paid to the BUILDER under this Contract without any interest and the value of all BUYER’s Supplies in BUILDER custody that were damaged or not returned to the BUYER, whereupon this Contract shall be deemed to be terminated and all rights, duties, liabilities and obligations of each of the parties to the other shall terminate forthwith.</w:t>
      </w:r>
    </w:p>
    <w:p>
      <w:pPr>
        <w:spacing w:after="0" w:line="198"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If the parties hereto fail to reach such agreement within two (2) months after the VESSEL is determined to be an actual or constructive total loss, the provisions of subparagraph (b)(ii) as above shall apply.</w:t>
      </w:r>
    </w:p>
    <w:p>
      <w:pPr>
        <w:spacing w:after="0" w:line="173"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Termination of the BUILDER’s Obligation to Insure:</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BUILDER’s obligation to insure the VESSEL hereunder shall cease and terminate forthwith upon delivery thereof and acceptance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0"/>
          <w:szCs w:val="20"/>
          <w:b w:val="1"/>
          <w:bCs w:val="1"/>
          <w:color w:val="auto"/>
        </w:rPr>
        <w:t>ARTICLE XIV – DISPUTE RESOLUTION</w:t>
      </w:r>
    </w:p>
    <w:p>
      <w:pPr>
        <w:spacing w:after="0" w:line="229" w:lineRule="exact"/>
        <w:rPr>
          <w:sz w:val="20"/>
          <w:szCs w:val="20"/>
          <w:color w:val="auto"/>
        </w:rPr>
      </w:pPr>
    </w:p>
    <w:p>
      <w:pPr>
        <w:ind w:left="660" w:hanging="652"/>
        <w:spacing w:after="0"/>
        <w:tabs>
          <w:tab w:leader="none" w:pos="66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Technical Disputes: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dispute or any difference of opinion between the parties hereto relating to conformity of the construction of the VESSEL or material used to Classification requirements (“Technical Disputes”) shall be referred to the Classification Society or the USCG (MSC) for matters within their authority for settlement by and between the parties and the Classification Society or USCG (MSC), as applicable. Decisions of the Classification Society or USCG (MSC) with regards to conformity with the rules shall be final and binding upon both parties hereto.</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by Senior Executives: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Before proceeding with Arbitration as set forth below in Paragraph 3 of this Article, the Buyer’s Representative and the Builder’s Representative will attempt to discuss and negotiate in good faith to resolve any dispute, difference of opinion, or controversy arising out of or in connection with this Contract or the transactions contemplated hereby, other than Technical Disputes, which shall be resolved as provided in Paragraph 1 of this Article. If the Buyer’s Representative and the Builder’s Representative cannot resolve the matter, a party may give notice to the other party that it wishes to employ the dispute resolution mechanism set forth in this Paragraph 2 of this Article. Such notice will designate a senior executive officer who is not involved directly on a day-to-day basis with the construction of the Vessel and who the designating party will vest with the necessary authority to address and resolve the matter (a “Senior Executive”), and who shall be available for regular meetings and negotiations with a Senior Executive designated by the other party. Promptly, but no later than seven (7) days after a party receives such notice, it shall designate its Senior Executive for purposes of this Paragraph. If despite the good faith efforts of the Senior Executives the dispute, difference of opinion, or controversy cannot be resolved within thirty (30) days from the date of the first notice referred to in this Paragraph, the parties may proceed to Arbitration as described below in Paragraph 3 of this Article. This thirty-day period may be waived, shortened, or extended by mutual agreement of the parties.</w:t>
      </w:r>
    </w:p>
    <w:p>
      <w:pPr>
        <w:spacing w:after="0" w:line="20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for cases which are settled under Paragraphs 1 or 2 hereof, all claims, counterclaims, demands, controversies, disputes, actions or causes of action of any nature or character arising out of or in connection with this Contract or the transactions contemplated hereby or thereby, whether legal or equitable, known or unknown, contingent or otherwise (“Claims”) shall be finally settled by arbitration, held in the city of New York, New York, pursuant to the Rules of the Society of Maritime Arbitrators, Inc. (“SMA”), before a single arbitrator. The party that wishes to arbitrate a matter shall specify in its demand for arbitration the name and address of the person such party proposes be appointed as the sole arbitrator, who shall be an attorney practicing maritime law. If the party upon whom the demand for arbitration is served fails to approve or disapprove the proposed sole arbitrator within ten (10) days, such proposed sole arbitrator shall be deemed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53" w:name="page254"/>
    <w:bookmarkEnd w:id="253"/>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approved by such party. If the parties fail to reach agreement on the sole arbitrator within fifteen (15) days after the demand for arbitration is served, the sole arbitrator shall be appointed by the Society of Maritime Arbitrators, Inc. The decision of the sole arbitrator on any point or points shall be final and binding and may include costs, including reasonable attorneys’ fees. The arbitrator shall be directed to undertake proceedings on an expedited basis so that a prompt decision of the question or questions can be announced by the arbitrator to the parties. Upon the selection of the arbitrator, each of the parties shall be entitled to commence reasonable discovery through exchange of documents, requests for admissions or depositions, subject to the sole discretion of the arbitrator, provided, however, that the arbitrator shall limit depositions, if any, to those deemed essential to the fair and reasonable resolution of the Claim. The parties shall use their reasonable best efforts to have the arbitral proceeding concluded and a judgment rendered by the arbitrator within forty-five (45) days of the initiation of the arbitration proceeding. The arbitrator shall be entitled to award interest, but shall not be entitled to award special, incidental, consequential or punitive damages. Judgment may be entered upon any award made hereunder, in any court having jurisdiction, and the parties hereby waive any right to appeal such award on the merits or to challenge the award except on the grounds set forth under United States Law (Federal Arbitration Act). Notwithstanding the foregoing agreement to arbitrate, the parties expressly reserve the right to seek provisional relief from any court of competent jurisdiction to preserve their respective rights pending arbitration, and in seeking such relief shall not waive the right of arbitration. Any dispute relating to claims of $100,000 or less in the aggregate shall be governed by the Shortened Arbitration Procedures adopted by the SMA.</w:t>
      </w:r>
    </w:p>
    <w:p>
      <w:pPr>
        <w:spacing w:after="0" w:line="200" w:lineRule="exact"/>
        <w:rPr>
          <w:sz w:val="20"/>
          <w:szCs w:val="20"/>
          <w:color w:val="auto"/>
        </w:rPr>
      </w:pPr>
    </w:p>
    <w:p>
      <w:pPr>
        <w:ind w:left="660" w:hanging="652"/>
        <w:spacing w:after="0"/>
        <w:tabs>
          <w:tab w:leader="none" w:pos="660" w:val="left"/>
        </w:tabs>
        <w:numPr>
          <w:ilvl w:val="0"/>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 of Delivery Date:</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the event of arbitration of any dispute arising or occurring prior to delivery of the VESSEL, an award of the arbitrator shall include a finding as to whether or not the Delivery Date of the VESSEL is in any way altered thereby.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 – ASSIGNMENT OF CONTRACT</w:t>
      </w:r>
    </w:p>
    <w:p>
      <w:pPr>
        <w:spacing w:after="0" w:line="23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The benefits and obligations of this Contract shall inure to and be binding upon the successors and assigns of the original parties hereto, respectively; provided, however, that no assignment of this Contract (other than a Permitted Financing Assignment made by the BUYER) shall be made by either party without the prior written consent of the other. “Permitted Financing Assignment” shall mean any granting of any security interest or lien, or any other assignment (including without limitation any assignment in connection with the exercise of remedies by any Lender Party, as defined below) by the BUYER of (a) this Contract and the BUYER’s rights hereunder, and/or (b) the BUYER’S rights to and with respect to the VESSEL and the work in process with respect to the VESSEL, in each case to or for the benefit of MARAD, as defined in Article XIX, or any lender providing construction period financing to the BUYER or any affiliate of the BUYER or any other financing or refinancing to the BUYER or any affiliate of the BUYER relating to or secured directly or indirectly by this Contract, the VESSEL and/or any work in process (any such lender, a “Lender Party”), or any designee of any such Lender Party; provided that no such assignment shall diminish the BUYER’S obligations to perform under this Contract.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4" w:name="page255"/>
    <w:bookmarkEnd w:id="254"/>
    <w:p>
      <w:pPr>
        <w:jc w:val="both"/>
        <w:ind w:left="328"/>
        <w:spacing w:after="0" w:line="245" w:lineRule="auto"/>
        <w:rPr>
          <w:sz w:val="20"/>
          <w:szCs w:val="20"/>
          <w:color w:val="auto"/>
        </w:rPr>
      </w:pPr>
      <w:r>
        <w:rPr>
          <w:rFonts w:ascii="Times New Roman" w:cs="Times New Roman" w:eastAsia="Times New Roman" w:hAnsi="Times New Roman"/>
          <w:sz w:val="20"/>
          <w:szCs w:val="20"/>
          <w:color w:val="auto"/>
        </w:rPr>
        <w:t>term Lender Party shall include MARAD. The BUILDER hereby expressly consents to any such Permitted Financing Assignment by the BUYER. Notwithstanding the foregoing, at delivery of the VESSEL, the BUYER shall have the right, subject to BUILDER’s prior written consent, which shall not be unreasonably withheld or delayed, to assign this Contract to a third party nominee for delivery and final delivery payment purposes, provided the BUYER shall remain responsible for the performance by such assignee of the obligations of the BUYER under this Contract.</w:t>
      </w:r>
    </w:p>
    <w:p>
      <w:pPr>
        <w:spacing w:after="0" w:line="1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ARTICLE XVI – TITLE AND LIENS</w:t>
      </w:r>
    </w:p>
    <w:p>
      <w:pPr>
        <w:spacing w:after="0" w:line="229" w:lineRule="exact"/>
        <w:rPr>
          <w:sz w:val="20"/>
          <w:szCs w:val="20"/>
          <w:color w:val="auto"/>
        </w:rPr>
      </w:pPr>
    </w:p>
    <w:p>
      <w:pPr>
        <w:ind w:left="328" w:hanging="328"/>
        <w:spacing w:after="0"/>
        <w:tabs>
          <w:tab w:leader="none" w:pos="328"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w:t>
      </w:r>
    </w:p>
    <w:p>
      <w:pPr>
        <w:spacing w:after="0" w:line="233" w:lineRule="exact"/>
        <w:rPr>
          <w:rFonts w:ascii="Times New Roman" w:cs="Times New Roman" w:eastAsia="Times New Roman" w:hAnsi="Times New Roman"/>
          <w:sz w:val="20"/>
          <w:szCs w:val="20"/>
          <w:b w:val="1"/>
          <w:bCs w:val="1"/>
          <w:color w:val="auto"/>
        </w:rPr>
      </w:pPr>
    </w:p>
    <w:p>
      <w:pPr>
        <w:jc w:val="both"/>
        <w:ind w:left="328"/>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Title to the BUYER’s Supplies is and shall continue to be vested in the BUYER and title to all material paid for by the BUYER shall vest in the BUYER and shall continue to be vested in the BUYER until delivery of the VESSEL. To the extent not so vested in the BUYER, title to the VESSEL, to the extent completed, and title to all work and material performed upon or installed in the VESSEL or placed on board the VESSEL shall vest in the BUYER; provided, however, that except as may otherwise be provided in this Contract, the risk of loss of or damage to such material and the VESSEL shall remain with the BUILDER, and the BUYER shall not be deemed to have waived its rights to require the BUILDER to replace, at the BUILDER's expense, defective, damaged or destroyed work or material, and to deliver the VESSEL with the work completed and material furnished, as provided in this Contract. Title to all scrap and title to any material which is surplus to the requirements of this Contract shall vest in the</w:t>
      </w:r>
    </w:p>
    <w:p>
      <w:pPr>
        <w:ind w:left="32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BUILDER.</w:t>
      </w:r>
    </w:p>
    <w:p>
      <w:pPr>
        <w:spacing w:after="0" w:line="20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Liens:</w:t>
      </w:r>
    </w:p>
    <w:p>
      <w:pPr>
        <w:spacing w:after="0" w:line="233" w:lineRule="exact"/>
        <w:rPr>
          <w:rFonts w:ascii="Times New Roman" w:cs="Times New Roman" w:eastAsia="Times New Roman" w:hAnsi="Times New Roman"/>
          <w:sz w:val="20"/>
          <w:szCs w:val="20"/>
          <w:b w:val="1"/>
          <w:bCs w:val="1"/>
          <w:color w:val="auto"/>
        </w:rPr>
      </w:pPr>
    </w:p>
    <w:p>
      <w:pPr>
        <w:jc w:val="both"/>
        <w:ind w:left="808" w:right="20" w:hanging="484"/>
        <w:spacing w:after="0" w:line="254" w:lineRule="auto"/>
        <w:tabs>
          <w:tab w:leader="none" w:pos="808"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"Liens" means any lien, security interest, encumbrance or other right </w:t>
      </w:r>
      <w:r>
        <w:rPr>
          <w:rFonts w:ascii="Times New Roman" w:cs="Times New Roman" w:eastAsia="Times New Roman" w:hAnsi="Times New Roman"/>
          <w:sz w:val="20"/>
          <w:szCs w:val="20"/>
          <w:u w:val="single" w:color="auto"/>
          <w:color w:val="auto"/>
        </w:rPr>
        <w:t>in rem</w:t>
      </w:r>
      <w:r>
        <w:rPr>
          <w:rFonts w:ascii="Times New Roman" w:cs="Times New Roman" w:eastAsia="Times New Roman" w:hAnsi="Times New Roman"/>
          <w:sz w:val="20"/>
          <w:szCs w:val="20"/>
          <w:color w:val="auto"/>
        </w:rPr>
        <w:t xml:space="preserve"> against the VESSEL, work or material enforceable in a court of competent jurisdiction, other than the liens in favor of the BUYER or its assignees.</w:t>
      </w:r>
    </w:p>
    <w:p>
      <w:pPr>
        <w:spacing w:after="0" w:line="187" w:lineRule="exact"/>
        <w:rPr>
          <w:rFonts w:ascii="Times New Roman" w:cs="Times New Roman" w:eastAsia="Times New Roman" w:hAnsi="Times New Roman"/>
          <w:sz w:val="20"/>
          <w:szCs w:val="20"/>
          <w:color w:val="auto"/>
        </w:rPr>
      </w:pPr>
    </w:p>
    <w:p>
      <w:pPr>
        <w:jc w:val="both"/>
        <w:ind w:left="808" w:hanging="484"/>
        <w:spacing w:after="0" w:line="249" w:lineRule="auto"/>
        <w:tabs>
          <w:tab w:leader="none" w:pos="808"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permit or cause any Lien to come into existence arising out of the BUILDER's performance under this Contract, the BUILDER waives any and all rights to any Lien, and the BUILDER shall not permit or cause any claim against the BUILDER or any subcontractor furnishing or performing work or material under this Contract to lie or attach against the VESSEL, work or material.</w:t>
      </w:r>
    </w:p>
    <w:p>
      <w:pPr>
        <w:spacing w:after="0" w:line="193" w:lineRule="exact"/>
        <w:rPr>
          <w:rFonts w:ascii="Times New Roman" w:cs="Times New Roman" w:eastAsia="Times New Roman" w:hAnsi="Times New Roman"/>
          <w:sz w:val="20"/>
          <w:szCs w:val="20"/>
          <w:color w:val="auto"/>
        </w:rPr>
      </w:pPr>
    </w:p>
    <w:p>
      <w:pPr>
        <w:jc w:val="both"/>
        <w:ind w:left="808" w:hanging="484"/>
        <w:spacing w:after="0" w:line="243" w:lineRule="auto"/>
        <w:tabs>
          <w:tab w:leader="none" w:pos="808"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Lien is filed or asserted against or attached upon the VESSEL, work or material (whether or not arising under this Contract), the BUILDER shall promptly notify the BUYER. The BUILDER shall secure the discharge or release of any such Lien arising out of the BUILDER's performance or the performance of the BUILDER's subcontractors or vendors under this Contract not later than [*] days after it is filed, asserted or attached, provided that the BUILDER may contest such Lien or the claim upon which it is based, and if the BUILDER shall not have secured the discharge or release of such Lien by court order within the time provided in this Contract, then the BUILDER shall furnish to the BUYER, or the appropriate court having jurisdiction in such matters, such bond or security therefor as the BUYER or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356870</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3" w:right="999" w:bottom="1440" w:gutter="0" w:footer="0" w:header="0"/>
        </w:sectPr>
      </w:pPr>
    </w:p>
    <w:bookmarkStart w:id="255" w:name="page256"/>
    <w:bookmarkEnd w:id="255"/>
    <w:p>
      <w:pPr>
        <w:jc w:val="both"/>
        <w:ind w:left="1140"/>
        <w:spacing w:after="0" w:line="254" w:lineRule="auto"/>
        <w:rPr>
          <w:sz w:val="20"/>
          <w:szCs w:val="20"/>
          <w:color w:val="auto"/>
        </w:rPr>
      </w:pPr>
      <w:r>
        <w:rPr>
          <w:rFonts w:ascii="Times New Roman" w:cs="Times New Roman" w:eastAsia="Times New Roman" w:hAnsi="Times New Roman"/>
          <w:sz w:val="20"/>
          <w:szCs w:val="20"/>
          <w:color w:val="auto"/>
        </w:rPr>
        <w:t>court shall reasonably require, and the BUILDER shall indemnify the BUYER and save the BUYER harmless from all costs, charges, damages and attorneys' fees by reason of such Lien or claims in any way attributable thereto.</w:t>
      </w:r>
    </w:p>
    <w:p>
      <w:pPr>
        <w:spacing w:after="0" w:line="188" w:lineRule="exact"/>
        <w:rPr>
          <w:sz w:val="20"/>
          <w:szCs w:val="20"/>
          <w:color w:val="auto"/>
        </w:rPr>
      </w:pPr>
    </w:p>
    <w:p>
      <w:pPr>
        <w:jc w:val="both"/>
        <w:ind w:left="1140" w:hanging="484"/>
        <w:spacing w:after="0" w:line="249" w:lineRule="auto"/>
        <w:tabs>
          <w:tab w:leader="none" w:pos="114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each Milestone Payment to the BUILDER, the BUILDER shall furnish to the BUYER a certificate executed by the BUILDER certifying freedom of the VESSEL, work and material from Liens arising out of the BUILDER's performance or the performance of the BUILDER's subcontractors or vendors under this Contract in the form of Exhibit 7.</w:t>
      </w:r>
    </w:p>
    <w:p>
      <w:pPr>
        <w:spacing w:after="0" w:line="193" w:lineRule="exact"/>
        <w:rPr>
          <w:rFonts w:ascii="Times New Roman" w:cs="Times New Roman" w:eastAsia="Times New Roman" w:hAnsi="Times New Roman"/>
          <w:sz w:val="20"/>
          <w:szCs w:val="20"/>
          <w:color w:val="auto"/>
        </w:rPr>
      </w:pPr>
    </w:p>
    <w:p>
      <w:pPr>
        <w:jc w:val="both"/>
        <w:ind w:left="1140" w:hanging="484"/>
        <w:spacing w:after="0" w:line="245" w:lineRule="auto"/>
        <w:tabs>
          <w:tab w:leader="none" w:pos="114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delivery of the VESSEL, the BUILDER shall deliver the VESSEL to the BUYER free and clear of all Liens other than those Liens resulting from an act or omission on the part of the BUYER. At the time of delivery of the VESSEL, the BUILDER shall furnish to the BUYER a certificate executed by the BUILDER certifying freedom of the VESSEL from such Liens and confirming the indemnity stated above in the form of Exhibit 7, provided the BUYER has paid to the BUILDER or into escrow all amounts required to be paid into escrow by 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XVII – PATENTS, TRADEMARKS, COPYRIGHTS, ETC.</w:t>
      </w:r>
    </w:p>
    <w:p>
      <w:pPr>
        <w:spacing w:after="0" w:line="229" w:lineRule="exact"/>
        <w:rPr>
          <w:sz w:val="20"/>
          <w:szCs w:val="20"/>
          <w:color w:val="auto"/>
        </w:rPr>
      </w:pPr>
    </w:p>
    <w:p>
      <w:pPr>
        <w:ind w:left="660" w:hanging="652"/>
        <w:spacing w:after="0"/>
        <w:tabs>
          <w:tab w:leader="none" w:pos="660" w:val="left"/>
        </w:tabs>
        <w:numPr>
          <w:ilvl w:val="0"/>
          <w:numId w:val="2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Patents, Trademarks and Copyrights: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Machinery and equipment of the VESSEL may bear the patent number, trademarks or trade names of the manufacturers.</w:t>
      </w:r>
    </w:p>
    <w:p>
      <w:pPr>
        <w:spacing w:after="0" w:line="172"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contained herein shall be construed as transferring any patent or trademark rights or copyrights in equipment covered by this Contract, and all such rights are hereby expressly reserved to the true and lawful owners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Plans, Specification and Working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retains all rights with respect to the Specification, and plans and working drawings, technical descriptions, calculations, test results and other data, information and documents concerning the design and construction of the VESSEL and the BUYER undertakes therefore not to disclose the same or divulge any information contained therein to any third parties, without the prior written consent of the BUILDER, excepting where it is necessary for usual operation, repair and maintenance of the VESSEL.</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grants to the BUYER and its assignees and any subsequent purchaser or operator of the VESSEL a perpetual, worldwide, royalty-free license to use the Specification, and the plans and working drawings, technical descriptions, calculations, test results and other data, information and documents concerning the design and construction of the VESSEL (jointly the “BUILDER’s Vessel Design Materials”) as may be required for the operation, repair, maintenance, modification, or classification of the VESSEL or must otherwise be provided to regulatory authorities in connection therewith, subject to confidentiality requirements for any third party contractor. The BUILDER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6" w:name="page257"/>
    <w:bookmarkEnd w:id="256"/>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warrants that it has full right, title and interest in the BUILDER’s Vessel Design Materials and is entitled to grant the licenses to the BUYER under this Contract and that the BUILDER’s contribution to the BUILDER’s Vessel Design Materials, including the plans, will not infringe the patent, copyright, trademark or trade secrets rights of any third party. In making any disclosures of any BUILDER’s Vessel Design Materials to any third party contractor, the BUYER shall impose upon such third persons restrictions relating to the safeguarding to the same extent as have been imposed on the BUYER. The BUYER shall not be liable for unauthorized actions of its employees in disclosing the BUILDER’s Vessel Design Materials, provided that the BUYER has taken commercially reasonable precautions to safeguard such data.</w:t>
      </w:r>
    </w:p>
    <w:p>
      <w:pPr>
        <w:spacing w:after="0" w:line="199" w:lineRule="exact"/>
        <w:rPr>
          <w:sz w:val="20"/>
          <w:szCs w:val="20"/>
          <w:color w:val="auto"/>
        </w:rPr>
      </w:pPr>
    </w:p>
    <w:p>
      <w:pPr>
        <w:ind w:left="660" w:hanging="652"/>
        <w:spacing w:after="0"/>
        <w:tabs>
          <w:tab w:leader="none" w:pos="660"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Non-infringement:</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defend, indemnify and save harmless the BUYER and its affiliates, agents, contractors, servants or employees from and against all loss, cost, liability and claims, plus attorneys' fees, resulting from any claim by any third party that the VESSEL, or any material used in the construction of the VESSEL or incorporated in the VESSEL by the BUILDER, other than (x) the BUYER’s Supplies, (y) a design feature of the VESSEL specified by the BUYER, or (z) material for which the BUYER has specified the sole acceptable manufacturer, infringes any United States or foreign patent, copyright, trademark or trade secret rights (“BUYER’s Exclusions”). If the VESSEL or any material incorporated in the VESSEL by the BUILDER, other than the BUYER’s Exclusions, shall be held by a court having jurisdiction to constitute such an infringement and the use thereof shall be enjoined, the BUILDER shall procure for the BUYER at its sole cost and expense (i) the right to continue using the VESSEL with any such infringement, (ii) replace infringing material with noninfringing material of equal quality, function and performance, or (iii) modify the VESSEL so it becomes noninfringing, as may be required to eliminate all problems of infringement. Prompt written notice of the assertion of any claim or the bringing of any suit shall be given by the BUYER to the BUILDER, and thirty (30) days shall be given to the BUILDER from giving of such notice to settle or defend it as the parties may see fit. The BUYER shall provide every reasonable assistance in settling or defending such claim or suit. If, at the end of thirty (30) days, the BUILDER failed to undertake such settlement or defense, the BUYER shall undertake settlement or defense as it sees fit, with full reimbursement for damages, costs and attorneys' fees as herein provided, it being understood and agreed that the BUYER, in such case, shall keep the BUILDER informed, on a regular basis, of the progress of the matter and shall not settle any claims without the prior written approval of the BUILDER, which approval shall not be unreasonably withheld. The BUYER warrants that the technical contribution to the Specification contributed solely by the BUYER will not infringe the patent, copyright, trademark or trade secrets of any third party. With respect to any such infringement, the BUYER will indemnify, defend and hold the BUILDER or its subcontractors or vendors harmless from and against any and all liability, cost, or expense resulting from such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7" w:name="page258"/>
    <w:bookmarkEnd w:id="257"/>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XVIII – BUYER’S SUPPLIES</w:t>
      </w:r>
    </w:p>
    <w:p>
      <w:pPr>
        <w:spacing w:after="0" w:line="229" w:lineRule="exact"/>
        <w:rPr>
          <w:sz w:val="20"/>
          <w:szCs w:val="20"/>
          <w:color w:val="auto"/>
        </w:rPr>
      </w:pPr>
    </w:p>
    <w:p>
      <w:pPr>
        <w:ind w:left="652" w:hanging="652"/>
        <w:spacing w:after="0"/>
        <w:tabs>
          <w:tab w:leader="none" w:pos="652" w:val="left"/>
        </w:tabs>
        <w:numPr>
          <w:ilvl w:val="0"/>
          <w:numId w:val="3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1292" w:hanging="644"/>
        <w:spacing w:after="0" w:line="241" w:lineRule="auto"/>
        <w:tabs>
          <w:tab w:leader="none" w:pos="1292"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at its own risk, cost and expense, including the payment of any applicable sales, use or excise taxes, supply and deliver to the BUILDER all of the items to be furnished by the BUYER according to an agreed list, which list is included in the Specification and is incorporated herein and made part of this Contract (“BUYER’S Contract Equipment”, and together with BUYER’S supplies, materials, stores, spares and gear, herein jointly called the “BUYER’s Supplies”), at a warehouse or other storage facility of the Shipyard in the proper condition ready for installation in or on the VESSEL, in accordance with the time schedule designated by the BUILDER. The BUILDER shall, within one hundred twenty (120) days after the effective date of this Contract, submit to the BUYER a schedule setting out the timing for the BUYER’s delivery to the BUILDER of the BUYER’s Supplies. Such schedule shall (i) be reviewed and approved by the BUYER, such approval to not be unreasonably withheld, and any comments provided to the BUILDER shall be made within thirty (30) days of receipt of the schedule, provided always that the schedule shall enable BUILDER to deliver the VESSEL in accordance with this Contract, and (ii) be updated as needed and, following any such required update, be resubmitted to the BUYER for review and approval, as aforesaid.</w:t>
      </w:r>
    </w:p>
    <w:p>
      <w:pPr>
        <w:spacing w:after="0" w:line="209" w:lineRule="exact"/>
        <w:rPr>
          <w:rFonts w:ascii="Times New Roman" w:cs="Times New Roman" w:eastAsia="Times New Roman" w:hAnsi="Times New Roman"/>
          <w:sz w:val="20"/>
          <w:szCs w:val="20"/>
          <w:color w:val="auto"/>
        </w:rPr>
      </w:pPr>
    </w:p>
    <w:p>
      <w:pPr>
        <w:jc w:val="both"/>
        <w:ind w:left="1292" w:hanging="644"/>
        <w:spacing w:after="0" w:line="244" w:lineRule="auto"/>
        <w:tabs>
          <w:tab w:leader="none" w:pos="1292"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facilitate installation or loading by the BUILDER of the BUYER’s Supplies in or on the VESSEL, the BUYER shall furnish the BUILDER with necessary specifications, plans, drawings, instruction books, manuals, test reports and certificates required by the applicable rules and regulations. The BUYER, if so requested by the BUILDER, shall, without any charge to the BUILDER, cause the representatives of the manufacturers of the BUYER’s Supplies to assist the BUILDER in installation thereof in or on the VESSEL and/or to carry out installation thereof by themselves or to make necessary adjustments thereof at the Shipyard.</w:t>
      </w:r>
    </w:p>
    <w:p>
      <w:pPr>
        <w:spacing w:after="0" w:line="199" w:lineRule="exact"/>
        <w:rPr>
          <w:rFonts w:ascii="Times New Roman" w:cs="Times New Roman" w:eastAsia="Times New Roman" w:hAnsi="Times New Roman"/>
          <w:sz w:val="20"/>
          <w:szCs w:val="20"/>
          <w:color w:val="auto"/>
        </w:rPr>
      </w:pPr>
    </w:p>
    <w:p>
      <w:pPr>
        <w:jc w:val="both"/>
        <w:ind w:left="1292" w:hanging="644"/>
        <w:spacing w:after="0" w:line="243" w:lineRule="auto"/>
        <w:tabs>
          <w:tab w:leader="none" w:pos="1292"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of the BUYER’s Supplies shall be subject to the BUILDER’s reasonable right of rejection, as and if they are found to be unsuitable or in improper condition for installation. However, if so requested by the BUYER, the BUILDER may repair or adjust the BUYER’s Supplies without prejudice to the BUILDER’s other rights hereunder and without being responsible for any consequences therefrom. In such case, the BUYER shall reimburse the BUILDER for all costs and expenses incurred by the BUILDER in such repair or adjustment and the Delivery Date shall be postponed for a period of time necessary for such repair or replacement to the extent it impacts the construction schedule and such schedule cannot reasonably be adjusted by the BUILDER to meet the Delivery Date.</w:t>
      </w:r>
    </w:p>
    <w:p>
      <w:pPr>
        <w:spacing w:after="0" w:line="202"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BUYER fail to deliver any of the BUYER’s Supplies within the time designated, the Delivery Date shall be extended for a period of such delay in delivery if such delay affects the Delivery Date and the effects of the delayed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58" w:name="page259"/>
    <w:bookmarkEnd w:id="258"/>
    <w:p>
      <w:pPr>
        <w:jc w:val="both"/>
        <w:ind w:left="1300"/>
        <w:spacing w:after="0" w:line="244" w:lineRule="auto"/>
        <w:rPr>
          <w:sz w:val="20"/>
          <w:szCs w:val="20"/>
          <w:color w:val="auto"/>
        </w:rPr>
      </w:pPr>
      <w:r>
        <w:rPr>
          <w:rFonts w:ascii="Times New Roman" w:cs="Times New Roman" w:eastAsia="Times New Roman" w:hAnsi="Times New Roman"/>
          <w:sz w:val="20"/>
          <w:szCs w:val="20"/>
          <w:color w:val="auto"/>
        </w:rPr>
        <w:t>delivery cannot reasonably be made up in the construction schedule. In such event, the BUYER shall be responsible for and pay to the BUILDER all losses and damages incurred by the BUILDER by reason of such delay in delivery of the BUYER’s Supplies and such payment shall be made upon delivery of the VESSEL. If delay in delivery of any of the BUYER’s Supplies exceeds thirty (30) days, then, the BUILDER shall be entitled to proceed with construction of the VESSEL without installation thereof in or on the VESSEL, without prejudice to the BUILDER’s other rights as hereinabove provided, and the BUYER shall accept and take delivery of the VESSEL so constructed.</w:t>
      </w:r>
    </w:p>
    <w:p>
      <w:pPr>
        <w:spacing w:after="0" w:line="195" w:lineRule="exact"/>
        <w:rPr>
          <w:sz w:val="20"/>
          <w:szCs w:val="20"/>
          <w:color w:val="auto"/>
        </w:rPr>
      </w:pPr>
    </w:p>
    <w:p>
      <w:pPr>
        <w:ind w:left="660" w:hanging="652"/>
        <w:spacing w:after="0"/>
        <w:tabs>
          <w:tab w:leader="none" w:pos="660"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BUILDER: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at its own risk and expense, receive, inspect, check as to agreement with bill of lading, store, protect and handle with reasonable care all of the BUYER’s Supplies after delivery thereof at the Shipyard, and shall install or load them in or on the VESSEL, unless otherwise provided herein or agreed by the parties hereto, provided, always, that the BUILDER shall not be responsible for quality, efficiency and/or performance of any of the BUYER’s Supplies.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BUILDER does not deliver the VESSEL, except as otherwise expressly provided herein, the BUILDER shall return all of the BUYER’s Supplies to the BUYER or shall reimburse the BUYER for the cost of such supplies, at the BUYER’S option.</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and Risk</w:t>
      </w:r>
    </w:p>
    <w:p>
      <w:pPr>
        <w:spacing w:after="0" w:line="233"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to the BUYER’s Supplies shall remain in the BUYER at all times while such items are in the custody of the BUILDER, as provided in ARTICLE XVIII. The BUILDER shall be liable to the BUYER for all damage to or loss of the BUYER’s Supplies occurring during the BUILDER's custody thereof, which may arise from any event, excepting from acts or omissions of the BUYER, and excluding all war risks, except to the extent such war risks are insurable at the time and place of loss and the BUYER has requested the BUILDER to insure such war risks at the BUYER's expense under a Change Order. The BUYER shall have reasonable access to the BUYER’s Supplies during the construction. The BUILDER shall not be deemed to have extended to the BUYER any warranty as to the BUYER’s Supplies other than the warranty of workmanship in the installation thereof, as set forth in ARTICLE IX.</w:t>
      </w:r>
    </w:p>
    <w:p>
      <w:pPr>
        <w:spacing w:after="0" w:line="19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requests that the BUILDER furnish all or any of the BUYER’s Supplies, the furnishing of such BUYER’s Supplies by the BUILDER shall be treated as a Change Order under ARTICLE IX, and such equipment shall be treated as 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XIX – COOPERATION REGARDING FINANCING AND RELATED MATTERS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BUYER contemplates that it will seek financing under the Title XI program administered by the United States Department of Transportation, acting by and through the Maritime Administrator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9" w:name="page260"/>
    <w:bookmarkEnd w:id="259"/>
    <w:p>
      <w:pPr>
        <w:jc w:val="both"/>
        <w:spacing w:after="0" w:line="245" w:lineRule="auto"/>
        <w:rPr>
          <w:sz w:val="20"/>
          <w:szCs w:val="20"/>
          <w:color w:val="auto"/>
        </w:rPr>
      </w:pPr>
      <w:r>
        <w:rPr>
          <w:rFonts w:ascii="Times New Roman" w:cs="Times New Roman" w:eastAsia="Times New Roman" w:hAnsi="Times New Roman"/>
          <w:sz w:val="20"/>
          <w:szCs w:val="20"/>
          <w:color w:val="auto"/>
        </w:rPr>
        <w:t>(“MARAD”), under 46 U.S.C. chapter 537 (“Title XI”), and/or private or bank financing. The BUYER intends to make qualified withdrawals from its Capital Construction Fund (“CCF”) for some or all of the construction cost. Commencing on the date of execution of this Contract and continuing through the date that is one year following the Delivery Date of the VESSEL, the BUILDER agrees to reasonably cooperate with the BUYER to assist the BUYER in arranging construction period or permanent financing in connection with the VESSEL. At this time it is anticipated that this cooperation will entail the following:</w:t>
      </w:r>
    </w:p>
    <w:p>
      <w:pPr>
        <w:spacing w:after="0" w:line="198" w:lineRule="exact"/>
        <w:rPr>
          <w:sz w:val="20"/>
          <w:szCs w:val="20"/>
          <w:color w:val="auto"/>
        </w:rPr>
      </w:pPr>
    </w:p>
    <w:p>
      <w:pPr>
        <w:jc w:val="both"/>
        <w:ind w:left="1300" w:hanging="644"/>
        <w:spacing w:after="0" w:line="245" w:lineRule="auto"/>
        <w:tabs>
          <w:tab w:leader="none" w:pos="1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information of any nature with respect to the VESSEL, its construction, and the BUILDER (including confidential information) in the possession of the BUILDER or its suppliers and not otherwise readily available to the BUYER that is reasonably requested by (i) MARAD as a condition to processing or approving any application for Title XI financing submitted by the BUYER, including Forms MA-163, MA-440 and MA-133, and (ii) the lenders under a non-Title XI financing; and in all cases as soon as reasonably practicable after it is requested;</w:t>
      </w:r>
    </w:p>
    <w:p>
      <w:pPr>
        <w:spacing w:after="0" w:line="197" w:lineRule="exact"/>
        <w:rPr>
          <w:rFonts w:ascii="Times New Roman" w:cs="Times New Roman" w:eastAsia="Times New Roman" w:hAnsi="Times New Roman"/>
          <w:sz w:val="20"/>
          <w:szCs w:val="20"/>
          <w:color w:val="auto"/>
        </w:rPr>
      </w:pPr>
    </w:p>
    <w:p>
      <w:pPr>
        <w:jc w:val="both"/>
        <w:ind w:left="1300" w:hanging="644"/>
        <w:spacing w:after="0"/>
        <w:tabs>
          <w:tab w:leader="none" w:pos="1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making any amendments to this Contract and the Guaranty that are reasonably requested by MARAD as a condition to processing or approving any application for Title XI financing submitted by the BUYER or any affiliate of the BUYER, or that are reasonably requested by any non-Title XI lenders, provided such amendments are customarily requested by MARAD or such non-Title XI lenders in connection with other financings and do not unreasonably increase the obligations or decrease the rights of the BUILDER or the GUARANTOR, it being understood that such amendments may include, without limitation, documentation in support of invoices, audit, inspection, and consent rights, copies of drawings, notices, insurance coverages and loss payable clauses, naming MARAD or such lenders as beneficiary of the Guaranty or any other security provided in respect of BUILDER’s performance under this Contract, any amendments or supplements relating to the assignment of, or the granting of security interest in, this Contract to MARAD or any other Lender Party as security for the Title XI financing or any private or bank financing, allowing the Lender Parties to have reasonable access to the Shipyard to inspect the work in process on the VESSEL, certifying substantial completion of the VESSEL at delivery, and attending any tests and sea trials; and (ii) providing documentation evidencing (x) its consent to any assignment of, or the granting of security interest in, this Contract, the VESSEL or any work in process with respect to the VESSEL as security for the Title XI financing or any private or bank financing or otherwise in connection therewith, including without limitation any Permitted Financing Assignment, in each case in form and substance reasonably requested by MARAD or any other applicable Lender Party; and (y) its consent to subordination of its interests herein and with respect to the VESSEL and any work in process with respect to the VESSEL to any such lien or security interest of the Lender Parties to the extent of the aggregate of the initial payments and all milestone payments made by BUYER from time to time, in each case in form and substance reasonably requested by MARAD or any other applicable Lender Party;</w:t>
      </w:r>
    </w:p>
    <w:p>
      <w:pPr>
        <w:spacing w:after="0" w:line="21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tracking from the time the BUILDER places orders for the same, the foreign components and services that will be utilized in the construction of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0" w:name="page261"/>
    <w:bookmarkEnd w:id="260"/>
    <w:p>
      <w:pPr>
        <w:jc w:val="both"/>
        <w:ind w:left="1300"/>
        <w:spacing w:after="0" w:line="244" w:lineRule="auto"/>
        <w:rPr>
          <w:sz w:val="20"/>
          <w:szCs w:val="20"/>
          <w:color w:val="auto"/>
        </w:rPr>
      </w:pPr>
      <w:r>
        <w:rPr>
          <w:rFonts w:ascii="Times New Roman" w:cs="Times New Roman" w:eastAsia="Times New Roman" w:hAnsi="Times New Roman"/>
          <w:sz w:val="20"/>
          <w:szCs w:val="20"/>
          <w:color w:val="auto"/>
        </w:rPr>
        <w:t>VESSEL and providing all information requested by MARAD in the possession of the BUILDER or its suppliers and not otherwise readily available to the BUYER that is (i) to support a waiver to include in “Actual Cost” the cost of any foreign components (including information that substantiates the choice of foreign over domestic), and (ii) to support the BUYER in complying with MARAD’s cargo preference requirements and policies regarding the transport of such foreign components to the U.S. by ocean on U.S.-flag vessels in order to satisfy MARAD’s foreign components waiver requirements, and providing such information as soon as reasonably practicable after it is requested;</w:t>
      </w:r>
    </w:p>
    <w:p>
      <w:pPr>
        <w:spacing w:after="0" w:line="199" w:lineRule="exact"/>
        <w:rPr>
          <w:sz w:val="20"/>
          <w:szCs w:val="20"/>
          <w:color w:val="auto"/>
        </w:rPr>
      </w:pPr>
    </w:p>
    <w:p>
      <w:pPr>
        <w:ind w:left="1300" w:right="20" w:hanging="644"/>
        <w:spacing w:after="0" w:line="269" w:lineRule="auto"/>
        <w:tabs>
          <w:tab w:leader="none" w:pos="13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supporting the BUYER’s efforts to secure any grants or awards that might be available related to the LNG features or TIER 3 engines on the VESSEL; and</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for and providing the BUYER a U.S. Coast Guard ruling confirming the U.S. construction of the VESSEL to enable the BUYER to treat the VESSEL as a “qualified vessel” under the BUYER’s CCF for purposes of 46 USC Chapter 535 §53501(2)(B) and 46 C.F.R. §390.5.</w:t>
      </w:r>
    </w:p>
    <w:p>
      <w:pPr>
        <w:spacing w:after="0" w:line="188"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All of the foregoing the BUILDER shall perform with no changes to the Delivery Date and with no costs to the BUYER other than such actual out-of-pocket costs paid by the BUILDER to third parties which the BUYER shall have previously approved in writing. For clarity, (1) the BUILDER shall not be required to incur any out-of-pocket costs if the BUYER refuses to approve and reimburse those costs, and (2) the BUILDER will not pay any increased costs of carriage in connection with the BUYER’s compliance with MARAD’s cargo preference requirements and policies.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 – NOTICE</w:t>
      </w:r>
    </w:p>
    <w:p>
      <w:pPr>
        <w:spacing w:after="0" w:line="229" w:lineRule="exact"/>
        <w:rPr>
          <w:sz w:val="20"/>
          <w:szCs w:val="20"/>
          <w:color w:val="auto"/>
        </w:rPr>
      </w:pPr>
    </w:p>
    <w:p>
      <w:pPr>
        <w:ind w:left="660" w:hanging="652"/>
        <w:spacing w:after="0"/>
        <w:tabs>
          <w:tab w:leader="none" w:pos="660"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Address:</w:t>
      </w:r>
    </w:p>
    <w:p>
      <w:pPr>
        <w:spacing w:after="0" w:line="233" w:lineRule="exact"/>
        <w:rPr>
          <w:rFonts w:ascii="Times New Roman" w:cs="Times New Roman" w:eastAsia="Times New Roman" w:hAnsi="Times New Roman"/>
          <w:sz w:val="20"/>
          <w:szCs w:val="20"/>
          <w:b w:val="1"/>
          <w:bCs w:val="1"/>
          <w:color w:val="auto"/>
        </w:rPr>
      </w:pPr>
    </w:p>
    <w:p>
      <w:pPr>
        <w:ind w:left="660" w:right="1040"/>
        <w:spacing w:after="0" w:line="47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addressed as follows: To the BUYER:</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Senior Vice President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Email: [†]</w:t>
      </w:r>
    </w:p>
    <w:p>
      <w:pPr>
        <w:spacing w:after="0" w:line="207"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Vice President --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1" w:name="page262"/>
    <w:bookmarkEnd w:id="261"/>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Matson Navigation Company,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555 12th Street</w:t>
      </w:r>
    </w:p>
    <w:p>
      <w:pPr>
        <w:ind w:left="652"/>
        <w:spacing w:after="0"/>
        <w:rPr>
          <w:sz w:val="20"/>
          <w:szCs w:val="20"/>
          <w:color w:val="auto"/>
        </w:rPr>
      </w:pPr>
      <w:r>
        <w:rPr>
          <w:rFonts w:ascii="Times New Roman" w:cs="Times New Roman" w:eastAsia="Times New Roman" w:hAnsi="Times New Roman"/>
          <w:sz w:val="20"/>
          <w:szCs w:val="20"/>
          <w:color w:val="auto"/>
        </w:rPr>
        <w:t>Oakland, CA  94607</w:t>
      </w:r>
    </w:p>
    <w:p>
      <w:pPr>
        <w:ind w:left="652"/>
        <w:spacing w:after="0"/>
        <w:rPr>
          <w:sz w:val="20"/>
          <w:szCs w:val="20"/>
          <w:color w:val="auto"/>
        </w:rPr>
      </w:pPr>
      <w:r>
        <w:rPr>
          <w:rFonts w:ascii="Times New Roman" w:cs="Times New Roman" w:eastAsia="Times New Roman" w:hAnsi="Times New Roman"/>
          <w:sz w:val="20"/>
          <w:szCs w:val="20"/>
          <w:color w:val="auto"/>
        </w:rPr>
        <w:t>Attn: Executive Vice President, Chief Administrative Officer and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ind w:left="652"/>
        <w:spacing w:after="0"/>
        <w:rPr>
          <w:sz w:val="20"/>
          <w:szCs w:val="20"/>
          <w:color w:val="auto"/>
        </w:rPr>
      </w:pPr>
      <w:r>
        <w:rPr>
          <w:rFonts w:ascii="Times New Roman" w:cs="Times New Roman" w:eastAsia="Times New Roman" w:hAnsi="Times New Roman"/>
          <w:sz w:val="20"/>
          <w:szCs w:val="20"/>
          <w:color w:val="auto"/>
        </w:rPr>
        <w:t>To the BUILDER:</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Thomas Grunwald, Vice President</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Dean E. Grabelle, Senior Vice President &amp;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Any notice, including any written notice, required hereunder, shall be effected and deemed received only as follows:</w:t>
      </w:r>
    </w:p>
    <w:p>
      <w:pPr>
        <w:spacing w:after="0" w:line="241" w:lineRule="exact"/>
        <w:rPr>
          <w:sz w:val="20"/>
          <w:szCs w:val="20"/>
          <w:color w:val="auto"/>
        </w:rPr>
      </w:pPr>
    </w:p>
    <w:p>
      <w:pPr>
        <w:jc w:val="both"/>
        <w:ind w:left="972" w:hanging="324"/>
        <w:spacing w:after="0" w:line="254" w:lineRule="auto"/>
        <w:tabs>
          <w:tab w:leader="none" w:pos="972"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e-mail, at the time of transmission recorded on the message if such time is within normal business hours on a working day at the place of receipt, otherwise at the commencement of normal business hours on the next such working day.</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letter, whether sent by registered mail or delivered by hand or by courier, at the date and time of its actual delivery if delivered within normal business hours on a working day at the place of receipt, otherwise at the commencement of normal business hours on the next such working day.</w:t>
      </w:r>
    </w:p>
    <w:p>
      <w:pPr>
        <w:spacing w:after="0" w:line="18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p>
    <w:p>
      <w:pPr>
        <w:spacing w:after="0" w:line="233"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written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20"/>
          <w:szCs w:val="20"/>
          <w:b w:val="1"/>
          <w:bCs w:val="1"/>
          <w:color w:val="auto"/>
        </w:rPr>
        <w:t>ARTICLE XXI – INTERPRETATION</w:t>
      </w:r>
    </w:p>
    <w:p>
      <w:pPr>
        <w:spacing w:after="0" w:line="229" w:lineRule="exact"/>
        <w:rPr>
          <w:sz w:val="20"/>
          <w:szCs w:val="20"/>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Laws Applicable: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hereto agree that the validity and interpretation of this Contract and of each Article and part thereof shall be governed by the laws of the State of New York applicable to a contract executed and performed in such State without giving effect to the conflicts of laws principles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Discrepancies: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provisions of the Articles of this Contract and the Specification, then to the extent of such discrepancy, difference or conflict only, the Specification shall be ineffectual and the provisions of the Articles of this Contract shall prevail; but in all other aspects, the Specification shall be in full force and effect.</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plans of the Specification and the text of the Specification, then to the extent of such discrepancy, difference or conflict the text of the Specification shall prevail; provided, however, any work called for by the text of the Specification and not shown on the plans of the Specification and any work shown on the plans of the Specification but not called for in the text of the Specification shall be performed by the BUILDER as part of the Contract work.</w:t>
      </w:r>
    </w:p>
    <w:p>
      <w:pPr>
        <w:spacing w:after="0" w:line="198"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discrepancy, difference or conflict described hereabove discovered by one of the parties hereto shall be brought to the attention of the other party hereto promptly in writing.</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may be executed and delivered, including execution and delivery by facsimile or portable data format (PDF) transmission, in counterparts, each of which shall be deemed an original and together shall constitute one and the same instrument.</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Agreements: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including the Specification and Plans and Exhibits, which are incorporated herein and made part of this Contract, and the Guaranty constitute the entire agreement of the parties with respect to the subject matter hereof and thereof and shall supersede any and all prior negotiations, understandings and agreements between the parties, including, without limitation, the Right of First Refusal and Advance Design Agreement between the parties dated as of April 25, 2022.</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provision of this Contract may be amended or waived if, but only if, such amendment or waiver is in writing and is signed, in the case of any amendment, by each party to this Contract, or in the case of a waiver, by the party against whom the waiver is to be effective. No failure or delay by any party in exercising any right, power or privilege hereunder shall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63" w:name="page264"/>
    <w:bookmarkEnd w:id="263"/>
    <w:p>
      <w:pPr>
        <w:ind w:left="660"/>
        <w:spacing w:after="0" w:line="269" w:lineRule="auto"/>
        <w:rPr>
          <w:sz w:val="20"/>
          <w:szCs w:val="20"/>
          <w:color w:val="auto"/>
        </w:rPr>
      </w:pPr>
      <w:r>
        <w:rPr>
          <w:rFonts w:ascii="Times New Roman" w:cs="Times New Roman" w:eastAsia="Times New Roman" w:hAnsi="Times New Roman"/>
          <w:sz w:val="20"/>
          <w:szCs w:val="20"/>
          <w:color w:val="auto"/>
        </w:rPr>
        <w:t>operate as a waiver thereof nor shall any single or partial exercise thereof preclude any other or further exercise thereof or the exercise of any other right, power or privilege.</w:t>
      </w:r>
    </w:p>
    <w:p>
      <w:pPr>
        <w:spacing w:after="0" w:line="169" w:lineRule="exact"/>
        <w:rPr>
          <w:sz w:val="20"/>
          <w:szCs w:val="20"/>
          <w:color w:val="auto"/>
        </w:rPr>
      </w:pPr>
    </w:p>
    <w:p>
      <w:pPr>
        <w:ind w:left="660" w:hanging="652"/>
        <w:spacing w:after="0"/>
        <w:tabs>
          <w:tab w:leader="none" w:pos="660" w:val="left"/>
        </w:tabs>
        <w:numPr>
          <w:ilvl w:val="0"/>
          <w:numId w:val="3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Beneficiaries: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provision of this Contract is intended to confer upon any party other than the parties hereto any rights or remedies hereunder.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Rules of Construction: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context otherwise requires:</w:t>
      </w:r>
    </w:p>
    <w:p>
      <w:pPr>
        <w:spacing w:after="0" w:line="2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ind w:left="1300" w:hanging="644"/>
        <w:spacing w:after="0"/>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ind w:left="1300" w:hanging="644"/>
        <w:spacing w:after="0"/>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ind w:left="1300" w:hanging="644"/>
        <w:spacing w:after="0" w:line="239" w:lineRule="auto"/>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computation of periods of time hereunder, the word “days” means calendar days, “from” means “from and including” and the words “to” and “until” each mean “to but excluding”;</w:t>
      </w:r>
    </w:p>
    <w:p>
      <w:pPr>
        <w:ind w:left="1300" w:hanging="644"/>
        <w:spacing w:after="0" w:line="239" w:lineRule="auto"/>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Contract to Articles, Paragraphs, subparagraphs or Exhibits shall be to Articles, Paragraphs, subparagraphs or Exhibits of or to this Contract unless otherwise specifically provided;</w:t>
      </w:r>
    </w:p>
    <w:p>
      <w:pPr>
        <w:ind w:left="1300" w:right="20" w:hanging="644"/>
        <w:spacing w:after="0" w:line="239" w:lineRule="auto"/>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the Articles, Paragraphs and other parts hereof are provided for convenience only and shall not in any way affect the meaning or construction of any provision of this Contract; and</w:t>
      </w:r>
    </w:p>
    <w:p>
      <w:pPr>
        <w:ind w:left="1300" w:hanging="644"/>
        <w:spacing w:after="0"/>
        <w:tabs>
          <w:tab w:leader="none" w:pos="13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“contractor” includes “subcontractor” and vice versa.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XXII – LIMITATION OF LIABILITY; INDEMNIFICATION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NO BROKERAGE; AND FEDERAL CONTRACTOR REQUIREMENTS</w:t>
      </w:r>
    </w:p>
    <w:p>
      <w:pPr>
        <w:spacing w:after="0" w:line="203" w:lineRule="exact"/>
        <w:rPr>
          <w:sz w:val="20"/>
          <w:szCs w:val="20"/>
          <w:color w:val="auto"/>
        </w:rPr>
      </w:pPr>
    </w:p>
    <w:p>
      <w:pPr>
        <w:ind w:left="660" w:hanging="652"/>
        <w:spacing w:after="0"/>
        <w:tabs>
          <w:tab w:leader="none" w:pos="660"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confirm that the express remedies and measures of damages provided in this Contract satisfy the essential purposes hereof. For breach of any provision for which an express remedy or measure of damages is provided, such express remedy or measure of damages shall be the sole and exclusive remedy or measure of damages therefor. If no remedy or measure of damages is expressly herein provided, the obligor’s liability shall be limited to direct actual damages only; such direct actual damages shall be the sole and exclusive remedy. The parties confirm and agree that under this Contract, notwithstanding anything to the contrary set forth herein, no party shall be required to pay or be liable for special, consequential, incidental, punitive, exemplary or indirect damages, including, without limitation, lost profit, revenue or business interruption damages, by statute, in tort, contract or otherwise. For clarity, the foregoing limitation of liability does not limit the liability of any party for direct lost profit damages under this Contract. To the extent any damages required to be paid hereunder are liquidated damages, the parties acknowledge that the damages are difficult or impossible to determine, otherwise obtaining an adequate remedy is inconvenient and the liquidated damages constitute a reasonable approximation of the harm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4" w:name="page265"/>
    <w:bookmarkEnd w:id="264"/>
    <w:p>
      <w:pPr>
        <w:ind w:left="660" w:hanging="652"/>
        <w:spacing w:after="0"/>
        <w:tabs>
          <w:tab w:leader="none" w:pos="66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also be responsible for, and shall defend, indemnify and hold harmless the BUYER and its agents against and from any and all loss, expense, attorneys' fees, claims, actions or liability for injuries to or death of any person or persons including employees of the BUILDER and damage to property occurring at or prior to delivery of the VESSEL in the course of or in connection with the BUILDER's performance of this Contract caused in whole or in part, or alleged to be caused in whole or in part, by any act of the BUILDER, its agents, employees or subcontractors or their employees, but only as and to the extent the liability is alleged to be that of the BUILDER, its agents, employees or subcontractors. It is the intention of the parties hereto that the indemnity provisions herein pertaining to employees of the BUILDER shall be effective despite the provisions of 33 U.S.C. § 905(b) as and to the extent that in any claim or action liability is alleged to be that of the BUILDER, its agents, employees, or subcontractors, it being agreed that for purposes of said section the VESSEL being constructed shall not become a "vessel" until such time as the VESSEL is officially documented by the United States Coast Guard and the Classification Society and becomes a vessel capable of being legally used for transportation of goods on water. The BUILDER's indemnity set forth hereinabove shall not apply to any injury or death of any person or to any damage to or loss of property of third parties occurring in connection with the VESSEL after the delivery and acceptance of the VESSEL by the BUYER, provided that this exclusion shall not apply to claims for injury or death of any person, or to any damage to or loss of property of third parties occurring prior to delivery but for which a claim is not instituted until after delivery and acceptance of the VESSEL by the BUYER.</w:t>
      </w:r>
    </w:p>
    <w:p>
      <w:pPr>
        <w:spacing w:after="0" w:line="20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Brokerage: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third party shall be entitled to receive any brokerage commissions, finder’s fees, fees for financial advisory services or similar compensation in connection with the transaction contemplated by this Contract based on any arrangement or agreement made by or on behalf of the BUYER or the BUILDER.</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Contractor Requirements: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 is not (a) a person or entity identified on any U.S. restricted party list, including those published by the Office of Foreign Assets Control, U.S. Department of the Treasury, such as the Specially Designated Nationals and Blocked Persons List, or otherwise required to be treated as such (“Restricted Party”); or (b) a department, agency or instrumentality of the government of, or is otherwise directly or indirectly controlled by or acting on behalf of, or is ordinarily resident in, a location subject to comprehensive U.S. economic sanctions administered by OFAC, currently Cuba, Iran, North Korea, Syria, and the Crimea, Donetsk, and Luhansk regions of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65" w:name="page266"/>
    <w:bookmarkEnd w:id="265"/>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XXIII – CONFIDENTIALITY; PUBLIC ANNOUNCEMENTS</w:t>
      </w:r>
    </w:p>
    <w:p>
      <w:pPr>
        <w:spacing w:after="0" w:line="229" w:lineRule="exact"/>
        <w:rPr>
          <w:sz w:val="20"/>
          <w:szCs w:val="20"/>
          <w:color w:val="auto"/>
        </w:rPr>
      </w:pPr>
    </w:p>
    <w:p>
      <w:pPr>
        <w:ind w:left="652" w:hanging="652"/>
        <w:spacing w:after="0"/>
        <w:tabs>
          <w:tab w:leader="none" w:pos="652"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33" w:lineRule="exact"/>
        <w:rPr>
          <w:rFonts w:ascii="Times New Roman" w:cs="Times New Roman" w:eastAsia="Times New Roman" w:hAnsi="Times New Roman"/>
          <w:sz w:val="20"/>
          <w:szCs w:val="20"/>
          <w:b w:val="1"/>
          <w:bCs w:val="1"/>
          <w:color w:val="auto"/>
        </w:rPr>
      </w:pPr>
    </w:p>
    <w:p>
      <w:pPr>
        <w:jc w:val="both"/>
        <w:ind w:left="1292" w:right="20" w:hanging="644"/>
        <w:spacing w:after="0" w:line="245" w:lineRule="auto"/>
        <w:tabs>
          <w:tab w:leader="none" w:pos="1292"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and data disclosed by either party to the other party pursuant to this Contract is the sole and exclusive property of the disclosing party and shall be deemed proprietary, secret, and confidential, regardless of the manner in which it is or was delivered, disclosed or furnished, and whether prepared by or on behalf of the disclosing party and whether delivered, disclosed or furnished prior to, on or after the date of this Contract (collectively, “Confidential Information”); provided that Confidential Information does not include information:</w:t>
      </w:r>
    </w:p>
    <w:p>
      <w:pPr>
        <w:spacing w:after="0" w:line="197" w:lineRule="exact"/>
        <w:rPr>
          <w:rFonts w:ascii="Times New Roman" w:cs="Times New Roman" w:eastAsia="Times New Roman" w:hAnsi="Times New Roman"/>
          <w:sz w:val="20"/>
          <w:szCs w:val="20"/>
          <w:color w:val="auto"/>
        </w:rPr>
      </w:pPr>
    </w:p>
    <w:p>
      <w:pPr>
        <w:ind w:left="1952" w:hanging="656"/>
        <w:spacing w:after="0" w:line="250" w:lineRule="auto"/>
        <w:tabs>
          <w:tab w:leader="none" w:pos="1952"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public domain at the time of the disclosing party's communication thereof to the other;</w:t>
      </w:r>
    </w:p>
    <w:p>
      <w:pPr>
        <w:spacing w:after="0" w:line="1" w:lineRule="exact"/>
        <w:rPr>
          <w:rFonts w:ascii="Times New Roman" w:cs="Times New Roman" w:eastAsia="Times New Roman" w:hAnsi="Times New Roman"/>
          <w:sz w:val="20"/>
          <w:szCs w:val="20"/>
          <w:color w:val="auto"/>
        </w:rPr>
      </w:pPr>
    </w:p>
    <w:p>
      <w:pPr>
        <w:ind w:left="1952" w:hanging="656"/>
        <w:spacing w:after="0" w:line="239" w:lineRule="auto"/>
        <w:tabs>
          <w:tab w:leader="none" w:pos="1952"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becomes publicly available after the communication thereof other than through a breach of this Confidentiality provision;</w:t>
      </w:r>
    </w:p>
    <w:p>
      <w:pPr>
        <w:ind w:left="1952" w:hanging="656"/>
        <w:spacing w:after="0" w:line="239" w:lineRule="auto"/>
        <w:tabs>
          <w:tab w:leader="none" w:pos="1952"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receiving party’s possession free of any obligation of confidentiality at the time of disclosure thereof; or</w:t>
      </w:r>
    </w:p>
    <w:p>
      <w:pPr>
        <w:jc w:val="both"/>
        <w:ind w:left="1952" w:hanging="656"/>
        <w:spacing w:after="0" w:line="242" w:lineRule="auto"/>
        <w:tabs>
          <w:tab w:leader="none" w:pos="1952"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developed by the receiving party independently of and without reference to any Confidential Information or other proprietary information that the disclosing party has disclosed in confidence to the other.</w:t>
      </w:r>
    </w:p>
    <w:p>
      <w:pPr>
        <w:spacing w:after="0" w:line="200" w:lineRule="exact"/>
        <w:rPr>
          <w:rFonts w:ascii="Times New Roman" w:cs="Times New Roman" w:eastAsia="Times New Roman" w:hAnsi="Times New Roman"/>
          <w:sz w:val="20"/>
          <w:szCs w:val="20"/>
          <w:color w:val="auto"/>
        </w:rPr>
      </w:pPr>
    </w:p>
    <w:p>
      <w:pPr>
        <w:jc w:val="both"/>
        <w:ind w:left="1292" w:hanging="644"/>
        <w:spacing w:after="0" w:line="242" w:lineRule="auto"/>
        <w:tabs>
          <w:tab w:leader="none" w:pos="1292"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all Confidential Information shall remain the property of the disclosing party, shall be kept in strictest confidence by the receiving party, its parent and its and their directors, officers, direct employees, contractors, attorneys and advisors, and other parties engaged to carry out a party’s obligations hereunder and who need to know such information for such purpose (collectively, the “Party’s Representatives”), and shall not be disclosed to any other party except as provided herein, without the express prior written consent of the disclosing party. Each party hereto hereby acknowledges (i) that a breach hereof by either party or its Party’s Representatives may endanger and damage the other irreparably, and that (ii) money damages may not be a sufficient remedy for any such breach and that the non-breaching party may be entitled to specific performance and injunctive or other equitable relief as a remedy for any such breach. Each party agrees to be responsible for any breach of this Contract by its respective Party’s Representatives.</w:t>
      </w:r>
    </w:p>
    <w:p>
      <w:pPr>
        <w:spacing w:after="0" w:line="203"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Confidential Information may be retained and disclosed as follows:</w:t>
      </w:r>
    </w:p>
    <w:p>
      <w:pPr>
        <w:spacing w:after="0" w:line="229" w:lineRule="exact"/>
        <w:rPr>
          <w:rFonts w:ascii="Times New Roman" w:cs="Times New Roman" w:eastAsia="Times New Roman" w:hAnsi="Times New Roman"/>
          <w:sz w:val="20"/>
          <w:szCs w:val="20"/>
          <w:color w:val="auto"/>
        </w:rPr>
      </w:pPr>
    </w:p>
    <w:p>
      <w:pPr>
        <w:jc w:val="both"/>
        <w:ind w:left="1952" w:hanging="656"/>
        <w:spacing w:after="0" w:line="244" w:lineRule="auto"/>
        <w:tabs>
          <w:tab w:leader="none" w:pos="1952" w:val="left"/>
        </w:tabs>
        <w:numPr>
          <w:ilvl w:val="2"/>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of the BUYER may be disclosed by the BUILDER to third parties as may be required for the design and construction of the VESSEL; and Confidential Information of the BUILDER may be retained and copied by the BUYER or any transferees of the VESSEL for the life of the VESSEL and may be disclosed by such parties to third parties as may be required in connection with the design, operation, repair, modification, chartering, insuring, financing, or sale of the VESSEL; provided that in each case the BUILDER or the BUYER or a transferee has entered into a confidentiality agreement having provisions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66" w:name="page267"/>
    <w:bookmarkEnd w:id="266"/>
    <w:p>
      <w:pPr>
        <w:ind w:left="1960"/>
        <w:spacing w:after="0"/>
        <w:rPr>
          <w:sz w:val="20"/>
          <w:szCs w:val="20"/>
          <w:color w:val="auto"/>
        </w:rPr>
      </w:pPr>
      <w:r>
        <w:rPr>
          <w:rFonts w:ascii="Times New Roman" w:cs="Times New Roman" w:eastAsia="Times New Roman" w:hAnsi="Times New Roman"/>
          <w:sz w:val="20"/>
          <w:szCs w:val="20"/>
          <w:color w:val="auto"/>
        </w:rPr>
        <w:t>providing substantially the same protections as in this Article XXIII, Paragraph 1.</w:t>
      </w:r>
    </w:p>
    <w:p>
      <w:pPr>
        <w:spacing w:after="0" w:line="216" w:lineRule="exact"/>
        <w:rPr>
          <w:sz w:val="20"/>
          <w:szCs w:val="20"/>
          <w:color w:val="auto"/>
        </w:rPr>
      </w:pPr>
    </w:p>
    <w:p>
      <w:pPr>
        <w:jc w:val="both"/>
        <w:ind w:left="1960" w:hanging="656"/>
        <w:spacing w:after="0" w:line="249" w:lineRule="auto"/>
        <w:tabs>
          <w:tab w:leader="none" w:pos="196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by applicable law or by order of a court or governmental authority may be disclosed by either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receiving party will give notice to the disclosing party in sufficient time as to permit a protective order to be sought by the disclosing party thereon.</w:t>
      </w:r>
    </w:p>
    <w:p>
      <w:pPr>
        <w:spacing w:after="0" w:line="179" w:lineRule="exact"/>
        <w:rPr>
          <w:rFonts w:ascii="Times New Roman" w:cs="Times New Roman" w:eastAsia="Times New Roman" w:hAnsi="Times New Roman"/>
          <w:sz w:val="20"/>
          <w:szCs w:val="20"/>
          <w:color w:val="auto"/>
        </w:rPr>
      </w:pPr>
    </w:p>
    <w:p>
      <w:pPr>
        <w:jc w:val="both"/>
        <w:ind w:left="1960" w:hanging="656"/>
        <w:spacing w:after="0" w:line="245" w:lineRule="auto"/>
        <w:tabs>
          <w:tab w:leader="none" w:pos="196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to a regulatory body in furtherance of the purposes of this Contract, or that is required to be disclosed in a filing with the Securities and Exchange Commission or other government agency having jurisdiction over a party may be disclosed by such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such regulatory bodies or government agencies permit a party to assert a claim of confidentiality with respect to such filings, the party making the filings will assert the same.</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Public Announcements: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hereto will coordinate the issuance of any public announcement (including a press release or public filing) by them or their affiliates with respect to this Contract and the transactions contemplated hereby (an “Announcement”). Neither party hereto nor any of its affiliates may issue an Announcement unless that party has consulted with and received approval for such Announcement from the other party hereto with respect to the content and timing of such Announcement; provided that a party hereto or its affiliates may make an Announcement as may be required by applicable law or any listing agreement related to the trading of the shares of such party or its affiliates on any securities exchange without such approval upon advance written notice to each other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7" w:name="page268"/>
    <w:bookmarkEnd w:id="267"/>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caused this Shipbuilding Contract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PHILLY SHIPYARD, INC.</w:t>
            </w: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MATSON NAVIGATION COMPANY, INC.</w:t>
            </w:r>
          </w:p>
        </w:tc>
      </w:tr>
      <w:tr>
        <w:trPr>
          <w:trHeight w:val="453"/>
        </w:trPr>
        <w:tc>
          <w:tcPr>
            <w:tcW w:w="4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By:/s/ Steinar Nerbovik</w:t>
            </w: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By: /s/ John W. Sullivan</w:t>
            </w:r>
          </w:p>
        </w:tc>
      </w:tr>
      <w:tr>
        <w:trPr>
          <w:trHeight w:val="200"/>
        </w:trPr>
        <w:tc>
          <w:tcPr>
            <w:tcW w:w="300" w:type="dxa"/>
            <w:vAlign w:val="bottom"/>
          </w:tcPr>
          <w:p>
            <w:pPr>
              <w:spacing w:after="0"/>
              <w:rPr>
                <w:sz w:val="17"/>
                <w:szCs w:val="17"/>
                <w:color w:val="auto"/>
              </w:rPr>
            </w:pPr>
          </w:p>
        </w:tc>
        <w:tc>
          <w:tcPr>
            <w:tcW w:w="45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Steinar Nerbovik</w:t>
            </w:r>
          </w:p>
        </w:tc>
        <w:tc>
          <w:tcPr>
            <w:tcW w:w="520" w:type="dxa"/>
            <w:vAlign w:val="bottom"/>
          </w:tcPr>
          <w:p>
            <w:pPr>
              <w:spacing w:after="0"/>
              <w:rPr>
                <w:sz w:val="17"/>
                <w:szCs w:val="17"/>
                <w:color w:val="auto"/>
              </w:rPr>
            </w:pPr>
          </w:p>
        </w:tc>
        <w:tc>
          <w:tcPr>
            <w:tcW w:w="45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John W. Sullivan</w:t>
            </w:r>
          </w:p>
        </w:tc>
      </w:tr>
      <w:tr>
        <w:trPr>
          <w:trHeight w:val="258"/>
        </w:trPr>
        <w:tc>
          <w:tcPr>
            <w:tcW w:w="48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52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Shipbuilding Contract – Hull No. 040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0"/>
          <w:szCs w:val="20"/>
          <w:b w:val="1"/>
          <w:bCs w:val="1"/>
          <w:color w:val="auto"/>
        </w:rPr>
        <w:t>Exhibit 10.49</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4457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6292215" cy="44577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300" w:type="dxa"/>
            <w:vAlign w:val="bottom"/>
          </w:tcPr>
          <w:p>
            <w:pPr>
              <w:spacing w:after="0"/>
              <w:rPr>
                <w:sz w:val="22"/>
                <w:szCs w:val="22"/>
                <w:color w:val="auto"/>
              </w:rPr>
            </w:pPr>
          </w:p>
        </w:tc>
      </w:tr>
      <w:tr>
        <w:trPr>
          <w:trHeight w:val="305"/>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 – DESCRIPTION AND CLASS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 – CONTRACT PRICE AND TERMS OF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III – LIQUIDATED DAMAGES AND TERMINATION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ARTICLE IV – WORK, SUPERVISION AND INSPECTION AND APPROVAL OF PLANS AND DRAWINGS,</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REPORTING</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 – MODIFICATIONS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 – TRIALS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VII – DELIVERY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ARTICLE VIII – DELAYS AND EXTENSION OF TIME FOR DELIVERY DUE TO FORCE MAJEURE AND</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TERMINATION FOR EXCESSIVE DELAY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IX-WARRANTY OF QUALITY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 – TERMINATION BY THE BUYER AND OPTIONS ON TERMINATION; GUARANTY</w:t>
            </w:r>
          </w:p>
        </w:tc>
        <w:tc>
          <w:tcPr>
            <w:tcW w:w="300" w:type="dxa"/>
            <w:vAlign w:val="bottom"/>
          </w:tcPr>
          <w:p>
            <w:pPr>
              <w:spacing w:after="0"/>
              <w:rPr>
                <w:sz w:val="19"/>
                <w:szCs w:val="19"/>
                <w:color w:val="auto"/>
              </w:rPr>
            </w:pP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AGREEMENT AND BUYER’S RIGHT TO ADDITIONAL SECURITY; AUDIT AND INSPECTION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XI-BUYER’S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 –BUILDER’S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XIII-INSURANCE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XIV-DISPUTE RESOLUTION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 ASSIGNMENT OF CONTRACT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XVI-TITLE AND LIENS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XVII-PATENTS, TRADEMARKS, COPYRIGHTS, ETC.</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XVIII-BUYER’S SUPPLIES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XIX COOPERATION REGARDING FINANCING AND RELATED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 -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XXII – LIMITATION OF LIABILITY; INDEMNIFICATION AND NO BROKERAGE; AND</w:t>
            </w:r>
          </w:p>
        </w:tc>
        <w:tc>
          <w:tcPr>
            <w:tcW w:w="300" w:type="dxa"/>
            <w:vAlign w:val="bottom"/>
          </w:tcPr>
          <w:p>
            <w:pPr>
              <w:spacing w:after="0"/>
              <w:rPr>
                <w:sz w:val="19"/>
                <w:szCs w:val="19"/>
                <w:color w:val="auto"/>
              </w:rPr>
            </w:pP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FEDERAL CONTRACTOR REQUIREMENTS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XXIII – CONFIDENTIALITY; PUBLIC ANNOUNCEMENTS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1 Schedule of Milestone Payments for Each Vessel</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2 Milestone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3 Escrow Instructions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4 Form of Invoice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5 Sample Steel Adjustment Calculation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6 Form of Change Order</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w:t>
            </w:r>
          </w:p>
        </w:tc>
      </w:tr>
      <w:tr>
        <w:trPr>
          <w:trHeight w:val="229"/>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7 Freedom of Liens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r>
      <w:tr>
        <w:trPr>
          <w:trHeight w:val="230"/>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8 Theoretical Calculation of the Carbon Intensity Indicator (CII)</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r>
      <w:tr>
        <w:trPr>
          <w:trHeight w:val="262"/>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9 Class Notations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Certain information has been excluded from this exhibit pursuant to Item 601(b)(10)(iv) of Regulation S-K because it is both (i) not material and (ii) the type that the registrant treats as private or confidential. The following symbol is included in this exhibit to indicate where such information has been omitted: [*].</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 addition, certain other information has been excluded from this exhibit pursuant to Item 601(a)(6) of Regulation S-K because disclosure of such information would constitute a clearly unwarranted invasion of personal privacy. The following symbol is included in this exhibit to indicate where such information has been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161925</wp:posOffset>
            </wp:positionV>
            <wp:extent cx="6377940" cy="3168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6377940" cy="31686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041</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THIS SHIPBUILDING CONTRACT </w:t>
      </w:r>
      <w:r>
        <w:rPr>
          <w:rFonts w:ascii="Times New Roman" w:cs="Times New Roman" w:eastAsia="Times New Roman" w:hAnsi="Times New Roman"/>
          <w:sz w:val="20"/>
          <w:szCs w:val="20"/>
          <w:color w:val="auto"/>
        </w:rPr>
        <w:t>(this “Contract”) is made as of November 1, 2022 by and between PHILLY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SHIPYARD, INC., a corporation organized under the laws of Pennsylvania, having its principal office at 2100 Kitty Hawk Avenue, Philadelphia, PA 19112 (hereinafter called the “BUILDER”), and MATSON NAVIGATION COMPANY, INC., a corporation organized under the laws of Hawaii, having its corporate offices at 555 12th Street, Oakland, CA 94607 (hereinafter called the “BUYER”).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WHEREAS, the BUILDER agrees to design, engineer, build, launch, equip, outfit, install or load the BUYER’s Supplies, as hereinafter defined, test, complete at its Philadelphia shipyard (hereinafter called the “Shipyard”) and sell and deliver to the BUYER one (1) containership of the ALOHA CLASS L vessel type designated as the BUILDER’s Hull No. 041, more fully described in Article 1 hereof (hereinafter called the “VESSEL”), and the BUYER agrees to purchase and take delivery of the VESSEL from the BUILDER and to pay for the same, upon the terms and subject to the conditions hereinafter set forth;</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WHEREAS, concurrent with the execution of this Contract, the BUYER and the BUILDER have executed two other Shipbuilding Contracts of even date herewith, each for the purchase of one (1) additional containership of the ALOHA CLASS L type vessel, designated as the BUILDER’s Hull Nos. 040 and 042 (hereinafter each called a “Sister Ship Contract” and collectively called the “Sister Ship Contracts”); and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WHEREAS, concurrent with the execution of this Contract, Philly Shipyard ASA (the “Guarantor”) has executed the Guaranty Agreement dated as of the date hereof guarantying the performance of this Contract and the Sister Ship Contracts by the BUILDER (the “Guaranty”).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in consideration of the mutual covenants herein, intending to be legally bound, 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DESCRIPTION AND CLASS</w:t>
      </w:r>
    </w:p>
    <w:p>
      <w:pPr>
        <w:spacing w:after="0" w:line="229" w:lineRule="exact"/>
        <w:rPr>
          <w:sz w:val="20"/>
          <w:szCs w:val="20"/>
          <w:color w:val="auto"/>
        </w:rPr>
      </w:pPr>
    </w:p>
    <w:p>
      <w:pPr>
        <w:ind w:left="660" w:hanging="652"/>
        <w:spacing w:after="0"/>
        <w:tabs>
          <w:tab w:leader="none" w:pos="660" w:val="left"/>
        </w:tabs>
        <w:numPr>
          <w:ilvl w:val="0"/>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VESSEL shall have the BUILDER’s Hull No. 041 and shall be designed, engineered, constructed, equipped, outfitted, installed or loaded with BUYER’s Supplies, tested and completed by BUILDER in accordance with the provisions of this Contract, and the Specification, as defined herein. The Specification for the construction of the VESSEL called “Aloha Class L,” Document No. ADE-CD-001 Rev A, dated October 25th, 2022, and the related drawings and plans identified in the Specification, including the General Arrangement, Document No. AA0030BL01 Rev. A, the Container Stowage Plan, Document No. AA0040BL01 Rev. A, and the Capacity Plan, Document No. AA3010BL02 Rev. A, are hereby adopted and agreed and made a part of this Contract with the same force and effect as though herein set out in full (herein collectively called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486410</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0" w:name="page271"/>
    <w:bookmarkEnd w:id="270"/>
    <w:p>
      <w:pPr>
        <w:jc w:val="both"/>
        <w:spacing w:after="0" w:line="244" w:lineRule="auto"/>
        <w:rPr>
          <w:sz w:val="20"/>
          <w:szCs w:val="20"/>
          <w:color w:val="auto"/>
        </w:rPr>
      </w:pPr>
      <w:r>
        <w:rPr>
          <w:rFonts w:ascii="Times New Roman" w:cs="Times New Roman" w:eastAsia="Times New Roman" w:hAnsi="Times New Roman"/>
          <w:sz w:val="20"/>
          <w:szCs w:val="20"/>
          <w:color w:val="auto"/>
        </w:rPr>
        <w:t>“Specification”). It is further understood by the parties that modifications to the Specification may be required to adjust to the BUILDER’s building methodologies and practices and the same shall be submitted to the BUYER for the BUYER’s approval, which shall not be unreasonably withheld. The BUYER will work with the BUILDER to reach agreement on a specification that meets the technical requirements while at the same time addresses the required goals of the BUILDER for maximizing productivity and minimizing unnecessary costs. The VESSEL shall be constructed, equipped, and maintained to qualify for the ratings of the American Bureau of Shipping (ABS) classification society (herein called the “Classification Society”), as described in the Specification, and to be eligible for U. S. registry and U.S. coastwise trade endorsements.</w:t>
      </w:r>
    </w:p>
    <w:p>
      <w:pPr>
        <w:spacing w:after="0" w:line="195" w:lineRule="exact"/>
        <w:rPr>
          <w:sz w:val="20"/>
          <w:szCs w:val="20"/>
          <w:color w:val="auto"/>
        </w:rPr>
      </w:pPr>
    </w:p>
    <w:p>
      <w:pPr>
        <w:ind w:left="660" w:hanging="652"/>
        <w:spacing w:after="0"/>
        <w:tabs>
          <w:tab w:leader="none" w:pos="660"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Dimensions and Characteristics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VESSEL shall have the following dimensions and characteristics and the other dimensions and characteristics stated in the Specification:</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Dimensions:</w:t>
            </w:r>
          </w:p>
        </w:tc>
        <w:tc>
          <w:tcPr>
            <w:tcW w:w="2540" w:type="dxa"/>
            <w:vAlign w:val="bottom"/>
          </w:tcPr>
          <w:p>
            <w:pPr>
              <w:spacing w:after="0"/>
              <w:rPr>
                <w:sz w:val="22"/>
                <w:szCs w:val="22"/>
                <w:color w:val="auto"/>
              </w:rPr>
            </w:pPr>
          </w:p>
        </w:tc>
      </w:tr>
      <w:tr>
        <w:trPr>
          <w:trHeight w:val="43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Overall length:</w:t>
            </w:r>
          </w:p>
        </w:tc>
        <w:tc>
          <w:tcPr>
            <w:tcW w:w="2540" w:type="dxa"/>
            <w:vAlign w:val="bottom"/>
          </w:tcPr>
          <w:p>
            <w:pPr>
              <w:jc w:val="center"/>
              <w:ind w:left="1781"/>
              <w:spacing w:after="0"/>
              <w:rPr>
                <w:sz w:val="20"/>
                <w:szCs w:val="20"/>
                <w:color w:val="auto"/>
              </w:rPr>
            </w:pPr>
            <w:r>
              <w:rPr>
                <w:rFonts w:ascii="Times New Roman" w:cs="Times New Roman" w:eastAsia="Times New Roman" w:hAnsi="Times New Roman"/>
                <w:sz w:val="20"/>
                <w:szCs w:val="20"/>
                <w:color w:val="auto"/>
              </w:rPr>
              <w:t>260.3 m</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Length between P.P.:</w:t>
            </w:r>
          </w:p>
        </w:tc>
        <w:tc>
          <w:tcPr>
            <w:tcW w:w="2540" w:type="dxa"/>
            <w:vAlign w:val="bottom"/>
          </w:tcPr>
          <w:p>
            <w:pPr>
              <w:jc w:val="center"/>
              <w:ind w:left="1781"/>
              <w:spacing w:after="0"/>
              <w:rPr>
                <w:sz w:val="20"/>
                <w:szCs w:val="20"/>
                <w:color w:val="auto"/>
              </w:rPr>
            </w:pPr>
            <w:r>
              <w:rPr>
                <w:rFonts w:ascii="Times New Roman" w:cs="Times New Roman" w:eastAsia="Times New Roman" w:hAnsi="Times New Roman"/>
                <w:sz w:val="20"/>
                <w:szCs w:val="20"/>
                <w:color w:val="auto"/>
              </w:rPr>
              <w:t>248.5 m</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Breadth moulded:</w:t>
            </w:r>
          </w:p>
        </w:tc>
        <w:tc>
          <w:tcPr>
            <w:tcW w:w="2540" w:type="dxa"/>
            <w:vAlign w:val="bottom"/>
          </w:tcPr>
          <w:p>
            <w:pPr>
              <w:jc w:val="center"/>
              <w:ind w:left="1781"/>
              <w:spacing w:after="0"/>
              <w:rPr>
                <w:sz w:val="20"/>
                <w:szCs w:val="20"/>
                <w:color w:val="auto"/>
              </w:rPr>
            </w:pPr>
            <w:r>
              <w:rPr>
                <w:rFonts w:ascii="Times New Roman" w:cs="Times New Roman" w:eastAsia="Times New Roman" w:hAnsi="Times New Roman"/>
                <w:sz w:val="20"/>
                <w:szCs w:val="20"/>
                <w:color w:val="auto"/>
                <w:w w:val="97"/>
              </w:rPr>
              <w:t>35.0 m</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Depth moulded:</w:t>
            </w:r>
          </w:p>
        </w:tc>
        <w:tc>
          <w:tcPr>
            <w:tcW w:w="2540" w:type="dxa"/>
            <w:vAlign w:val="bottom"/>
          </w:tcPr>
          <w:p>
            <w:pPr>
              <w:jc w:val="center"/>
              <w:ind w:left="1781"/>
              <w:spacing w:after="0"/>
              <w:rPr>
                <w:sz w:val="20"/>
                <w:szCs w:val="20"/>
                <w:color w:val="auto"/>
              </w:rPr>
            </w:pPr>
            <w:r>
              <w:rPr>
                <w:rFonts w:ascii="Times New Roman" w:cs="Times New Roman" w:eastAsia="Times New Roman" w:hAnsi="Times New Roman"/>
                <w:sz w:val="20"/>
                <w:szCs w:val="20"/>
                <w:color w:val="auto"/>
                <w:w w:val="97"/>
              </w:rPr>
              <w:t>21.0 m</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Design draft:</w:t>
            </w:r>
          </w:p>
        </w:tc>
        <w:tc>
          <w:tcPr>
            <w:tcW w:w="2540" w:type="dxa"/>
            <w:vAlign w:val="bottom"/>
          </w:tcPr>
          <w:p>
            <w:pPr>
              <w:jc w:val="center"/>
              <w:ind w:left="1801"/>
              <w:spacing w:after="0"/>
              <w:rPr>
                <w:sz w:val="20"/>
                <w:szCs w:val="20"/>
                <w:color w:val="auto"/>
              </w:rPr>
            </w:pPr>
            <w:r>
              <w:rPr>
                <w:rFonts w:ascii="Times New Roman" w:cs="Times New Roman" w:eastAsia="Times New Roman" w:hAnsi="Times New Roman"/>
                <w:sz w:val="20"/>
                <w:szCs w:val="20"/>
                <w:color w:val="auto"/>
              </w:rPr>
              <w:t>[*] m</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Scantling draft</w:t>
            </w:r>
          </w:p>
        </w:tc>
        <w:tc>
          <w:tcPr>
            <w:tcW w:w="2540" w:type="dxa"/>
            <w:vAlign w:val="bottom"/>
          </w:tcPr>
          <w:p>
            <w:pPr>
              <w:jc w:val="center"/>
              <w:ind w:left="1781"/>
              <w:spacing w:after="0"/>
              <w:rPr>
                <w:sz w:val="20"/>
                <w:szCs w:val="20"/>
                <w:color w:val="auto"/>
              </w:rPr>
            </w:pPr>
            <w:r>
              <w:rPr>
                <w:rFonts w:ascii="Times New Roman" w:cs="Times New Roman" w:eastAsia="Times New Roman" w:hAnsi="Times New Roman"/>
                <w:sz w:val="20"/>
                <w:szCs w:val="20"/>
                <w:color w:val="auto"/>
                <w:w w:val="97"/>
              </w:rPr>
              <w:t>12.6 m</w:t>
            </w: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Cargo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deadweight shall be approximately 53,000 metric tons, corresponding to a mean draft in seawater (specific gravity 1.025 metric tons/m3) of 12.6 m. The specified deadweight shall include the items as listed in the Specification.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Container Carrying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container carrying capacity shall be 3,620 TEUs and as otherwise set out in the Specification, of which [*] TEUs are loadable hi-cube containers at a homogeneous weight of [*] MT per TEU at a draft of [*] m (hereinafter the “Guaranteed Loadable Container Capacity”).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Propulsion Machinery: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Type: Reversible slow speed two stroke dual fuel gas injection diesel engine.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(MCR) approx. 33,660kW.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Auxiliary Generators: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Type:</w:t>
      </w:r>
      <w:r>
        <w:rPr>
          <w:sz w:val="20"/>
          <w:szCs w:val="20"/>
          <w:color w:val="auto"/>
        </w:rPr>
        <w:tab/>
      </w:r>
      <w:r>
        <w:rPr>
          <w:rFonts w:ascii="Times New Roman" w:cs="Times New Roman" w:eastAsia="Times New Roman" w:hAnsi="Times New Roman"/>
          <w:sz w:val="19"/>
          <w:szCs w:val="19"/>
          <w:color w:val="auto"/>
        </w:rPr>
        <w:t>4 (four stroke) dual fuel gas injection diesel generators.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approx. 2 (two) 1,620 kW @ 900 rpm; 2 (two) 2,430 kW @ 900 rpm.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71" w:name="page272"/>
    <w:bookmarkEnd w:id="271"/>
    <w:p>
      <w:pPr>
        <w:ind w:left="200"/>
        <w:spacing w:after="0"/>
        <w:rPr>
          <w:sz w:val="20"/>
          <w:szCs w:val="20"/>
          <w:color w:val="auto"/>
        </w:rPr>
      </w:pPr>
      <w:r>
        <w:rPr>
          <w:rFonts w:ascii="Times New Roman" w:cs="Times New Roman" w:eastAsia="Times New Roman" w:hAnsi="Times New Roman"/>
          <w:sz w:val="20"/>
          <w:szCs w:val="20"/>
          <w:b w:val="1"/>
          <w:bCs w:val="1"/>
          <w:color w:val="auto"/>
        </w:rPr>
        <w:t>Speed:</w:t>
      </w:r>
    </w:p>
    <w:p>
      <w:pPr>
        <w:spacing w:after="0" w:line="233"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20"/>
          <w:szCs w:val="20"/>
          <w:color w:val="auto"/>
        </w:rPr>
        <w:t>The VESSEL’s average speed on a sea trial undertaken in both directions over a measured distance, with clean hull, in calm weather, wind and sea not exceeding Beaufort [*] and with draft [*] m, shall be at least [*] knots with the main engine at NCR of [*] kW and with [*]% sea margin (the “Guaranteed Speed”) and the VESSEL’s design shall be in compliance with Energy Efficiency Design Index (EEDI) requirements for containerships at the Guaranteed Speed.</w:t>
      </w:r>
    </w:p>
    <w:p>
      <w:pPr>
        <w:spacing w:after="0" w:line="198"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The theoretical calculation of the Carbon Intensity Indicator (CII) for the VESSEL at the Guaranteed Speed, together with all of the underlying assumptions with respect thereto, are set forth for informational purposes in Exhibit 8. BUILDER does not provide any guarantee with respect to the VESSEL being in compliance with the CII during operations.</w:t>
      </w:r>
    </w:p>
    <w:p>
      <w:pPr>
        <w:spacing w:after="0" w:line="193"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0"/>
          <w:szCs w:val="20"/>
          <w:color w:val="auto"/>
        </w:rPr>
        <w:t>Early in the design process ship model tests shall be conducted to refine the hull form and improve the overall efficiency over the range of operating drafts and trims anticipated for the VESSEL for the intended service. Model tests shall be conducted at the drafts defined in the Specification but including the design draft, a deep ballast draft and the Summer Load Line draft. In addition, the model basin shall be tasked with providing a procedure for extrapolating the actual sea trial ship speed at a ballast condition to the speed at the design draft and main engine NCR power with [*]% sea margin. This procedure shall be submitted to the BUYER for approval along with the Model Test report.</w:t>
      </w:r>
    </w:p>
    <w:p>
      <w:pPr>
        <w:spacing w:after="0" w:line="78"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20"/>
          <w:szCs w:val="20"/>
          <w:color w:val="auto"/>
        </w:rPr>
        <w:t>The sea trial test for determination and verification of the VESSEL’s speed at the design draft and main engine NCR shall be based on the following:</w:t>
      </w:r>
    </w:p>
    <w:p>
      <w:pPr>
        <w:spacing w:after="0" w:line="51" w:lineRule="exact"/>
        <w:rPr>
          <w:sz w:val="20"/>
          <w:szCs w:val="20"/>
          <w:color w:val="auto"/>
        </w:rPr>
      </w:pPr>
    </w:p>
    <w:p>
      <w:pPr>
        <w:ind w:left="520" w:hanging="324"/>
        <w:spacing w:after="0" w:line="269" w:lineRule="auto"/>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sea trial speed test shall be conducted in water with a depth greater than 100m and at a deep ballast draft corresponding to the model tests.</w:t>
      </w:r>
    </w:p>
    <w:p>
      <w:pPr>
        <w:spacing w:after="0" w:line="51"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and sea conditions shall be Beaufort 6 or less, subject to approval of both parties.</w:t>
      </w:r>
    </w:p>
    <w:p>
      <w:pPr>
        <w:spacing w:after="0" w:line="107" w:lineRule="exact"/>
        <w:rPr>
          <w:rFonts w:ascii="Times New Roman" w:cs="Times New Roman" w:eastAsia="Times New Roman" w:hAnsi="Times New Roman"/>
          <w:sz w:val="20"/>
          <w:szCs w:val="20"/>
          <w:color w:val="auto"/>
        </w:rPr>
      </w:pPr>
    </w:p>
    <w:p>
      <w:pPr>
        <w:ind w:left="520" w:hanging="324"/>
        <w:spacing w:after="0" w:line="269" w:lineRule="auto"/>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Assessment of the distance traveled for determining the performance speed shall be conducted by means of DGPS (Differential Global Positioning System).</w:t>
      </w:r>
    </w:p>
    <w:p>
      <w:pPr>
        <w:spacing w:after="0" w:line="51"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influence of rudder helm during the test shall be avoided.</w:t>
      </w:r>
    </w:p>
    <w:p>
      <w:pPr>
        <w:spacing w:after="0" w:line="107" w:lineRule="exact"/>
        <w:rPr>
          <w:rFonts w:ascii="Times New Roman" w:cs="Times New Roman" w:eastAsia="Times New Roman" w:hAnsi="Times New Roman"/>
          <w:sz w:val="20"/>
          <w:szCs w:val="20"/>
          <w:color w:val="auto"/>
        </w:rPr>
      </w:pPr>
    </w:p>
    <w:p>
      <w:pPr>
        <w:ind w:left="520" w:right="20" w:hanging="324"/>
        <w:spacing w:after="0" w:line="269" w:lineRule="auto"/>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speed trial shall consist of runs in alternate directions at each of four power levels defined in the Specification.</w:t>
      </w:r>
    </w:p>
    <w:p>
      <w:pPr>
        <w:spacing w:after="0" w:line="51"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speed trial shall be corrected to calm water (no wind, no waves, no current) according to ISO 15016 “Ships and Marine Technology – Guidelines for the Assessment of Speed and Power Performance by Analysis of Speed Trial Data”.</w:t>
      </w:r>
    </w:p>
    <w:p>
      <w:pPr>
        <w:spacing w:after="0" w:line="66"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the speed trial at the ballast condition shall be projected, based on the model test results and the procedure developed by the model basin and approved by BUYER, to determine the speed at the design draft and main engine NCR power level with [*]% sea margin.</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Fuel Consumption: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8" w:right="999" w:bottom="1440" w:gutter="0" w:footer="0" w:header="0"/>
        </w:sectPr>
      </w:pPr>
    </w:p>
    <w:bookmarkStart w:id="272" w:name="page273"/>
    <w:bookmarkEnd w:id="272"/>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main engine on the test bed shall not exceed [*] grams per kW per hour plus a [*]% tolerance when the engine develops [*]% of SMCR under ISO conditions and Tier II mode for Ultra Low Sulfur MGO and shall not exceed [*] kJ/kWh of total energy consumption plus [*]% tolerance when the engine develops [*]% of SMCR under ISO conditions under Tier II mode on Natural Gas from Liquefied Natural Gas (“LNG”) (hereinafter the “Guaranteed Fuel Consumption of the Main Engine”).</w:t>
      </w:r>
    </w:p>
    <w:p>
      <w:pPr>
        <w:spacing w:after="0" w:line="198"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diesel generators on the test bed shall not exceed [*] grams per kW per hour plus a [*]% tolerance when the engine develops [*]% of MCR under ISO conditions and Tier II mode for Ultra Low Sulfur MGO (Based on technical engine specification dated June 2015) or [*] kJ/kWh of total energy consumption plus a [*]% tolerance when the engine develops [*]% of MCR under ISO conditions under Tier II mode for Natural Gas from Liquefied Natural Gas (hereinafter the “Guaranteed Fuel Consumption of the Diesel Generators”).</w:t>
      </w:r>
    </w:p>
    <w:p>
      <w:pPr>
        <w:spacing w:after="0" w:line="194" w:lineRule="exact"/>
        <w:rPr>
          <w:sz w:val="20"/>
          <w:szCs w:val="20"/>
          <w:color w:val="auto"/>
        </w:rPr>
      </w:pPr>
    </w:p>
    <w:p>
      <w:pPr>
        <w:ind w:left="660" w:hanging="652"/>
        <w:spacing w:after="0"/>
        <w:tabs>
          <w:tab w:leader="none" w:pos="660" w:val="left"/>
        </w:tabs>
        <w:numPr>
          <w:ilvl w:val="0"/>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Classification, Rules and Regulations: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including its machinery, equipment and outfittings shall be constructed in accordance with the rules of and under special survey of the Classification Society, with the class notations set forth on Exhibit 9 (herein referred to as the “Class”). Upon delivery and acceptance of the VESSEL, the BUILDER shall deliver to the BUYER a classification certificate with such class notations in accordance with Paragraph 3(d), Article VII hereof. Decisions of the Classification Society as to compliance or non-compliance with the rules thereof shall be final and binding upon both parties hereto.</w:t>
      </w:r>
    </w:p>
    <w:p>
      <w:pPr>
        <w:spacing w:after="0" w:line="197"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its performance of the work under this Contract, the BUILDER shall comply with all applicable laws, rules, regulations, and requirements of the regulatory bodies, which term shall include the Classification Society, the U.S. Coast Guard, and others as set forth in the Specification. At delivery thereof, the VESSEL shall be built and equipped in compliance with all rules and regulations for registration under the flag of the United States of America with a Coastwise endorsement and have all certificates and meet all rules, regulations requirements of the Classification Society and of the regulatory bodies required for operation of the VESSEL in the foreign and domestic trades of the United States as described in the Specification. If work in addition to work required by the Specification is required as a result of any statute enacted after the date of execution of this Contract, or by regulations or rules adopted by any of the regulatory bodies after such date, said work shall be performed pursuant to a Change Order under Article V.</w:t>
      </w:r>
    </w:p>
    <w:p>
      <w:pPr>
        <w:spacing w:after="0" w:line="205"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fees and charges incidental to the classification and with respect to compliance with the above referred rules, regulations and requirements applicable as of the date of this Contract shall be for account of the BUILDER.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Subcontracting:</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at its sole discretion and responsibility, subcontract portions of the construction work of the VESSEL. However, to subcontract more than 15% of the total hull steel weight to a single contractor, the BUILDER will need the prior written consent of the BUYER. The BUILDER shall nevertheless always be responsible under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73" w:name="page274"/>
    <w:bookmarkEnd w:id="273"/>
    <w:p>
      <w:pPr>
        <w:ind w:left="660"/>
        <w:spacing w:after="0" w:line="269" w:lineRule="auto"/>
        <w:rPr>
          <w:sz w:val="20"/>
          <w:szCs w:val="20"/>
          <w:color w:val="auto"/>
        </w:rPr>
      </w:pPr>
      <w:r>
        <w:rPr>
          <w:rFonts w:ascii="Times New Roman" w:cs="Times New Roman" w:eastAsia="Times New Roman" w:hAnsi="Times New Roman"/>
          <w:sz w:val="20"/>
          <w:szCs w:val="20"/>
          <w:color w:val="auto"/>
        </w:rPr>
        <w:t>Contract for the quality, workmanship and materials of the VESSEL (excluding, however BUYER’s Supplies). The BUYER’s rights hereunder shall not be in any way reduced in respect of such subcontracted work.</w:t>
      </w:r>
    </w:p>
    <w:p>
      <w:pPr>
        <w:spacing w:after="0" w:line="169" w:lineRule="exact"/>
        <w:rPr>
          <w:sz w:val="20"/>
          <w:szCs w:val="20"/>
          <w:color w:val="auto"/>
        </w:rPr>
      </w:pPr>
    </w:p>
    <w:p>
      <w:pPr>
        <w:ind w:left="660" w:hanging="652"/>
        <w:spacing w:after="0"/>
        <w:tabs>
          <w:tab w:leader="none" w:pos="660"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Makers List</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 makers list of the equipment and machinery for the VESSEL is in Document No. ADE-CD-002 Rev A dated October 25th, 2022 (the “Makers List”). The BUILDER shall have the right to select any of the suppliers listed on the Makers List and may, subject to the BUYER’s prior written approval, select additional suppliers not listed on the Makers List. The BUILDER will advise the BUYER of individual suppliers selected by the BUILDER at least 30 days prior to any order being placed. If the BUYER requests the BUILDER to order any equipment or machinery from a supplier not selected by the BUILDER from the Maker’s List, the BUILDER will take reasonable steps to comply with such request, but the BUILDER may refuse to comply with the request unless the BUYER assumes the responsibility for the price and schedule impacts and for possible technical deficiencies, if any, compared with the BUILDER nominated supplier. The BUILDER assumes the responsibility for the price and schedule impacts and, subject to ARTICLE IX, for possible technical deficiencies for the BUILDER nominated supplier.</w:t>
      </w:r>
    </w:p>
    <w:p>
      <w:pPr>
        <w:spacing w:after="0" w:line="19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Registration: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be registered by the BUYER at its own cost and expense.</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color w:val="auto"/>
        </w:rPr>
        <w:t>ARTICLE II – CONTRACT PRICE AND TERMS OF PAYMENT</w:t>
      </w:r>
    </w:p>
    <w:p>
      <w:pPr>
        <w:spacing w:after="0" w:line="229" w:lineRule="exact"/>
        <w:rPr>
          <w:sz w:val="20"/>
          <w:szCs w:val="20"/>
          <w:color w:val="auto"/>
        </w:rPr>
      </w:pPr>
    </w:p>
    <w:p>
      <w:pPr>
        <w:ind w:left="660" w:hanging="652"/>
        <w:spacing w:after="0"/>
        <w:tabs>
          <w:tab w:leader="none" w:pos="66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 Price: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the VESSEL is THREE HUNDRED TWENTY-THREE MILLION DOLLARS ($323,000,000) (herein called the “Original Contract Price”). The purchase price of the VESSEL is exclusive of BUYER’s Supplies as provided in Article XVIII hereof. The Original Contract Price shall be subject to upward or downward adjustment, if any, as hereinafter set forth in this Contract (herein called the “Contract Price”). The Contract Price is inclusive of all sales, use, excise taxes and customs duties paid or payable with respect to the delivery and acceptance of the VESSEL, and all federal and state income taxes payable by the BUILDER.</w:t>
      </w:r>
    </w:p>
    <w:p>
      <w:pPr>
        <w:spacing w:after="0" w:line="197"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Contract Price includes a BUYER’s allowance of up to [*] for spares including the propeller and tailshaft and other supplies to be selected by the BUYER. The BUILDER shall purchase, arrange for delivery and put these supplies on the VESSEL prior to delivery, at the BUILDER’S cost. Any unexpended amounts of this allowance shall be paid to the BUYER or offset against amounts due the BUILDER at delivery of the VESSEL. For the avoidance of doubt, the BUYER is responsible for the cost of spares in excess of the allowance.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74" w:name="page275"/>
    <w:bookmarkEnd w:id="274"/>
    <w:p>
      <w:pPr>
        <w:ind w:left="652" w:hanging="652"/>
        <w:spacing w:after="0"/>
        <w:tabs>
          <w:tab w:leader="none" w:pos="652"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972" w:hanging="324"/>
        <w:spacing w:after="0" w:line="247" w:lineRule="auto"/>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pay the Contract Price to the BUILDER in: (i) a series of Milestone Payments throughout the construction period as provided in Paragraph 2(b) of this ARTICLE II; (ii) a Delivery Payment as provided in Paragraph 2(c) of this ARTICLE II; and (iii) a Guarantee Payment as provided in Paragraph 2(d) of this</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Payments shall be calculated as set forth in Exhibit 1. The first Milestone Payment shall be made concurrent with execution of this Contract and the Milestone Payment for Delivery shall be made concurrent with delivery of the VESSEL as provided in subparagraph (c) below. Each other Milestone Payment shall be made within fifteen (15) Business Days after the BUYER’s receipt of an invoice for such Milestone Payment from the BUILDER. The BUILDER’s invoice for each Milestone Payment shall be accompanied by the Certificate executed by an officer of the BUILDER and the BUYER certifying as to completion of the applicable milestone and including a no lien’s representation, in the forms set forth in Exhibits 2 and 7, supported by such other documentation as reasonably may be required by the BUYER. If there shall be any dispute as to the amount payable, then the BUYER shall deposit the disputed amount into escrow in accordance with subparagraph 2(c) of Article VII.</w:t>
      </w:r>
    </w:p>
    <w:p>
      <w:pPr>
        <w:spacing w:after="0" w:line="205" w:lineRule="exact"/>
        <w:rPr>
          <w:rFonts w:ascii="Times New Roman" w:cs="Times New Roman" w:eastAsia="Times New Roman" w:hAnsi="Times New Roman"/>
          <w:sz w:val="20"/>
          <w:szCs w:val="20"/>
          <w:color w:val="auto"/>
        </w:rPr>
      </w:pPr>
    </w:p>
    <w:p>
      <w:pPr>
        <w:jc w:val="both"/>
        <w:ind w:left="972" w:hanging="324"/>
        <w:spacing w:after="0" w:line="263" w:lineRule="auto"/>
        <w:tabs>
          <w:tab w:leader="none" w:pos="972" w:val="left"/>
        </w:tabs>
        <w:numPr>
          <w:ilvl w:val="1"/>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Delivery Payment in the amount set forth in Exhibit 1 shall be paid at delivery of the VESSEL, subject to (i) deferral of payment of the amounts stated in the Delivery Certificate agreed to be withheld under the provisions of ARTICLE VII, Paragraph 2, and (ii) less the amount of liquidated damages, if any, at the time of delivery claimed by the BUYER pursuant to ARTICLE III. If there shall be any dispute as to the amount payable, then the BUYER shall deposit the disputed amount into escrow in accordance with subparagraph 2(c) of Article VII.</w:t>
      </w:r>
    </w:p>
    <w:p>
      <w:pPr>
        <w:spacing w:after="0" w:line="179" w:lineRule="exact"/>
        <w:rPr>
          <w:rFonts w:ascii="Times New Roman" w:cs="Times New Roman" w:eastAsia="Times New Roman" w:hAnsi="Times New Roman"/>
          <w:sz w:val="19"/>
          <w:szCs w:val="19"/>
          <w:color w:val="auto"/>
        </w:rPr>
      </w:pPr>
    </w:p>
    <w:p>
      <w:pPr>
        <w:jc w:val="both"/>
        <w:ind w:left="972" w:hanging="324"/>
        <w:spacing w:after="0" w:line="249" w:lineRule="auto"/>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Payment in the amount set forth in Exhibit 1, less the amount of liquidated damages, if any, agreed to be withheld pursuant to ARTICLE III, shall be deposited by the BUYER at the delivery of the VESSEL into escrow subject to the Escrow Instructions in the form of Exhibit 3 (the “Escrow Instructions”) and shall be paid to BUILDER as and when provided under subparagraph 5(f) of ARTICLE IX.</w:t>
      </w:r>
    </w:p>
    <w:p>
      <w:pPr>
        <w:spacing w:after="0" w:line="193"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be entitled to withhold from any payment any liquidated damages that are payable under</w:t>
      </w:r>
    </w:p>
    <w:p>
      <w:pPr>
        <w:spacing w:after="0" w:line="21" w:lineRule="exact"/>
        <w:rPr>
          <w:rFonts w:ascii="Times New Roman" w:cs="Times New Roman" w:eastAsia="Times New Roman" w:hAnsi="Times New Roman"/>
          <w:sz w:val="20"/>
          <w:szCs w:val="20"/>
          <w:color w:val="auto"/>
        </w:rPr>
      </w:pP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payments shall be made by the BUYER to the BUILDER except upon invoices submitted in the form set forth in Exhibit 4 executed and certified by the BUILDER in such manner as the BUYER may reasonably prescribe. Except for the first Milestone Payment, all payments shall be supported by the certificate as provided in Paragraph 2(d) or 2(e) of ARTICLE XVI, and in the case of Milestone Payments, by the Certificate and any additional information required by Paragraph 2(b) of this ARTICLE II.</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or decrease in the Contract Price resulting from a Contract Change under ARTICLE V shall be deemed a part of the Contract Price for the purpose of determining the payments under this ARTICLE II. Timing of payments or credits for a Contract Change will be mutually agreed as part of the Contract Change under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75" w:name="page276"/>
    <w:bookmarkEnd w:id="275"/>
    <w:p>
      <w:pPr>
        <w:ind w:left="660" w:hanging="652"/>
        <w:spacing w:after="0"/>
        <w:tabs>
          <w:tab w:leader="none" w:pos="66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Method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660"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remit the amount of each of the payments required by Paragraph 2 of this Article II by wire transfer in accordance with wire instructions provided by the BUILDER to the BUYER.</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for Increase or Decrease in Steel Cost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Contract Price shall be subject to adjustment to reflect any increase or decrease in the cost of steel (inclusive of plates and profiles), determined in accordance with this Paragraph 4. The steel cost adjustment shall be computed using the following formula: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 ((Actual Steel Price / Base Steel Price) – 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calculation:</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“Actual Steel Price” means the weighted average of the monthly values of the Index published for the months during which the BUILDER actually orders each amount of steel for the VESSEL. The Actual Steel Price shall be expressed as value/short ton.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“Base Steel Price” means $[*]/short ton ($[*]/metric ton).</w:t>
      </w:r>
    </w:p>
    <w:p>
      <w:pPr>
        <w:spacing w:after="0" w:line="229"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“Index” means the CRU Plate Index for A36 Plate as published by the CRU / The Independent Authority™ (CRU) in London, England.</w:t>
      </w:r>
    </w:p>
    <w:p>
      <w:pPr>
        <w:spacing w:after="0" w:line="17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Upon delivery of the VESSEL, the BUILDER shall compute the steel cost adjustment to the Contract Price pursuant to this Paragraph 4. If a positive adjustment results, the BUILDER shall invoice the BUYER and the BUYER shall pay such amount at delivery of the VESSEL. If a negative adjustment results, the BUILDER shall credit such amount against the delivery payment for the VESSEL.</w:t>
      </w:r>
    </w:p>
    <w:p>
      <w:pPr>
        <w:spacing w:after="0" w:line="193"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An example of the steel cost adjustment is attached hereto as Exhibit 5 and is incorporated herein and made part of this Contract.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LIQUIDATED DAMAGES AND TERMINATION RIGHTS</w:t>
      </w:r>
    </w:p>
    <w:p>
      <w:pPr>
        <w:spacing w:after="0" w:line="23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Contract Price shall be subject to adjustment, as hereinafter set forth, in the event of the following contingencies (it being understood by both parties that any reduction of the Contract Price is by way of liquidated damages and not by way of penalty). The BUYER shall be entitled to offset or recoup from payments of the Contract Price as provided in Article II liquidated damages, or to exercise the below rights, upon the occurrence of the following: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276" w:name="page277"/>
    <w:bookmarkEnd w:id="276"/>
    <w:p>
      <w:pPr>
        <w:ind w:left="652" w:hanging="571"/>
        <w:spacing w:after="0"/>
        <w:tabs>
          <w:tab w:leader="none" w:pos="652"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732" w:hanging="327"/>
        <w:spacing w:after="0" w:line="246" w:lineRule="auto"/>
        <w:tabs>
          <w:tab w:leader="none" w:pos="732" w:val="left"/>
        </w:tabs>
        <w:numPr>
          <w:ilvl w:val="3"/>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pay liquidated damages for the first [*] days of delay of the delivery of the VESSEL beyond the Delivery Date as defined in Article VII hereof (ending at twelve o’clock midnight of the [*] day of delay) (the “Grace Period”). If the last day of the Grace Period does not fall on a Business Day, then the Grace Period shall be extended to the immediately following Business Day. “Business Day” means a day (other than a Saturday or Sunday) on which banks are open for general business in New York, NY.</w:t>
      </w:r>
    </w:p>
    <w:p>
      <w:pPr>
        <w:spacing w:after="0" w:line="198" w:lineRule="exact"/>
        <w:rPr>
          <w:rFonts w:ascii="Times New Roman" w:cs="Times New Roman" w:eastAsia="Times New Roman" w:hAnsi="Times New Roman"/>
          <w:sz w:val="20"/>
          <w:szCs w:val="20"/>
          <w:color w:val="auto"/>
        </w:rPr>
      </w:pPr>
    </w:p>
    <w:p>
      <w:pPr>
        <w:jc w:val="both"/>
        <w:ind w:left="732" w:hanging="327"/>
        <w:spacing w:after="0" w:line="241" w:lineRule="auto"/>
        <w:tabs>
          <w:tab w:leader="none" w:pos="732" w:val="left"/>
        </w:tabs>
        <w:numPr>
          <w:ilvl w:val="3"/>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if the delay in delivery of the VESSEL should continue for a period in excess of the Grace Period, then in such event, the BUILDER shall be responsible to the BUYER for payment of liquidated damages in the amount of [*] per day for each day that the delivery of the VESSEL is delayed beyond the end of the Grace Period. The total amount of liquidated damages shall not, however, exceed the amount that would be payable in the case of a delay of [*] days beyond the end of the Grace Period. If the delay in delivery of the VESSEL should continue for a period in excess of [*] days beyond the end of the Grace Period, then BUYER may at its option terminate this Contract in accordance with the provisions of Article X hereof. The BUILDER may, at any time after the expiration of the aforementioned [*] days of delay in delivery beyond the end of the Grace Period, if the BUYER has not served notice of termination as provided in Article X hereof, demand in writing that the BUYER shall make an election, in which case the BUYER shall, within fifteen (15) days after such demand is received by the BUYER, notify the BUILDER of its intention either to terminate this Contract or to consent to the acceptance of the VESSEL at an agreed future date; it being understood by the parties hereto that, if the VESSEL is not delivered by such future date, the BUYER shall have the same right of termination upon the same terms and conditions as hereinabove provided. For clarity, the BUILDER shall not be responsible for, and the BUYER shall not be entitled to receive, liquidated damages for any day of delay of delivery of the VESSEL on account of Permissible Delay as defined in Article VII, Paragraph 1(b).</w:t>
      </w:r>
    </w:p>
    <w:p>
      <w:pPr>
        <w:spacing w:after="0" w:line="202"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Speed</w:t>
      </w:r>
    </w:p>
    <w:p>
      <w:pPr>
        <w:spacing w:after="0" w:line="233"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Speed is set forth in Article 1.</w:t>
      </w:r>
    </w:p>
    <w:p>
      <w:pPr>
        <w:spacing w:after="0" w:line="175"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52"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speed of the VESSEL being less than the Guaranteed Speed minus 0.2 knots. However commencing with and including a deficiency of 0.2 knots below the Guaranteed Speed, liquidated damages shall be payable as set forth below:</w:t>
      </w:r>
    </w:p>
    <w:p>
      <w:pPr>
        <w:spacing w:after="0" w:line="133"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5"/>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0.2 up to and including 0.5 knots below at $[*] per 0.1 knot below, and</w:t>
      </w:r>
    </w:p>
    <w:p>
      <w:pPr>
        <w:spacing w:after="0" w:line="175"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5"/>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0.6 up to and including 1 knots below at $[*] per 0.1 knot below.</w:t>
      </w:r>
    </w:p>
    <w:p>
      <w:pPr>
        <w:spacing w:after="0" w:line="175" w:lineRule="exact"/>
        <w:rPr>
          <w:rFonts w:ascii="Times New Roman" w:cs="Times New Roman" w:eastAsia="Times New Roman" w:hAnsi="Times New Roman"/>
          <w:sz w:val="20"/>
          <w:szCs w:val="20"/>
          <w:color w:val="auto"/>
        </w:rPr>
      </w:pPr>
    </w:p>
    <w:p>
      <w:pPr>
        <w:ind w:left="652" w:hanging="328"/>
        <w:spacing w:after="0" w:line="269" w:lineRule="auto"/>
        <w:tabs>
          <w:tab w:leader="none" w:pos="652"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deficiency in the Vessel Speed is more than 1 knot, the BUYER shall have the option of a total of $[*] deduction; or a right to reject the VESSEL and terminate this Contract.</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Excessive Fuel Consumption of the Main Engine</w:t>
      </w:r>
    </w:p>
    <w:p>
      <w:pPr>
        <w:spacing w:after="0" w:line="233" w:lineRule="exact"/>
        <w:rPr>
          <w:rFonts w:ascii="Times New Roman" w:cs="Times New Roman" w:eastAsia="Times New Roman" w:hAnsi="Times New Roman"/>
          <w:sz w:val="20"/>
          <w:szCs w:val="20"/>
          <w:b w:val="1"/>
          <w:bCs w:val="1"/>
          <w:color w:val="auto"/>
        </w:rPr>
      </w:pPr>
    </w:p>
    <w:p>
      <w:pPr>
        <w:jc w:val="both"/>
        <w:ind w:left="652" w:right="20" w:hanging="328"/>
        <w:spacing w:after="0" w:line="254" w:lineRule="auto"/>
        <w:tabs>
          <w:tab w:leader="none" w:pos="652"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Fuel Consumptions of the Main Engine for Ultra Low Sulfur MGO and LNG are set forth in Article I. The actual fuel consumptions of the main engine shall be determined by separate shop trials of the model of the VESSEL main engine on the test stand at the manufacturer’s Factory Authorized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277" w:name="page278"/>
    <w:bookmarkEnd w:id="277"/>
    <w:p>
      <w:pPr>
        <w:jc w:val="both"/>
        <w:ind w:left="652" w:hanging="328"/>
        <w:spacing w:after="0" w:line="249" w:lineRule="auto"/>
        <w:tabs>
          <w:tab w:leader="none" w:pos="652"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fuel consumption of the main engine being more than the Guaranteed Fuel Consumption of the Main Engine up to [*]% over of the Guarantee for Ultra Low Sulfur MGO and LNG. However liquidated damages will be assessed for consumption in excess of the guarantee as follows:</w:t>
      </w:r>
    </w:p>
    <w:p>
      <w:pPr>
        <w:spacing w:after="0" w:line="139"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 for each full gram/kWh above the [*]% tolerance;</w:t>
      </w:r>
    </w:p>
    <w:p>
      <w:pPr>
        <w:spacing w:after="0" w:line="175"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3 below, the total amount payable shall not exceed [*]; and</w:t>
      </w:r>
    </w:p>
    <w:p>
      <w:pPr>
        <w:spacing w:after="0" w:line="175"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all efforts and remedies, the Main Engine fuel consumption is more than [*]% above the Guaranteed Fuel Consumption, the liquidated damages will be [*].</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Loadable Container Capacities</w:t>
      </w:r>
    </w:p>
    <w:p>
      <w:pPr>
        <w:spacing w:after="0" w:line="233" w:lineRule="exact"/>
        <w:rPr>
          <w:rFonts w:ascii="Times New Roman" w:cs="Times New Roman" w:eastAsia="Times New Roman" w:hAnsi="Times New Roman"/>
          <w:sz w:val="20"/>
          <w:szCs w:val="20"/>
          <w:b w:val="1"/>
          <w:bCs w:val="1"/>
          <w:color w:val="auto"/>
        </w:rPr>
      </w:pPr>
    </w:p>
    <w:p>
      <w:pPr>
        <w:ind w:left="652" w:right="20" w:hanging="328"/>
        <w:spacing w:after="0" w:line="269" w:lineRule="auto"/>
        <w:tabs>
          <w:tab w:leader="none" w:pos="652"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Loadable Container Capacities of the VESSEL are set forth in Article 1 and the Specification. The Guaranteed Loadable Container Capacity shall be confirmed by the Class approved Trim &amp; Stability Booklet.</w:t>
      </w:r>
    </w:p>
    <w:p>
      <w:pPr>
        <w:spacing w:after="0" w:line="172" w:lineRule="exact"/>
        <w:rPr>
          <w:rFonts w:ascii="Times New Roman" w:cs="Times New Roman" w:eastAsia="Times New Roman" w:hAnsi="Times New Roman"/>
          <w:sz w:val="20"/>
          <w:szCs w:val="20"/>
          <w:color w:val="auto"/>
        </w:rPr>
      </w:pPr>
    </w:p>
    <w:p>
      <w:pPr>
        <w:jc w:val="both"/>
        <w:ind w:left="652" w:hanging="328"/>
        <w:spacing w:after="0" w:line="246" w:lineRule="auto"/>
        <w:tabs>
          <w:tab w:leader="none" w:pos="652"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loadable container capacity of the VESSEL of TEUs consisting of hi-cube containers at a homogeneous weight of [*] MT per TEU at a draft of [*] m as determined by the Cargomax load program software utilizing the input data defined by the BUILDER is less than the Guaranteed Loadable Container Capacity, the BUYER shall have the option to: (i) obtain payment of liquidated damages at $[*] for each hi-cube TEU lost or (ii) reject the VESSEL and terminate this Contract.</w:t>
      </w:r>
    </w:p>
    <w:p>
      <w:pPr>
        <w:spacing w:after="0" w:line="19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Termination and Offset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 other provision of this Article III, it is expressly understood and agreed by the parties hereto that: (a) if the BUYER terminates this Contract under this Article III, the BUYER shall not be entitled to any liquidated damages and in the event that any liquidated damages have been paid to the BUYER, the paid amount shall be deducted from the sums stipulated in Article X, Paragraph 1.f which otherwise would be payable to the BUYER; and (b) if BUYER does not terminate this Contract under this Article III, any amount of liquidated damages payable under this Article III may be offset from all payments due on the Contract Price. In the event the BUYER elects to reject the VESSEL and terminate this Contract, the BUYER shall be entitled to elect any of the remedies provided in Article X.</w:t>
      </w:r>
    </w:p>
    <w:p>
      <w:pPr>
        <w:spacing w:after="0" w:line="199" w:lineRule="exact"/>
        <w:rPr>
          <w:sz w:val="20"/>
          <w:szCs w:val="20"/>
          <w:color w:val="auto"/>
        </w:rPr>
      </w:pPr>
    </w:p>
    <w:p>
      <w:pPr>
        <w:jc w:val="center"/>
        <w:ind w:left="1000" w:right="200"/>
        <w:spacing w:after="0" w:line="273" w:lineRule="auto"/>
        <w:rPr>
          <w:sz w:val="20"/>
          <w:szCs w:val="20"/>
          <w:color w:val="auto"/>
        </w:rPr>
      </w:pPr>
      <w:r>
        <w:rPr>
          <w:rFonts w:ascii="Times New Roman" w:cs="Times New Roman" w:eastAsia="Times New Roman" w:hAnsi="Times New Roman"/>
          <w:sz w:val="20"/>
          <w:szCs w:val="20"/>
          <w:b w:val="1"/>
          <w:bCs w:val="1"/>
          <w:color w:val="auto"/>
        </w:rPr>
        <w:t>ARTICLE IV – WORK, SUPERVISION AND INSPECTION AND APPROVAL OF PLANS AND DRAWINGS, REPORTING</w:t>
      </w:r>
    </w:p>
    <w:p>
      <w:pPr>
        <w:spacing w:after="0" w:line="165" w:lineRule="exact"/>
        <w:rPr>
          <w:sz w:val="20"/>
          <w:szCs w:val="20"/>
          <w:color w:val="auto"/>
        </w:rPr>
      </w:pPr>
    </w:p>
    <w:p>
      <w:pPr>
        <w:ind w:left="652" w:hanging="652"/>
        <w:spacing w:after="0"/>
        <w:tabs>
          <w:tab w:leader="none" w:pos="652"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Work and Material</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be constructed in a good, sound and workmanlike manner, in accordance with the U.S. and international shipbuilding and marine engineering standards and practices defined in the Specification (including, without limitation, those of ISO9001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78" w:name="page279"/>
    <w:bookmarkEnd w:id="278"/>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and ISO9002). All materials incorporated in the VESSEL shall be new, suitable, and of good commercial marine quality for the service intended.</w:t>
      </w:r>
    </w:p>
    <w:p>
      <w:pPr>
        <w:spacing w:after="0" w:line="169" w:lineRule="exact"/>
        <w:rPr>
          <w:sz w:val="20"/>
          <w:szCs w:val="20"/>
          <w:color w:val="auto"/>
        </w:rPr>
      </w:pPr>
    </w:p>
    <w:p>
      <w:pPr>
        <w:ind w:left="660" w:hanging="652"/>
        <w:spacing w:after="0"/>
        <w:tabs>
          <w:tab w:leader="none" w:pos="660" w:val="left"/>
        </w:tabs>
        <w:numPr>
          <w:ilvl w:val="0"/>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of Plans and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thirty (30) days after the date hereof, the parties hereto shall mutually agree upon a list of the plans and drawings for the VESSEL to be submitted to the BUYER and the submittal schedule therefor. The BUILDER shall submit electronic copies of such plans and drawings in English to the BUYER and the BUYER shall have fourteen (14) days to review and approve, disapprove or comment. The BUYER shall, within such 14-day period, return to the BUILDER electronic copies of such plans and drawings with the BUYER’s approval, disapproval or comments, if any. In the event that the BUYER shall fail to return such plans and drawings to the BUILDER within such 14-day period, such plans and drawings shall be deemed to have been automatically approved without any comment. Any disapproval by the BUYER shall include the reasons for the disapproval and shall be a result of nonconformance with the Specification or good shipbuilding practice (as described in Article IV, Paragraph 1). Any request by the BUYER for changes to any of these plans and drawings not in accordance with the Specification or good commercial shipbuilding practice, except those required by regulatory bodies, shall be handled as a request for change to the Specification in accordance with Paragraph 1, Article V. Any plans which subsequent to the BUYER’s approval require alteration shall be resubmitted to the BUYER for approval of the alteration and its impact. The BUILDER shall respond to the BUYER’s comments or disapproval within fourteen (14) days of receipt. In the event that the BUILDER shall fail to respond to the BUYER’s comments within such 14-day period, such comments shall be deemed to have been accepted.</w:t>
      </w:r>
    </w:p>
    <w:p>
      <w:pPr>
        <w:spacing w:after="0" w:line="202"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Buyer’s Representative and Builder’s Representative: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appoint, at its cost, two representatives who shall be duly authorized in writing by the BUYER (herein called the “Buyer’s Representative(s)”) to act on behalf of the BUYER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BUYER. In case the Buyer’s Representative is not stationed at the Shipyard, the BUYER shall give clear instructions to the BUILDER regarding the authority of other personnel representing the BUYER at the Shipyard.</w:t>
      </w:r>
    </w:p>
    <w:p>
      <w:pPr>
        <w:spacing w:after="0" w:line="199" w:lineRule="exact"/>
        <w:rPr>
          <w:rFonts w:ascii="Times New Roman" w:cs="Times New Roman" w:eastAsia="Times New Roman" w:hAnsi="Times New Roman"/>
          <w:sz w:val="20"/>
          <w:szCs w:val="20"/>
          <w:b w:val="1"/>
          <w:bCs w:val="1"/>
          <w:color w:val="auto"/>
        </w:rPr>
      </w:pPr>
    </w:p>
    <w:p>
      <w:pPr>
        <w:jc w:val="both"/>
        <w:ind w:left="6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BUILDER shall appoint one representative who shall be duly authorized in writing by the BUILDER (herein called “Builder’s Representative”) to act on behalf of the BUILDER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BUILDER. The BUYER has the right to request the BUILDER to replace the Builder’s Representative and/or his assistants who may be deemed unsuitable and unsatisfactory for the proper progress of the VESSEL’s construction. The BUILDER shall investigate the situation and if the BUILDER considers that such BUYER’s request is justified, the BUILDER shall effect such replacement as soon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79" w:name="page280"/>
    <w:bookmarkEnd w:id="279"/>
    <w:p>
      <w:pPr>
        <w:ind w:left="652" w:hanging="652"/>
        <w:spacing w:after="0"/>
        <w:tabs>
          <w:tab w:leader="none" w:pos="652" w:val="left"/>
        </w:tabs>
        <w:numPr>
          <w:ilvl w:val="0"/>
          <w:numId w:val="3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Supervision and Inspection:</w:t>
      </w:r>
    </w:p>
    <w:p>
      <w:pPr>
        <w:spacing w:after="0" w:line="233" w:lineRule="exact"/>
        <w:rPr>
          <w:rFonts w:ascii="Times New Roman" w:cs="Times New Roman" w:eastAsia="Times New Roman" w:hAnsi="Times New Roman"/>
          <w:sz w:val="20"/>
          <w:szCs w:val="20"/>
          <w:b w:val="1"/>
          <w:bCs w:val="1"/>
          <w:color w:val="auto"/>
        </w:rPr>
      </w:pPr>
    </w:p>
    <w:p>
      <w:pPr>
        <w:jc w:val="both"/>
        <w:ind w:left="1292" w:right="20" w:hanging="644"/>
        <w:spacing w:after="0" w:line="244" w:lineRule="auto"/>
        <w:tabs>
          <w:tab w:leader="none" w:pos="129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necessary inspections of the VESSEL, its machinery, equipment and outfittings shall be carried out by the Buyer’s Representative, Classification Society, other regulatory bodies and/or an inspection team of the BUILDER throughout the entire period of construction, in order to ensure that the construction of the VESSEL is duly performed in accordance with this Contract. The BUILDER shall assign quality assurance personnel, who are independent of all production, scheduling, and marketing departments to inspect the work and materials to insure that the Contract requirements are met. The BUILDER will employ OEM representatives to supervise the installation of third party equipment as identified on the Makers List.</w:t>
      </w:r>
    </w:p>
    <w:p>
      <w:pPr>
        <w:spacing w:after="0" w:line="199" w:lineRule="exact"/>
        <w:rPr>
          <w:rFonts w:ascii="Times New Roman" w:cs="Times New Roman" w:eastAsia="Times New Roman" w:hAnsi="Times New Roman"/>
          <w:sz w:val="20"/>
          <w:szCs w:val="20"/>
          <w:color w:val="auto"/>
        </w:rPr>
      </w:pPr>
    </w:p>
    <w:p>
      <w:pPr>
        <w:jc w:val="both"/>
        <w:ind w:left="1292" w:hanging="644"/>
        <w:spacing w:after="0" w:line="242" w:lineRule="auto"/>
        <w:tabs>
          <w:tab w:leader="none" w:pos="129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and his assistants shall have, during the construction of the VESSEL, the right to attend all tests, trials and inspections of the VESSEL and its materials. The BUILDER shall give notice to the Buyer’s Representative reasonably in advance of the date (which in general shall be given no later than 1400 (2:00pm ET) on the prior Business Day), place and time of such tests, trials and inspections to be attended by him for his convenience. For weekend, or BUILDER holiday inspections, the schedule will be provided by noon on Friday for weekend inspections, or, for holidays, the Business Day preceding the holiday. The BUILDER shall furnish the BUYER an electronic copy of test procedures, related drawings and technical data required to carry out the inspection prior to the test or inspection in English. Failure of the Buyer’s Representative and/or his assistants to be present at such tests, trials and inspections after due notice to him as above provided shall be deemed a waiver of his right to be present. The BUILDER shall exercise reasonable efforts to schedule tests and, inspections between the hours of 7am and 6pm on Business Days. Final results shall be furnished to the BUYER for all tests, trials and inspections.</w:t>
      </w:r>
    </w:p>
    <w:p>
      <w:pPr>
        <w:spacing w:after="0" w:line="200" w:lineRule="exact"/>
        <w:rPr>
          <w:rFonts w:ascii="Times New Roman" w:cs="Times New Roman" w:eastAsia="Times New Roman" w:hAnsi="Times New Roman"/>
          <w:sz w:val="20"/>
          <w:szCs w:val="20"/>
          <w:color w:val="auto"/>
        </w:rPr>
      </w:pPr>
    </w:p>
    <w:p>
      <w:pPr>
        <w:jc w:val="both"/>
        <w:ind w:left="1292" w:hanging="644"/>
        <w:spacing w:after="0" w:line="258" w:lineRule="auto"/>
        <w:tabs>
          <w:tab w:leader="none" w:pos="1292" w:val="left"/>
        </w:tabs>
        <w:numPr>
          <w:ilvl w:val="1"/>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help to determine that the VESSEL is being constructed in accordance with the terms of this Contract and the Specification, the Buyer’s Representative and his assistants shall, at all times until delivery and acceptance of the VESSEL, have the right to inspect the VESSEL, her engines and all accessories and all work in progress, or material utilized in connection with or intended for the construction of the VESSEL, wherever such work is being done, or such material is stored, including the yards, workshops, stores and offices of the BUILDER and the BUILDER’s contractors and subcontractors. The BUILDER shall arrange with its contractors and subcontractors that the Buyer’s Representative and his assistants have a similar right of inspection and supervision with respect to the work performed by the contractors and subcontractors.</w:t>
      </w:r>
    </w:p>
    <w:p>
      <w:pPr>
        <w:spacing w:after="0" w:line="186" w:lineRule="exact"/>
        <w:rPr>
          <w:rFonts w:ascii="Times New Roman" w:cs="Times New Roman" w:eastAsia="Times New Roman" w:hAnsi="Times New Roman"/>
          <w:sz w:val="19"/>
          <w:szCs w:val="19"/>
          <w:color w:val="auto"/>
        </w:rPr>
      </w:pPr>
    </w:p>
    <w:p>
      <w:pPr>
        <w:jc w:val="both"/>
        <w:ind w:left="1292" w:hanging="644"/>
        <w:spacing w:after="0" w:line="254" w:lineRule="auto"/>
        <w:tabs>
          <w:tab w:leader="none" w:pos="129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requiring approval from the Classification Society or U.S. Coast Guard, such inspections shall, to the extent possible, be carried out as a joint inspection by the Buyer’s Representative and the representative of the Classification Society or U.S. Coast Guard,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98" w:right="999" w:bottom="1440" w:gutter="0" w:footer="0" w:header="0"/>
        </w:sectPr>
      </w:pPr>
    </w:p>
    <w:bookmarkStart w:id="280" w:name="page281"/>
    <w:bookmarkEnd w:id="280"/>
    <w:p>
      <w:pPr>
        <w:jc w:val="both"/>
        <w:ind w:left="1292" w:hanging="644"/>
        <w:spacing w:after="0" w:line="254" w:lineRule="auto"/>
        <w:tabs>
          <w:tab w:leader="none" w:pos="1292"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shall, on behalf of the BUYER, make decisions or give advice or suggestions to the BUILDER on all problems arising during the course of or in connection with the construction of the VESSEL with a view to co-operating to the utmost with the BUILDER in the construction process.</w:t>
      </w:r>
    </w:p>
    <w:p>
      <w:pPr>
        <w:spacing w:after="0" w:line="187" w:lineRule="exact"/>
        <w:rPr>
          <w:rFonts w:ascii="Times New Roman" w:cs="Times New Roman" w:eastAsia="Times New Roman" w:hAnsi="Times New Roman"/>
          <w:sz w:val="20"/>
          <w:szCs w:val="20"/>
          <w:color w:val="auto"/>
        </w:rPr>
      </w:pPr>
    </w:p>
    <w:p>
      <w:pPr>
        <w:jc w:val="both"/>
        <w:ind w:left="1292" w:hanging="644"/>
        <w:spacing w:after="0" w:line="245" w:lineRule="auto"/>
        <w:tabs>
          <w:tab w:leader="none" w:pos="1292"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Buyer’s Representative discovers any materials, construction or workmanship that is not deemed to conform to the requirements of this Contract, the Buyer’s Representative shall promptly give the Builder’s Representative a notice in writing as to such non-conformity. Upon receipt of such notice from the Buyer’s Representative, the BUILDER shall correct such non-conformity, if the BUILDER agrees to his view. In the event of difference of opinion between the parties hereto, the BUILDER or the BUYER may request resolution of the matter in accordance with the provisions of Article XIV hereof.</w:t>
      </w:r>
    </w:p>
    <w:p>
      <w:pPr>
        <w:spacing w:after="0" w:line="197"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acceptance or approval of the BUYER or the Buyer’s Representative or exercise of BUYER’s rights hereunder shall in no way alter or diminish the BUILDER’s obligations under this Contract or its obligation to comply with regulatory body requirements.</w:t>
      </w:r>
    </w:p>
    <w:p>
      <w:pPr>
        <w:spacing w:after="0" w:line="18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BUILDER:</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furnish the Buyer’s Representatives and his assistants with suitably lighted, heated and air conditioned office accommodations and conference facilities for up to ten (10) persons and more particularly as follows:</w:t>
      </w:r>
    </w:p>
    <w:p>
      <w:pPr>
        <w:spacing w:after="0" w:line="187" w:lineRule="exact"/>
        <w:rPr>
          <w:rFonts w:ascii="Times New Roman" w:cs="Times New Roman" w:eastAsia="Times New Roman" w:hAnsi="Times New Roman"/>
          <w:sz w:val="20"/>
          <w:szCs w:val="20"/>
          <w:color w:val="auto"/>
        </w:rPr>
      </w:pPr>
    </w:p>
    <w:p>
      <w:pPr>
        <w:ind w:left="1612" w:hanging="420"/>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Offices for ten on-site representatives complete with air conditioning and heat and furniture.</w:t>
      </w:r>
    </w:p>
    <w:p>
      <w:pPr>
        <w:spacing w:after="0" w:line="107" w:lineRule="exact"/>
        <w:rPr>
          <w:rFonts w:ascii="Times New Roman" w:cs="Times New Roman" w:eastAsia="Times New Roman" w:hAnsi="Times New Roman"/>
          <w:sz w:val="20"/>
          <w:szCs w:val="20"/>
          <w:color w:val="auto"/>
        </w:rPr>
      </w:pPr>
    </w:p>
    <w:p>
      <w:pPr>
        <w:ind w:left="1612" w:hanging="475"/>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dedicated parking spaces proximate to the location of offices.</w:t>
      </w:r>
    </w:p>
    <w:p>
      <w:pPr>
        <w:spacing w:after="0" w:line="107" w:lineRule="exact"/>
        <w:rPr>
          <w:rFonts w:ascii="Times New Roman" w:cs="Times New Roman" w:eastAsia="Times New Roman" w:hAnsi="Times New Roman"/>
          <w:sz w:val="20"/>
          <w:szCs w:val="20"/>
          <w:color w:val="auto"/>
        </w:rPr>
      </w:pPr>
    </w:p>
    <w:p>
      <w:pPr>
        <w:ind w:left="1612" w:hanging="530"/>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Lavatory facilities.</w:t>
      </w:r>
    </w:p>
    <w:p>
      <w:pPr>
        <w:spacing w:after="0" w:line="107" w:lineRule="exact"/>
        <w:rPr>
          <w:rFonts w:ascii="Times New Roman" w:cs="Times New Roman" w:eastAsia="Times New Roman" w:hAnsi="Times New Roman"/>
          <w:sz w:val="20"/>
          <w:szCs w:val="20"/>
          <w:color w:val="auto"/>
        </w:rPr>
      </w:pPr>
    </w:p>
    <w:p>
      <w:pPr>
        <w:ind w:left="1612" w:hanging="506"/>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individual offices, the remainder of desk locations may be arranged using dividers.</w:t>
      </w:r>
    </w:p>
    <w:p>
      <w:pPr>
        <w:spacing w:after="0" w:line="107" w:lineRule="exact"/>
        <w:rPr>
          <w:rFonts w:ascii="Times New Roman" w:cs="Times New Roman" w:eastAsia="Times New Roman" w:hAnsi="Times New Roman"/>
          <w:sz w:val="20"/>
          <w:szCs w:val="20"/>
          <w:color w:val="auto"/>
        </w:rPr>
      </w:pPr>
    </w:p>
    <w:p>
      <w:pPr>
        <w:ind w:left="1612" w:hanging="451"/>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internet connections.</w:t>
      </w:r>
    </w:p>
    <w:p>
      <w:pPr>
        <w:spacing w:after="0" w:line="107" w:lineRule="exact"/>
        <w:rPr>
          <w:rFonts w:ascii="Times New Roman" w:cs="Times New Roman" w:eastAsia="Times New Roman" w:hAnsi="Times New Roman"/>
          <w:sz w:val="20"/>
          <w:szCs w:val="20"/>
          <w:color w:val="auto"/>
        </w:rPr>
      </w:pPr>
    </w:p>
    <w:p>
      <w:pPr>
        <w:ind w:left="1612" w:hanging="519"/>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telephone lines and telephones. Long distance charges to be billed to the BUYER.</w:t>
      </w:r>
    </w:p>
    <w:p>
      <w:pPr>
        <w:spacing w:after="0" w:line="107" w:lineRule="exact"/>
        <w:rPr>
          <w:rFonts w:ascii="Times New Roman" w:cs="Times New Roman" w:eastAsia="Times New Roman" w:hAnsi="Times New Roman"/>
          <w:sz w:val="20"/>
          <w:szCs w:val="20"/>
          <w:color w:val="auto"/>
        </w:rPr>
      </w:pPr>
    </w:p>
    <w:p>
      <w:pPr>
        <w:ind w:left="1612" w:hanging="574"/>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desks, chairs, waste baskets, etc.</w:t>
      </w:r>
    </w:p>
    <w:p>
      <w:pPr>
        <w:spacing w:after="0" w:line="107" w:lineRule="exact"/>
        <w:rPr>
          <w:rFonts w:ascii="Times New Roman" w:cs="Times New Roman" w:eastAsia="Times New Roman" w:hAnsi="Times New Roman"/>
          <w:sz w:val="20"/>
          <w:szCs w:val="20"/>
          <w:color w:val="auto"/>
        </w:rPr>
      </w:pPr>
    </w:p>
    <w:p>
      <w:pPr>
        <w:ind w:left="1612" w:hanging="629"/>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Fax machine with dedicated phone line.</w:t>
      </w:r>
    </w:p>
    <w:p>
      <w:pPr>
        <w:spacing w:after="0" w:line="107" w:lineRule="exact"/>
        <w:rPr>
          <w:rFonts w:ascii="Times New Roman" w:cs="Times New Roman" w:eastAsia="Times New Roman" w:hAnsi="Times New Roman"/>
          <w:sz w:val="20"/>
          <w:szCs w:val="20"/>
          <w:color w:val="auto"/>
        </w:rPr>
      </w:pPr>
    </w:p>
    <w:p>
      <w:pPr>
        <w:ind w:left="1612" w:hanging="519"/>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Copier able to copy and scan in color, two sided and collate paper sizes of letter, legal and 11x17.</w:t>
      </w:r>
    </w:p>
    <w:p>
      <w:pPr>
        <w:spacing w:after="0" w:line="107" w:lineRule="exact"/>
        <w:rPr>
          <w:rFonts w:ascii="Times New Roman" w:cs="Times New Roman" w:eastAsia="Times New Roman" w:hAnsi="Times New Roman"/>
          <w:sz w:val="20"/>
          <w:szCs w:val="20"/>
          <w:color w:val="auto"/>
        </w:rPr>
      </w:pPr>
    </w:p>
    <w:p>
      <w:pPr>
        <w:ind w:left="1612" w:hanging="464"/>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dispenser with water refill service.</w:t>
      </w:r>
    </w:p>
    <w:p>
      <w:pPr>
        <w:spacing w:after="0" w:line="107" w:lineRule="exact"/>
        <w:rPr>
          <w:rFonts w:ascii="Times New Roman" w:cs="Times New Roman" w:eastAsia="Times New Roman" w:hAnsi="Times New Roman"/>
          <w:sz w:val="20"/>
          <w:szCs w:val="20"/>
          <w:color w:val="auto"/>
        </w:rPr>
      </w:pPr>
    </w:p>
    <w:p>
      <w:pPr>
        <w:ind w:left="1612" w:hanging="519"/>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 table.</w:t>
      </w:r>
    </w:p>
    <w:p>
      <w:pPr>
        <w:spacing w:after="0" w:line="107" w:lineRule="exact"/>
        <w:rPr>
          <w:rFonts w:ascii="Times New Roman" w:cs="Times New Roman" w:eastAsia="Times New Roman" w:hAnsi="Times New Roman"/>
          <w:sz w:val="20"/>
          <w:szCs w:val="20"/>
          <w:color w:val="auto"/>
        </w:rPr>
      </w:pPr>
    </w:p>
    <w:p>
      <w:pPr>
        <w:ind w:left="1612" w:hanging="574"/>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four drawer legal size file cabinets.</w:t>
      </w:r>
    </w:p>
    <w:p>
      <w:pPr>
        <w:spacing w:after="0" w:line="107" w:lineRule="exact"/>
        <w:rPr>
          <w:rFonts w:ascii="Times New Roman" w:cs="Times New Roman" w:eastAsia="Times New Roman" w:hAnsi="Times New Roman"/>
          <w:sz w:val="20"/>
          <w:szCs w:val="20"/>
          <w:color w:val="auto"/>
        </w:rPr>
      </w:pPr>
    </w:p>
    <w:p>
      <w:pPr>
        <w:ind w:left="1612" w:hanging="629"/>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Conference Table (8 person) with chairs.</w:t>
      </w:r>
    </w:p>
    <w:p>
      <w:pPr>
        <w:spacing w:after="0" w:line="107" w:lineRule="exact"/>
        <w:rPr>
          <w:rFonts w:ascii="Times New Roman" w:cs="Times New Roman" w:eastAsia="Times New Roman" w:hAnsi="Times New Roman"/>
          <w:sz w:val="20"/>
          <w:szCs w:val="20"/>
          <w:color w:val="auto"/>
        </w:rPr>
      </w:pPr>
    </w:p>
    <w:p>
      <w:pPr>
        <w:ind w:left="1612" w:hanging="605"/>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Microwave.</w:t>
      </w:r>
    </w:p>
    <w:p>
      <w:pPr>
        <w:spacing w:after="0" w:line="107" w:lineRule="exact"/>
        <w:rPr>
          <w:rFonts w:ascii="Times New Roman" w:cs="Times New Roman" w:eastAsia="Times New Roman" w:hAnsi="Times New Roman"/>
          <w:sz w:val="20"/>
          <w:szCs w:val="20"/>
          <w:color w:val="auto"/>
        </w:rPr>
      </w:pPr>
    </w:p>
    <w:p>
      <w:pPr>
        <w:ind w:left="1612" w:hanging="550"/>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Refrigerator with freezer – 15+ cubic ft.</w:t>
      </w:r>
    </w:p>
    <w:p>
      <w:pPr>
        <w:spacing w:after="0" w:line="107" w:lineRule="exact"/>
        <w:rPr>
          <w:rFonts w:ascii="Times New Roman" w:cs="Times New Roman" w:eastAsia="Times New Roman" w:hAnsi="Times New Roman"/>
          <w:sz w:val="20"/>
          <w:szCs w:val="20"/>
          <w:color w:val="auto"/>
        </w:rPr>
      </w:pPr>
    </w:p>
    <w:p>
      <w:pPr>
        <w:ind w:left="1612" w:hanging="618"/>
        <w:spacing w:after="0"/>
        <w:tabs>
          <w:tab w:leader="none" w:pos="1612" w:val="left"/>
        </w:tabs>
        <w:numPr>
          <w:ilvl w:val="2"/>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room with lockers, shower and cleaning services.</w:t>
      </w:r>
    </w:p>
    <w:p>
      <w:pPr>
        <w:spacing w:after="0" w:line="17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BUILDER: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the BUYER’S subcontractors, employees and agents, shall at all times be deemed to be employees or agents of the BUYER. The BUILDER</w:t>
      </w:r>
    </w:p>
    <w:p>
      <w:pPr>
        <w:spacing w:after="0" w:line="3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81" w:name="page282"/>
    <w:bookmarkEnd w:id="281"/>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shall be under no liability whatsoever for personal injuries to, or death of, such Buyer’s Representative or employees or agents of the BUYER, or for damage to, or loss or destruction of, their property, unless such injury, death, damage, loss or destruction is shown to have been caused by the gross negligence or willful acts of the BUILDER and/or its subcontractors and/or their employees or agents (including Builder’s Representative).</w:t>
      </w:r>
    </w:p>
    <w:p>
      <w:pPr>
        <w:spacing w:after="0" w:line="189" w:lineRule="exact"/>
        <w:rPr>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undertake and assure that the Buyer’s Representative shall carry out his duties hereunder in accordance with the normal shipbuilding practices of the BUILDER and in such a way as to avoid any unnecessary increase in building cost, delay in or interference with the design and construction of the VESSEL, and/or any disturbance in the construction schedule of the BUILDER. The BUILDER has the right to request the BUYER to replace the Buyer’s Representative and/or his assistants who may be deemed unsuitable and unsatisfactory for the proper progress of the VESSEL’s construction. The BUYER shall investigate the situation by sending his representatives to the Shipyard if necessary, and if the BUYER considers that such BUILDER’s request is justified, the BUYER shall effect such replacement as soon as practicable.</w:t>
      </w:r>
    </w:p>
    <w:p>
      <w:pPr>
        <w:spacing w:after="0" w:line="202"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BUYER’s subcontractors, employees and agents, shall comply with BUILDER’s standard security, safety, and environmental policies and procedures (including, without limitation, COVID-19 protocols) and also shall comply with all applicable federal, state, and local safety and environmental laws and regulations. BUILDER may deny access to the Shipyard to any person or entity who fails to comply with such policies, procedures, laws or regulations or has been banned from the Shipyard in the past on such basis.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employees, agents and subcontractors of the BUILDER shall at all times be deemed to be employees, agents and subcontractors of the BUILDER. The BUYER shall be under no liability whatsoever for personal injuries to, or death of, such BUILDER’s employees, agents, or subcontractors, or for damage to, or loss or destruction of, their property, unless such injury, death, damage, loss or destruction is shown to have been caused by the gross negligence or willful acts of the BUYER, and/or its subcontractors and/or their employees or agents (including Buyer’s Representative).</w:t>
      </w:r>
    </w:p>
    <w:p>
      <w:pPr>
        <w:spacing w:after="0" w:line="1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by Regulatory Bodies; BUYER’s access to Communications with Regulatory Bodies: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plans or data required by the Classification Society or other relevant regulatory bodies in connection with approval of the VESSEL shall be prepared and submitted by the BUILDER or its subcontractors and suppliers, except such data that is explicitly requested by the relevant regulatory body to be submitted by the BUYER. The BUILDER agrees to provide the BUYER with full reading and copying rights for all plan approval documents and written correspondence sent to or received from the Classification Society and other regulatory bodies and to sign the standard Classification Society authorization allowing such access. The BUILDER further agrees to copy the BUYER on all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82" w:name="page283"/>
    <w:bookmarkEnd w:id="282"/>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communications with the Classification Society and to make reasonable efforts to include the Buyer’s Representative in any in-person meetings with the Classification Society (it being understood that such meetings may proceed without the BUYER’s Representative in attendance) to the extent such communications or meetings will cover technical information (including comments originated from ABS design review). The BUILDER is not obligated to include the BUYER in communications or discussions (a) about commercial issues between the BUILDER, subcontractors and ABS, or (b) including documentation with proprietary information, unless expressly authorized by the owner of such information. The BUYER will provide a specific email address to be copied on email conversations to ease the collection burden of this requirement.</w:t>
      </w:r>
    </w:p>
    <w:p>
      <w:pPr>
        <w:spacing w:after="0" w:line="20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BUILDER, on behalf of itself and any subcontractors, shall grant oversight privileges to the BUYER and other related project team members through ABS Eagle Construct/Engineering Manager to allow the BUYER to review the design review status regarding pending and/or outstanding items and any other relevant technical information about the BUILDER and subcontractor scope.</w:t>
      </w:r>
    </w:p>
    <w:p>
      <w:pPr>
        <w:spacing w:after="0" w:line="193"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In addition, the BUILDER on behalf of itself and any subcontractors will give written permission for ABS to inform the BUYER and other related project team members, or notify directly under the BUYER’s formal request, the classification status regarding pending and/or outstanding items and any other relevant technical information about the BUILDER and subcontractor’s scope. Such permission should be emailed, faxed or mailed to ABS Account Manager, Project Manager, Attending Surveyor or Engineering office by the BUILDER on behalf of itself and any subcontractors.</w:t>
      </w:r>
    </w:p>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BUYER agrees to copy the BUILDER on all written communications with the Classification Society related to the BUILDER’s and its subcontractor’s scope and to make reasonable efforts to include the BUILDER’s Representative in any in-person meetings with the Classification Society (it being understood that such meetings may proceed without the BUILDER’s Representative in attendance).</w:t>
      </w:r>
    </w:p>
    <w:p>
      <w:pPr>
        <w:spacing w:after="0" w:line="19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addition, the BUYER shall not raise any issue or question regarding the VESSEL with ABS without first raising such issue or question with the BUILDER, and then only if the BUILDER’s response is unreasonably delayed or deemed inadequate.</w:t>
      </w:r>
    </w:p>
    <w:p>
      <w:pPr>
        <w:spacing w:after="0" w:line="184" w:lineRule="exact"/>
        <w:rPr>
          <w:sz w:val="20"/>
          <w:szCs w:val="20"/>
          <w:color w:val="auto"/>
        </w:rPr>
      </w:pPr>
    </w:p>
    <w:p>
      <w:pPr>
        <w:ind w:left="660" w:hanging="652"/>
        <w:spacing w:after="0"/>
        <w:tabs>
          <w:tab w:leader="none" w:pos="660" w:val="left"/>
        </w:tabs>
        <w:numPr>
          <w:ilvl w:val="0"/>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Master Schedule: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At the time of execution of this Contract, the BUYER shall be provided with the latest official version of the master schedule showing the main production activities for the VESSEL and the main production activities for the final outfitting, mechanical completion and testing of the VESSEL. The master schedule shall include the build strategy, master milestone schedule and key event schedule. The BUILDER shall report to the BUYER as to the purchasing schedule progress and the project progress percentage of completion on the VESSEL and tasks on a bi-weekly basis.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20"/>
          <w:szCs w:val="20"/>
          <w:b w:val="1"/>
          <w:bCs w:val="1"/>
          <w:color w:val="auto"/>
        </w:rPr>
        <w:t>ARTICLE V – MODIFICATIONS</w:t>
      </w:r>
    </w:p>
    <w:p>
      <w:pPr>
        <w:spacing w:after="0" w:line="229" w:lineRule="exact"/>
        <w:rPr>
          <w:sz w:val="20"/>
          <w:szCs w:val="20"/>
          <w:color w:val="auto"/>
        </w:rPr>
      </w:pPr>
    </w:p>
    <w:p>
      <w:pPr>
        <w:ind w:left="660" w:hanging="652"/>
        <w:spacing w:after="0"/>
        <w:tabs>
          <w:tab w:leader="none" w:pos="660" w:val="left"/>
        </w:tabs>
        <w:numPr>
          <w:ilvl w:val="0"/>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Modifications of Specification: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Specification may only be modified and/or changed by written agreement of the parties hereto. The BUILDER and the BUYER shall first agree, in writing, before such modifications and/or changes are carried out, to alterations in the Contract Price, the Delivery Date and other terms and conditions of this Contract and Specification occasioned by or resulting from such modifications and/or changes. There shall be no cost for the BUILDER’S provision of an estimate regardless whether a proposed change is implemented.</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such agreed changes shall be described on a change order in the form set forth in Exhibit 6 signed by the authorized representatives of the parties hereto manifesting agreements of the parties as to the work to be provided or deleted, and the effect on the Contract Price and the Delivery Date, which shall constitute amendments to this Contract and/or the Specification (each such change, a “Change Order”).</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make minor changes to the Specification, if found necessary to suit the BUILDER’s local facilities; the availability of materials; introduction of improved production methods or otherwise, provided that the BUILDER shall obtain the BUYER’s prior written approval, which shall not be unreasonably withheld.</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Based on Class Requirements, etc.:</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after the date of this Contract, any requirements as to class, or as to rules and regulations to which the construction of the VESSEL is required to conform, are altered or changed by the Classification Society or the other regulatory bodies authorized to make such alterations or changes, the following provisions shall apply:</w:t>
      </w:r>
    </w:p>
    <w:p>
      <w:pPr>
        <w:spacing w:after="0" w:line="187" w:lineRule="exact"/>
        <w:rPr>
          <w:rFonts w:ascii="Times New Roman" w:cs="Times New Roman" w:eastAsia="Times New Roman" w:hAnsi="Times New Roman"/>
          <w:sz w:val="20"/>
          <w:szCs w:val="20"/>
          <w:b w:val="1"/>
          <w:bCs w:val="1"/>
          <w:color w:val="auto"/>
        </w:rPr>
      </w:pPr>
    </w:p>
    <w:p>
      <w:pPr>
        <w:jc w:val="both"/>
        <w:ind w:left="980" w:hanging="324"/>
        <w:spacing w:after="0" w:line="243" w:lineRule="auto"/>
        <w:tabs>
          <w:tab w:leader="none" w:pos="980"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compulsory for the VESSEL, either of the parties hereto, upon receipt of such information from the Classification Society or such other regulatory bodies, shall promptly transmit the same to the other in writing, and the BUILDER shall thereupon incorporate such alterations or changes into the construction of the VESSEL. The BUILDER shall present to the BUYER the adjustment required by the BUILDER in the Contract Price, the Delivery Date and other terms and conditions of this Contract occasioned by the change. The adjustment shall then be agreed on as a Change Order in accordance with Paragraph 1 of this Article. If the parties cannot agree on the Change Order, then the matter shall be submitted for final decision in accordance with Article XIV hereof. In such case, work on the compulsory alteration or change shall proceed without waiting for the final decision on the Change Order.</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not compulsory for the VESSEL, but the BUYER desires to incorporate such alterations or changes into the construction of the VESSEL, then, the BUYER shall notify the BUILDER of such intention and such notice shall be treated as a request for a modification or change in accordance with Paragraph 1 of this Article.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84" w:name="page285"/>
    <w:bookmarkEnd w:id="284"/>
    <w:p>
      <w:pPr>
        <w:ind w:left="660" w:hanging="652"/>
        <w:spacing w:after="0"/>
        <w:tabs>
          <w:tab w:leader="none" w:pos="660" w:val="left"/>
        </w:tabs>
        <w:numPr>
          <w:ilvl w:val="0"/>
          <w:numId w:val="3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Substitution of Materials: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any of the materials required by the Specification or otherwise under this Contract for the construction of the VESSEL cannot be procured in time or are in short supply to maintain the Delivery Date of the VESSEL, or alternative materials are claimed by the BUILDER to be available which are suitable as substitutes by reason of advances in technology, the updating or improvements of, or changes in, specified materials or changes in the manufacture or production thereof; the BUILDER may, provided that the BUILDER shall obtain the BUYER’s prior written approval, which shall not be unreasonably withheld, supply other materials capable of meeting the requirements of the Classification Society and of the rules, regulations and requirements with which the construction of the VESSEL must comply. Any agreement as to such substitution of materials shall be effected in the manner provided in Paragraph 1 of this Article, and shall, likewise, include alterations in the Contract Price and other terms and conditions of this Contract occasioned by or resulting from such substitution.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 – TRIALS</w:t>
      </w:r>
    </w:p>
    <w:p>
      <w:pPr>
        <w:spacing w:after="0" w:line="229" w:lineRule="exact"/>
        <w:rPr>
          <w:sz w:val="20"/>
          <w:szCs w:val="20"/>
          <w:color w:val="auto"/>
        </w:rPr>
      </w:pPr>
    </w:p>
    <w:p>
      <w:pPr>
        <w:ind w:left="660" w:hanging="652"/>
        <w:spacing w:after="0"/>
        <w:tabs>
          <w:tab w:leader="none" w:pos="660" w:val="left"/>
        </w:tabs>
        <w:numPr>
          <w:ilvl w:val="0"/>
          <w:numId w:val="3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receive from the BUILDER at least fourteen (14) days’ prior notice in writing of the time and place of the trial run of the VESSEL, and a description of the trials to be performed, and the BUYER shall give prompt written acknowledgment of the receipt of such notice. The BUYER shall have the right to have a reasonable number (up to ten (10)) of authorized representatives, employees, inspectors and any other person reasonably designated by the BUYER present at the trial runs.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after due notice as described above, conduct trial runs of the VESSEL without the presence of the Buyer’s Representative or other authorized representative of the BUYER provided that the Classification Society and U.S. Coast Guard are present. In such case, the BUYER shall be obligated to accept the results of the trial runs on the basis of a certificate of the BUILDER, confirmed by the Classification Society and U.S. Coast Guard, stating the results of the runs.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Weather Conditions: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trial run shall be carried out under weather conditions deemed favorable enough in the judgment of the BUILDER subject to approval by the BUYER. In the event of unfavorable weather on the date specified for the trial run, the same shall take place on the first available day thereafter that the weather condition permits. It is agreed that, if during the trial run of the VESSEL, the weather should suddenly become so unfavorable that orderly conduct of the trial run can no longer be continued, the trial run shall be discontinued and postponed until the first favorable day next following, unless the BUYER shall assent in writing to acceptance of the VESSEL on the basis of the trial run already made before such discontinuance has occurred.</w:t>
      </w:r>
    </w:p>
    <w:p>
      <w:pPr>
        <w:spacing w:after="0" w:line="19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delay of trial run caused by such unfavorable weather condition shall operate to postpone the Delivery Date by the period of delay involved and such delay shall be deemed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85" w:name="page286"/>
    <w:bookmarkEnd w:id="285"/>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as a Permissible Delay in the delivery of the VESSEL. Within twenty-four (24) hours from the cessation of a delay in the trial run caused by unfavorable weather, the BUILDER shall advise the BUYER in writing of the new proposed date for the trial run.</w:t>
      </w:r>
    </w:p>
    <w:p>
      <w:pPr>
        <w:spacing w:after="0" w:line="184" w:lineRule="exact"/>
        <w:rPr>
          <w:sz w:val="20"/>
          <w:szCs w:val="20"/>
          <w:color w:val="auto"/>
        </w:rPr>
      </w:pPr>
    </w:p>
    <w:p>
      <w:pPr>
        <w:ind w:left="652" w:hanging="652"/>
        <w:spacing w:after="0"/>
        <w:tabs>
          <w:tab w:leader="none" w:pos="652" w:val="left"/>
        </w:tabs>
        <w:numPr>
          <w:ilvl w:val="0"/>
          <w:numId w:val="3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Conducted:</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5" w:lineRule="auto"/>
        <w:tabs>
          <w:tab w:leader="none" w:pos="97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expenses in connection with the trial run are to be for the account of the BUILDER and the BUILDER shall provide at its own expense the necessary crew to comply with conditions of safe navigation. The trial run shall be conducted in the manner prescribed in the Specification, and shall prove fulfillment of the performance requirements for the trial run as set forth in the Specification. The course of trial run shall be determined by the</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BUILDER.</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fuel oil, LNG, lubricating oil, greases and fresh water necessary for the trial run of the VESSEL shall be supplied by the BUILDER at the Shipyard prior to the time of the trial run, and the BUYER shall pay the BUILDER upon delivery of the VESSEL (i) the cost of the quantities of fuel oil, lubricating oil, greases and fresh water not consumed during the trial run at the original purchase price, and (ii) the cost of all LNG (whether or not consumed during the trial run) at the original purchase price. In measuring the consumed quantity, lubricating oils and greases remaining in the main engine, other machinery and their pipes, stern tube and the like, shall be excluded. The BUILDER shall arrange for the quantity of fuel oil, LNG, lubricating oils, greases and fresh water to be loaded on the VESSEL at delivery in accordance with the instructions of the BUYER, at the BUYER’S cost. The BUILDER shall remove all waste and debris about the VESSEL and all sludge and oily water wastes from the VESSEL prior to delivery, at the BUILDER’S cost. The BUYER shall promptly reimburse the BUILDER for the cost of all LNG bunkering operations, including, without limitation, operational procedures, cleaning, and safety measures.</w:t>
      </w:r>
    </w:p>
    <w:p>
      <w:pPr>
        <w:spacing w:after="0" w:line="196"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Acceptance or Rejection:</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6" w:lineRule="auto"/>
        <w:tabs>
          <w:tab w:leader="none" w:pos="97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trial run, the BUILDER shall give the BUYER written notice of completion of the trial run along with copies of all sea trial test reports, including if the BUILDER considers that the results of the trial run indicate the conformity of the VESSEL to this Contract and the Specification. The BUYER shall, within three (3) days after receipt of such notice from the BUILDER, provide the BUILDER written notice of its intent to accept or reject the VESSEL on the Delivery Date.</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should the results of the trial run indicate that the VESSEL, or any part or equipment thereof, does not conform to the requirements of this Contract and/or the Specification, or if the BUILDER is in agreement as to non-conformity as specified in the BUYER’s notice of rejection, then, the BUILDER shall with the written concurrence of the BUYER take the necessary steps to correct such non-conformity. Upon completion of correction and testing of such non-conformity, the BUILDER shall give the BUYER written notice thereof. The BUYER shall, within two (2) days after receipt of such notice from the BUILDER, notify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86" w:name="page287"/>
    <w:bookmarkEnd w:id="286"/>
    <w:p>
      <w:pPr>
        <w:jc w:val="both"/>
        <w:ind w:left="980"/>
        <w:spacing w:after="0" w:line="246" w:lineRule="auto"/>
        <w:rPr>
          <w:sz w:val="20"/>
          <w:szCs w:val="20"/>
          <w:color w:val="auto"/>
        </w:rPr>
      </w:pPr>
      <w:r>
        <w:rPr>
          <w:rFonts w:ascii="Times New Roman" w:cs="Times New Roman" w:eastAsia="Times New Roman" w:hAnsi="Times New Roman"/>
          <w:sz w:val="20"/>
          <w:szCs w:val="20"/>
          <w:color w:val="auto"/>
        </w:rPr>
        <w:t>BUILDER of its acceptance or rejection of the VESSEL. The BUYER may only demand a new trial run if this is the only way the BUILDER can prove that the nonconformities have been corrected. In the event a new trial run takes place, the provisions set forth in Paragraphs 1, 2 and 3 hereof shall govern this trial run except that the BUILDER shall be entitled to give a written notice of two (2) days for such new trial run. Upon completion of the additional trial run, the provisions of this Paragraph 4 shall apply.</w:t>
      </w:r>
    </w:p>
    <w:p>
      <w:pPr>
        <w:spacing w:after="0" w:line="198" w:lineRule="exact"/>
        <w:rPr>
          <w:sz w:val="20"/>
          <w:szCs w:val="20"/>
          <w:color w:val="auto"/>
        </w:rPr>
      </w:pPr>
    </w:p>
    <w:p>
      <w:pPr>
        <w:ind w:left="980" w:hanging="324"/>
        <w:spacing w:after="0" w:line="269" w:lineRule="auto"/>
        <w:tabs>
          <w:tab w:leader="none" w:pos="9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event that the BUYER rejects the VESSEL, the BUYER shall specify in its notice of rejection in what respect the VESSEL, or any part or equipment thereof does not conform to this Contract.</w:t>
      </w:r>
    </w:p>
    <w:p>
      <w:pPr>
        <w:spacing w:after="0" w:line="172"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 fails to provide the BUILDER written notice of the acceptance of or the rejection together with the reason therefor of the VESSEL within the period as provided in the above subparagraphs (a) or (b), the BUYER shall be deemed to have accepted the VESSEL.</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may dispute the rejection of the VESSEL by the BUYER under this Paragraph 4, in which case the matter shall be submitted for final decision in accordance with Article XIV hereof.</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Acceptance:</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9" w:lineRule="auto"/>
        <w:tabs>
          <w:tab w:leader="none" w:pos="980"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VESSEL as above provided shall be final and binding and the VESSEL will be deemed to be in conformity with this Contract except as set forth in subparagraph b immediately below. The BUYER shall not refuse formal delivery of the VESSEL as hereinafter provided, if the BUILDER complies with all other procedural requirements for delivery as provided in Article VII hereof.</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8" w:lineRule="auto"/>
        <w:tabs>
          <w:tab w:leader="none" w:pos="980" w:val="left"/>
        </w:tabs>
        <w:numPr>
          <w:ilvl w:val="1"/>
          <w:numId w:val="3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minor work or items on the VESSEL are incomplete or missing when the VESSEL otherwise is ready for delivery and such work or items do not materially affect the operation, trade or schedule of the VESSEL nor are likely to cause damage or excessive deterioration to the VESSEL or void warranty requirements, the BUYER shall not withhold its consent to accept delivery of the VESSEL subject to the right of the BUYER to have such items completed by the BUILDER in a reasonable manner and period of time. The parties shall on delivery execute a protocol of outstanding work and a schedule for completion of such work or agree as to an adjustment of the Contract Price in lieu of completion of such work. The BUILDER agrees that any such monetary payments to and repairs done by BUYER shall not void the BUILDER’s or any manufacturer’s warranties.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 DELIVERY</w:t>
      </w:r>
    </w:p>
    <w:p>
      <w:pPr>
        <w:spacing w:after="0" w:line="229" w:lineRule="exact"/>
        <w:rPr>
          <w:sz w:val="20"/>
          <w:szCs w:val="20"/>
          <w:color w:val="auto"/>
        </w:rPr>
      </w:pPr>
    </w:p>
    <w:p>
      <w:pPr>
        <w:ind w:left="660" w:hanging="652"/>
        <w:spacing w:after="0"/>
        <w:tabs>
          <w:tab w:leader="none" w:pos="660" w:val="left"/>
        </w:tabs>
        <w:numPr>
          <w:ilvl w:val="0"/>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 and Place:</w:t>
      </w:r>
    </w:p>
    <w:p>
      <w:pPr>
        <w:spacing w:after="0" w:line="233" w:lineRule="exact"/>
        <w:rPr>
          <w:rFonts w:ascii="Times New Roman" w:cs="Times New Roman" w:eastAsia="Times New Roman" w:hAnsi="Times New Roman"/>
          <w:sz w:val="20"/>
          <w:szCs w:val="20"/>
          <w:b w:val="1"/>
          <w:bCs w:val="1"/>
          <w:color w:val="auto"/>
        </w:rPr>
      </w:pPr>
    </w:p>
    <w:p>
      <w:pPr>
        <w:ind w:left="980" w:right="20" w:hanging="324"/>
        <w:spacing w:after="0" w:line="269" w:lineRule="auto"/>
        <w:tabs>
          <w:tab w:leader="none" w:pos="98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VESSEL shall be delivered by the BUILDER to the BUYER at the Shipyard or at another location acceptable to both parties hereto. The original Delivery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87" w:name="page288"/>
    <w:bookmarkEnd w:id="287"/>
    <w:p>
      <w:pPr>
        <w:ind w:left="972"/>
        <w:spacing w:after="0"/>
        <w:rPr>
          <w:sz w:val="20"/>
          <w:szCs w:val="20"/>
          <w:color w:val="auto"/>
        </w:rPr>
      </w:pPr>
      <w:r>
        <w:rPr>
          <w:rFonts w:ascii="Times New Roman" w:cs="Times New Roman" w:eastAsia="Times New Roman" w:hAnsi="Times New Roman"/>
          <w:sz w:val="20"/>
          <w:szCs w:val="20"/>
          <w:color w:val="auto"/>
        </w:rPr>
        <w:t>for the VESSEL shall be April [*], 2027 (herein called the “Original Delivery Date”).</w:t>
      </w:r>
    </w:p>
    <w:p>
      <w:pPr>
        <w:spacing w:after="0" w:line="229" w:lineRule="exact"/>
        <w:rPr>
          <w:sz w:val="20"/>
          <w:szCs w:val="20"/>
          <w:color w:val="auto"/>
        </w:rPr>
      </w:pPr>
    </w:p>
    <w:p>
      <w:pPr>
        <w:ind w:left="972" w:hanging="324"/>
        <w:spacing w:after="0" w:line="269" w:lineRule="auto"/>
        <w:tabs>
          <w:tab w:leader="none" w:pos="972"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on account of such causes which under the terms of this Contract permit the BUILDER to postpone the delivery of the VESSEL shall be understood to be Permissible Delay (herein called “Permissible Delay”).</w:t>
      </w:r>
    </w:p>
    <w:p>
      <w:pPr>
        <w:spacing w:after="0" w:line="172"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Delivery Date shall be adjusted by the total Permissible Delay and the adjusted date shall be the Delivery Date (herein called the “Delivery Date”). The VESSEL shall be delivered by the BUILDER to the BUYER on or before the Delivery Date.</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advises that it has contracts committing the BUILDER to construct five training ships and up to two subsea rock installation vessels (the “other contracts”). The BUILDER advises that the Original Delivery Date is being committed to taking into account BUILDER’s obligations under the other contracts. The BUILDER agrees that its obligations under the other contracts and any delay in its deliveries under the other contracts would not constitute a Permissible Delay as defined in subparagraph b. of this Paragraph 1, or a Force Majeure event under Article VIII of this Contract, unless the conditions under Article VIII apply to or otherwise impact the facilities or workforce at the Shipyard available for the construction of the VESSEL under this Contract.</w:t>
      </w:r>
    </w:p>
    <w:p>
      <w:pPr>
        <w:spacing w:after="0" w:line="19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and How Effected:</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1" w:lineRule="auto"/>
        <w:tabs>
          <w:tab w:leader="none" w:pos="972"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work on the VESSEL is complete or substantially complete in accordance with this Contract and the VESSEL has passed the tests required by this Contract, the VESSEL as completed or substantially completed shall be delivered by the BUILDER and accepted by the BUYER alongside a safe and accessible pier at the Shipyard, or at such other place as may be mutually agreed to by the BUILDER and the BUYER, where there must be sufficient water for the VESSEL always to be afloat and during egress from the berth, custom to the contrary notwithstanding, free and clear of all liens, security interests, and claims of every nature, excepting, however those in favor of a claimant, other than BUILDER, arising out of the acts or omissions of the BUYER, with not less than ten (10) days’ prior written notice to the BUYER of such delivery. As used in this Contract, the term “substantially complete” shall mean complete except for minor items not affecting the commercial utility and safe operation of the VESSEL, with all certificates required for operation of the VESSEL, and not violating any requirement of a regulatory body. Unless waived by the BUYER, the VESSEL shall not be deemed to be “substantially complete” if a delivery deficiency will require the VESSEL to be taken out of service prior to the VESSEL’S regular maintenance schedule or if the aggregate value of such delivery deficiencies is in excess of [*]. For the avoidance of doubt, if the Classification Society issues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88" w:name="page289"/>
    <w:bookmarkEnd w:id="288"/>
    <w:p>
      <w:pPr>
        <w:ind w:left="972"/>
        <w:spacing w:after="0" w:line="269" w:lineRule="auto"/>
        <w:rPr>
          <w:sz w:val="20"/>
          <w:szCs w:val="20"/>
          <w:color w:val="auto"/>
        </w:rPr>
      </w:pPr>
      <w:r>
        <w:rPr>
          <w:rFonts w:ascii="Times New Roman" w:cs="Times New Roman" w:eastAsia="Times New Roman" w:hAnsi="Times New Roman"/>
          <w:sz w:val="20"/>
          <w:szCs w:val="20"/>
          <w:color w:val="auto"/>
        </w:rPr>
        <w:t>Certificate of Class with a condition of class, the BUYER shall not be obligated to accept the VESSEL with such condition of class.</w:t>
      </w:r>
    </w:p>
    <w:p>
      <w:pPr>
        <w:spacing w:after="0" w:line="173" w:lineRule="exact"/>
        <w:rPr>
          <w:sz w:val="20"/>
          <w:szCs w:val="20"/>
          <w:color w:val="auto"/>
        </w:rPr>
      </w:pPr>
    </w:p>
    <w:p>
      <w:pPr>
        <w:jc w:val="both"/>
        <w:ind w:left="972" w:hanging="324"/>
        <w:spacing w:after="0" w:line="253" w:lineRule="auto"/>
        <w:tabs>
          <w:tab w:leader="none" w:pos="972" w:val="left"/>
        </w:tabs>
        <w:numPr>
          <w:ilvl w:val="1"/>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that the BUYER shall have fulfilled all of its obligations stipulated under this Contract, delivery of the VESSEL shall be effected forthwith by the concurrent delivery by each of the parties hereto to the other of the PROTOCOL OF DELIVERY AND ACCEPTANCE, acknowledging delivery of the VESSEL by the BUILDER and acceptance thereof by the BUYER. The BUYER and the BUILDER agree to describe in the Protocol of Delivery and Acceptance (i) the amount of reduction in the Contract Price at delivery of the VESSEL in lieu of completion of uncompleted work and correction of defects, deficiencies, or damage by the BUILDER, and, if the amount of the proposed reduction is more than the amounts due from the BUYER at delivery, the amount to be paid by the BUILDER to the BUYER to the extent the price reduction amount is insufficient; and/or (ii) (y) the uncompleted work and defects, deficiencies, or damage to be completed and corrected by the BUILDER after delivery of the VESSEL, such completion and correction to be performed in the same manner as provided for Guarantee work under Article IX, and (z) the amount of the Contract Price to be withheld until the uncompleted work is completed and the defects, deficiencies, or damage are corrected. The BUILDER agrees to perform such completion and correction in such manner after delivery of the VESSEL. The BUYER shall pay the BUILDER for satisfactory performance of such completion and correction after delivery in the manner set forth in ARTICLE IX. If the BUYER and the BUILDER fail to agree as to any of the items to be included in the Protocol of Delivery and Acceptance pursuant to this Article, such items shall be resolved pursuant to</w:t>
      </w:r>
    </w:p>
    <w:p>
      <w:pPr>
        <w:spacing w:after="0" w:line="9" w:lineRule="exact"/>
        <w:rPr>
          <w:rFonts w:ascii="Times New Roman" w:cs="Times New Roman" w:eastAsia="Times New Roman" w:hAnsi="Times New Roman"/>
          <w:sz w:val="19"/>
          <w:szCs w:val="19"/>
          <w:color w:val="auto"/>
        </w:rPr>
      </w:pPr>
    </w:p>
    <w:p>
      <w:pPr>
        <w:ind w:left="97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ARTICLE XIV.</w:t>
      </w:r>
    </w:p>
    <w:p>
      <w:pPr>
        <w:spacing w:after="0" w:line="207" w:lineRule="exact"/>
        <w:rPr>
          <w:rFonts w:ascii="Times New Roman" w:cs="Times New Roman" w:eastAsia="Times New Roman" w:hAnsi="Times New Roman"/>
          <w:sz w:val="19"/>
          <w:szCs w:val="19"/>
          <w:color w:val="auto"/>
        </w:rPr>
      </w:pPr>
    </w:p>
    <w:p>
      <w:pPr>
        <w:jc w:val="both"/>
        <w:ind w:left="972" w:hanging="324"/>
        <w:spacing w:after="0" w:line="245" w:lineRule="auto"/>
        <w:tabs>
          <w:tab w:leader="none" w:pos="972"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dispute concerning any Milestone Payment or the payment due upon delivery of the VESSEL, including the question of the BUYER’s right to offset any claim it may have, the BUYER shall pay the undisputed amount to the BUILDER and shall deposit the disputed amount into escrow subject to the Escrow Instructions. The BUILDER cannot in such case refuse to deliver the VESSEL and the BUYER cannot refuse to take delivery of the VESSEL. Any such disputed amount shall be paid as agreed by the parties or as determined by Article XIV.</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thirty (30) days prior to the expected delivery of the VESSEL, employees of the BUYER or the BUYERS’s contractors or agents shall be entitled to access to the VESSEL to engage in such activities and perform such work as the BUYER may specify on a not-to-interfere basis. Two (2) weeks prior to delivery of the VESSEL the BUYER shall have access on a not-to-interfere basis to familiarize the crew with the VESSEL and to provision the VESSEL.</w:t>
      </w:r>
    </w:p>
    <w:p>
      <w:pPr>
        <w:spacing w:after="0" w:line="19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Documents to be Delivered to the BUYER: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delivery and acceptance of the VESSEL, the BUILDER shall deliver to the BUYER the following documents, which shall accompany the PROTOCOL OF DELIVERY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89" w:name="page290"/>
    <w:bookmarkEnd w:id="289"/>
    <w:p>
      <w:pPr>
        <w:ind w:left="972" w:hanging="324"/>
        <w:spacing w:after="0"/>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TRIALS of the VESSEL made pursuant to the Specification.</w:t>
      </w:r>
    </w:p>
    <w:p>
      <w:pPr>
        <w:spacing w:after="0" w:line="229"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INVENTORY of the equipment of the VESSEL, including spare parts and the like, all as specified in the Specification; and Inventory of Hazardous Material (MEPC.197(2)).</w:t>
      </w:r>
    </w:p>
    <w:p>
      <w:pPr>
        <w:spacing w:after="0" w:line="172" w:lineRule="exact"/>
        <w:rPr>
          <w:rFonts w:ascii="Times New Roman" w:cs="Times New Roman" w:eastAsia="Times New Roman" w:hAnsi="Times New Roman"/>
          <w:sz w:val="20"/>
          <w:szCs w:val="20"/>
          <w:color w:val="auto"/>
        </w:rPr>
      </w:pPr>
    </w:p>
    <w:p>
      <w:pPr>
        <w:ind w:left="972" w:right="20" w:hanging="324"/>
        <w:spacing w:after="0" w:line="269" w:lineRule="auto"/>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STORES OF CONSUMABLE NATURE referred to under subparagraph 3(b) of Article VI hereof, including the original purchase price thereof.</w:t>
      </w:r>
    </w:p>
    <w:p>
      <w:pPr>
        <w:spacing w:after="0" w:line="172"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clean and free of conditions, including the BUILDER’s CERTIFICATE on Form CG-1261, USCG CERTIFICATE OF INSPECTION Form CG-841, USCG approved Automation Test Procedures, USCG approved Bunkering Procedures for LNG, HFO, MGO and Lube Oils, USCG approved Cold Ironing (AMP) Procedures, and CLASSIFICATION CERTIFICATES and all type approval certificates required to be furnished upon delivery of the VESSEL pursuant to this Contract and the Specification or that are required by the regulatory bodies. It is agreed that if, through no fault on the part of the BUILDER, the classification and/or other certificates are not available at the time of delivery of the VESSEL, provisional certificates shall be accepted by the BUYER, provided that the BUILDER shall furnish the BUYER with the formal certificates as promptly as possible after such formal certificates have been issued.</w:t>
      </w:r>
    </w:p>
    <w:p>
      <w:pPr>
        <w:spacing w:after="0" w:line="199" w:lineRule="exact"/>
        <w:rPr>
          <w:rFonts w:ascii="Times New Roman" w:cs="Times New Roman" w:eastAsia="Times New Roman" w:hAnsi="Times New Roman"/>
          <w:sz w:val="20"/>
          <w:szCs w:val="20"/>
          <w:color w:val="auto"/>
        </w:rPr>
      </w:pPr>
    </w:p>
    <w:p>
      <w:pPr>
        <w:jc w:val="both"/>
        <w:ind w:left="972" w:hanging="324"/>
        <w:spacing w:after="0" w:line="263" w:lineRule="auto"/>
        <w:tabs>
          <w:tab w:leader="none" w:pos="972"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WARRANTY of the BUILDER that the VESSEL is delivered to the BUYER free and clear of any liens, charges, claims, mortgages, or other encumbrances upon the BUYER’s title thereto, and in particular, that the VESSEL is absolutely free of all burdens in the nature of imposts, taxes or charges imposed by local or federal authorities, as well as of all liabilities of the BUILDER to its subcontractors, employees and crew, and of all liabilities arising from the operation of the VESSEL in trial runs, or otherwise, prior to delivery.</w:t>
      </w:r>
    </w:p>
    <w:p>
      <w:pPr>
        <w:spacing w:after="0" w:line="179" w:lineRule="exact"/>
        <w:rPr>
          <w:rFonts w:ascii="Times New Roman" w:cs="Times New Roman" w:eastAsia="Times New Roman" w:hAnsi="Times New Roman"/>
          <w:sz w:val="19"/>
          <w:szCs w:val="19"/>
          <w:color w:val="auto"/>
        </w:rPr>
      </w:pPr>
    </w:p>
    <w:p>
      <w:pPr>
        <w:jc w:val="both"/>
        <w:ind w:left="972" w:hanging="324"/>
        <w:spacing w:after="0" w:line="246" w:lineRule="auto"/>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DRAWINGS AND PLANS pertaining to the VESSEL as stipulated in the Specification together with all drawings required to be submitted to regulatory bodies. Detailed design drawings for hull, structural, electrical, piping and outfitting drawings developed by BUILDER or any design agent for the construction of the VESSEL requested by the BUYER shall be provided in a format to be agreed at an additional cost to be billed at $100.00 per hour.</w:t>
      </w:r>
    </w:p>
    <w:p>
      <w:pPr>
        <w:spacing w:after="0" w:line="198"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INVOICE and BILL OF SALE.</w:t>
      </w:r>
    </w:p>
    <w:p>
      <w:pPr>
        <w:spacing w:after="0" w:line="229" w:lineRule="exact"/>
        <w:rPr>
          <w:sz w:val="20"/>
          <w:szCs w:val="20"/>
          <w:color w:val="auto"/>
        </w:rPr>
      </w:pPr>
    </w:p>
    <w:p>
      <w:pPr>
        <w:ind w:left="652"/>
        <w:spacing w:after="0" w:line="269" w:lineRule="auto"/>
        <w:rPr>
          <w:sz w:val="20"/>
          <w:szCs w:val="20"/>
          <w:color w:val="auto"/>
        </w:rPr>
      </w:pPr>
      <w:r>
        <w:rPr>
          <w:rFonts w:ascii="Times New Roman" w:cs="Times New Roman" w:eastAsia="Times New Roman" w:hAnsi="Times New Roman"/>
          <w:sz w:val="20"/>
          <w:szCs w:val="20"/>
          <w:color w:val="auto"/>
        </w:rPr>
        <w:t>The BUILDER will cooperate with the BUYER to provide any other documents reasonably required by the BUYER to secure financing for the VESSEL.</w:t>
      </w:r>
    </w:p>
    <w:p>
      <w:pPr>
        <w:spacing w:after="0" w:line="169" w:lineRule="exact"/>
        <w:rPr>
          <w:sz w:val="20"/>
          <w:szCs w:val="20"/>
          <w:color w:val="auto"/>
        </w:rPr>
      </w:pPr>
    </w:p>
    <w:p>
      <w:pPr>
        <w:ind w:left="652" w:hanging="652"/>
        <w:spacing w:after="0"/>
        <w:tabs>
          <w:tab w:leader="none" w:pos="652" w:val="left"/>
        </w:tabs>
        <w:numPr>
          <w:ilvl w:val="0"/>
          <w:numId w:val="3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Tender of the VESSEL:</w:t>
      </w:r>
    </w:p>
    <w:p>
      <w:pPr>
        <w:spacing w:after="0" w:line="233"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fails to take delivery of the VESSEL after completion thereof according to this Contract without any justifiable reason, the BUILDER shall have the right to tender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90" w:name="page291"/>
    <w:bookmarkEnd w:id="290"/>
    <w:p>
      <w:pPr>
        <w:ind w:left="660"/>
        <w:spacing w:after="0"/>
        <w:rPr>
          <w:sz w:val="20"/>
          <w:szCs w:val="20"/>
          <w:color w:val="auto"/>
        </w:rPr>
      </w:pPr>
      <w:r>
        <w:rPr>
          <w:rFonts w:ascii="Times New Roman" w:cs="Times New Roman" w:eastAsia="Times New Roman" w:hAnsi="Times New Roman"/>
          <w:sz w:val="20"/>
          <w:szCs w:val="20"/>
          <w:color w:val="auto"/>
        </w:rPr>
        <w:t>delivery of the VESSEL after compliance with all procedural requirements as above provided.</w:t>
      </w:r>
    </w:p>
    <w:p>
      <w:pPr>
        <w:spacing w:after="0" w:line="225" w:lineRule="exact"/>
        <w:rPr>
          <w:sz w:val="20"/>
          <w:szCs w:val="20"/>
          <w:color w:val="auto"/>
        </w:rPr>
      </w:pPr>
    </w:p>
    <w:p>
      <w:pPr>
        <w:ind w:left="660" w:hanging="652"/>
        <w:spacing w:after="0"/>
        <w:tabs>
          <w:tab w:leader="none" w:pos="66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Risk:</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provisions of Article XVI concerning passage of title to the material and the VESSEL during the construction period, the risk of loss of the VESSEL shall pass to the BUYER only upon delivery and acceptance thereof having been completed as stated above; it being expressly understood that, until such delivery is effected, risk of loss of the VESSEL and her equipment shall remain with the BUILDER.</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BUILDER’s entering into this Contract, the performance of the BUILDER’S obligations hereunder and the sale of the VESSEL to BUYER will not result in any violation of or be in conflict with, or result in a breach of or constitute a default under, any term or provision of any agreement, instrument or other restriction to which the BUILDER is a party or by which it is bound.</w:t>
      </w:r>
    </w:p>
    <w:p>
      <w:pPr>
        <w:spacing w:after="0" w:line="18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the VESSEL:</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BUYER shall take possession of the VESSEL immediately upon delivery and acceptance thereof and shall remove the VESSEL from the premises of the Shipyard within ten (10) days after delivery and acceptance thereof is completed. If the BUYER shall not remove the VESSEL from the premises of the Shipyard within the aforesaid ten</w:t>
      </w:r>
    </w:p>
    <w:p>
      <w:pPr>
        <w:jc w:val="both"/>
        <w:ind w:left="660" w:hanging="4"/>
        <w:spacing w:after="0" w:line="242" w:lineRule="auto"/>
        <w:tabs>
          <w:tab w:leader="none" w:pos="1056"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then, in such event the BUYER shall pay to the BUILDER the mooring charges of the VESSEL at the rate of $[*] per day plus utilities. Such additional time on the BUILDER’s premises shall not exceed twenty-one (21) days.</w:t>
      </w:r>
    </w:p>
    <w:p>
      <w:pPr>
        <w:spacing w:after="0" w:line="196"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ARTICLE VIII -- EXTENSION OF TIME FOR DELIVERY DUE TO FORCE MAJEURE AND TERMINATION FOR EXCESSIVE DELAY</w:t>
      </w:r>
    </w:p>
    <w:p>
      <w:pPr>
        <w:spacing w:after="0" w:line="165" w:lineRule="exact"/>
        <w:rPr>
          <w:sz w:val="20"/>
          <w:szCs w:val="20"/>
          <w:color w:val="auto"/>
        </w:rPr>
      </w:pPr>
    </w:p>
    <w:p>
      <w:pPr>
        <w:ind w:left="660" w:hanging="652"/>
        <w:spacing w:after="0"/>
        <w:tabs>
          <w:tab w:leader="none" w:pos="660" w:val="left"/>
        </w:tabs>
        <w:numPr>
          <w:ilvl w:val="0"/>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Causes of Force Majeure:</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Force Majeure (herein called “Force Majeure”) is any or more of the events defined below:</w:t>
      </w:r>
    </w:p>
    <w:p>
      <w:pPr>
        <w:spacing w:after="0" w:line="229"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Acts of God; acts of princes or rulers; requirements of government authorities; delays caused by regulatory bodies whose documents or approvals are required; war or other hostilities or preparations thereto; blockade; revolution; insurrections; mobilizations; civil war; civil commotion; riots; strikes and other labor disturbances including local strikes affecting the BUILDER (not including any strikes or industrial disturbances resulting from unilateral changes made by the BUILDER under existing labor contracts); sabotages; acts of terrorists; lockouts; labor shortages, provided the BUILDER has exercised diligence in the recruitment and training of labor; plague; epidemics; pandemics; fire; flood; typhoons, hurricanes, storms or other weather conditions (other than ordinary storms or ordinary inclement weather conditions); earthquakes; tidal waves; landslides; explosions; collisions; strandings; embargoes; delays in transportation; import restrictions; shortage of materials, equipment or machinery or delay in delivery or inability to take delivery thereof, provided that such materials, equipment or machinery at the time of ordering could reasonably be expected by the BUILDER to be delivered in time, the BUILDER’S choice of a vendor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91" w:name="page292"/>
    <w:bookmarkEnd w:id="291"/>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subcontractor was reasonable and the BUILDER has exercised due diligence to monitor the actions and to expedite delivery of the vendor or to obtain substitute performance; prolonged failure or restriction of electric current or petroleum; non-delivery or late delivery of BUYER’S Supplies to BUILDER’S custody or other delay caused by any default or omission on the part of the BUYER in carrying out any of its obligations under this Contract; or destruction of or damage to the worksite or other works of the BUILDER, its main subcontractors or to the VESSEL or any part thereof, by any causes heretofore described in this Paragraph and any other causes properly to be considered to be beyond the BUILDER’s reasonable control; provided that there shall be excluded any such causes that are in existence as of the date of execution of this Contract or as to a cause impacting a contractor or subcontractor, a cause known to the party as of the date of execution of the contract or subcontract.</w:t>
      </w:r>
    </w:p>
    <w:p>
      <w:pPr>
        <w:spacing w:after="0" w:line="19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Parties acknowledge the current world events surrounding the COVID-19 pandemic and the Russia-Ukraine military conflict and agree that any future act, event, or circumstance caused by or arising from the COVID-19 pandemic or Russia-Ukraine military conflict otherwise meeting the definition of an event of Force Majeure is not excepted from that definition because of the duration and nature of the pandemic or the military conflict.</w:t>
      </w:r>
    </w:p>
    <w:p>
      <w:pPr>
        <w:spacing w:after="0" w:line="193"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20"/>
          <w:szCs w:val="20"/>
          <w:color w:val="auto"/>
        </w:rPr>
        <w:t>Any delay in the delivery of the VESSEL caused by an event of Force Majeure as to which the provisions of this Article VIII have been satisfied shall operate to postpone the Delivery Date by the number of days of delay involved.</w:t>
      </w:r>
    </w:p>
    <w:p>
      <w:pPr>
        <w:spacing w:after="0" w:line="184" w:lineRule="exact"/>
        <w:rPr>
          <w:sz w:val="20"/>
          <w:szCs w:val="20"/>
          <w:color w:val="auto"/>
        </w:rPr>
      </w:pPr>
    </w:p>
    <w:p>
      <w:pPr>
        <w:ind w:left="660" w:hanging="652"/>
        <w:spacing w:after="0"/>
        <w:tabs>
          <w:tab w:leader="none" w:pos="66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Delay: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ten (10) days from the date of commencement of the delay on account of Permissible Delays as defined in Paragraph 3 of this Article below, the BUILDER shall advise the BUYER in writing of the date such delay commences and the reasons therefor along with BUILDER’s proposed recovery plan. BUILDER shall exercise its commercially reasonable best efforts to develop a recovery plan that addresses the condition causing the delay and minimizes the length of the delay. Failure of the BUILDER to provide notification of any claim for postponement of the Delivery Date within such ten (10) days shall be deemed to be a waiver by the BUILDER of its right to propose such postponement.</w:t>
      </w:r>
    </w:p>
    <w:p>
      <w:pPr>
        <w:spacing w:after="0" w:line="199" w:lineRule="exact"/>
        <w:rPr>
          <w:rFonts w:ascii="Times New Roman" w:cs="Times New Roman" w:eastAsia="Times New Roman" w:hAnsi="Times New Roman"/>
          <w:sz w:val="20"/>
          <w:szCs w:val="20"/>
          <w:b w:val="1"/>
          <w:bCs w:val="1"/>
          <w:color w:val="auto"/>
        </w:rPr>
      </w:pPr>
    </w:p>
    <w:p>
      <w:pPr>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Likewise within ten (10) days after such delay ends, the BUILDER shall advise the BUYER in writing of the date such delay ended, and also shall specify the period of time by which the BUILDER asserts that the Delivery Date is postponed by reason of such delay. Within ten (10) days after receipt of such notification, BUYER shall inform BUILDER that BUYER either (1) accepts the new Delivery Date contained in such notification, or (2) disputes BUILDER’s postponement of the Delivery Date, which dispute will be resolved under the provisions of Article XIV. Failure of the BUYER to inform the BUILDER that it either accepts the new Delivery Date or disputes the postponement of the Delivery Date within ten (10) days after receipt of BUILDER’s notification shall be deemed to be a waiver by the BUYER of its right to object to such postponement.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92" w:name="page293"/>
    <w:bookmarkEnd w:id="292"/>
    <w:p>
      <w:pPr>
        <w:ind w:left="660" w:hanging="652"/>
        <w:spacing w:after="0"/>
        <w:tabs>
          <w:tab w:leader="none" w:pos="660"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Permissible Delay:</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Delays on account of such causes as specified in Paragraph 1 of this Article shall be understood to be Permissible Delays provided that the BUILDER provides the notices set forth in Paragraph 2 of this Article.</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Terminate for Excessive Delay due to Force Majeure: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total accumulated time of all delays on account of the causes specified in Paragraph 1 of this Article only (excluding all other types of delays which, under the terms of this Contract, permit postponement of the Delivery Date), amounts to [*] months or more, then, in such event, the BUYER may terminate this Contract in accordance with the provisions of Article X hereof. The BUILDER may, at any time after the accumulated time of the aforementioned delays justifying termination by the BUYER, demand in writing that the BUYER shall make an election, in which case the BUYER shall, within twenty (20) days after such demand is received by the BUYER, notify the BUILDER in writing of either (1) its intention to terminate this Contract, or (2) consent to a postponement of the Delivery Date to a specific future date. If any further delay occurs beyond such specific future date on account of causes specified in Paragraph 1 of this Article only (and excluding all other types of delays as described above), that amounts to one (1) month or more, the BUYER shall have the same right of termination upon the same terms as hereinabove provided (except that this original six month period is reduced to one month for the further delay described in this sentence).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IX-WARRANTY OF QUALITY</w:t>
      </w:r>
    </w:p>
    <w:p>
      <w:pPr>
        <w:spacing w:after="0" w:line="229" w:lineRule="exact"/>
        <w:rPr>
          <w:sz w:val="20"/>
          <w:szCs w:val="20"/>
          <w:color w:val="auto"/>
        </w:rPr>
      </w:pPr>
    </w:p>
    <w:p>
      <w:pPr>
        <w:ind w:left="660" w:hanging="652"/>
        <w:spacing w:after="0"/>
        <w:tabs>
          <w:tab w:leader="none" w:pos="660" w:val="left"/>
        </w:tabs>
        <w:numPr>
          <w:ilvl w:val="0"/>
          <w:numId w:val="3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Guarantees at Delivery:</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3" w:lineRule="auto"/>
        <w:tabs>
          <w:tab w:leader="none" w:pos="980"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guarantees that at the time of delivery the VESSEL will: (i) comply with applicable laws, lawful regulations, written standards and written interpretations of the regulatory bodies required for the VESSEL’s operation in the foreign and domestic trades of the United States in effect on the date of delivery of the VESSEL, except as noted in the PROTOCOL OF DELIVERY AND ACCEPTANCE; and (ii) meet the requirements in the Specification and plans, except as noted in the PROTOCOL OF DELIVERY AND ACCEPTANCE. The effect of any changes in laws, lawful regulations, standards and written interpretations of the regulatory bodies between the effective date of this Contract and the delivery of the VESSEL shall be incorporated into this Contract by a Change Order under ARTICLE V.</w:t>
      </w:r>
    </w:p>
    <w:p>
      <w:pPr>
        <w:spacing w:after="0" w:line="202"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 of all changes to the VESSEL noted in the PROTOCOL OF DELIVERY AND ACCEPTANCE shall be for the account of the BUILDER, except as provided in subparagraph (a) of ARTICLE V, Paragraph 2.</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Warranty:</w:t>
      </w:r>
    </w:p>
    <w:p>
      <w:pPr>
        <w:spacing w:after="0" w:line="233"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hereinafter set forth, the BUILDER undertakes to remedy, free of charge to the BUYER, any deficiency, defects, failure, breaking down or deterioration beyond that caused by ordinary wear and tear (jointly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293" w:name="page294"/>
    <w:bookmarkEnd w:id="293"/>
    <w:p>
      <w:pPr>
        <w:jc w:val="both"/>
        <w:ind w:left="980"/>
        <w:spacing w:after="0" w:line="242" w:lineRule="auto"/>
        <w:rPr>
          <w:sz w:val="20"/>
          <w:szCs w:val="20"/>
          <w:color w:val="auto"/>
        </w:rPr>
      </w:pPr>
      <w:r>
        <w:rPr>
          <w:rFonts w:ascii="Times New Roman" w:cs="Times New Roman" w:eastAsia="Times New Roman" w:hAnsi="Times New Roman"/>
          <w:sz w:val="20"/>
          <w:szCs w:val="20"/>
          <w:color w:val="auto"/>
        </w:rPr>
        <w:t>“defects”) in the VESSEL which are due to defective material, faulty design and/or bad workmanship on the part of the BUILDER and/or its contractors or subcontractors, provided that the defects are discovered within a period of twelve (12) months after the date of delivery of the VESSEL (the “Guarantee Period”) and a notice thereof is duly given to the BUILDER as hereinbelow provided. In computing the Guarantee Period there shall be excluded any time the VESSEL is prevented from entering or is taken out of service on account of any defect for which the BUILDER is responsible. For the purpose of this Article, the VESSEL shall include her hull, machinery, equipment and gear, but excludes any parts of the VESSEL that have been supplied by or on behalf of the BUYER. Upon expiration of the Guarantee Period, and to the extent permitted by vendors and subcontractors, the BUILDER agrees to transfer any guarantees or warranties supplied to it by vendors and subcontractors.</w:t>
      </w:r>
    </w:p>
    <w:p>
      <w:pPr>
        <w:spacing w:after="0" w:line="206" w:lineRule="exact"/>
        <w:rPr>
          <w:sz w:val="20"/>
          <w:szCs w:val="20"/>
          <w:color w:val="auto"/>
        </w:rPr>
      </w:pPr>
    </w:p>
    <w:p>
      <w:pPr>
        <w:jc w:val="both"/>
        <w:ind w:left="980" w:hanging="324"/>
        <w:spacing w:after="0" w:line="245" w:lineRule="auto"/>
        <w:tabs>
          <w:tab w:leader="none" w:pos="98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BUILDER’s guarantee of the coatings shall be back to back with the guarantee of the coatings by the coatings manufacturer. During the Guarantee Period, the BUILDER shall be responsible for correction of paint defects in accordance with the guarantee of the coatings by the coatings manufacturer. After the expiration of the VESSEL Guarantee Period, the coating manufacturer’s extended warranty shall be transferred to the BUYER under Article IX subparagraph 5d. The coating manufacturer’s warranty shall be for at least sixty (60) months from delivery of the VESSEL.</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Defects: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notify the BUILDER in writing of any defects for which claim is made under this guarantee as promptly as possible after discovery thereof. If the defect was discovered during drydocking of the VESSEL, the BUYER must notify the BUILDER in time for the BUILDER to inspect the defect before the VESSEL leaves the drydock if this is necessary for a prudent inspection of the defect. The BUYER’s written notice shall in sufficient detail describe the nature and extent of the defects. The BUILDER shall have no obligation for any defects discovered prior to the expiry date of the said twelve (12) months period, unless notice of such defects is received by the BUILDER not later than thirty (30) days after such expiry date.</w:t>
      </w:r>
    </w:p>
    <w:p>
      <w:pPr>
        <w:spacing w:after="0" w:line="19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Remedy of Defects:</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6" w:lineRule="auto"/>
        <w:tabs>
          <w:tab w:leader="none" w:pos="980"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promptly remedy, at its expense, any defects, against which the VESSEL is guaranteed under this Article, by making all necessary repairs or replacements at the Shipyard, if practicable. Upon having remedied such defects the BUILDER shall give the BUYER a further guarantee period of six (6) months for the aforementioned repairs or replacements from the date such repair or replacement is accomplished, which extended period shall not reduce the original twelve (12) month Guarantee Period.</w:t>
      </w:r>
    </w:p>
    <w:p>
      <w:pPr>
        <w:spacing w:after="0" w:line="198"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if it is impractical to bring the VESSEL to the Shipyard, or if the BUILDER is unable to remedy the defects within a period of time satisfactory to the BUYER due to the BUILDER’S or the VESSEL’s working schedule or any other reason,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94" w:name="page295"/>
    <w:bookmarkEnd w:id="294"/>
    <w:p>
      <w:pPr>
        <w:jc w:val="both"/>
        <w:ind w:left="980"/>
        <w:spacing w:after="0" w:line="254" w:lineRule="auto"/>
        <w:rPr>
          <w:sz w:val="20"/>
          <w:szCs w:val="20"/>
          <w:color w:val="auto"/>
        </w:rPr>
      </w:pPr>
      <w:r>
        <w:rPr>
          <w:rFonts w:ascii="Times New Roman" w:cs="Times New Roman" w:eastAsia="Times New Roman" w:hAnsi="Times New Roman"/>
          <w:sz w:val="19"/>
          <w:szCs w:val="19"/>
          <w:color w:val="auto"/>
        </w:rPr>
        <w:t>BUYER may cause the necessary repairs or replacements to be made elsewhere which is deemed suitable for the purpose, provided that, in such event, the BUILDER may forward or supply replacement parts or materials to the VESSEL, unless forwarding or supplying thereof to the VESSEL would impair or delay the operation or working schedule of the VESSEL. In the event that the BUYER proposes to cause the necessary repairs or replacements to be made to the VESSEL at any other shipyard or works than the Shipyard, the BUYER shall first, but in all events as soon as possible, give the BUILDER notice in writing of the time and place such repairs or replacements will be made, and if the VESSEL is not thereby delayed, or her operation or working schedule is not thereby impaired, the BUILDER shall have the right to verify by its own representative(s) the nature and extent of the defects complained of. The BUILDER shall, in such case, promptly advise the BUYER in writing, after such examination has been completed, of its acceptance or rejection of the defects as ones that are covered by the guarantee herein provided. Upon the BUILDER’s acceptance of the defects as justifying remedy under this Article, or upon resolution of a dispute in accordance with the provisions of Article XIV hereof, the BUILDER shall immediately pay to the BUYER for such repairs or replacements the sum of BUYER’S documented costs therefor up to a sum equal to the reasonable cost of making the same repairs or replacements in the Shipyard. Subject to a written agreement with the BUILDER, warranty repairs may be made by the crewmembers of the VESSEL, provided however that the BUYER submits documentation for the work performed and the BUILDER will not reimburse the BUYER at labor rates currently in excess of $68.00 per hour (as escalated at 2.5% per year after delivery). For the avoidance of doubt, if the BUILDER is unable to remedy the defects within a period of time satisfactory to BUYER due to the BUILDER’S or the VESSEL’s working schedule or any other reason, BUYER shall not be obligated to operate the VESSEL with a defect even if the Classification Society agrees that the Vessel may be operated with a condition of class, and the BUYER shall be entitled to cause the necessary repairs or replacements to be made as provided in this paragraph.</w:t>
      </w:r>
    </w:p>
    <w:p>
      <w:pPr>
        <w:spacing w:after="0" w:line="200" w:lineRule="exact"/>
        <w:rPr>
          <w:sz w:val="20"/>
          <w:szCs w:val="20"/>
          <w:color w:val="auto"/>
        </w:rPr>
      </w:pPr>
    </w:p>
    <w:p>
      <w:pPr>
        <w:spacing w:after="0" w:line="223" w:lineRule="exact"/>
        <w:rPr>
          <w:sz w:val="20"/>
          <w:szCs w:val="20"/>
          <w:color w:val="auto"/>
        </w:rPr>
      </w:pPr>
    </w:p>
    <w:p>
      <w:pPr>
        <w:jc w:val="both"/>
        <w:ind w:left="980" w:hanging="324"/>
        <w:spacing w:after="0" w:line="249" w:lineRule="auto"/>
        <w:tabs>
          <w:tab w:leader="none" w:pos="980"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the VESSEL shall be taken at the BUYER’s cost, risk and responsibility to the place elected, ready in all respects for such repairs or replacements. Any preparation, draining of pipes, cleaning of spaces to make them accessible for warranty repairs, marine chemist’s certificates, including gas free certificate shall be at the BUILDER’s cost.</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defect cannot reasonably be corrected except by drydocking the VESSEL, the BUYER shall be entitled to postpone correction and repair until a subsequent drydocking of the VESSEL. The BUYER may withhold the estimated cost of correction and repair from the Guarantee Payment until such drydocking.</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under this Article shall be referred to dispute resolution in accordance with the provisions of Article XIV hereof.</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Extent of the BUILDER’s Responsibility:</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have no responsibility or liability for any other defects whatsoever in the VESSEL than the defects specified in Paragraphs 1 and 2 of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95" w:name="page296"/>
    <w:bookmarkEnd w:id="295"/>
    <w:p>
      <w:pPr>
        <w:jc w:val="both"/>
        <w:ind w:left="520"/>
        <w:spacing w:after="0" w:line="242" w:lineRule="auto"/>
        <w:rPr>
          <w:sz w:val="20"/>
          <w:szCs w:val="20"/>
          <w:color w:val="auto"/>
        </w:rPr>
      </w:pPr>
      <w:r>
        <w:rPr>
          <w:rFonts w:ascii="Times New Roman" w:cs="Times New Roman" w:eastAsia="Times New Roman" w:hAnsi="Times New Roman"/>
          <w:sz w:val="20"/>
          <w:szCs w:val="20"/>
          <w:color w:val="auto"/>
        </w:rPr>
        <w:t>Article. Nor shall the BUILDER in any circumstances be responsible or liable for any consequential or special losses, damages or expenses including, but not limited to, loss of time, loss or breach of charters or other contractual commitments, loss of profit or earning or demurrage directly or indirectly occasioned to the BUYER by reason of the defects specified in Paragraphs 1 and 2 of this Article or due to repairs, replacements or other works done to the VESSEL to remedy such defects; except that in the event a defect in an item of equipment or machinery causes any damage to such item of equipment or machinery or to other immediately adjacent equipment, machinery, components or portions of the VESSEL, the BUILDER shall be liable for not only the cost of correcting or repairing the defect but also for the cost of correcting or repairing such damage to such item of equipment or machinery and to such other immediately adjacent equipment, machinery, components or portions of the VESSEL caused by such defect.</w:t>
      </w:r>
    </w:p>
    <w:p>
      <w:pPr>
        <w:spacing w:after="0" w:line="206" w:lineRule="exact"/>
        <w:rPr>
          <w:sz w:val="20"/>
          <w:szCs w:val="20"/>
          <w:color w:val="auto"/>
        </w:rPr>
      </w:pPr>
    </w:p>
    <w:p>
      <w:pPr>
        <w:jc w:val="both"/>
        <w:ind w:left="520" w:hanging="324"/>
        <w:spacing w:after="0" w:line="246" w:lineRule="auto"/>
        <w:tabs>
          <w:tab w:leader="none" w:pos="52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be responsible for any defects in any part of the VESSEL which may subsequent to delivery of the VESSEL have been replaced or in any way repaired by any other contractor, or for any defects which have been caused or aggravated by omission or improper use and maintenance of the VESSEL on the part of the BUYER, its servants or agents or by ordinary wear and tear or by any other circumstances whatsoever beyond the control of the BUILDER.</w:t>
      </w:r>
    </w:p>
    <w:p>
      <w:pPr>
        <w:spacing w:after="0" w:line="198" w:lineRule="exact"/>
        <w:rPr>
          <w:rFonts w:ascii="Times New Roman" w:cs="Times New Roman" w:eastAsia="Times New Roman" w:hAnsi="Times New Roman"/>
          <w:sz w:val="20"/>
          <w:szCs w:val="20"/>
          <w:color w:val="auto"/>
        </w:rPr>
      </w:pPr>
    </w:p>
    <w:p>
      <w:pPr>
        <w:jc w:val="both"/>
        <w:ind w:left="520" w:hanging="324"/>
        <w:spacing w:after="0" w:line="243" w:lineRule="auto"/>
        <w:tabs>
          <w:tab w:leader="none" w:pos="52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guaranty survey of the VESSEL shall be conducted by the BUYER at or near the expiration of the Guarantee Period. Such survey shall be based on the defects in the contract work appearing or discovered during the Guarantee Period. In the event that the VESSEL is not available for the guarantee survey on or before the end of the Guarantee Period, the BUYER promptly shall submit to the BUILDER a list of all of the defects in the contract work appearing or discovered during the Guarantee Period and all damage for which the BUILDER is liable under the provisions of this Article IX. The final guarantee survey shall be held at such port in the United States as the BUYER designates and seven (7) days’ written notice of time and place for such guarantee survey shall be given to the BUILDER by the BUYER. The BUILDER shall have the right to attend the guarantee survey.</w:t>
      </w:r>
    </w:p>
    <w:p>
      <w:pPr>
        <w:spacing w:after="0" w:line="199"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the Guarantee Period, the BUILDER agrees to transfer and assign to the BUYER, as to any item of material installed in the VESSEL, the guarantee rights of the BUILDER against the vendor of such item of material where under the terms of such vendor’s guarantee the vendor’s obligations extend for a period beyond the Guarantee Period; provided that the BUILDER may exclude from such assignment any rights against the vendor in favor of the BUILDER for guarantee deficiencies and damages within the Guarantee Period. The BUILDER shall advise the BUYER of the terms of any such guarantees that are assigned to the BUYER.</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9" w:lineRule="auto"/>
        <w:tabs>
          <w:tab w:leader="none" w:pos="52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as hereinabove in this Article replaces and excludes any other liability, guarantee, warranty and/or condition imposed or implied by the law, customary, statutory or otherwise, by reason of the construction and sale of the VESSEL for and to the BUYER. THE BUILDER MAKES NO FURTHER WARRANTIES, EXPRESS OR IMPLIED, INCLUDING ANY WARRANTY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296" w:name="page297"/>
    <w:bookmarkEnd w:id="296"/>
    <w:p>
      <w:pPr>
        <w:ind w:left="972" w:right="20"/>
        <w:spacing w:after="0" w:line="269" w:lineRule="auto"/>
        <w:rPr>
          <w:sz w:val="20"/>
          <w:szCs w:val="20"/>
          <w:color w:val="auto"/>
        </w:rPr>
      </w:pPr>
      <w:r>
        <w:rPr>
          <w:rFonts w:ascii="Times New Roman" w:cs="Times New Roman" w:eastAsia="Times New Roman" w:hAnsi="Times New Roman"/>
          <w:sz w:val="20"/>
          <w:szCs w:val="20"/>
          <w:color w:val="auto"/>
        </w:rPr>
        <w:t>OF MERCHANTABILITY OR FITNESS OF THE VESSEL, ITS MACHINERY OR EQUIPMENT FOR A PARTICULAR PURPOSE.</w:t>
      </w:r>
    </w:p>
    <w:p>
      <w:pPr>
        <w:spacing w:after="0" w:line="173" w:lineRule="exact"/>
        <w:rPr>
          <w:sz w:val="20"/>
          <w:szCs w:val="20"/>
          <w:color w:val="auto"/>
        </w:rPr>
      </w:pPr>
    </w:p>
    <w:p>
      <w:pPr>
        <w:jc w:val="both"/>
        <w:ind w:left="972" w:hanging="324"/>
        <w:spacing w:after="0" w:line="245" w:lineRule="auto"/>
        <w:tabs>
          <w:tab w:leader="none" w:pos="972"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withhold the Guarantee Payment and deposit the full amount into an escrow account as provided in Article II. The BUYER shall pay to the BUILDER the entire Guarantee Payment, less any amount to cover any outstanding defect, upon completion of the Guarantee Period for the VESSEL. Any amounts withheld beyond the end of the Guarantee Period pursuant this Article IX shall be paid upon the correction of each defect for which such amounts were withheld. Any dispute with respect to the amounts due under this Paragraph shall be settled pursuant to Article XIV.</w:t>
      </w:r>
    </w:p>
    <w:p>
      <w:pPr>
        <w:spacing w:after="0" w:line="19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Engineer:</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have the right (at its cost) to appoint a guarantee engineer to serve on the VESSEL as its representative for such portion of the guarantee period as the BUILDER may decide. The guarantee engineer shall be a properly documented citizen of the United States. The BUYER and its employees shall give the guarantee engineer full cooperation in carrying out his duties as the representative of the BUILDER on board the VESSEL. The BUYER shall accord the guarantee engineer the treatment comparable to the VESSEL’s chief engineer and shall provide him with accommodations and subsistence at no cost of the BUILDER and/or the guarantee engineer.</w:t>
      </w:r>
    </w:p>
    <w:p>
      <w:pPr>
        <w:spacing w:after="0" w:line="197"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Pertaining to the detailed particulars of this Paragraph, an agreement will be made according to this effect between the parties hereto upon delivery of the VESSEL.</w:t>
      </w:r>
    </w:p>
    <w:p>
      <w:pPr>
        <w:spacing w:after="0" w:line="172"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guarantee engineer shall, at all times and in all respects, be deemed to be an employee of the BUILDER. The BUYER shall be under no liability whatsoever to the BUILDER or the guarantee engineer for personal injuries, including death, suffered by the guarantee engineer during the time when he is on board the VESSEL, unless such injury or death, is shown to have been caused by the gross negligence or willful acts of the BUYER, and/or its subcontractors and/or their employees or agents (including Buyer’s Representative), while acting within the scope of their employment or engagement. Nor shall the BUYER be under any other liability whatsoever to the guarantee engineer.</w:t>
      </w:r>
    </w:p>
    <w:p>
      <w:pPr>
        <w:spacing w:after="0" w:line="195" w:lineRule="exact"/>
        <w:rPr>
          <w:sz w:val="20"/>
          <w:szCs w:val="20"/>
          <w:color w:val="auto"/>
        </w:rPr>
      </w:pPr>
    </w:p>
    <w:p>
      <w:pPr>
        <w:jc w:val="center"/>
        <w:ind w:left="1000" w:right="220"/>
        <w:spacing w:after="0" w:line="300" w:lineRule="auto"/>
        <w:rPr>
          <w:sz w:val="20"/>
          <w:szCs w:val="20"/>
          <w:color w:val="auto"/>
        </w:rPr>
      </w:pPr>
      <w:r>
        <w:rPr>
          <w:rFonts w:ascii="Times New Roman" w:cs="Times New Roman" w:eastAsia="Times New Roman" w:hAnsi="Times New Roman"/>
          <w:sz w:val="19"/>
          <w:szCs w:val="19"/>
          <w:b w:val="1"/>
          <w:bCs w:val="1"/>
          <w:color w:val="auto"/>
        </w:rPr>
        <w:t>ARTICLE X – TERMINATION BY THE BUYER AND OPTIONS ON TERMINATION; GUARANTY AGREEMENT AND BUYER’S RIGHT TO ADDITIONAL SECURITY; AUDIT AND INSPECTION RIGHTS</w:t>
      </w:r>
    </w:p>
    <w:p>
      <w:pPr>
        <w:spacing w:after="0" w:line="142" w:lineRule="exact"/>
        <w:rPr>
          <w:sz w:val="20"/>
          <w:szCs w:val="20"/>
          <w:color w:val="auto"/>
        </w:rPr>
      </w:pPr>
    </w:p>
    <w:p>
      <w:pPr>
        <w:ind w:left="652" w:hanging="652"/>
        <w:spacing w:after="0"/>
        <w:tabs>
          <w:tab w:leader="none" w:pos="652" w:val="left"/>
        </w:tabs>
        <w:numPr>
          <w:ilvl w:val="0"/>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9" w:lineRule="auto"/>
        <w:tabs>
          <w:tab w:leader="none" w:pos="972"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In the event that the BUYER shall exercise its right of termination of this Contract under and pursuant to any of the provisions of this Contract specifically permitting the BUYER to do so, then the BUYER shall notify the BUILDER in writing and such termination shall be effective as of the date notice thereof is received by the BUILDER.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297" w:name="page298"/>
    <w:bookmarkEnd w:id="297"/>
    <w:p>
      <w:pPr>
        <w:jc w:val="both"/>
        <w:ind w:left="520" w:hanging="324"/>
        <w:spacing w:after="0" w:line="254" w:lineRule="auto"/>
        <w:tabs>
          <w:tab w:leader="none" w:pos="5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of BUYER</w:t>
      </w:r>
      <w:r>
        <w:rPr>
          <w:rFonts w:ascii="Times New Roman" w:cs="Times New Roman" w:eastAsia="Times New Roman" w:hAnsi="Times New Roman"/>
          <w:sz w:val="20"/>
          <w:szCs w:val="20"/>
          <w:color w:val="auto"/>
        </w:rPr>
        <w:t>: In the event that the BUYER elects to terminate this Contract, the BUYER may elect to remove the VESSEL, complete the work, sell the work in process or obtain a refund. Such election shall be made by notice to the BUILDER as provided below.</w:t>
      </w:r>
    </w:p>
    <w:p>
      <w:pPr>
        <w:spacing w:after="0" w:line="187" w:lineRule="exact"/>
        <w:rPr>
          <w:rFonts w:ascii="Times New Roman" w:cs="Times New Roman" w:eastAsia="Times New Roman" w:hAnsi="Times New Roman"/>
          <w:sz w:val="20"/>
          <w:szCs w:val="20"/>
          <w:color w:val="auto"/>
        </w:rPr>
      </w:pPr>
    </w:p>
    <w:p>
      <w:pPr>
        <w:jc w:val="both"/>
        <w:ind w:left="520" w:hanging="324"/>
        <w:spacing w:after="0" w:line="243" w:lineRule="auto"/>
        <w:tabs>
          <w:tab w:leader="none" w:pos="5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Remove</w:t>
      </w:r>
      <w:r>
        <w:rPr>
          <w:rFonts w:ascii="Times New Roman" w:cs="Times New Roman" w:eastAsia="Times New Roman" w:hAnsi="Times New Roman"/>
          <w:sz w:val="20"/>
          <w:szCs w:val="20"/>
          <w:color w:val="auto"/>
        </w:rPr>
        <w:t>: In the event the BUYER shall elect to terminate this Contract, at the BUYER’s option the BUYER may elect in writing within [*] days after the termination of this Contract to remove the work in process from the Shipyard. Such removal, including preparation therefor, shall be performed at the BUILDER’s expense, and, if reasonably possible, the BUILDER shall furnish forces and equipment for such removal and preparation. The BUYER shall reimburse the BUILDER for the reasonable cost of such removal and preparation. As reasonably practical, the BUILDER shall assign to the BUYER, all existing subcontracts and purchase orders required to complete the VESSEL for which the work in process is being removed as the BUYER may direct.</w:t>
      </w:r>
    </w:p>
    <w:p>
      <w:pPr>
        <w:spacing w:after="0" w:line="202" w:lineRule="exact"/>
        <w:rPr>
          <w:rFonts w:ascii="Times New Roman" w:cs="Times New Roman" w:eastAsia="Times New Roman" w:hAnsi="Times New Roman"/>
          <w:sz w:val="20"/>
          <w:szCs w:val="20"/>
          <w:color w:val="auto"/>
        </w:rPr>
      </w:pPr>
    </w:p>
    <w:p>
      <w:pPr>
        <w:jc w:val="both"/>
        <w:ind w:left="520" w:hanging="324"/>
        <w:spacing w:after="0" w:line="256" w:lineRule="auto"/>
        <w:tabs>
          <w:tab w:leader="none" w:pos="520"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Completion of the Work</w:t>
      </w:r>
      <w:r>
        <w:rPr>
          <w:rFonts w:ascii="Times New Roman" w:cs="Times New Roman" w:eastAsia="Times New Roman" w:hAnsi="Times New Roman"/>
          <w:sz w:val="19"/>
          <w:szCs w:val="19"/>
          <w:color w:val="auto"/>
        </w:rPr>
        <w:t>: In the event the BUYER shall elect to terminate this Contract, at the BUYER’s option, the BUYER may elect to have all or part of the work completed. The BUYER for such purposes may take possession and use and occupy so much of the Shipyard and the equipment, tools, machinery, and appliances in the Shipyard as may be needed by the BUYER for such purposes. In such instance as reasonably practical the BUILDER shall assign all subcontracts and orders for material, work, services and supplies to be used in the performance of this Contract to the BUYER as the BUYER may direct. Completion of all or a part of the work shall be performed at the BUILDER’s expense with the BUYER to reimburse the BUILDER for the amount that would have been payable to the BUILDER had such work been completed by the BUILDER, and the BUILDER to reimburse the BUYER for any additional costs incurred by the BUYER in completion of such work in accordance with the terms of this Contract (including the plans and specifications referred to herein) as existing on the date of termination of this Contract, evidenced by documented invoices provided to the BUILDER.</w:t>
      </w:r>
    </w:p>
    <w:p>
      <w:pPr>
        <w:spacing w:after="0" w:line="190" w:lineRule="exact"/>
        <w:rPr>
          <w:rFonts w:ascii="Times New Roman" w:cs="Times New Roman" w:eastAsia="Times New Roman" w:hAnsi="Times New Roman"/>
          <w:sz w:val="19"/>
          <w:szCs w:val="19"/>
          <w:color w:val="auto"/>
        </w:rPr>
      </w:pPr>
    </w:p>
    <w:p>
      <w:pPr>
        <w:jc w:val="both"/>
        <w:ind w:left="520" w:hanging="324"/>
        <w:spacing w:after="0" w:line="242" w:lineRule="auto"/>
        <w:tabs>
          <w:tab w:leader="none" w:pos="5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of the Work</w:t>
      </w:r>
      <w:r>
        <w:rPr>
          <w:rFonts w:ascii="Times New Roman" w:cs="Times New Roman" w:eastAsia="Times New Roman" w:hAnsi="Times New Roman"/>
          <w:sz w:val="20"/>
          <w:szCs w:val="20"/>
          <w:color w:val="auto"/>
        </w:rPr>
        <w:t>: In the event the BUYER shall elect to terminate this Contract and not complete the construction of the VESSEL and the BUYER so notifies the BUILDER, at any time within [*] days from the date of delivering such notice to the BUILDER, the BUYER may sell the VESSEL in a partially completed condition, work in progress, material to be installed in the VESSEL, together with copies of all Plans, Specification, working plans, calculations and other records reasonably required to complete the construction of the VESSEL. The BUYER shall have access to the Shipyard in order to conduct the sale. The sale may be consummated without appraisal or evaluation of the VESSEL, and shall be conducted in the manner determined by the BUYER but the BUYER shall use reasonable efforts to secure the best price possible in respect of the VESSEL. Any purchaser at any such sale shall be given reasonable time, not less than sixty (60) days from the date of sale, within which to remove from the Shipyard the VESSEL, work in progress, and material. Either party may become a purchaser at such a sale. The proceeds of the sale shall be applied first to payment of all costs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298" w:name="page299"/>
    <w:bookmarkEnd w:id="298"/>
    <w:p>
      <w:pPr>
        <w:jc w:val="both"/>
        <w:ind w:left="980"/>
        <w:spacing w:after="0" w:line="246" w:lineRule="auto"/>
        <w:rPr>
          <w:sz w:val="20"/>
          <w:szCs w:val="20"/>
          <w:color w:val="auto"/>
        </w:rPr>
      </w:pPr>
      <w:r>
        <w:rPr>
          <w:rFonts w:ascii="Times New Roman" w:cs="Times New Roman" w:eastAsia="Times New Roman" w:hAnsi="Times New Roman"/>
          <w:sz w:val="20"/>
          <w:szCs w:val="20"/>
          <w:color w:val="auto"/>
        </w:rPr>
        <w:t>expenses, including reasonable attorneys’ fees incurred by the BUYER or its assigns in making such sale; second, to reimburse the BUYER for payments theretofore made by the BUYER to the BUILDER on account of such VESSEL; and, third, to payment of any damages, demands, or deficiencies arising by reason of default of the BUILDER. In the event the proceeds of the sale shall not be sufficient to make the payments required by the preceding sentence, the difference shall be paid by the BUILDER to the BUYER.</w:t>
      </w:r>
    </w:p>
    <w:p>
      <w:pPr>
        <w:spacing w:after="0" w:line="194" w:lineRule="exact"/>
        <w:rPr>
          <w:sz w:val="20"/>
          <w:szCs w:val="20"/>
          <w:color w:val="auto"/>
        </w:rPr>
      </w:pPr>
    </w:p>
    <w:p>
      <w:pPr>
        <w:jc w:val="both"/>
        <w:ind w:left="980" w:hanging="324"/>
        <w:spacing w:after="0" w:line="241" w:lineRule="auto"/>
        <w:tabs>
          <w:tab w:leader="none" w:pos="980"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 BUYER elects to obtain a refund the BUILDER shall promptly refund to the BUYER the full amount of all sums paid by the BUYER to the BUILDER on account of the VESSEL (unless the BUILDER proceeds to dispute resolution under the provisions of Article XIV hereof). In such event, the BUILDER shall pay the BUYER interest at the rate of 250 basis points per annum above Term SOFR for a three month tenor on the amount required herein to be refunded to the BUYER, computed from the respective dates on which such sums were paid by the BUYER to the BUILDER to the date of remittance by transfer of such refund to the BUYER by the BUILDER, provided, however, that if such rescission by the BUYER is made under the provisions of Paragraph 4 of Article VIII hereof, the BUILDER shall not be required to pay any interest. “Term SOFR” as of any day means (i) the Term SOFR Reference Rate for a 3 month tenor on the applicable day, if such day is a Business Day, as such rate is published by the Term SOFR Administrator and (ii) the Term SOFR Reference Rate for a 3 month tenor on the Business Day most recently preceding such day, if such day is not a Business Day, as such rate was published by the Term SOFR Administrator on such preceding Business Day. “Term SOFR Administrator” means CME Group Benchmark Administration Limited (CBA) (or a successor administrator of the Term SOFR Reference Rate selected by the BUYER in its reasonable discretion). “Term SOFR Reference Rate” means the forward-looking term rate based on SOFR.</w:t>
      </w:r>
    </w:p>
    <w:p>
      <w:pPr>
        <w:spacing w:after="0" w:line="211" w:lineRule="exact"/>
        <w:rPr>
          <w:rFonts w:ascii="Times New Roman" w:cs="Times New Roman" w:eastAsia="Times New Roman" w:hAnsi="Times New Roman"/>
          <w:sz w:val="20"/>
          <w:szCs w:val="20"/>
          <w:color w:val="auto"/>
        </w:rPr>
      </w:pPr>
    </w:p>
    <w:p>
      <w:pPr>
        <w:jc w:val="both"/>
        <w:ind w:left="98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promptly transfer title to the VESSEL and the work to the BUILDER upon receipt of the payment provided under this subparagraph. Upon such refund by the BUILDER to the BUYER, all obligations, duties and liabilities of each of the parties hereto to the other under this Contract shall be forthwith completely discharged.</w:t>
      </w:r>
    </w:p>
    <w:p>
      <w:pPr>
        <w:spacing w:after="0" w:line="189"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3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Guaranty; the BUYER’s Right to Receive Additional Financial Information; the BUYER’s Right to Demand Additional Security</w:t>
      </w:r>
    </w:p>
    <w:p>
      <w:pPr>
        <w:spacing w:after="0" w:line="169" w:lineRule="exact"/>
        <w:rPr>
          <w:rFonts w:ascii="Times New Roman" w:cs="Times New Roman" w:eastAsia="Times New Roman" w:hAnsi="Times New Roman"/>
          <w:sz w:val="20"/>
          <w:szCs w:val="20"/>
          <w:b w:val="1"/>
          <w:bCs w:val="1"/>
          <w:color w:val="auto"/>
        </w:rPr>
      </w:pPr>
    </w:p>
    <w:p>
      <w:pPr>
        <w:jc w:val="both"/>
        <w:ind w:left="980" w:hanging="324"/>
        <w:spacing w:after="0" w:line="249" w:lineRule="auto"/>
        <w:tabs>
          <w:tab w:leader="none" w:pos="980"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obligations assumed by the BUYER under this Contract, and as an inducement to the BUYER to enter into this Contract, the GUARANTOR has furnished to the BUYER the Guaranty guarantying the BUILDER’S performance of its obligations under this Contract. The commitment made by the Guarantor under the Guaranty is an important consideration to the BUYER under this Contract.</w:t>
      </w:r>
    </w:p>
    <w:p>
      <w:pPr>
        <w:spacing w:after="0" w:line="193"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conditions of the BUILDER and the GUARANTOR are an important consideration to the BUYER under this Contract. The BUILDER shall provide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99" w:name="page300"/>
    <w:bookmarkEnd w:id="299"/>
    <w:p>
      <w:pPr>
        <w:ind w:left="520"/>
        <w:spacing w:after="0" w:line="269" w:lineRule="auto"/>
        <w:rPr>
          <w:sz w:val="20"/>
          <w:szCs w:val="20"/>
          <w:color w:val="auto"/>
        </w:rPr>
      </w:pPr>
      <w:r>
        <w:rPr>
          <w:rFonts w:ascii="Times New Roman" w:cs="Times New Roman" w:eastAsia="Times New Roman" w:hAnsi="Times New Roman"/>
          <w:sz w:val="20"/>
          <w:szCs w:val="20"/>
          <w:color w:val="auto"/>
        </w:rPr>
        <w:t>BUYER with annual and quarterly financial statements of both the BUILDER and the GUARANTOR in accordance with paragraph (d) below.</w:t>
      </w:r>
    </w:p>
    <w:p>
      <w:pPr>
        <w:spacing w:after="0" w:line="173" w:lineRule="exact"/>
        <w:rPr>
          <w:sz w:val="20"/>
          <w:szCs w:val="20"/>
          <w:color w:val="auto"/>
        </w:rPr>
      </w:pPr>
    </w:p>
    <w:p>
      <w:pPr>
        <w:jc w:val="both"/>
        <w:ind w:left="520" w:hanging="324"/>
        <w:spacing w:after="0" w:line="253" w:lineRule="auto"/>
        <w:tabs>
          <w:tab w:leader="none" w:pos="520"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there occurs a breach of a “material” covenant (i.e., financial covenant or negative covenant) or any payment default under any bond, debenture, note or other evidence of indebtedness of the BUILDER or the GUARANTOR, in an aggregate principal amount of at least [*], or under any indenture or other instrument under which any such evidence of indebtedness has been issued or by which it is governed, which breach or default gives the holder the right to accelerate such indebtedness and which breach or default is not cured within any applicable grace or cure period, then, in order to secure the performance by the BUILDER under this Contract, the BUILDER or the GUARANTOR shall provide or maintain upon the BUYER’S request either (x) cash collateral in the amount of [*] deposited in an escrow account, in form and substance reasonably satisfactory to the BUYER (the “Cash Collateral”) or (y) a letter of credit or similar instrument, in form and substance reasonably satisfactory to the BUYER, and issued by a bank or other financial institution reasonably satisfactory to the BUYER, in the face amount of [*] (the “Letter of Credit”); and if the BUILDER or the GUARANTOR fails to provide the Cash Collateral or to provide or maintain the Letter of Credit (as applicable, the “Security”) within [*] days after the BUYER’s request, then the BUYER shall be entitled to terminate this Contract and exercise any of the rights in Paragraph 1 of this Article X. If, after the Security is provided to the BUYER, the underlying breach or default is cured or waived, unless the BUILDER has elected to cure a BUILDER’s Default under Article XII, subparagraph 1(g) by providing Security, then the requirement to provide the Security shall cease to apply and the Cash Collateral shall be returned or the Letter of Credit shall be cancelled, as applicable. The provision of the Security to the BUYER under this Paragraph 2(c) will also satisfy the requirements of Paragraph 2(c) of Article X of the Sister Ship Contracts. The BUYER shall not access the Cash Collateral or draw on the Letter of Credit unless and until this Contract has been terminated by the</w:t>
      </w:r>
    </w:p>
    <w:p>
      <w:pPr>
        <w:spacing w:after="0" w:line="5"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BUYER.</w:t>
      </w:r>
    </w:p>
    <w:p>
      <w:pPr>
        <w:spacing w:after="0" w:line="207" w:lineRule="exact"/>
        <w:rPr>
          <w:rFonts w:ascii="Times New Roman" w:cs="Times New Roman" w:eastAsia="Times New Roman" w:hAnsi="Times New Roman"/>
          <w:sz w:val="19"/>
          <w:szCs w:val="19"/>
          <w:color w:val="auto"/>
        </w:rPr>
      </w:pPr>
    </w:p>
    <w:p>
      <w:pPr>
        <w:jc w:val="both"/>
        <w:ind w:left="520" w:hanging="324"/>
        <w:spacing w:after="0" w:line="242" w:lineRule="auto"/>
        <w:tabs>
          <w:tab w:leader="none" w:pos="52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will provide the BUYER with: (i) audited annual financial statements of the GUARANTOR and its subsidiaries, on a consolidated basis, that shall be accompanied by an opinion thereon of KPMG AS or other independent certified public accountants of recognized standing that such statements present fairly, in all material respects, the consolidated financial position of the companies being reported, within one hundred twenty (120) days of the close of each fiscal year, and (ii) unaudited quarterly financial statements of the GUARANTOR and its subsidiaries, on a consolidated basis, certified, as appropriate, by a senior financial officer of the BUILDER or the GUARANTOR on behalf of such entity as fairly presenting, in all material respects, the consolidated financial position of the companies being reported, within sixty (60) days of the close of each fiscal quarter (other than the fourth fiscal quarter of each fiscal year). The BUILDER shall provide unaudited quarterly financial statements of the BUILDER on a stand-alone basis to the extent there is any material difference in such unaudited quarterly financial statements and the unaudited quarterly financial statements required by clause (ii) above with respect to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20"/>
          <w:szCs w:val="20"/>
          <w:b w:val="1"/>
          <w:bCs w:val="1"/>
          <w:color w:val="auto"/>
        </w:rPr>
        <w:t>ARTICLE XI-BUYER’S DEFAULT</w:t>
      </w:r>
    </w:p>
    <w:p>
      <w:pPr>
        <w:spacing w:after="0" w:line="229" w:lineRule="exact"/>
        <w:rPr>
          <w:sz w:val="20"/>
          <w:szCs w:val="20"/>
          <w:color w:val="auto"/>
        </w:rPr>
      </w:pPr>
    </w:p>
    <w:p>
      <w:pPr>
        <w:ind w:left="660" w:hanging="652"/>
        <w:spacing w:after="0"/>
        <w:tabs>
          <w:tab w:leader="none" w:pos="660"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 of BUYER’s Default:</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be deemed to be in default of performance of its obligations under this Contract in the following cases:</w:t>
      </w:r>
    </w:p>
    <w:p>
      <w:pPr>
        <w:spacing w:after="0" w:line="172"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take delivery of the VESSEL, when the VESSEL is duly tendered for delivery by the BUILDER under the provisions of Article VII hereof.</w:t>
      </w:r>
    </w:p>
    <w:p>
      <w:pPr>
        <w:spacing w:after="0" w:line="172"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make any payment under Article II in this Contract when such payment is due, absent a good faith dispute about the amount payable, and such failure is not remedied within [*] days after written notice thereof from BUILDER.</w:t>
      </w:r>
    </w:p>
    <w:p>
      <w:pPr>
        <w:spacing w:after="0" w:line="187"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being dissolved or adjudged bankrupt or making a general assignment for the benefit of its creditors, or the appointment of a receiver or receivers of any kind whatsoever, whether or not appointed in bankruptcy, common law or equity proceedings, whether temporary or permanent, for the property of the BUYER, or the filing by the BUYER of a petition for reorganization or other proceedings with reference to the BUYER, under the Bankruptcy Code of the United States or any similar law, state or federal or in any other jurisdiction in which the BUYER has assets or is registered to do business, or the filing of such petition of creditors and approval thereof by the Court, whether proposed by a creditor, a stockholder or any other person whatsoever, or the filing of an answer to such a petition admitting insolvency or inability to pay its debts.</w:t>
      </w:r>
    </w:p>
    <w:p>
      <w:pPr>
        <w:spacing w:after="0" w:line="19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and Charge: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is in default of a payment as to any installment as provided in Paragraph 1(a) and (b) of this Article, the BUYER shall pay interest on such installment at Term SOFR for a three month tenor plus 250 basis points per annum from the due date thereof to the date of payment to the BUILDER on the full amount including interest. In case the BUYER shall fail to take delivery of the VESSEL as provided in Paragraph 1(a) of this Article, the BUYER shall be deemed in default of the final payment and shall pay interest thereon at the same rate as aforesaid from and including the day on which the VESSEL is tendered for delivery by the BUILDER. In any event of default by the BUYER, the BUYER shall also pay all charges and expenses incurred by the BUILDER in connection with such default.</w:t>
      </w:r>
    </w:p>
    <w:p>
      <w:pPr>
        <w:spacing w:after="0" w:line="19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Default:</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occurs as provided hereinbefore, the Delivery Date shall be postponed for the period of continuance of such default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01" w:name="page302"/>
    <w:bookmarkEnd w:id="301"/>
    <w:p>
      <w:pPr>
        <w:jc w:val="both"/>
        <w:ind w:left="972" w:hanging="324"/>
        <w:spacing w:after="0" w:line="246" w:lineRule="auto"/>
        <w:tabs>
          <w:tab w:leader="none" w:pos="972"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continues for a period of fifteen (15) days after receipt of written notice from the BUILDER, the BUILDER may, at its option, terminate this Contract by giving notice of such effect to the BUYER in writing. Upon receipt by the BUYER of such notice of termination, this Contract shall forthwith become terminated and any of the BUYER’s Supplies in the BUILDER’s custody shall be tendered to the BUYER and if not promptly removed up by the BUYER shall become the sole property of the BUILDER.</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such termination of this Contract, the BUILDER shall be entitled to retain any installments theretofore paid by the BUYER to the BUILDER on account of this Contract in trust (both for itself and the BUYER) until disposition of the VESSEL as hereinafter provided, whereupon the same shall be applied as provided in Paragraph 4 below.</w:t>
      </w:r>
    </w:p>
    <w:p>
      <w:pPr>
        <w:spacing w:after="0" w:line="189"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of the VESSEL:</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termination of this Contract as above provided, the BUILDER shall have full right and power either to complete or not to complete the VESSEL as it deems fit, and to sell the VESSEL at a public or private sale on such terms and conditions as the BUILDER thinks fit without being answerable for any loss or damage.</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sale of the VESSEL in its completed state, the proceeds of the sale received by the BUILDER shall be applied as follows: first, to the payment of all expenses attending such sale and otherwise incurred by the BUILDER as a result of the BUYER’s default; and second, to payment of all unpaid installments of the Contract Price and interest on such installments at Term SOFR for a three month tenor plus 250 basis points per annum from the respective due dates thereof to the date of application.</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sale of the VESSEL in its incomplete state, the proceeds of sale received by the BUILDER shall be applied as follows: first, to all expenses attending such sale and otherwise incurred by the BUILDER as a result of the BUYER’s default; second, to payment of all costs of construction of the VESSEL less the installments paid to the BUILDER; and third, to payment of compensation to the BUILDER in an amount equal to ten percent (10%) of all costs of construction of the VESSEL, representing a reasonable loss of profit on such costs due to the termination of this Contract.</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either of the above events of sale, if the proceeds of sale exceed the total of amounts to which such proceeds are to be applied under subparagraphs b or c of this Paragraph 4, the BUILDER shall promptly pay the excess to the BUYER without interest, provided, however, that the amount of such payment to the BUYER shall in no event exceed the total amount of installments already paid by the BUYER.</w:t>
      </w:r>
    </w:p>
    <w:p>
      <w:pPr>
        <w:spacing w:after="0" w:line="193"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proceeds of sale are insufficient to pay such total amounts payable under subparagraphs b or c of this Paragraph 4, the BUYER shall promptly pay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302" w:name="page303"/>
    <w:bookmarkEnd w:id="302"/>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deficiency, plus interest thereon at Term SOFR for a three month tenor plus two percent (2%) per annum running on and from the date of the sale closing until the date the full amount of said deficiency and interest is received by the BUILDER, to the BUILDER upon request.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XII –BUILDER’S DEFAULT</w:t>
      </w:r>
    </w:p>
    <w:p>
      <w:pPr>
        <w:spacing w:after="0" w:line="229" w:lineRule="exact"/>
        <w:rPr>
          <w:sz w:val="20"/>
          <w:szCs w:val="20"/>
          <w:color w:val="auto"/>
        </w:rPr>
      </w:pPr>
    </w:p>
    <w:p>
      <w:pPr>
        <w:ind w:left="660" w:hanging="652"/>
        <w:spacing w:after="0"/>
        <w:tabs>
          <w:tab w:leader="none" w:pos="66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 of BUILDER’s Default: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shall constitute events of default of the BUILDER under this Contract (each a “BUILDER’S Default”):</w:t>
      </w:r>
    </w:p>
    <w:p>
      <w:pPr>
        <w:spacing w:after="0" w:line="229" w:lineRule="exact"/>
        <w:rPr>
          <w:sz w:val="20"/>
          <w:szCs w:val="20"/>
          <w:color w:val="auto"/>
        </w:rPr>
      </w:pPr>
    </w:p>
    <w:p>
      <w:pPr>
        <w:jc w:val="both"/>
        <w:ind w:left="980" w:hanging="324"/>
        <w:spacing w:after="0" w:line="263" w:lineRule="auto"/>
        <w:tabs>
          <w:tab w:leader="none" w:pos="980"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BUILDER fails to timely perform any obligation of the BUILDER under this Contract, and such failure is material and not remedied within thirty (30) days after written notice thereof from the BUYER;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166" w:lineRule="exact"/>
        <w:rPr>
          <w:rFonts w:ascii="Times New Roman" w:cs="Times New Roman" w:eastAsia="Times New Roman" w:hAnsi="Times New Roman"/>
          <w:sz w:val="19"/>
          <w:szCs w:val="19"/>
          <w:color w:val="auto"/>
        </w:rPr>
      </w:pPr>
    </w:p>
    <w:p>
      <w:pPr>
        <w:jc w:val="both"/>
        <w:ind w:left="980" w:hanging="324"/>
        <w:spacing w:after="0" w:line="242" w:lineRule="auto"/>
        <w:tabs>
          <w:tab w:leader="none" w:pos="98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or the GUARANTOR (the “BUILDER PARTIES”) being dissolved or adjudged as bankrupt or making a general assignment for the benefit of its creditors, or the appointment of a receiver or receivers of any kind whatsoever, whether or not appointed in bankruptcy, common law or equity proceedings, whether temporary or permanent, for the property of the BUILDER, or the filing by any of the BUILDER PARTIES of a petition for reorganization or other proceedings with reference to any of the BUILDER PARTIES, under any of the provisions of the Bankruptcy Code of the United States or any similar law, state or federal or in any jurisdiction in which any of the BUILDER PARTIES has assets or is registered to do business, or the filing of such petition by creditors and approval thereof by the Court, whether proposed by a creditor, a stockholder or any other person whatsoever, or the filing of an answer to such petition admitting insolvency or inability to pay its debts, or if the BUILDER fails to assume this Contract within thirty (30) days of the filing of a petition by or against the BUILDER under the U.S. Bankruptcy Code or similar law.</w:t>
      </w:r>
    </w:p>
    <w:p>
      <w:pPr>
        <w:spacing w:after="0" w:line="203"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BUILDER to prosecute the work with such diligence and in such manner as will clearly prevent it from completing said work in accordance with the Delivery Date as adjusted plus [*] days, except and to the extent that such failure is due to one or more of the causes stated in ARTICLE VIII, which default continues unremedied for a period of thirty (30) days after written notice to the BUILDER thereof;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solely due to the fault of the BUILDER a total of [*] days of delay in delivery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03" w:name="page304"/>
    <w:bookmarkEnd w:id="303"/>
    <w:p>
      <w:pPr>
        <w:ind w:left="972"/>
        <w:spacing w:after="0"/>
        <w:rPr>
          <w:sz w:val="20"/>
          <w:szCs w:val="20"/>
          <w:color w:val="auto"/>
        </w:rPr>
      </w:pPr>
      <w:r>
        <w:rPr>
          <w:rFonts w:ascii="Times New Roman" w:cs="Times New Roman" w:eastAsia="Times New Roman" w:hAnsi="Times New Roman"/>
          <w:sz w:val="20"/>
          <w:szCs w:val="20"/>
          <w:color w:val="auto"/>
        </w:rPr>
        <w:t>VESSEL has elapsed after the Delivery Date as adjusted; or</w:t>
      </w:r>
    </w:p>
    <w:p>
      <w:pPr>
        <w:spacing w:after="0" w:line="216" w:lineRule="exact"/>
        <w:rPr>
          <w:sz w:val="20"/>
          <w:szCs w:val="20"/>
          <w:color w:val="auto"/>
        </w:rPr>
      </w:pPr>
    </w:p>
    <w:p>
      <w:pPr>
        <w:ind w:left="972" w:hanging="324"/>
        <w:spacing w:after="0" w:line="269" w:lineRule="auto"/>
        <w:tabs>
          <w:tab w:leader="none" w:pos="972"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BUILDER’s Default under either of the Sister Ship Contracts continues unremedied beyond any applicable notice and cure period specified therein.</w:t>
      </w:r>
    </w:p>
    <w:p>
      <w:pPr>
        <w:spacing w:after="0" w:line="159" w:lineRule="exact"/>
        <w:rPr>
          <w:rFonts w:ascii="Times New Roman" w:cs="Times New Roman" w:eastAsia="Times New Roman" w:hAnsi="Times New Roman"/>
          <w:sz w:val="20"/>
          <w:szCs w:val="20"/>
          <w:color w:val="auto"/>
        </w:rPr>
      </w:pPr>
    </w:p>
    <w:p>
      <w:pPr>
        <w:jc w:val="both"/>
        <w:ind w:left="972" w:hanging="324"/>
        <w:spacing w:after="0" w:line="274" w:lineRule="auto"/>
        <w:tabs>
          <w:tab w:leader="none" w:pos="972" w:val="left"/>
        </w:tabs>
        <w:numPr>
          <w:ilvl w:val="1"/>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or statement made or deemed to be made by the BUILDER herein or in any statement or certificate delivered or required to be delivered by an officer of the BUILDER pursuant hereto shall prove to be untrue in any material respect on the date as of which it was made or deemed to have been made.</w:t>
      </w:r>
    </w:p>
    <w:p>
      <w:pPr>
        <w:spacing w:after="0" w:line="156" w:lineRule="exact"/>
        <w:rPr>
          <w:rFonts w:ascii="Times New Roman" w:cs="Times New Roman" w:eastAsia="Times New Roman" w:hAnsi="Times New Roman"/>
          <w:sz w:val="19"/>
          <w:szCs w:val="19"/>
          <w:color w:val="auto"/>
        </w:rPr>
      </w:pPr>
    </w:p>
    <w:p>
      <w:pPr>
        <w:jc w:val="both"/>
        <w:ind w:left="972" w:hanging="324"/>
        <w:spacing w:after="0" w:line="242" w:lineRule="auto"/>
        <w:tabs>
          <w:tab w:leader="none" w:pos="972"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there occurs a default under any bond, debenture, note or other evidence of indebtedness of the BUILDER or the GUARANTOR, or under any indenture or other instrument under which any such evidence of indebtedness has been issued or by which it is governed, which default gives the holder the right to accelerate such indebtedness and which breach is not cured within any applicable grace or cure period, and (ii) such default results in the acceleration of the maturity of indebtedness in an aggregate principal amount of at least [*], unless the BUILDER and/or the GUARANTOR provides Security to the BUYER. Any Security provided to cure a BUILDER’s Default under this Article XII subparagraph 1(g) shall be maintained by the BUILDER for the benefit of the BUYER until the earlier of (x) delivery of the VESSEL and the vessels subject to the Sister Ship Contracts or (y) four (4) consecutive quarters of debt compliance during which the BUILDER is not in bankruptcy.</w:t>
      </w:r>
    </w:p>
    <w:p>
      <w:pPr>
        <w:spacing w:after="0" w:line="20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BUYER’s Remedies: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the occurrence of a BUILDER’s Default, the BUYER may, at its option, cease to make payments hereunder and exercise any other remedy available to it by law, including without limitation, to terminate this Contract by giving notice of such effect to the BUILDER in accordance with ARTICLE X hereof, which termination shall be effective, without further act or deed immediately upon the receipt of such notice provided, such termination shall not prevent either party from initiating proceedings pursuant to the provisions of Article XIV with respect to any claim it may allege concerning rights and obligations under this Contract. Upon the giving of such notice, the BUYER may elect any of the options set forth in Article X.</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XIII-INSURANCE</w:t>
      </w:r>
    </w:p>
    <w:p>
      <w:pPr>
        <w:spacing w:after="0" w:line="229" w:lineRule="exact"/>
        <w:rPr>
          <w:sz w:val="20"/>
          <w:szCs w:val="20"/>
          <w:color w:val="auto"/>
        </w:rPr>
      </w:pPr>
    </w:p>
    <w:p>
      <w:pPr>
        <w:ind w:left="652" w:hanging="652"/>
        <w:spacing w:after="0"/>
        <w:tabs>
          <w:tab w:leader="none" w:pos="652"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Builder’s Insurance:</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any and all times during the term of this Contract, BUILDER shall at its own expense maintain, with an insurance company or companies, with a minimum rating by A.M. Best Company and/or Standard &amp; Poor’s of A minus or equivalent, and authorized to do business in the state in which work is to be performed, insurance and surety coverage’s of the kind and in the minimum amounts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304" w:name="page305"/>
    <w:bookmarkEnd w:id="304"/>
    <w:p>
      <w:pPr>
        <w:ind w:left="520" w:hanging="324"/>
        <w:spacing w:after="0"/>
        <w:tabs>
          <w:tab w:leader="none" w:pos="52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argo Insurance, Builder’s Risk Insurance and Property Insurance</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jc w:val="both"/>
        <w:ind w:left="840" w:firstLine="328"/>
        <w:spacing w:after="0" w:line="243" w:lineRule="auto"/>
        <w:tabs>
          <w:tab w:leader="none" w:pos="1488" w:val="left"/>
        </w:tabs>
        <w:numPr>
          <w:ilvl w:val="3"/>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Cargo Insurance.</w:t>
      </w:r>
      <w:r>
        <w:rPr>
          <w:rFonts w:ascii="Times New Roman" w:cs="Times New Roman" w:eastAsia="Times New Roman" w:hAnsi="Times New Roman"/>
          <w:sz w:val="20"/>
          <w:szCs w:val="20"/>
          <w:color w:val="auto"/>
        </w:rPr>
        <w:t xml:space="preserve"> BUILDER shall maintain All Risk Marine/War Risk Cargo Insurance subject to a limit of $[*] any one conveyance on all machinery, materials or equipment to be installed as part of the VESSEL, at all times commencing with the earlier of BUILDER taking title or having an insurable interest and while in transit until such machinery, materials or equipment reaches the Shipyard and risk of loss is properly transferred to a Property Insurance policy or a Hull Builder’s Risk Insurance policy. In the event that any shipment (by sea, air, etc.) exceeds the $[*] limit, then five (5) days before such shipment, BUILDER will disclose the value of such shipment to BUYER and verify that adequate insurance is in place. BUILDER shall promptly provide BUYER with a certificate evidencing the cargo insurance if a new policy is procured.</w:t>
      </w:r>
    </w:p>
    <w:p>
      <w:pPr>
        <w:spacing w:after="0" w:line="212" w:lineRule="exact"/>
        <w:rPr>
          <w:rFonts w:ascii="Times New Roman" w:cs="Times New Roman" w:eastAsia="Times New Roman" w:hAnsi="Times New Roman"/>
          <w:sz w:val="20"/>
          <w:szCs w:val="20"/>
          <w:color w:val="auto"/>
        </w:rPr>
      </w:pPr>
    </w:p>
    <w:p>
      <w:pPr>
        <w:jc w:val="both"/>
        <w:ind w:left="840" w:firstLine="328"/>
        <w:spacing w:after="0" w:line="245" w:lineRule="auto"/>
        <w:tabs>
          <w:tab w:leader="none" w:pos="1488" w:val="left"/>
        </w:tabs>
        <w:numPr>
          <w:ilvl w:val="3"/>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Insurance</w:t>
      </w:r>
      <w:r>
        <w:rPr>
          <w:rFonts w:ascii="Times New Roman" w:cs="Times New Roman" w:eastAsia="Times New Roman" w:hAnsi="Times New Roman"/>
          <w:sz w:val="20"/>
          <w:szCs w:val="20"/>
          <w:color w:val="auto"/>
        </w:rPr>
        <w:t>. From the time that the first machinery, material or equipment to be installed or included as part of each VESSEL enters the Shipyard, and until the laying of the keel of the VESSEL, BUILDER, at its expense, shall keep all such machinery, material and equipment, including all items furnished by BUYER to the extent that BUYER has declared the value of such items to BUILDER, insured at all times under BUILDER’S existing property insurance policy and/or a Hull Builder’s Risk Insurance policy.</w:t>
      </w:r>
    </w:p>
    <w:p>
      <w:pPr>
        <w:spacing w:after="0" w:line="197" w:lineRule="exact"/>
        <w:rPr>
          <w:rFonts w:ascii="Times New Roman" w:cs="Times New Roman" w:eastAsia="Times New Roman" w:hAnsi="Times New Roman"/>
          <w:sz w:val="20"/>
          <w:szCs w:val="20"/>
          <w:color w:val="auto"/>
        </w:rPr>
      </w:pPr>
    </w:p>
    <w:p>
      <w:pPr>
        <w:ind w:left="840" w:hanging="320"/>
        <w:spacing w:after="0"/>
        <w:tabs>
          <w:tab w:leader="none" w:pos="840"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Builder’s risk insurance:</w:t>
      </w:r>
    </w:p>
    <w:p>
      <w:pPr>
        <w:spacing w:after="0" w:line="229" w:lineRule="exact"/>
        <w:rPr>
          <w:rFonts w:ascii="Times New Roman" w:cs="Times New Roman" w:eastAsia="Times New Roman" w:hAnsi="Times New Roman"/>
          <w:sz w:val="20"/>
          <w:szCs w:val="20"/>
          <w:color w:val="auto"/>
        </w:rPr>
      </w:pPr>
    </w:p>
    <w:p>
      <w:pPr>
        <w:jc w:val="both"/>
        <w:ind w:left="1160" w:hanging="316"/>
        <w:spacing w:after="0" w:line="254" w:lineRule="auto"/>
        <w:tabs>
          <w:tab w:leader="none" w:pos="1160" w:val="left"/>
        </w:tabs>
        <w:numPr>
          <w:ilvl w:val="2"/>
          <w:numId w:val="3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Requirement</w:t>
      </w:r>
      <w:r>
        <w:rPr>
          <w:rFonts w:ascii="Times New Roman" w:cs="Times New Roman" w:eastAsia="Times New Roman" w:hAnsi="Times New Roman"/>
          <w:sz w:val="19"/>
          <w:szCs w:val="19"/>
          <w:color w:val="auto"/>
        </w:rPr>
        <w:t>. From the time of the laying of the keel of the VESSEL, and until delivery of the VESSEL, BUILDER, at its expense, shall keep the VESSEL and all machinery, material and equipment to be installed in the VESSEL, including all items furnished by BUYER (to the extent that BUYER has declared the value of such items to BUILDER) insured at all times under an all-risk form Marine Builders Risk policy, acceptable to BUYER (such acceptance not to be unreasonably withheld), it being agreed that if such policy is acceptable to the lender(s) providing construction period financing for the VESSEL, if any, then such policy shall be deemed to be acceptable to BUYER. BUILDER may utilize existing policies of insurance that cover the risks listed in subparagraph (a)(iii)(2) of this Article, provided that such policies are maintained by BUILDER in accordance with the provisions of paragraph</w:t>
      </w:r>
    </w:p>
    <w:p>
      <w:pPr>
        <w:spacing w:after="0" w:line="6" w:lineRule="exact"/>
        <w:rPr>
          <w:rFonts w:ascii="Times New Roman" w:cs="Times New Roman" w:eastAsia="Times New Roman" w:hAnsi="Times New Roman"/>
          <w:sz w:val="19"/>
          <w:szCs w:val="19"/>
          <w:color w:val="auto"/>
        </w:rPr>
      </w:pPr>
    </w:p>
    <w:p>
      <w:pPr>
        <w:ind w:left="1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of this Article.</w:t>
      </w:r>
    </w:p>
    <w:p>
      <w:pPr>
        <w:spacing w:after="0" w:line="207" w:lineRule="exact"/>
        <w:rPr>
          <w:rFonts w:ascii="Times New Roman" w:cs="Times New Roman" w:eastAsia="Times New Roman" w:hAnsi="Times New Roman"/>
          <w:sz w:val="19"/>
          <w:szCs w:val="19"/>
          <w:color w:val="auto"/>
        </w:rPr>
      </w:pPr>
    </w:p>
    <w:p>
      <w:pPr>
        <w:jc w:val="both"/>
        <w:ind w:left="1160" w:hanging="316"/>
        <w:spacing w:after="0" w:line="254" w:lineRule="auto"/>
        <w:tabs>
          <w:tab w:leader="none" w:pos="1160" w:val="left"/>
        </w:tabs>
        <w:numPr>
          <w:ilvl w:val="2"/>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w:t>
      </w:r>
      <w:r>
        <w:rPr>
          <w:rFonts w:ascii="Times New Roman" w:cs="Times New Roman" w:eastAsia="Times New Roman" w:hAnsi="Times New Roman"/>
          <w:sz w:val="20"/>
          <w:szCs w:val="20"/>
          <w:color w:val="auto"/>
        </w:rPr>
        <w:t>. The insurance shall cover all usual marine risks, and in particular, but without prejudice to the generality of the foregoing, shall cover the following risks to the extent such insurance is available on commercially reasonable terms:</w:t>
      </w:r>
    </w:p>
    <w:p>
      <w:pPr>
        <w:spacing w:after="0" w:line="187" w:lineRule="exact"/>
        <w:rPr>
          <w:rFonts w:ascii="Times New Roman" w:cs="Times New Roman" w:eastAsia="Times New Roman" w:hAnsi="Times New Roman"/>
          <w:sz w:val="20"/>
          <w:szCs w:val="20"/>
          <w:color w:val="auto"/>
        </w:rPr>
      </w:pPr>
    </w:p>
    <w:p>
      <w:pPr>
        <w:jc w:val="both"/>
        <w:ind w:left="1800" w:hanging="321"/>
        <w:spacing w:after="0" w:line="254" w:lineRule="auto"/>
        <w:tabs>
          <w:tab w:leader="none" w:pos="1800" w:val="left"/>
        </w:tabs>
        <w:numPr>
          <w:ilvl w:val="4"/>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risks of loss or damage, including earthquake, volcanic eruption, hurricane, named windstorm and tidal wave, in respect of the VESSEL and all machinery, material and equipment, whether at the Shipyard or BUILDER’s suppliers’ premises or 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5" w:name="page306"/>
    <w:bookmarkEnd w:id="305"/>
    <w:p>
      <w:pPr>
        <w:ind w:left="1820"/>
        <w:spacing w:after="0" w:line="269" w:lineRule="auto"/>
        <w:rPr>
          <w:sz w:val="20"/>
          <w:szCs w:val="20"/>
          <w:color w:val="auto"/>
        </w:rPr>
      </w:pPr>
      <w:r>
        <w:rPr>
          <w:rFonts w:ascii="Times New Roman" w:cs="Times New Roman" w:eastAsia="Times New Roman" w:hAnsi="Times New Roman"/>
          <w:sz w:val="20"/>
          <w:szCs w:val="20"/>
          <w:color w:val="auto"/>
        </w:rPr>
        <w:t>transit to the Shipyard or other place of BUILDER custody, including and during launching and trials;</w:t>
      </w:r>
    </w:p>
    <w:p>
      <w:pPr>
        <w:spacing w:after="0" w:line="173" w:lineRule="exact"/>
        <w:rPr>
          <w:sz w:val="20"/>
          <w:szCs w:val="20"/>
          <w:color w:val="auto"/>
        </w:rPr>
      </w:pPr>
    </w:p>
    <w:p>
      <w:pPr>
        <w:ind w:left="1800" w:hanging="321"/>
        <w:spacing w:after="0"/>
        <w:tabs>
          <w:tab w:leader="none" w:pos="1800"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Strikes, riots, civil commotions, and malicious damage;</w:t>
      </w:r>
    </w:p>
    <w:p>
      <w:pPr>
        <w:spacing w:after="0" w:line="229" w:lineRule="exact"/>
        <w:rPr>
          <w:rFonts w:ascii="Times New Roman" w:cs="Times New Roman" w:eastAsia="Times New Roman" w:hAnsi="Times New Roman"/>
          <w:sz w:val="20"/>
          <w:szCs w:val="20"/>
          <w:color w:val="auto"/>
        </w:rPr>
      </w:pPr>
    </w:p>
    <w:p>
      <w:pPr>
        <w:jc w:val="both"/>
        <w:ind w:left="1800" w:hanging="321"/>
        <w:spacing w:after="0" w:line="254" w:lineRule="auto"/>
        <w:tabs>
          <w:tab w:leader="none" w:pos="1800"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War Risks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jc w:val="both"/>
        <w:ind w:left="1800" w:hanging="321"/>
        <w:spacing w:after="0" w:line="254" w:lineRule="auto"/>
        <w:tabs>
          <w:tab w:leader="none" w:pos="1800"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Terrorism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ind w:left="1800" w:hanging="321"/>
        <w:spacing w:after="0"/>
        <w:tabs>
          <w:tab w:leader="none" w:pos="1800"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and indemnity coverage including full Collision.</w:t>
      </w:r>
    </w:p>
    <w:p>
      <w:pPr>
        <w:spacing w:after="0" w:line="229"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Coverage shall include [*] percent ([*]%) cost escalation coverage and coverage for soft costs including liquidated damages for delay, additional construction financing interest, construction loan fees, engineering expenses/fees, insurance premiums, accounting fees, project administration expenses, attorneys’ fees and fees and other costs associated with such damage or loss and with Regulatory Agency approvals. Policy deductible shall be no more than $[*] per occurrence. Coverage shall be the equivalent of the American Institute Builder’s Risk Clauses (Feb 8, 1979) and American Hull Insurance Syndicate Addendum No. 1 (May 15, 1985, SRCC) and shall include Pre-Keel coverage. Coverage shall be written without risk of liability of the BUYER for payment and without deduction for depreciation. There shall be no coinsurance penalty provision in any such policy.</w:t>
      </w:r>
    </w:p>
    <w:p>
      <w:pPr>
        <w:spacing w:after="0" w:line="19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In addition to liability for physical loss of, damage to, or damage caused by the VESSEL imposed upon the BUILDER by law or by the Contract, the Marine Builder’s Risk Insurance Policy shall be written to specifically include, in part:</w:t>
      </w:r>
    </w:p>
    <w:p>
      <w:pPr>
        <w:spacing w:after="0" w:line="188" w:lineRule="exact"/>
        <w:rPr>
          <w:sz w:val="20"/>
          <w:szCs w:val="20"/>
          <w:color w:val="auto"/>
        </w:rPr>
      </w:pPr>
    </w:p>
    <w:p>
      <w:pPr>
        <w:ind w:left="1800" w:hanging="321"/>
        <w:spacing w:after="0"/>
        <w:tabs>
          <w:tab w:leader="none" w:pos="180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Ship underway activity as often as necessary for completion and testing of the VESSEL;</w:t>
      </w:r>
    </w:p>
    <w:p>
      <w:pPr>
        <w:spacing w:after="0" w:line="21" w:lineRule="exact"/>
        <w:rPr>
          <w:rFonts w:ascii="Times New Roman" w:cs="Times New Roman" w:eastAsia="Times New Roman" w:hAnsi="Times New Roman"/>
          <w:sz w:val="20"/>
          <w:szCs w:val="20"/>
          <w:color w:val="auto"/>
        </w:rPr>
      </w:pPr>
    </w:p>
    <w:p>
      <w:pPr>
        <w:ind w:left="1800" w:hanging="321"/>
        <w:spacing w:after="0" w:line="239" w:lineRule="auto"/>
        <w:tabs>
          <w:tab w:leader="none" w:pos="180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BUYER’s Supplies, if any, from the time of delivery of the BUYER’s Supplies to the BUILDER;</w:t>
      </w:r>
    </w:p>
    <w:p>
      <w:pPr>
        <w:ind w:left="1800" w:hanging="321"/>
        <w:spacing w:after="0"/>
        <w:tabs>
          <w:tab w:leader="none" w:pos="180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policy is primary to all other collectible insurance; and</w:t>
      </w:r>
    </w:p>
    <w:p>
      <w:pPr>
        <w:ind w:left="1800" w:hanging="321"/>
        <w:spacing w:after="0"/>
        <w:tabs>
          <w:tab w:leader="none" w:pos="180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Underwriters’ waiver of subrogation in favor of the BUYER and all subcontractors of any tier.</w:t>
      </w:r>
    </w:p>
    <w:p>
      <w:pPr>
        <w:spacing w:after="0" w:line="207" w:lineRule="exact"/>
        <w:rPr>
          <w:rFonts w:ascii="Times New Roman" w:cs="Times New Roman" w:eastAsia="Times New Roman" w:hAnsi="Times New Roman"/>
          <w:sz w:val="20"/>
          <w:szCs w:val="20"/>
          <w:color w:val="auto"/>
        </w:rPr>
      </w:pPr>
    </w:p>
    <w:p>
      <w:pPr>
        <w:jc w:val="both"/>
        <w:ind w:left="1160" w:hanging="316"/>
        <w:spacing w:after="0" w:line="254" w:lineRule="auto"/>
        <w:tabs>
          <w:tab w:leader="none" w:pos="116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Sum</w:t>
      </w:r>
      <w:r>
        <w:rPr>
          <w:rFonts w:ascii="Times New Roman" w:cs="Times New Roman" w:eastAsia="Times New Roman" w:hAnsi="Times New Roman"/>
          <w:sz w:val="20"/>
          <w:szCs w:val="20"/>
          <w:color w:val="auto"/>
        </w:rPr>
        <w:t>. The minimum sum insured, and the limit of the BUILDER’s liability, at any date from at the point of laying the keel onward, shall be the value of the contract work completed to such date, which shall not be less than the total sum of Milestone Payments paid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20"/>
          <w:szCs w:val="20"/>
          <w:color w:val="auto"/>
        </w:rPr>
        <w:t>date, plus the value declared by the BUYER to the BUILDER for the BUYER’s Supplies.</w:t>
      </w:r>
    </w:p>
    <w:p>
      <w:pPr>
        <w:spacing w:after="0" w:line="229" w:lineRule="exact"/>
        <w:rPr>
          <w:sz w:val="20"/>
          <w:szCs w:val="20"/>
          <w:color w:val="auto"/>
        </w:rPr>
      </w:pPr>
    </w:p>
    <w:p>
      <w:pPr>
        <w:ind w:left="520" w:hanging="324"/>
        <w:spacing w:after="0"/>
        <w:tabs>
          <w:tab w:leader="none" w:pos="52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Insurance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40" w:right="20"/>
        <w:spacing w:after="0" w:line="269" w:lineRule="auto"/>
        <w:rPr>
          <w:sz w:val="20"/>
          <w:szCs w:val="20"/>
          <w:color w:val="auto"/>
        </w:rPr>
      </w:pPr>
      <w:r>
        <w:rPr>
          <w:rFonts w:ascii="Times New Roman" w:cs="Times New Roman" w:eastAsia="Times New Roman" w:hAnsi="Times New Roman"/>
          <w:sz w:val="20"/>
          <w:szCs w:val="20"/>
          <w:color w:val="auto"/>
        </w:rPr>
        <w:t>BUILDER, at its expense, shall keep and maintain in effect the following additional insurance for the duration of this Contract:</w:t>
      </w:r>
    </w:p>
    <w:p>
      <w:pPr>
        <w:spacing w:after="0" w:line="173" w:lineRule="exact"/>
        <w:rPr>
          <w:sz w:val="20"/>
          <w:szCs w:val="20"/>
          <w:color w:val="auto"/>
        </w:rPr>
      </w:pPr>
    </w:p>
    <w:p>
      <w:pPr>
        <w:jc w:val="both"/>
        <w:ind w:left="1160" w:hanging="316"/>
        <w:spacing w:after="0" w:line="243"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General Liability</w:t>
      </w:r>
      <w:r>
        <w:rPr>
          <w:rFonts w:ascii="Times New Roman" w:cs="Times New Roman" w:eastAsia="Times New Roman" w:hAnsi="Times New Roman"/>
          <w:sz w:val="20"/>
          <w:szCs w:val="20"/>
          <w:color w:val="auto"/>
        </w:rPr>
        <w:t xml:space="preserve"> coverage to include, but not limited to, broad form property damage, personal injury, premises, completed operations and products liability, non-owned watercraft coverage with an “in rem” endorsement, and contractual liability covering all liability assumed by BUILDER under the terms of this Contract and with limits of liability not less than $5,000,000 any one occurrence or series of occurrences arising out of any one event, subject to an aggregate limit of $5,000,000 in the period of insurance for Products Liability. The BUILDER shall maintain such insurance through the expiration of the Guarantee Period. This coverage shall include broad form property damage, personal injury, broad form blanket contractual liability, products and completed operations (for one year following final acceptance of the VESSEL), and insured indemnity obligations.</w:t>
      </w:r>
    </w:p>
    <w:p>
      <w:pPr>
        <w:spacing w:after="0" w:line="199" w:lineRule="exact"/>
        <w:rPr>
          <w:rFonts w:ascii="Times New Roman" w:cs="Times New Roman" w:eastAsia="Times New Roman" w:hAnsi="Times New Roman"/>
          <w:sz w:val="20"/>
          <w:szCs w:val="20"/>
          <w:color w:val="auto"/>
        </w:rPr>
      </w:pPr>
    </w:p>
    <w:p>
      <w:pPr>
        <w:ind w:left="1160" w:hanging="316"/>
        <w:spacing w:after="0" w:line="269"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Automobile Liability</w:t>
      </w:r>
      <w:r>
        <w:rPr>
          <w:rFonts w:ascii="Times New Roman" w:cs="Times New Roman" w:eastAsia="Times New Roman" w:hAnsi="Times New Roman"/>
          <w:sz w:val="20"/>
          <w:szCs w:val="20"/>
          <w:color w:val="auto"/>
        </w:rPr>
        <w:t xml:space="preserve"> insurance with a combined single limit of $2,000,000 each accident for bodily injury and property damage.</w:t>
      </w:r>
    </w:p>
    <w:p>
      <w:pPr>
        <w:spacing w:after="0" w:line="172" w:lineRule="exact"/>
        <w:rPr>
          <w:rFonts w:ascii="Times New Roman" w:cs="Times New Roman" w:eastAsia="Times New Roman" w:hAnsi="Times New Roman"/>
          <w:sz w:val="20"/>
          <w:szCs w:val="20"/>
          <w:color w:val="auto"/>
        </w:rPr>
      </w:pPr>
    </w:p>
    <w:p>
      <w:pPr>
        <w:jc w:val="both"/>
        <w:ind w:left="1160" w:hanging="316"/>
        <w:spacing w:after="0" w:line="249"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Worker’s Compensation and Longshore and Harbor Worker’s Compensation Act</w:t>
      </w:r>
      <w:r>
        <w:rPr>
          <w:rFonts w:ascii="Times New Roman" w:cs="Times New Roman" w:eastAsia="Times New Roman" w:hAnsi="Times New Roman"/>
          <w:sz w:val="20"/>
          <w:szCs w:val="20"/>
          <w:color w:val="auto"/>
        </w:rPr>
        <w:t xml:space="preserve"> insurance (or an authorized and approved program of self-insurance therefor) conforming to the statutory requirements of the Commonwealth of Pennsylvania and the United States of America, respectively, and including Employers Liability with minimum limits of $1,000,000 each accident.</w:t>
      </w:r>
    </w:p>
    <w:p>
      <w:pPr>
        <w:spacing w:after="0" w:line="193" w:lineRule="exact"/>
        <w:rPr>
          <w:rFonts w:ascii="Times New Roman" w:cs="Times New Roman" w:eastAsia="Times New Roman" w:hAnsi="Times New Roman"/>
          <w:sz w:val="20"/>
          <w:szCs w:val="20"/>
          <w:color w:val="auto"/>
        </w:rPr>
      </w:pPr>
    </w:p>
    <w:p>
      <w:pPr>
        <w:ind w:left="1160" w:hanging="316"/>
        <w:spacing w:after="0" w:line="269"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Maritime Employer’s Liability</w:t>
      </w:r>
      <w:r>
        <w:rPr>
          <w:rFonts w:ascii="Times New Roman" w:cs="Times New Roman" w:eastAsia="Times New Roman" w:hAnsi="Times New Roman"/>
          <w:sz w:val="20"/>
          <w:szCs w:val="20"/>
          <w:color w:val="auto"/>
        </w:rPr>
        <w:t xml:space="preserve"> Insurance (including transportation, wages, Maintenance and Cure) for limits not less than $2,000,000 each person and each occurrence.</w:t>
      </w:r>
    </w:p>
    <w:p>
      <w:pPr>
        <w:spacing w:after="0" w:line="172" w:lineRule="exact"/>
        <w:rPr>
          <w:rFonts w:ascii="Times New Roman" w:cs="Times New Roman" w:eastAsia="Times New Roman" w:hAnsi="Times New Roman"/>
          <w:sz w:val="20"/>
          <w:szCs w:val="20"/>
          <w:color w:val="auto"/>
        </w:rPr>
      </w:pPr>
    </w:p>
    <w:p>
      <w:pPr>
        <w:jc w:val="both"/>
        <w:ind w:left="1160" w:hanging="316"/>
        <w:spacing w:after="0" w:line="254"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Liability</w:t>
      </w:r>
      <w:r>
        <w:rPr>
          <w:rFonts w:ascii="Times New Roman" w:cs="Times New Roman" w:eastAsia="Times New Roman" w:hAnsi="Times New Roman"/>
          <w:sz w:val="20"/>
          <w:szCs w:val="20"/>
          <w:color w:val="auto"/>
        </w:rPr>
        <w:t xml:space="preserve"> insurance in the minimum amount of $[*] per occurrence, subject to an aggregate limit of $[*] in the period of insurance for Products Liability, in excess of the liability coverages specified in Article XIII, subparagraphs (b)(1), (b)(2), (b)(3) for employers liability only, and (b)(4).</w:t>
      </w:r>
    </w:p>
    <w:p>
      <w:pPr>
        <w:spacing w:after="0" w:line="187" w:lineRule="exact"/>
        <w:rPr>
          <w:rFonts w:ascii="Times New Roman" w:cs="Times New Roman" w:eastAsia="Times New Roman" w:hAnsi="Times New Roman"/>
          <w:sz w:val="20"/>
          <w:szCs w:val="20"/>
          <w:color w:val="auto"/>
        </w:rPr>
      </w:pPr>
    </w:p>
    <w:p>
      <w:pPr>
        <w:jc w:val="both"/>
        <w:ind w:left="1160" w:hanging="316"/>
        <w:spacing w:after="0" w:line="246" w:lineRule="auto"/>
        <w:tabs>
          <w:tab w:leader="none" w:pos="11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Pollution Liability</w:t>
      </w:r>
      <w:r>
        <w:rPr>
          <w:rFonts w:ascii="Times New Roman" w:cs="Times New Roman" w:eastAsia="Times New Roman" w:hAnsi="Times New Roman"/>
          <w:sz w:val="20"/>
          <w:szCs w:val="20"/>
          <w:color w:val="auto"/>
        </w:rPr>
        <w:t xml:space="preserve"> insurance to include coverage for a) sudden and accidental pollution prior to the Vessel being launched in an amount not less than $5,000,000 per occurrence; and b) shipyard/vessel pollution after the Vessel is launched in an amount not less than $5,000,000 per occurrence containing customary terms and conditions that are acceptable to BUYER and no more restrictive than provided under WQIS policy forms or equivalent. This requirement may be satisfied by either coverage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7" w:name="page308"/>
    <w:bookmarkEnd w:id="307"/>
    <w:p>
      <w:pPr>
        <w:ind w:left="1160" w:right="20"/>
        <w:spacing w:after="0" w:line="269" w:lineRule="auto"/>
        <w:rPr>
          <w:sz w:val="20"/>
          <w:szCs w:val="20"/>
          <w:color w:val="auto"/>
        </w:rPr>
      </w:pPr>
      <w:r>
        <w:rPr>
          <w:rFonts w:ascii="Times New Roman" w:cs="Times New Roman" w:eastAsia="Times New Roman" w:hAnsi="Times New Roman"/>
          <w:sz w:val="20"/>
          <w:szCs w:val="20"/>
          <w:color w:val="auto"/>
        </w:rPr>
        <w:t>under the Commercial General Liability policy required by Article 13 (1)(b)(1) or a separate pollution liability policy.</w:t>
      </w:r>
    </w:p>
    <w:p>
      <w:pPr>
        <w:spacing w:after="0" w:line="173" w:lineRule="exact"/>
        <w:rPr>
          <w:sz w:val="20"/>
          <w:szCs w:val="20"/>
          <w:color w:val="auto"/>
        </w:rPr>
      </w:pPr>
    </w:p>
    <w:p>
      <w:pPr>
        <w:ind w:left="720"/>
        <w:spacing w:after="0" w:line="269" w:lineRule="auto"/>
        <w:rPr>
          <w:sz w:val="20"/>
          <w:szCs w:val="20"/>
          <w:color w:val="auto"/>
        </w:rPr>
      </w:pPr>
      <w:r>
        <w:rPr>
          <w:rFonts w:ascii="Times New Roman" w:cs="Times New Roman" w:eastAsia="Times New Roman" w:hAnsi="Times New Roman"/>
          <w:sz w:val="20"/>
          <w:szCs w:val="20"/>
          <w:color w:val="auto"/>
        </w:rPr>
        <w:t>The insurance coverage limits stated above can be met utilizing the BUILDER’s umbrella/excess liability policy.</w:t>
      </w:r>
    </w:p>
    <w:p>
      <w:pPr>
        <w:spacing w:after="0" w:line="173" w:lineRule="exact"/>
        <w:rPr>
          <w:sz w:val="20"/>
          <w:szCs w:val="20"/>
          <w:color w:val="auto"/>
        </w:rPr>
      </w:pPr>
    </w:p>
    <w:p>
      <w:pPr>
        <w:ind w:left="520" w:hanging="324"/>
        <w:spacing w:after="0"/>
        <w:tabs>
          <w:tab w:leader="none" w:pos="52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Insurance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60" w:right="60" w:hanging="316"/>
        <w:spacing w:after="0" w:line="255" w:lineRule="auto"/>
        <w:tabs>
          <w:tab w:leader="none" w:pos="1160" w:val="left"/>
        </w:tabs>
        <w:numPr>
          <w:ilvl w:val="1"/>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policy identified in paragraph (a) of Article XIII shall provide that it is primary insurance to and noncontributing with any other insurance carried by the BUYER, and shall obligate the insurer to give the BUYER not less than 14 days prior written notice in the event of policy cancellation (except for war risk insurance, which shall be not less than 7 days advance written notification). Each policy identified in paragraphs (b)(1) and (2) of Article XIII shall provide that it is primary insurance to and noncontributing with any other insurance carried by the BUYER, and shall obligate the insurer to give the BUYER not less than 30 days’ prior written notice in the event of policy cancellation (or 10 days’ prior written notice in the event of policy cancellation due to failure to pay premiums). Primary and noncontributing language shall be stated affirmatively on the certificates, and the insurance required under subparagraphs (a)(2)(iii) and (b)(1, 2, and 5) of Article XIII shall include appropriate endorsements evidencing such additional insured language required of the BUILDER and the insurance required under subparagraphs (a)(2)(iii) and (b)(1, 2, 3, 4, and 5) of Article XIII shall include appropriate endorsements evidencing waiver of subrogation language required of the BUILDER.</w:t>
      </w:r>
    </w:p>
    <w:p>
      <w:pPr>
        <w:spacing w:after="0" w:line="262" w:lineRule="exact"/>
        <w:rPr>
          <w:rFonts w:ascii="Times New Roman" w:cs="Times New Roman" w:eastAsia="Times New Roman" w:hAnsi="Times New Roman"/>
          <w:sz w:val="19"/>
          <w:szCs w:val="19"/>
          <w:color w:val="auto"/>
        </w:rPr>
      </w:pPr>
    </w:p>
    <w:p>
      <w:pPr>
        <w:ind w:left="1160" w:right="20" w:hanging="316"/>
        <w:spacing w:after="0" w:line="243" w:lineRule="auto"/>
        <w:tabs>
          <w:tab w:leader="none" w:pos="116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evidencing the policies described in this Article, in a form reasonably satisfactory to the BUYER, shall be delivered to the BUYER within ten (10) days of the date of this Contract and renewals thereof shall be delivered to the BUYER within ten (10) days after expiration of the respective policy terms. Not later than 60 days prior to commencement of Work, the BUILDER shall provide summaries of the policies referred to in Article XIII (1)(a) and Article XIII (1) (b) and a complete copy of the policy referred to in Article XIII (1) (c); provided, however, that the BUILDER may redact itemized pricing information for machinery, material and equipment from those policies not related to VESSEL but, if such information is redacted, then the BUILDER at a minimum will provide the aggregate total value for such machinery, material and equipment .</w:t>
      </w:r>
    </w:p>
    <w:p>
      <w:pPr>
        <w:spacing w:after="0" w:line="199" w:lineRule="exact"/>
        <w:rPr>
          <w:rFonts w:ascii="Times New Roman" w:cs="Times New Roman" w:eastAsia="Times New Roman" w:hAnsi="Times New Roman"/>
          <w:sz w:val="20"/>
          <w:szCs w:val="20"/>
          <w:color w:val="auto"/>
        </w:rPr>
      </w:pPr>
    </w:p>
    <w:p>
      <w:pPr>
        <w:ind w:left="1160" w:right="240" w:hanging="316"/>
        <w:spacing w:after="0" w:line="254" w:lineRule="auto"/>
        <w:tabs>
          <w:tab w:leader="none" w:pos="116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policies referred to in Paragraph (a) of Article XIII shall name the BUYER and its assigns as loss payee as their interests may appear, subject to the prior senior assignment of such policies to the lender(s) providing construction period financing for the VESSEL, if any.</w:t>
      </w:r>
    </w:p>
    <w:p>
      <w:pPr>
        <w:spacing w:after="0" w:line="187" w:lineRule="exact"/>
        <w:rPr>
          <w:rFonts w:ascii="Times New Roman" w:cs="Times New Roman" w:eastAsia="Times New Roman" w:hAnsi="Times New Roman"/>
          <w:sz w:val="20"/>
          <w:szCs w:val="20"/>
          <w:color w:val="auto"/>
        </w:rPr>
      </w:pPr>
    </w:p>
    <w:p>
      <w:pPr>
        <w:ind w:left="1160" w:right="220" w:hanging="316"/>
        <w:spacing w:after="0" w:line="269" w:lineRule="auto"/>
        <w:tabs>
          <w:tab w:leader="none" w:pos="116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(b) (3) and (4) of Article XIII, the BUILDER agrees that for all Worker’s Compensation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8" w:name="page309"/>
    <w:bookmarkEnd w:id="308"/>
    <w:p>
      <w:pPr>
        <w:jc w:val="both"/>
        <w:ind w:left="1160"/>
        <w:spacing w:after="0" w:line="249" w:lineRule="auto"/>
        <w:rPr>
          <w:sz w:val="20"/>
          <w:szCs w:val="20"/>
          <w:color w:val="auto"/>
        </w:rPr>
      </w:pPr>
      <w:r>
        <w:rPr>
          <w:rFonts w:ascii="Times New Roman" w:cs="Times New Roman" w:eastAsia="Times New Roman" w:hAnsi="Times New Roman"/>
          <w:sz w:val="20"/>
          <w:szCs w:val="20"/>
          <w:color w:val="auto"/>
        </w:rPr>
        <w:t>Longshore and Harbor Worker’s Compensation Act Insurance, or authorized and approved self-insurance therefor, and all Employer’s Liability and Maritime Employer’s Liability Insurance policies, they shall contain waivers of rights of subrogation against the BUYER and its parent, subsidiaries, and affiliated companies.</w:t>
      </w:r>
    </w:p>
    <w:p>
      <w:pPr>
        <w:spacing w:after="0" w:line="193" w:lineRule="exact"/>
        <w:rPr>
          <w:sz w:val="20"/>
          <w:szCs w:val="20"/>
          <w:color w:val="auto"/>
        </w:rPr>
      </w:pPr>
    </w:p>
    <w:p>
      <w:pPr>
        <w:jc w:val="both"/>
        <w:ind w:left="1160" w:hanging="316"/>
        <w:spacing w:after="0" w:line="244" w:lineRule="auto"/>
        <w:tabs>
          <w:tab w:leader="none" w:pos="11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(a)(2)(iii), and (b) (1) and (2) of Article XIII, the BUILDER agrees that for all Collision, Protection and Indemnity Liability, Commercial General Liability and Automobile Liability that the BUYER and its parent, subsidiaries, and affiliated companies shall be named as additional assured on those policies and such policies shall contain waivers of underwriter’s rights of subrogation. It is agreed that such naming and waiving shall apply only to the extent of the legally enforceable indemnity obligations and risks assumed by the BUILDER in this Contract.</w:t>
      </w:r>
    </w:p>
    <w:p>
      <w:pPr>
        <w:spacing w:after="0" w:line="145" w:lineRule="exact"/>
        <w:rPr>
          <w:rFonts w:ascii="Times New Roman" w:cs="Times New Roman" w:eastAsia="Times New Roman" w:hAnsi="Times New Roman"/>
          <w:sz w:val="20"/>
          <w:szCs w:val="20"/>
          <w:color w:val="auto"/>
        </w:rPr>
      </w:pPr>
    </w:p>
    <w:p>
      <w:pPr>
        <w:jc w:val="both"/>
        <w:ind w:left="1160" w:hanging="316"/>
        <w:spacing w:after="0" w:line="243" w:lineRule="auto"/>
        <w:tabs>
          <w:tab w:leader="none" w:pos="11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BUILDER does not provide insurance that meets BUYER’s coverage requirements as set forth in Article XIII Paragraphs 1(a) – (c), or if BUILDER fails to provide insurance documentation as required by Article XIII, Paragraph 1.c.(2) and such failure is not cured within thirty (30) days after notice from BUYER, then BUYER reserves the right, but not the obligation, to procure and maintain any or all of the insurance required by Article XIII, Paragraphs 1(a)- (c), for and in the name of BUILDER, in lieu of BUILDER provided insurance with terms reasonably agreeable to BUILDER. If such insurance is purchased by BUYER, BUILDER shall deduct the actual premium cost thereof (as substantiated by documentation reasonably satisfactory to BUYER) from the Contract Price.</w:t>
      </w:r>
    </w:p>
    <w:p>
      <w:pPr>
        <w:spacing w:after="0" w:line="202"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Deductibles</w:t>
      </w:r>
      <w:r>
        <w:rPr>
          <w:rFonts w:ascii="Times New Roman" w:cs="Times New Roman" w:eastAsia="Times New Roman" w:hAnsi="Times New Roman"/>
          <w:sz w:val="20"/>
          <w:szCs w:val="20"/>
          <w:color w:val="auto"/>
        </w:rPr>
        <w:t>. Policy deductibles shall be no more than USD $[*] per occurrence. BUILDER is responsible for and will pay all deductible payments and self-insured retentions under the required insurance, and BUILDER will act as BUYER’s insurer for the amount of those deductibles and retentions under the terms and conditions of the policies to which the deductibles pertain. Coverage shall be written without risk of liability of BUYER for payment and without deduction for depreciation. There shall be no coinsurance penalty provision in any such policy.</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4" w:lineRule="auto"/>
        <w:tabs>
          <w:tab w:leader="none" w:pos="52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 Limits and BUILDER’s Liability.</w:t>
      </w:r>
      <w:r>
        <w:rPr>
          <w:rFonts w:ascii="Times New Roman" w:cs="Times New Roman" w:eastAsia="Times New Roman" w:hAnsi="Times New Roman"/>
          <w:sz w:val="20"/>
          <w:szCs w:val="20"/>
          <w:color w:val="auto"/>
        </w:rPr>
        <w:t xml:space="preserve"> The insurance coverage limits stated in this Article XIII are minimum insurance coverage requirements, not limits of BUILDER’s liability. Notwithstanding the above-required insurance policies, BUILDER shall be obligated for the full and total amount of any damage, injury, expense or loss to the extent provided in this Contract. Should BUILDER fail to procure or maintain any of these insurance coverages, or by any act or omission vitiate or invalidate any of the aforesaid insurance coverages, BUILDER shall pay to BUYER all losses and indemnify BUYER against all claims and demands which would otherwise have been covered by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2" w:right="999" w:bottom="1440" w:gutter="0" w:footer="0" w:header="0"/>
        </w:sectPr>
      </w:pPr>
    </w:p>
    <w:bookmarkStart w:id="309" w:name="page310"/>
    <w:bookmarkEnd w:id="309"/>
    <w:p>
      <w:pPr>
        <w:ind w:left="660" w:right="6320" w:hanging="652"/>
        <w:spacing w:after="0" w:line="452" w:lineRule="auto"/>
        <w:tabs>
          <w:tab w:leader="none" w:pos="660" w:val="left"/>
        </w:tabs>
        <w:numPr>
          <w:ilvl w:val="0"/>
          <w:numId w:val="3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of Recovered Amount: </w:t>
      </w:r>
      <w:r>
        <w:rPr>
          <w:rFonts w:ascii="Times New Roman" w:cs="Times New Roman" w:eastAsia="Times New Roman" w:hAnsi="Times New Roman"/>
          <w:sz w:val="20"/>
          <w:szCs w:val="20"/>
          <w:color w:val="auto"/>
        </w:rPr>
        <w:t>a. Partial Loss:</w:t>
      </w:r>
    </w:p>
    <w:p>
      <w:pPr>
        <w:spacing w:after="0" w:line="2" w:lineRule="exact"/>
        <w:rPr>
          <w:sz w:val="20"/>
          <w:szCs w:val="20"/>
          <w:color w:val="auto"/>
        </w:rPr>
      </w:pPr>
    </w:p>
    <w:p>
      <w:pPr>
        <w:jc w:val="both"/>
        <w:ind w:left="1300"/>
        <w:spacing w:after="0" w:line="245" w:lineRule="auto"/>
        <w:rPr>
          <w:sz w:val="20"/>
          <w:szCs w:val="20"/>
          <w:color w:val="auto"/>
        </w:rPr>
      </w:pPr>
      <w:r>
        <w:rPr>
          <w:rFonts w:ascii="Times New Roman" w:cs="Times New Roman" w:eastAsia="Times New Roman" w:hAnsi="Times New Roman"/>
          <w:sz w:val="20"/>
          <w:szCs w:val="20"/>
          <w:color w:val="auto"/>
        </w:rPr>
        <w:t>In the event the VESSEL shall be damaged by any insured cause whatsoever prior to acceptance thereof by the BUYER and in the further event that such damage shall not constitute an actual or a constructive total loss of the VESSEL, the BUILDER shall apply the amount recovered under the insurance policy referred to in Paragraph 1 of this Article to the repair of such damage satisfactory to the Classification Society, and the BUYER shall accept the VESSEL under this Contract if completed in accordance with this Contract and Specification.</w:t>
      </w:r>
    </w:p>
    <w:p>
      <w:pPr>
        <w:spacing w:after="0" w:line="19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Total Loss: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However, in the event that the VESSEL is determined to be an actual or constructive total loss, the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BUILDER shall by the mutual agreement between the parties hereto, either:</w:t>
      </w:r>
    </w:p>
    <w:p>
      <w:pPr>
        <w:spacing w:after="0" w:line="207" w:lineRule="exact"/>
        <w:rPr>
          <w:sz w:val="20"/>
          <w:szCs w:val="20"/>
          <w:color w:val="auto"/>
        </w:rPr>
      </w:pPr>
    </w:p>
    <w:p>
      <w:pPr>
        <w:jc w:val="both"/>
        <w:ind w:left="1620" w:hanging="316"/>
        <w:spacing w:after="0" w:line="246" w:lineRule="auto"/>
        <w:tabs>
          <w:tab w:leader="none" w:pos="1620"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 in accordance with the terms of this Contract, in which case the amount recovered under said insurance policy shall be applied to the reconstruction of the VESSEL and/or replacement of any damaged BUYER’s Supplies, provided the parties hereto shall have first agreed in writing to such reasonable postponement of the Delivery Date and adjustment of other terms of this Contract including the Contract Price as may be necessary for the completion of such reconstruction; or</w:t>
      </w:r>
    </w:p>
    <w:p>
      <w:pPr>
        <w:spacing w:after="0" w:line="198"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Refund immediately to the BUYER the amount of all installments paid to the BUILDER under this Contract without any interest and the value of all BUYER’s Supplies in BUILDER custody that were damaged or not returned to the BUYER, whereupon this Contract shall be deemed to be terminated and all rights, duties, liabilities and obligations of each of the parties to the other shall terminate forthwith.</w:t>
      </w:r>
    </w:p>
    <w:p>
      <w:pPr>
        <w:spacing w:after="0" w:line="193"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If the parties hereto fail to reach such agreement within two (2) months after the VESSEL is determined to be an actual or constructive total loss, the provisions of subparagraph (b)(ii) as above shall apply.</w:t>
      </w:r>
    </w:p>
    <w:p>
      <w:pPr>
        <w:spacing w:after="0" w:line="173"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Termination of the BUILDER’s Obligation to Insure:</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BUILDER’s obligation to insure the VESSEL hereunder shall cease and terminate forthwith upon delivery thereof and acceptance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20"/>
          <w:szCs w:val="20"/>
          <w:b w:val="1"/>
          <w:bCs w:val="1"/>
          <w:color w:val="auto"/>
        </w:rPr>
        <w:t>ARTICLE XIV-DISPUTE RESOLUTION</w:t>
      </w:r>
    </w:p>
    <w:p>
      <w:pPr>
        <w:spacing w:after="0" w:line="229" w:lineRule="exact"/>
        <w:rPr>
          <w:sz w:val="20"/>
          <w:szCs w:val="20"/>
          <w:color w:val="auto"/>
        </w:rPr>
      </w:pPr>
    </w:p>
    <w:p>
      <w:pPr>
        <w:ind w:left="660" w:hanging="652"/>
        <w:spacing w:after="0"/>
        <w:tabs>
          <w:tab w:leader="none" w:pos="660" w:val="left"/>
        </w:tabs>
        <w:numPr>
          <w:ilvl w:val="0"/>
          <w:numId w:val="3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Technical Disputes: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dispute or any difference of opinion between the parties hereto relating to conformity of the construction of the VESSEL or material used to Classification requirements (“Technical Disputes”) shall be referred to the Classification Society or the USCG (MSC) for matters within their authority for settlement by and between the parties and the Classification Society or USCG (MSC), as applicable. Decisions of the Classification Society or USCG (MSC) with regards to conformity with the rules shall be final and binding upon both parties hereto.</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by Senior Executives: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Before proceeding with Arbitration as set forth below in Paragraph 3 of this Article, the Buyer’s Representative and the Builder’s Representative will attempt to discuss and negotiate in good faith to resolve any dispute, difference of opinion, or controversy arising out of or in connection with this Contract or the transactions contemplated hereby, other than Technical Disputes, which shall be resolved as provided in Paragraph 1 of this Article. If the Buyer’s Representative and the Builder’s Representative cannot resolve the matter, a party may give notice to the other party that it wishes to employ the dispute resolution mechanism set forth in this Paragraph 2 of this Article. Such notice will designate a senior executive officer who is not involved directly on a day-to-day basis with the construction of the Vessel and who the designating party will vest with the necessary authority to address and resolve the matter (a “Senior Executive”), and who shall be available for regular meetings and negotiations with a Senior Executive designated by the other party. Promptly, but no later than seven (7) days after a party receives such notice, it shall designate its Senior Executive for purposes of this Paragraph. If despite the good faith efforts of the Senior Executives the dispute, difference of opinion, or controversy cannot be resolved within thirty (30) days from the date of the first notice referred to in this Paragraph, the parties may proceed to Arbitration as described below in Paragraph 3 of this Article. This thirty-day period may be waived, shortened, or extended by mutual agreement of the parties.</w:t>
      </w:r>
    </w:p>
    <w:p>
      <w:pPr>
        <w:spacing w:after="0" w:line="20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for cases which are settled under Paragraphs 1 or 2 hereof, all claims, counterclaims, demands, controversies, disputes, actions or causes of action of any nature or character arising out of or in connection with this Contract or the transactions contemplated hereby or thereby, whether legal or equitable, known or unknown, contingent or otherwise (“Claims”) shall be finally settled by arbitration, held in the city of New York, New York, pursuant to the Rules of the Society of Maritime Arbitrators, Inc. (“SMA”), before a single arbitrator. The party that wishes to arbitrate a matter shall specify in its demand for arbitration the name and address of the person such party proposes be appointed as the sole arbitrator, who shall be an attorney practicing maritime law. If the party upon whom the demand for arbitration is served fails to approve or disapprove the proposed sole arbitrator within ten (10) days, such proposed sole arbitrator shall be deemed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11" w:name="page312"/>
    <w:bookmarkEnd w:id="311"/>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approved by such party. If the parties fail to reach agreement on the sole arbitrator within fifteen (15) days after the demand for arbitration is served, the sole arbitrator shall be appointed by the Society of Maritime Arbitrators, Inc. The decision of the sole arbitrator on any point or points shall be final and binding and may include costs, including reasonable attorneys’ fees. The arbitrator shall be directed to undertake proceedings on an expedited basis so that a prompt decision of the question or questions can be announced by the arbitrator to the parties. Upon the selection of the arbitrator, each of the parties shall be entitled to commence reasonable discovery through exchange of documents, requests for admissions or depositions, subject to the sole discretion of the arbitrator, provided, however, that the arbitrator shall limit depositions, if any, to those deemed essential to the fair and reasonable resolution of the Claim. The parties shall use their reasonable best efforts to have the arbitral proceeding concluded and a judgment rendered by the arbitrator within forty-five (45) days of the initiation of the arbitration proceeding. The arbitrator shall be entitled to award interest, but shall not be entitled to award special, incidental, consequential or punitive damages. Judgment may be entered upon any award made hereunder, in any court having jurisdiction, and the parties hereby waive any right to appeal such award on the merits or to challenge the award except on the grounds set forth under United States Law (Federal Arbitration Act). Notwithstanding the foregoing agreement to arbitrate, the parties expressly reserve the right to seek provisional relief from any court of competent jurisdiction to preserve their respective rights pending arbitration, and in seeking such relief shall not waive the right of arbitration. Any dispute relating to claims of $100,000 or less in the aggregate shall be governed by the Shortened Arbitration Procedures adopted by the SMA.</w:t>
      </w:r>
    </w:p>
    <w:p>
      <w:pPr>
        <w:spacing w:after="0" w:line="200" w:lineRule="exact"/>
        <w:rPr>
          <w:sz w:val="20"/>
          <w:szCs w:val="20"/>
          <w:color w:val="auto"/>
        </w:rPr>
      </w:pPr>
    </w:p>
    <w:p>
      <w:pPr>
        <w:ind w:left="660" w:hanging="652"/>
        <w:spacing w:after="0"/>
        <w:tabs>
          <w:tab w:leader="none" w:pos="660" w:val="left"/>
        </w:tabs>
        <w:numPr>
          <w:ilvl w:val="0"/>
          <w:numId w:val="3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 of Delivery Date: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arbitration of any dispute arising or occurring prior to delivery of the VESSEL, an award of the arbitrator shall include a finding as to whether or not the Delivery Date of the VESSEL is in any way altered thereby.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 ASSIGNMENT OF CONTRACT</w:t>
      </w:r>
    </w:p>
    <w:p>
      <w:pPr>
        <w:spacing w:after="0" w:line="23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The benefits and obligations of this Contract shall inure to and be binding upon the successors and assigns of the original parties hereto, respectively; provided, however, that no assignment of this Contract (other than a Permitted Financing Assignment made by the BUYER) shall be made by either party without the prior written consent of the other. “Permitted Financing Assignment” shall mean any granting of any security interest or lien, or any other assignment (including without limitation any assignment in connection with the exercise of remedies by any Lender Party, as defined below) by the BUYER of (a) this Contract and the BUYER’s rights hereunder, and/or (b) the BUYER’S rights to and with respect to the VESSEL and the work in process with respect to the VESSEL, in each case to or for the benefit of MARAD, as defined in Article XIX, or any lender providing construction period financing to the BUYER or any affiliate of the BUYER or any other financing or refinancing to the BUYER or any affiliate of the BUYER relating to or secured directly or indirectly by this Contract, the VESSEL and/or any work in process (any such lender, a “Lender Party”), or any designee of any such Lender Party; provided that no such assignment shall diminish the BUYER’S obligations to perform under this Contract.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2" w:name="page313"/>
    <w:bookmarkEnd w:id="312"/>
    <w:p>
      <w:pPr>
        <w:jc w:val="both"/>
        <w:ind w:left="328"/>
        <w:spacing w:after="0" w:line="245" w:lineRule="auto"/>
        <w:rPr>
          <w:sz w:val="20"/>
          <w:szCs w:val="20"/>
          <w:color w:val="auto"/>
        </w:rPr>
      </w:pPr>
      <w:r>
        <w:rPr>
          <w:rFonts w:ascii="Times New Roman" w:cs="Times New Roman" w:eastAsia="Times New Roman" w:hAnsi="Times New Roman"/>
          <w:sz w:val="20"/>
          <w:szCs w:val="20"/>
          <w:color w:val="auto"/>
        </w:rPr>
        <w:t>term Lender Party shall include MARAD. The BUILDER hereby expressly consents to any such Permitted Financing Assignment by the BUYER. Notwithstanding the foregoing, at delivery of the VESSEL, the BUYER shall have the right, subject to BUILDER’s prior written consent, which shall not be unreasonably withheld or delayed, to assign this Contract to a third party nominee for delivery and final delivery payment purposes, provided the BUYER shall remain responsible for the performance by such assignee of the obligations of the BUYER under this Contract.</w:t>
      </w:r>
    </w:p>
    <w:p>
      <w:pPr>
        <w:spacing w:after="0" w:line="1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ARTICLE XVI-TITLE AND LIENS</w:t>
      </w:r>
    </w:p>
    <w:p>
      <w:pPr>
        <w:spacing w:after="0" w:line="229" w:lineRule="exact"/>
        <w:rPr>
          <w:sz w:val="20"/>
          <w:szCs w:val="20"/>
          <w:color w:val="auto"/>
        </w:rPr>
      </w:pPr>
    </w:p>
    <w:p>
      <w:pPr>
        <w:ind w:left="328" w:hanging="328"/>
        <w:spacing w:after="0"/>
        <w:tabs>
          <w:tab w:leader="none" w:pos="328" w:val="left"/>
        </w:tabs>
        <w:numPr>
          <w:ilvl w:val="0"/>
          <w:numId w:val="3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w:t>
      </w:r>
    </w:p>
    <w:p>
      <w:pPr>
        <w:spacing w:after="0" w:line="233" w:lineRule="exact"/>
        <w:rPr>
          <w:rFonts w:ascii="Times New Roman" w:cs="Times New Roman" w:eastAsia="Times New Roman" w:hAnsi="Times New Roman"/>
          <w:sz w:val="20"/>
          <w:szCs w:val="20"/>
          <w:b w:val="1"/>
          <w:bCs w:val="1"/>
          <w:color w:val="auto"/>
        </w:rPr>
      </w:pPr>
    </w:p>
    <w:p>
      <w:pPr>
        <w:jc w:val="both"/>
        <w:ind w:left="328"/>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Title to the BUYER’s Supplies is and shall continue to be vested in the BUYER and title to all material paid for by the BUYER shall vest in the BUYER and shall continue to be vested in the BUYER until delivery of the VESSEL. To the extent not so vested in the BUYER, title to the VESSEL, to the extent completed, and title to all work and material performed upon or installed in the VESSEL or placed on board the VESSEL shall vest in the BUYER; provided, however, that except as may otherwise be provided in this Contract, the risk of loss of or damage to such material and the VESSEL shall remain with the BUILDER, and the BUYER shall not be deemed to have waived its rights to require the BUILDER to replace, at the BUILDER’s expense, defective, damaged or destroyed work or material, and to deliver the VESSEL with the work completed and material furnished, as provided in this Contract. Title to all scrap and title to any material which is surplus to the requirements of this Contract shall vest in the</w:t>
      </w:r>
    </w:p>
    <w:p>
      <w:pPr>
        <w:ind w:left="32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BUILDER.</w:t>
      </w:r>
    </w:p>
    <w:p>
      <w:pPr>
        <w:spacing w:after="0" w:line="20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3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Liens:</w:t>
      </w:r>
    </w:p>
    <w:p>
      <w:pPr>
        <w:spacing w:after="0" w:line="233" w:lineRule="exact"/>
        <w:rPr>
          <w:rFonts w:ascii="Times New Roman" w:cs="Times New Roman" w:eastAsia="Times New Roman" w:hAnsi="Times New Roman"/>
          <w:sz w:val="20"/>
          <w:szCs w:val="20"/>
          <w:b w:val="1"/>
          <w:bCs w:val="1"/>
          <w:color w:val="auto"/>
        </w:rPr>
      </w:pPr>
    </w:p>
    <w:p>
      <w:pPr>
        <w:jc w:val="both"/>
        <w:ind w:left="808" w:right="20" w:hanging="484"/>
        <w:spacing w:after="0" w:line="254" w:lineRule="auto"/>
        <w:tabs>
          <w:tab w:leader="none" w:pos="808"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"Liens" means any lien, security interest, encumbrance or other right </w:t>
      </w:r>
      <w:r>
        <w:rPr>
          <w:rFonts w:ascii="Times New Roman" w:cs="Times New Roman" w:eastAsia="Times New Roman" w:hAnsi="Times New Roman"/>
          <w:sz w:val="20"/>
          <w:szCs w:val="20"/>
          <w:u w:val="single" w:color="auto"/>
          <w:color w:val="auto"/>
        </w:rPr>
        <w:t>in rem</w:t>
      </w:r>
      <w:r>
        <w:rPr>
          <w:rFonts w:ascii="Times New Roman" w:cs="Times New Roman" w:eastAsia="Times New Roman" w:hAnsi="Times New Roman"/>
          <w:sz w:val="20"/>
          <w:szCs w:val="20"/>
          <w:color w:val="auto"/>
        </w:rPr>
        <w:t xml:space="preserve"> against the VESSEL, work or material enforceable in a court of competent jurisdiction, other than the liens in favor of the BUYER or its assignees.</w:t>
      </w:r>
    </w:p>
    <w:p>
      <w:pPr>
        <w:spacing w:after="0" w:line="187" w:lineRule="exact"/>
        <w:rPr>
          <w:rFonts w:ascii="Times New Roman" w:cs="Times New Roman" w:eastAsia="Times New Roman" w:hAnsi="Times New Roman"/>
          <w:sz w:val="20"/>
          <w:szCs w:val="20"/>
          <w:color w:val="auto"/>
        </w:rPr>
      </w:pPr>
    </w:p>
    <w:p>
      <w:pPr>
        <w:jc w:val="both"/>
        <w:ind w:left="808" w:hanging="484"/>
        <w:spacing w:after="0" w:line="249" w:lineRule="auto"/>
        <w:tabs>
          <w:tab w:leader="none" w:pos="808"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permit or cause any Lien to come into existence arising out of the BUILDER’s performance under this Contract, the BUILDER waives any and all rights to any Lien, and the BUILDER shall not permit or cause any claim against the BUILDER or any subcontractor furnishing or performing work or material under this Contract to lie or attach against the VESSEL, work or material.</w:t>
      </w:r>
    </w:p>
    <w:p>
      <w:pPr>
        <w:spacing w:after="0" w:line="193" w:lineRule="exact"/>
        <w:rPr>
          <w:rFonts w:ascii="Times New Roman" w:cs="Times New Roman" w:eastAsia="Times New Roman" w:hAnsi="Times New Roman"/>
          <w:sz w:val="20"/>
          <w:szCs w:val="20"/>
          <w:color w:val="auto"/>
        </w:rPr>
      </w:pPr>
    </w:p>
    <w:p>
      <w:pPr>
        <w:jc w:val="both"/>
        <w:ind w:left="808" w:hanging="484"/>
        <w:spacing w:after="0" w:line="243" w:lineRule="auto"/>
        <w:tabs>
          <w:tab w:leader="none" w:pos="808"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Lien is filed or asserted against or attached upon the VESSEL, work or material (whether or not arising under this Contract), the BUILDER shall promptly notify the BUYER. The BUILDER shall secure the discharge or release of any such Lien arising out of the BUILDER’s performance or the performance of the BUILDER’s subcontractors or vendors under this Contract not later than [*] days after it is filed, asserted or attached, provided that the BUILDER may contest such Lien or the claim upon which it is based, and if the BUILDER shall not have secured the discharge or release of such Lien by court order within the time provided in this Contract, then the BUILDER shall furnish to the BUYER, or the appropriate court having jurisdiction in such matters, such bond or security therefor as the BUYER or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356870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02" w:right="999" w:bottom="1440" w:gutter="0" w:footer="0" w:header="0"/>
        </w:sectPr>
      </w:pPr>
    </w:p>
    <w:bookmarkStart w:id="313" w:name="page314"/>
    <w:bookmarkEnd w:id="313"/>
    <w:p>
      <w:pPr>
        <w:jc w:val="both"/>
        <w:ind w:left="1140"/>
        <w:spacing w:after="0" w:line="254" w:lineRule="auto"/>
        <w:rPr>
          <w:sz w:val="20"/>
          <w:szCs w:val="20"/>
          <w:color w:val="auto"/>
        </w:rPr>
      </w:pPr>
      <w:r>
        <w:rPr>
          <w:rFonts w:ascii="Times New Roman" w:cs="Times New Roman" w:eastAsia="Times New Roman" w:hAnsi="Times New Roman"/>
          <w:sz w:val="20"/>
          <w:szCs w:val="20"/>
          <w:color w:val="auto"/>
        </w:rPr>
        <w:t>court shall reasonably require, and the BUILDER shall indemnify the BUYER and save the BUYER harmless from all costs, charges, damages and attorneys’ fees by reason of such Lien or claims in any way attributable thereto.</w:t>
      </w:r>
    </w:p>
    <w:p>
      <w:pPr>
        <w:spacing w:after="0" w:line="188" w:lineRule="exact"/>
        <w:rPr>
          <w:sz w:val="20"/>
          <w:szCs w:val="20"/>
          <w:color w:val="auto"/>
        </w:rPr>
      </w:pPr>
    </w:p>
    <w:p>
      <w:pPr>
        <w:jc w:val="both"/>
        <w:ind w:left="1140" w:hanging="484"/>
        <w:spacing w:after="0" w:line="249" w:lineRule="auto"/>
        <w:tabs>
          <w:tab w:leader="none" w:pos="114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each Milestone Payment to the BUILDER, the BUILDER shall furnish to the BUYER a certificate executed by the BUILDER certifying freedom of the VESSEL, work and material from Liens arising out of the BUILDER’s performance or the performance of the BUILDER’s subcontractors or vendors under this Contract in the form of Exhibit 7.</w:t>
      </w:r>
    </w:p>
    <w:p>
      <w:pPr>
        <w:spacing w:after="0" w:line="193" w:lineRule="exact"/>
        <w:rPr>
          <w:rFonts w:ascii="Times New Roman" w:cs="Times New Roman" w:eastAsia="Times New Roman" w:hAnsi="Times New Roman"/>
          <w:sz w:val="20"/>
          <w:szCs w:val="20"/>
          <w:color w:val="auto"/>
        </w:rPr>
      </w:pPr>
    </w:p>
    <w:p>
      <w:pPr>
        <w:jc w:val="both"/>
        <w:ind w:left="1140" w:hanging="484"/>
        <w:spacing w:after="0" w:line="245" w:lineRule="auto"/>
        <w:tabs>
          <w:tab w:leader="none" w:pos="114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delivery of the VESSEL, the BUILDER shall deliver the VESSEL to the BUYER free and clear of all Liens other than those Liens resulting from an act or omission on the part of the BUYER. At the time of delivery of the VESSEL, the BUILDER shall furnish to the BUYER a certificate executed by the BUILDER certifying freedom of the VESSEL from such Liens and confirming the indemnity stated above in the form of Exhibit 7, provided the BUYER has paid to the BUILDER or into escrow all amounts required to be paid into escrow by 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XVII-PATENTS, TRADEMARKS, COPYRIGHTS, ETC.</w:t>
      </w:r>
    </w:p>
    <w:p>
      <w:pPr>
        <w:spacing w:after="0" w:line="229" w:lineRule="exact"/>
        <w:rPr>
          <w:sz w:val="20"/>
          <w:szCs w:val="20"/>
          <w:color w:val="auto"/>
        </w:rPr>
      </w:pPr>
    </w:p>
    <w:p>
      <w:pPr>
        <w:ind w:left="660" w:hanging="652"/>
        <w:spacing w:after="0"/>
        <w:tabs>
          <w:tab w:leader="none" w:pos="660" w:val="left"/>
        </w:tabs>
        <w:numPr>
          <w:ilvl w:val="0"/>
          <w:numId w:val="3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Patents, Trademarks and Copyrights: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Machinery and equipment of the VESSEL may bear the patent number, trademarks or trade names of the manufacturers.</w:t>
      </w:r>
    </w:p>
    <w:p>
      <w:pPr>
        <w:spacing w:after="0" w:line="172"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contained herein shall be construed as transferring any patent or trademark rights or copyrights in equipment covered by this Contract, and all such rights are hereby expressly reserved to the true and lawful owners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Plans, Specification and Working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retains all rights with respect to the Specification, and plans and working drawings, technical descriptions, calculations, test results and other data, information and documents concerning the design and construction of the VESSEL and the BUYER undertakes therefore not to disclose the same or divulge any information contained therein to any third parties, without the prior written consent of the BUILDER, excepting where it is necessary for usual operation, repair and maintenance of the VESSEL.</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grants to the BUYER and its assignees and any subsequent purchaser or operator of the VESSEL a perpetual, worldwide, royalty-free license to use the Specification, and the plans and working drawings, technical descriptions, calculations, test results and other data, information and documents concerning the design and construction of the VESSEL (jointly the “BUILDER’s Vessel Design Materials”) as may be required for the operation, repair, maintenance, modification, or classification of the VESSEL or must otherwise be provided to regulatory authorities in connection therewith, subject to confidentiality requirements for any third party contractor. The BUILDER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4" w:name="page315"/>
    <w:bookmarkEnd w:id="314"/>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warrants that it has full right, title and interest in the BUILDER’s Vessel Design Materials and is entitled to grant the licenses to the BUYER under this Contract and that the BUILDER’s contribution to the BUILDER’s Vessel Design Materials, including the plans, will not infringe the patent, copyright, trademark or trade secrets rights of any third party. In making any disclosures of any BUILDER’s Vessel Design Materials to any third party contractor, the BUYER shall impose upon such third persons restrictions relating to the safeguarding to the same extent as have been imposed on the BUYER. The BUYER shall not be liable for unauthorized actions of its employees in disclosing the BUILDER’s Vessel Design Materials, provided that the BUYER has taken commercially reasonable precautions to safeguard such data.</w:t>
      </w:r>
    </w:p>
    <w:p>
      <w:pPr>
        <w:spacing w:after="0" w:line="199" w:lineRule="exact"/>
        <w:rPr>
          <w:sz w:val="20"/>
          <w:szCs w:val="20"/>
          <w:color w:val="auto"/>
        </w:rPr>
      </w:pPr>
    </w:p>
    <w:p>
      <w:pPr>
        <w:ind w:left="660" w:hanging="652"/>
        <w:spacing w:after="0"/>
        <w:tabs>
          <w:tab w:leader="none" w:pos="660" w:val="left"/>
        </w:tabs>
        <w:numPr>
          <w:ilvl w:val="0"/>
          <w:numId w:val="3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Non-infringement:</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defend, indemnify and save harmless the BUYER and its affiliates, agents, contractors, servants or employees from and against all loss, cost, liability and claims, plus attorneys’ fees, resulting from any claim by any third party that the VESSEL, or any material used in the construction of the VESSEL or incorporated in the VESSEL by the BUILDER, other than (x) the BUYER’s Supplies, (y) a design feature of the VESSEL specified by the BUYER, or (z) material for which the BUYER has specified the sole acceptable manufacturer, infringes any United States or foreign patent, copyright, trademark or trade secret rights (“BUYER’s Exclusions”). If the VESSEL or any material incorporated in the VESSEL by the BUILDER, other than the BUYER’s Exclusions, shall be held by a court having jurisdiction to constitute such an infringement and the use thereof shall be enjoined, the BUILDER shall procure for the BUYER at its sole cost and expense (i) the right to continue using the VESSEL with any such infringement, (ii) replace infringing material with noninfringing material of equal quality, function and performance, or (iii) modify the VESSEL so it becomes noninfringing, as may be required to eliminate all problems of infringement. Prompt written notice of the assertion of any claim or the bringing of any suit shall be given by the BUYER to the BUILDER, and thirty (30) days shall be given to the BUILDER from giving of such notice to settle or defend it as the parties may see fit. The BUYER shall provide every reasonable assistance in settling or defending such claim or suit. If, at the end of thirty (30) days, the BUILDER failed to undertake such settlement or defense, the BUYER shall undertake settlement or defense as it sees fit, with full reimbursement for damages, costs and attorneys’ fees as herein provided, it being understood and agreed that the BUYER, in such case, shall keep the BUILDER informed, on a regular basis, of the progress of the matter and shall not settle any claims without the prior written approval of the BUILDER, which approval shall not be unreasonably withheld. The BUYER warrants that the technical contribution to the Specification contributed solely by the BUYER will not infringe the patent, copyright, trademark or trade secrets of any third party. With respect to any such infringement, the BUYER will indemnify, defend and hold the BUILDER or its subcontractors or vendors harmless from and against any and all liability, cost, or expense resulting from such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5" w:name="page316"/>
    <w:bookmarkEnd w:id="315"/>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XVIII-BUYER’S SUPPLIES</w:t>
      </w:r>
    </w:p>
    <w:p>
      <w:pPr>
        <w:spacing w:after="0" w:line="229" w:lineRule="exact"/>
        <w:rPr>
          <w:sz w:val="20"/>
          <w:szCs w:val="20"/>
          <w:color w:val="auto"/>
        </w:rPr>
      </w:pPr>
    </w:p>
    <w:p>
      <w:pPr>
        <w:ind w:left="652" w:hanging="652"/>
        <w:spacing w:after="0"/>
        <w:tabs>
          <w:tab w:leader="none" w:pos="652" w:val="left"/>
        </w:tabs>
        <w:numPr>
          <w:ilvl w:val="0"/>
          <w:numId w:val="3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1" w:lineRule="auto"/>
        <w:tabs>
          <w:tab w:leader="none" w:pos="97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at its own risk, cost and expense, including the payment of any applicable sales, use or excise taxes, supply and deliver to the BUILDER all of the items to be furnished by the BUYER according to an agreed list, which list is included in the Specification and is incorporated herein and made part of this Contract (“BUYER’S Contract Equipment”, and together with BUYER’S supplies, materials, stores, spares and gear, herein jointly called the “BUYER’s Supplies”), at a warehouse or other storage facility of the Shipyard in the proper condition ready for installation in or on the VESSEL, in accordance with the time schedule designated by the BUILDER. The BUILDER shall, within one hundred twenty (120) days after the effective date of this Contract, submit to the BUYER a schedule setting out the timing for the BUYER’s delivery to the BUILDER of the BUYER’s Supplies. Such schedule shall (i) be reviewed and approved by the BUYER, such approval to not be unreasonably withheld, and any comments provided to the BUILDER shall be made within thirty (30) days of receipt of the schedule, provided always that the schedule shall enable BUILDER to deliver the VESSEL in accordance with this Contract, and (ii) be updated as needed and, following any such required update, be resubmitted to the BUYER for review and approval, as aforesaid.</w:t>
      </w:r>
    </w:p>
    <w:p>
      <w:pPr>
        <w:spacing w:after="0" w:line="210"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facilitate installation or loading by the BUILDER of the BUYER’s Supplies in or on the VESSEL, the BUYER shall furnish the BUILDER with necessary specifications, plans, drawings, instruction books, manuals, test reports and certificates required by the applicable rules and regulations. The BUYER, if so requested by the BUILDER, shall, without any charge to the BUILDER, cause the representatives of the manufacturers of the BUYER’s Supplies to assist the BUILDER in installation thereof in or on the VESSEL and/or to carry out installation thereof by themselves or to make necessary adjustments thereof at the Shipyard.</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of the BUYER’s Supplies shall be subject to the BUILDER’s reasonable right of rejection, as and if they are found to be unsuitable or in improper condition for installation. However, if so requested by the BUYER, the BUILDER may repair or adjust the BUYER’s Supplies without prejudice to the BUILDER’s other rights hereunder and without being responsible for any consequences therefrom. In such case, the BUYER shall reimburse the BUILDER for all costs and expenses incurred by the BUILDER in such repair or adjustment and the Delivery Date shall be postponed for a period of time necessary for such repair or replacement to the extent it impacts the construction schedule and such schedule cannot reasonably be adjusted by the BUILDER to meet the Delivery Date.</w:t>
      </w:r>
    </w:p>
    <w:p>
      <w:pPr>
        <w:spacing w:after="0" w:line="202"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BUYER fail to deliver any of the BUYER’s Supplies within the time designated, the Delivery Date shall be extended for a period of such delay in delivery if such delay affects the Delivery Date and the effects of the delayed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98" w:right="999" w:bottom="1440" w:gutter="0" w:footer="0" w:header="0"/>
        </w:sectPr>
      </w:pPr>
    </w:p>
    <w:bookmarkStart w:id="316" w:name="page317"/>
    <w:bookmarkEnd w:id="316"/>
    <w:p>
      <w:pPr>
        <w:jc w:val="both"/>
        <w:ind w:left="980"/>
        <w:spacing w:after="0" w:line="244" w:lineRule="auto"/>
        <w:rPr>
          <w:sz w:val="20"/>
          <w:szCs w:val="20"/>
          <w:color w:val="auto"/>
        </w:rPr>
      </w:pPr>
      <w:r>
        <w:rPr>
          <w:rFonts w:ascii="Times New Roman" w:cs="Times New Roman" w:eastAsia="Times New Roman" w:hAnsi="Times New Roman"/>
          <w:sz w:val="20"/>
          <w:szCs w:val="20"/>
          <w:color w:val="auto"/>
        </w:rPr>
        <w:t>delivery cannot reasonably be made up in the construction schedule. In such event, the BUYER shall be responsible for and pay to the BUILDER all losses and damages incurred by the BUILDER by reason of such delay in delivery of the BUYER’s Supplies and such payment shall be made upon delivery of the VESSEL. If delay in delivery of any of the BUYER’s Supplies exceeds thirty (30) days, then, the BUILDER shall be entitled to proceed with construction of the VESSEL without installation thereof in or on the VESSEL, without prejudice to the BUILDER’s other rights as hereinabove provided, and the BUYER shall accept and take delivery of the VESSEL so constructed.</w:t>
      </w:r>
    </w:p>
    <w:p>
      <w:pPr>
        <w:spacing w:after="0" w:line="195" w:lineRule="exact"/>
        <w:rPr>
          <w:sz w:val="20"/>
          <w:szCs w:val="20"/>
          <w:color w:val="auto"/>
        </w:rPr>
      </w:pPr>
    </w:p>
    <w:p>
      <w:pPr>
        <w:ind w:left="660" w:hanging="652"/>
        <w:spacing w:after="0"/>
        <w:tabs>
          <w:tab w:leader="none" w:pos="660" w:val="left"/>
        </w:tabs>
        <w:numPr>
          <w:ilvl w:val="0"/>
          <w:numId w:val="3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BUILDER: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at its own risk and expense, receive, inspect, check as to agreement with bill of lading, store, protect and handle with reasonable care all of the BUYER’s Supplies after delivery thereof at the Shipyard, and shall install or load them in or on the VESSEL, unless otherwise provided herein or agreed by the parties hereto, provided, always, that the BUILDER shall not be responsible for quality, efficiency and/or performance of any of the BUYER’s Supplies.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BUILDER does not deliver the VESSEL, except as otherwise expressly provided herein, the BUILDER shall return all of the BUYER’s Supplies to the BUYER or shall reimburse the BUYER for the cost of such supplies, at the BUYER’S option.</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and Risk</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3" w:lineRule="auto"/>
        <w:tabs>
          <w:tab w:leader="none" w:pos="980"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to the BUYER’s Supplies shall remain in the BUYER at all times while such items are in the custody of the BUILDER, as provided in ARTICLE XVIII. The BUILDER shall be liable to the BUYER for all damage to or loss of the BUYER’s Supplies occurring during the BUILDER’s custody thereof, which may arise from any event, excepting from acts or omissions of the BUYER, and excluding all war risks, except to the extent such war risks are insurable at the time and place of loss and the BUYER has requested the BUILDER to insure such war risks at the BUYER’s expense under a Change Order. The BUYER shall have reasonable access to the BUYER’s Supplies during the construction. The BUILDER shall not be deemed to have extended to the BUYER any warranty as to the BUYER’s Supplies other than the warranty of workmanship in the installation thereof, as set forth in ARTICLE IX.</w:t>
      </w:r>
    </w:p>
    <w:p>
      <w:pPr>
        <w:spacing w:after="0" w:line="199"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requests that the BUILDER furnish all or any of the BUYER’s Supplies, the furnishing of such BUYER’s Supplies by the BUILDER shall be treated as a Change Order under ARTICLE IX, and such equipment shall be treated as 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XIX COOPERATION REGARDING FINANCING AND RELATED MATTERS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BUYER contemplates that it will seek financing under the Title XI program administered by the United States Department of Transportation, acting by and through the Maritime Administrator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7" w:name="page318"/>
    <w:bookmarkEnd w:id="317"/>
    <w:p>
      <w:pPr>
        <w:jc w:val="both"/>
        <w:spacing w:after="0" w:line="245" w:lineRule="auto"/>
        <w:rPr>
          <w:sz w:val="20"/>
          <w:szCs w:val="20"/>
          <w:color w:val="auto"/>
        </w:rPr>
      </w:pPr>
      <w:r>
        <w:rPr>
          <w:rFonts w:ascii="Times New Roman" w:cs="Times New Roman" w:eastAsia="Times New Roman" w:hAnsi="Times New Roman"/>
          <w:sz w:val="20"/>
          <w:szCs w:val="20"/>
          <w:color w:val="auto"/>
        </w:rPr>
        <w:t>(“MARAD”), under 46 U.S.C. chapter 537 (“Title XI”), and/or private or bank financing. The BUYER intends to make qualified withdrawals from its Capital Construction Fund (“CCF”) for some or all of the construction cost. Commencing on the date of execution of this Contract and continuing through the date that is one year following the Delivery Date of the VESSEL, the BUILDER agrees to reasonably cooperate with the BUYER to assist the BUYER in arranging construction period or permanent financing in connection with the VESSEL. At this time it is anticipated that this cooperation will entail the following:</w:t>
      </w:r>
    </w:p>
    <w:p>
      <w:pPr>
        <w:spacing w:after="0" w:line="198" w:lineRule="exact"/>
        <w:rPr>
          <w:sz w:val="20"/>
          <w:szCs w:val="20"/>
          <w:color w:val="auto"/>
        </w:rPr>
      </w:pPr>
    </w:p>
    <w:p>
      <w:pPr>
        <w:jc w:val="both"/>
        <w:ind w:left="980" w:hanging="324"/>
        <w:spacing w:after="0" w:line="245" w:lineRule="auto"/>
        <w:tabs>
          <w:tab w:leader="none" w:pos="9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information of any nature with respect to the VESSEL, its construction, and the BUILDER (including confidential information) in the possession of the BUILDER or its suppliers and not otherwise readily available to the BUYER that is reasonably requested by (i) MARAD as a condition to processing or approving any application for Title XI financing submitted by the BUYER, including Forms MA-163, MA-440 and MA-133, and (ii) the lenders under a non-Title XI financing; and in all cases as soon as reasonably practicable after it is requested;</w:t>
      </w:r>
    </w:p>
    <w:p>
      <w:pPr>
        <w:spacing w:after="0" w:line="197" w:lineRule="exact"/>
        <w:rPr>
          <w:rFonts w:ascii="Times New Roman" w:cs="Times New Roman" w:eastAsia="Times New Roman" w:hAnsi="Times New Roman"/>
          <w:sz w:val="20"/>
          <w:szCs w:val="20"/>
          <w:color w:val="auto"/>
        </w:rPr>
      </w:pPr>
    </w:p>
    <w:p>
      <w:pPr>
        <w:jc w:val="both"/>
        <w:ind w:left="980" w:hanging="324"/>
        <w:spacing w:after="0"/>
        <w:tabs>
          <w:tab w:leader="none" w:pos="9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making any amendments to this Contract and the Guaranty that are reasonably requested by MARAD as a condition to processing or approving any application for Title XI financing submitted by the BUYER or any affiliate of the BUYER, or that are reasonably requested by any non-Title XI lenders, provided such amendments are customarily requested by MARAD or such non-Title XI lenders in connection with other financings and do not unreasonably increase the obligations or decrease the rights of the BUILDER or the GUARANTOR, it being understood that such amendments may include, without limitation, documentation in support of invoices, audit, inspection, and consent rights, copies of drawings, notices, insurance coverages and loss payable clauses, naming MARAD or such lenders as beneficiary of the Guaranty or any other security provided in respect of BUILDER’s performance under this Contract, any amendments or supplements relating to the assignment of, or the granting of security interest in, this Contract to MARAD or any other Lender Party as security for the Title XI financing or any private or bank financing, allowing the Lender Parties to have reasonable access to the Shipyard to inspect the work in process on the VESSEL, certifying substantial completion of the VESSEL at delivery, and attending any tests and sea trials; and (ii) providing documentation evidencing (x) its consent to any assignment of, or the granting of security interest in, this Contract, the VESSEL or any work in process with respect to the VESSEL as security for the Title XI financing or any private or bank financing or otherwise in connection therewith, including without limitation any Permitted Financing Assignment, in each case in form and substance reasonably requested by MARAD or any other applicable Lender Party; and (y) its consent to subordination of its interests herein and with respect to the VESSEL and any work in process with respect to the VESSEL to any such lien or security interest of the Lender Parties to the extent of the aggregate of the initial payments and all milestone payments made by BUYER from time to time, in each case in form and substance reasonably requested by MARAD or any other applicable Lender Party;</w:t>
      </w:r>
    </w:p>
    <w:p>
      <w:pPr>
        <w:spacing w:after="0" w:line="218"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tracking from the time the BUILDER places orders for the same, the foreign components and services that will be utilized in the construction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8" w:name="page319"/>
    <w:bookmarkEnd w:id="318"/>
    <w:p>
      <w:pPr>
        <w:jc w:val="both"/>
        <w:ind w:left="980"/>
        <w:spacing w:after="0" w:line="244" w:lineRule="auto"/>
        <w:rPr>
          <w:sz w:val="20"/>
          <w:szCs w:val="20"/>
          <w:color w:val="auto"/>
        </w:rPr>
      </w:pPr>
      <w:r>
        <w:rPr>
          <w:rFonts w:ascii="Times New Roman" w:cs="Times New Roman" w:eastAsia="Times New Roman" w:hAnsi="Times New Roman"/>
          <w:sz w:val="20"/>
          <w:szCs w:val="20"/>
          <w:color w:val="auto"/>
        </w:rPr>
        <w:t>VESSEL and providing all information requested by MARAD in the possession of the BUILDER or its suppliers and not otherwise readily available to the BUYER that is (i) to support a waiver to include in “Actual Cost” the cost of any foreign components (including information that substantiates the choice of foreign over domestic), and (ii) to support the BUYER in complying with MARAD’s cargo preference requirements and policies regarding the transport of such foreign components to the U.S. by ocean on U.S.-flag vessels in order to satisfy MARAD’s foreign components waiver requirements, and providing such information as soon as reasonably practicable after it is requested;</w:t>
      </w:r>
    </w:p>
    <w:p>
      <w:pPr>
        <w:spacing w:after="0" w:line="199" w:lineRule="exact"/>
        <w:rPr>
          <w:sz w:val="20"/>
          <w:szCs w:val="20"/>
          <w:color w:val="auto"/>
        </w:rPr>
      </w:pPr>
    </w:p>
    <w:p>
      <w:pPr>
        <w:ind w:left="980" w:right="20" w:hanging="324"/>
        <w:spacing w:after="0" w:line="269" w:lineRule="auto"/>
        <w:tabs>
          <w:tab w:leader="none" w:pos="980"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supporting the BUYER’s efforts to secure any grants or awards that might be available related to the LNG features or TIER 3 engines on the VESSEL; and</w:t>
      </w:r>
    </w:p>
    <w:p>
      <w:pPr>
        <w:spacing w:after="0" w:line="172"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for and providing the BUYER a U.S. Coast Guard ruling confirming the U.S. construction of the VESSEL to enable the BUYER to treat the VESSEL as a “qualified vessel” under the BUYER’s CCF for purposes of 46 USC Chapter 535 §53501(2)(B) and 46 C.F.R. §390.5.</w:t>
      </w:r>
    </w:p>
    <w:p>
      <w:pPr>
        <w:spacing w:after="0" w:line="188"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All of the foregoing the BUILDER shall perform with no changes to the Delivery Date and with no costs to the BUYER other than such actual out-of-pocket costs paid by the BUILDER to third parties which the BUYER shall have previously approved in writing. For clarity, (1) the BUILDER shall not be required to incur any out-of-pocket costs if the BUYER refuses to approve and reimburse those costs, and (2) the BUILDER will not pay any increased costs of carriage in connection with the BUYER’s compliance with MARAD’s cargo preference requirements and policies.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 -NOTICE</w:t>
      </w:r>
    </w:p>
    <w:p>
      <w:pPr>
        <w:spacing w:after="0" w:line="229" w:lineRule="exact"/>
        <w:rPr>
          <w:sz w:val="20"/>
          <w:szCs w:val="20"/>
          <w:color w:val="auto"/>
        </w:rPr>
      </w:pPr>
    </w:p>
    <w:p>
      <w:pPr>
        <w:ind w:left="660" w:hanging="652"/>
        <w:spacing w:after="0"/>
        <w:tabs>
          <w:tab w:leader="none" w:pos="660" w:val="left"/>
        </w:tabs>
        <w:numPr>
          <w:ilvl w:val="0"/>
          <w:numId w:val="3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Address:</w:t>
      </w:r>
    </w:p>
    <w:p>
      <w:pPr>
        <w:spacing w:after="0" w:line="233" w:lineRule="exact"/>
        <w:rPr>
          <w:rFonts w:ascii="Times New Roman" w:cs="Times New Roman" w:eastAsia="Times New Roman" w:hAnsi="Times New Roman"/>
          <w:sz w:val="20"/>
          <w:szCs w:val="20"/>
          <w:b w:val="1"/>
          <w:bCs w:val="1"/>
          <w:color w:val="auto"/>
        </w:rPr>
      </w:pPr>
    </w:p>
    <w:p>
      <w:pPr>
        <w:ind w:left="660" w:right="1040"/>
        <w:spacing w:after="0" w:line="47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addressed as follows: To the BUYER:</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Senior Vice President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Email: [†]</w:t>
      </w:r>
    </w:p>
    <w:p>
      <w:pPr>
        <w:spacing w:after="0" w:line="207"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Vice President --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19" w:name="page320"/>
    <w:bookmarkEnd w:id="319"/>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Matson Navigation Company,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555 12th Street</w:t>
      </w:r>
    </w:p>
    <w:p>
      <w:pPr>
        <w:ind w:left="652"/>
        <w:spacing w:after="0"/>
        <w:rPr>
          <w:sz w:val="20"/>
          <w:szCs w:val="20"/>
          <w:color w:val="auto"/>
        </w:rPr>
      </w:pPr>
      <w:r>
        <w:rPr>
          <w:rFonts w:ascii="Times New Roman" w:cs="Times New Roman" w:eastAsia="Times New Roman" w:hAnsi="Times New Roman"/>
          <w:sz w:val="20"/>
          <w:szCs w:val="20"/>
          <w:color w:val="auto"/>
        </w:rPr>
        <w:t>Oakland, CA  94607</w:t>
      </w:r>
    </w:p>
    <w:p>
      <w:pPr>
        <w:ind w:left="652"/>
        <w:spacing w:after="0"/>
        <w:rPr>
          <w:sz w:val="20"/>
          <w:szCs w:val="20"/>
          <w:color w:val="auto"/>
        </w:rPr>
      </w:pPr>
      <w:r>
        <w:rPr>
          <w:rFonts w:ascii="Times New Roman" w:cs="Times New Roman" w:eastAsia="Times New Roman" w:hAnsi="Times New Roman"/>
          <w:sz w:val="20"/>
          <w:szCs w:val="20"/>
          <w:color w:val="auto"/>
        </w:rPr>
        <w:t>Attn: Executive Vice President, Chief Administrative Officer and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To the BUILDER:</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Thomas Grunwald, Vice President</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Dean E. Grabelle, Senior Vice President &amp;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Any notice, including any written notice, required hereunder, shall be effected and deemed received only as follows:</w:t>
      </w:r>
    </w:p>
    <w:p>
      <w:pPr>
        <w:spacing w:after="0" w:line="241" w:lineRule="exact"/>
        <w:rPr>
          <w:sz w:val="20"/>
          <w:szCs w:val="20"/>
          <w:color w:val="auto"/>
        </w:rPr>
      </w:pPr>
    </w:p>
    <w:p>
      <w:pPr>
        <w:jc w:val="both"/>
        <w:ind w:left="972" w:hanging="324"/>
        <w:spacing w:after="0" w:line="254" w:lineRule="auto"/>
        <w:tabs>
          <w:tab w:leader="none" w:pos="972"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e-mail, at the time of transmission recorded on the message if such time is within normal business hours on a working day at the place of receipt, otherwise at the commencement of normal business hours on the next such working day.</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letter, whether sent by registered mail or delivered by hand or by courier, at the date and time of its actual delivery if delivered within normal business hours on a working day at the place of receipt, otherwise at the commencement of normal business hours on the next such working day.</w:t>
      </w:r>
    </w:p>
    <w:p>
      <w:pPr>
        <w:spacing w:after="0" w:line="18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p>
    <w:p>
      <w:pPr>
        <w:spacing w:after="0" w:line="233"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written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20"/>
          <w:szCs w:val="20"/>
          <w:b w:val="1"/>
          <w:bCs w:val="1"/>
          <w:color w:val="auto"/>
        </w:rPr>
        <w:t>ARTICLE XXI - INTERPRETATION</w:t>
      </w:r>
    </w:p>
    <w:p>
      <w:pPr>
        <w:spacing w:after="0" w:line="229" w:lineRule="exact"/>
        <w:rPr>
          <w:sz w:val="20"/>
          <w:szCs w:val="20"/>
          <w:color w:val="auto"/>
        </w:rPr>
      </w:pPr>
    </w:p>
    <w:p>
      <w:pPr>
        <w:ind w:left="660" w:hanging="652"/>
        <w:spacing w:after="0"/>
        <w:tabs>
          <w:tab w:leader="none" w:pos="66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Laws Applicable: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hereto agree that the validity and interpretation of this Contract and of each Article and part thereof shall be governed by the laws of the State of New York applicable to a contract executed and performed in such State without giving effect to the conflicts of laws principles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Discrepancies: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provisions of the Articles of this Contract and the Specification, then to the extent of such discrepancy, difference or conflict only, the Specification shall be ineffectual and the provisions of the Articles of this Contract shall prevail; but in all other aspects, the Specification shall be in full force and effect.</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plans of the Specification and the text of the Specification, then to the extent of such discrepancy, difference or conflict the text of the Specification shall prevail; provided, however, any work called for by the text of the Specification and not shown on the plans of the Specification and any work shown on the plans of the Specification but not called for in the text of the Specification shall be performed by the BUILDER as part of the Contract work.</w:t>
      </w:r>
    </w:p>
    <w:p>
      <w:pPr>
        <w:spacing w:after="0" w:line="198"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discrepancy, difference or conflict described hereabove discovered by one of the parties hereto shall be brought to the attention of the other party hereto promptly in writing.</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may be executed and delivered, including execution and delivery by facsimile or portable data format (PDF) transmission, in counterparts, each of which shall be deemed an original and together shall constitute one and the same instrument.</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Agreements: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including the Specification and Plans and Exhibits, which are incorporated herein and made part of this Contract, and the Guaranty constitute the entire agreement of the parties with respect to the subject matter hereof and thereof and shall supersede any and all prior negotiations, understandings and agreements between the parties, including, without limitation, the Right of First Refusal and Advance Design Agreement between the parties dated as of April 25, 2022.</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provision of this Contract may be amended or waived if, but only if, such amendment or waiver is in writing and is signed, in the case of any amendment, by each party to this Contract, or in the case of a waiver, by the party against whom the waiver is to be effective. No failure or delay by any party in exercising any right, power or privilege hereunder shall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21" w:name="page322"/>
    <w:bookmarkEnd w:id="321"/>
    <w:p>
      <w:pPr>
        <w:ind w:left="660"/>
        <w:spacing w:after="0" w:line="269" w:lineRule="auto"/>
        <w:rPr>
          <w:sz w:val="20"/>
          <w:szCs w:val="20"/>
          <w:color w:val="auto"/>
        </w:rPr>
      </w:pPr>
      <w:r>
        <w:rPr>
          <w:rFonts w:ascii="Times New Roman" w:cs="Times New Roman" w:eastAsia="Times New Roman" w:hAnsi="Times New Roman"/>
          <w:sz w:val="20"/>
          <w:szCs w:val="20"/>
          <w:color w:val="auto"/>
        </w:rPr>
        <w:t>operate as a waiver thereof nor shall any single or partial exercise thereof preclude any other or further exercise thereof or the exercise of any other right, power or privilege.</w:t>
      </w:r>
    </w:p>
    <w:p>
      <w:pPr>
        <w:spacing w:after="0" w:line="169" w:lineRule="exact"/>
        <w:rPr>
          <w:sz w:val="20"/>
          <w:szCs w:val="20"/>
          <w:color w:val="auto"/>
        </w:rPr>
      </w:pPr>
    </w:p>
    <w:p>
      <w:pPr>
        <w:ind w:left="660" w:hanging="652"/>
        <w:spacing w:after="0"/>
        <w:tabs>
          <w:tab w:leader="none" w:pos="660" w:val="left"/>
        </w:tabs>
        <w:numPr>
          <w:ilvl w:val="0"/>
          <w:numId w:val="3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Beneficiaries: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provision of this Contract is intended to confer upon any party other than the parties hereto any rights or remedies hereunder.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Rules of Construction: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context otherwise requires:</w:t>
      </w:r>
    </w:p>
    <w:p>
      <w:pPr>
        <w:spacing w:after="0" w:line="2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ind w:left="1300" w:hanging="644"/>
        <w:spacing w:after="0"/>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ind w:left="1300" w:hanging="644"/>
        <w:spacing w:after="0"/>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ind w:left="1300" w:hanging="644"/>
        <w:spacing w:after="0" w:line="239" w:lineRule="auto"/>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computation of periods of time hereunder, the word “days” means calendar days, “from” means “from and including” and the words “to” and “until” each mean “to but excluding”;</w:t>
      </w:r>
    </w:p>
    <w:p>
      <w:pPr>
        <w:ind w:left="1300" w:hanging="644"/>
        <w:spacing w:after="0" w:line="239" w:lineRule="auto"/>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Contract to Articles, Paragraphs, subparagraphs or Exhibits shall be to Articles, Paragraphs, subparagraphs or Exhibits of or to this Contract unless otherwise specifically provided;</w:t>
      </w:r>
    </w:p>
    <w:p>
      <w:pPr>
        <w:ind w:left="1300" w:right="20" w:hanging="644"/>
        <w:spacing w:after="0" w:line="239" w:lineRule="auto"/>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the Articles, Paragraphs and other parts hereof are provided for convenience only and shall not in any way affect the meaning or construction of any provision of this Contract; and</w:t>
      </w:r>
    </w:p>
    <w:p>
      <w:pPr>
        <w:ind w:left="1300" w:hanging="644"/>
        <w:spacing w:after="0"/>
        <w:tabs>
          <w:tab w:leader="none" w:pos="130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“contractor” includes “subcontractor” and vice versa.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XXII – LIMITATION OF LIABILITY; INDEMNIFICATION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NO BROKERAGE; AND FEDERAL CONTRACTOR REQUIREMENTS</w:t>
      </w:r>
    </w:p>
    <w:p>
      <w:pPr>
        <w:spacing w:after="0" w:line="203" w:lineRule="exact"/>
        <w:rPr>
          <w:sz w:val="20"/>
          <w:szCs w:val="20"/>
          <w:color w:val="auto"/>
        </w:rPr>
      </w:pPr>
    </w:p>
    <w:p>
      <w:pPr>
        <w:ind w:left="660" w:hanging="652"/>
        <w:spacing w:after="0"/>
        <w:tabs>
          <w:tab w:leader="none" w:pos="660" w:val="left"/>
        </w:tabs>
        <w:numPr>
          <w:ilvl w:val="0"/>
          <w:numId w:val="3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confirm that the express remedies and measures of damages provided in this Contract satisfy the essential purposes hereof. For breach of any provision for which an express remedy or measure of damages is provided, such express remedy or measure of damages shall be the sole and exclusive remedy or measure of damages therefor. If no remedy or measure of damages is expressly herein provided, the obligor’s liability shall be limited to direct actual damages only; such direct actual damages shall be the sole and exclusive remedy. The parties confirm and agree that under this Contract, notwithstanding anything to the contrary set forth herein, no party shall be required to pay or be liable for special, consequential, incidental, punitive, exemplary or indirect damages, including, without limitation, lost profit, revenue or business interruption damages, by statute, in tort, contract or otherwise. For clarity, the foregoing limitation of liability does not limit the liability of any party for direct lost profit damages under this Contract. To the extent any damages required to be paid hereunder are liquidated damages, the parties acknowledge that the damages are difficult or impossible to determine, otherwise obtaining an adequate remedy is inconvenient and the liquidated damages constitute a reasonable approximation of the harm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22" w:name="page323"/>
    <w:bookmarkEnd w:id="322"/>
    <w:p>
      <w:pPr>
        <w:ind w:left="660" w:hanging="652"/>
        <w:spacing w:after="0"/>
        <w:tabs>
          <w:tab w:leader="none" w:pos="660" w:val="left"/>
        </w:tabs>
        <w:numPr>
          <w:ilvl w:val="0"/>
          <w:numId w:val="3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also be responsible for, and shall defend, indemnify and hold harmless the BUYER and its agents against and from any and all loss, expense, attorneys’ fees, claims, actions or liability for injuries to or death of any person or persons including employees of the BUILDER and damage to property occurring at or prior to delivery of the VESSEL in the course of or in connection with the BUILDER’s performance of this Contract caused in whole or in part, or alleged to be caused in whole or in part, by any act of the BUILDER, its agents, employees or subcontractors or their employees, but only as and to the extent the liability is alleged to be that of the BUILDER, its agents, employees or subcontractors. It is the intention of the parties hereto that the indemnity provisions herein pertaining to employees of the BUILDER shall be effective despite the provisions of 33 U.S.C. § 905(b) as and to the extent that in any claim or action liability is alleged to be that of the BUILDER, its agents, employees, or subcontractors, it being agreed that for purposes of said section the VESSEL being constructed shall not become a "vessel" until such time as the VESSEL is officially documented by the United States Coast Guard and the Classification Society and becomes a vessel capable of being legally used for transportation of goods on water. The BUILDER’s indemnity set forth hereinabove shall not apply to any injury or death of any person or to any damage to or loss of property of third parties occurring in connection with the VESSEL after the delivery and acceptance of the VESSEL by the BUYER, provided that this exclusion shall not apply to claims for injury or death of any person, or to any damage to or loss of property of third parties occurring prior to delivery but for which a claim is not instituted until after delivery and acceptance of the VESSEL by the BUYER.</w:t>
      </w:r>
    </w:p>
    <w:p>
      <w:pPr>
        <w:spacing w:after="0" w:line="20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Brokerage: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third party shall be entitled to receive any brokerage commissions, finder’s fees, fees for financial advisory services or similar compensation in connection with the transaction contemplated by this Contract based on any arrangement or agreement made by or on behalf of the BUYER or the BUILDER.</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Contractor Requirements: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 is not (a) a person or entity identified on any U.S. restricted party list, including those published by the Office of Foreign Assets Control, U.S. Department of the Treasury, such as the Specially Designated Nationals and Blocked Persons List, or otherwise required to be treated as such (“Restricted Party”); or (b) a department, agency or instrumentality of the government of, or is otherwise directly or indirectly controlled by or acting on behalf of, or is ordinarily resident in, a location subject to comprehensive U.S. economic sanctions administered by OFAC, currently Cuba, Iran, North Korea, Syria, and the Crimea, Donetsk, and Luhansk regions of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23" w:name="page324"/>
    <w:bookmarkEnd w:id="323"/>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XXIII – CONFIDENTIALITY; PUBLIC ANNOUNCEMENTS</w:t>
      </w:r>
    </w:p>
    <w:p>
      <w:pPr>
        <w:spacing w:after="0" w:line="229" w:lineRule="exact"/>
        <w:rPr>
          <w:sz w:val="20"/>
          <w:szCs w:val="20"/>
          <w:color w:val="auto"/>
        </w:rPr>
      </w:pPr>
    </w:p>
    <w:p>
      <w:pPr>
        <w:ind w:left="652" w:hanging="652"/>
        <w:spacing w:after="0"/>
        <w:tabs>
          <w:tab w:leader="none" w:pos="652" w:val="left"/>
        </w:tabs>
        <w:numPr>
          <w:ilvl w:val="0"/>
          <w:numId w:val="4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33" w:lineRule="exact"/>
        <w:rPr>
          <w:rFonts w:ascii="Times New Roman" w:cs="Times New Roman" w:eastAsia="Times New Roman" w:hAnsi="Times New Roman"/>
          <w:sz w:val="20"/>
          <w:szCs w:val="20"/>
          <w:b w:val="1"/>
          <w:bCs w:val="1"/>
          <w:color w:val="auto"/>
        </w:rPr>
      </w:pPr>
    </w:p>
    <w:p>
      <w:pPr>
        <w:jc w:val="both"/>
        <w:ind w:left="1292" w:right="20" w:hanging="644"/>
        <w:spacing w:after="0" w:line="243" w:lineRule="auto"/>
        <w:tabs>
          <w:tab w:leader="none" w:pos="129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and data disclosed by either party to the other party pursuant to this Contract is the sole and exclusive property of the disclosing party and shall be deemed proprietary, secret, and confidential, regardless of the manner in which it is or was delivered, disclosed or furnished, and whether prepared by or on behalf of the disclosing party and whether delivered, disclosed or furnished prior to, on or after the date of this Contract (collectively, “Confidential Information”); provided that Confidential Information does not include information:</w:t>
      </w:r>
    </w:p>
    <w:p>
      <w:pPr>
        <w:spacing w:after="0" w:line="1" w:lineRule="exact"/>
        <w:rPr>
          <w:rFonts w:ascii="Times New Roman" w:cs="Times New Roman" w:eastAsia="Times New Roman" w:hAnsi="Times New Roman"/>
          <w:sz w:val="20"/>
          <w:szCs w:val="20"/>
          <w:color w:val="auto"/>
        </w:rPr>
      </w:pPr>
    </w:p>
    <w:p>
      <w:pPr>
        <w:ind w:left="1952" w:right="20" w:hanging="656"/>
        <w:spacing w:after="0" w:line="239" w:lineRule="auto"/>
        <w:tabs>
          <w:tab w:leader="none" w:pos="1952" w:val="left"/>
        </w:tabs>
        <w:numPr>
          <w:ilvl w:val="2"/>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public domain at the time of the disclosing party’s communication thereof to the other;</w:t>
      </w:r>
    </w:p>
    <w:p>
      <w:pPr>
        <w:ind w:left="1952" w:hanging="656"/>
        <w:spacing w:after="0" w:line="239" w:lineRule="auto"/>
        <w:tabs>
          <w:tab w:leader="none" w:pos="1952" w:val="left"/>
        </w:tabs>
        <w:numPr>
          <w:ilvl w:val="2"/>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becomes publicly available after the communication thereof other than through a breach of this Confidentiality provision;</w:t>
      </w:r>
    </w:p>
    <w:p>
      <w:pPr>
        <w:ind w:left="1952" w:hanging="656"/>
        <w:spacing w:after="0" w:line="239" w:lineRule="auto"/>
        <w:tabs>
          <w:tab w:leader="none" w:pos="1952" w:val="left"/>
        </w:tabs>
        <w:numPr>
          <w:ilvl w:val="2"/>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receiving party’s possession free of any obligation of confidentiality at the time of disclosure thereof; or</w:t>
      </w:r>
    </w:p>
    <w:p>
      <w:pPr>
        <w:jc w:val="both"/>
        <w:ind w:left="1952" w:hanging="656"/>
        <w:spacing w:after="0" w:line="242" w:lineRule="auto"/>
        <w:tabs>
          <w:tab w:leader="none" w:pos="1952" w:val="left"/>
        </w:tabs>
        <w:numPr>
          <w:ilvl w:val="2"/>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developed by the receiving party independently of and without reference to any Confidential Information or other proprietary information that the disclosing party has disclosed in confidence to the other.</w:t>
      </w:r>
    </w:p>
    <w:p>
      <w:pPr>
        <w:spacing w:after="0" w:line="200" w:lineRule="exact"/>
        <w:rPr>
          <w:rFonts w:ascii="Times New Roman" w:cs="Times New Roman" w:eastAsia="Times New Roman" w:hAnsi="Times New Roman"/>
          <w:sz w:val="20"/>
          <w:szCs w:val="20"/>
          <w:color w:val="auto"/>
        </w:rPr>
      </w:pPr>
    </w:p>
    <w:p>
      <w:pPr>
        <w:jc w:val="both"/>
        <w:ind w:left="1292" w:hanging="644"/>
        <w:spacing w:after="0" w:line="242" w:lineRule="auto"/>
        <w:tabs>
          <w:tab w:leader="none" w:pos="129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all Confidential Information shall remain the property of the disclosing party, shall be kept in strictest confidence by the receiving party, its parent and its and their directors, officers, direct employees, contractors, attorneys and advisors, and other parties engaged to carry out a party’s obligations hereunder and who need to know such information for such purpose (collectively, the “Party’s Representatives”), and shall not be disclosed to any other party except as provided herein, without the express prior written consent of the disclosing party. Each party hereto hereby acknowledges (i) that a breach hereof by either party or its Party’s Representatives may endanger and damage the other irreparably, and that (ii) money damages may not be a sufficient remedy for any such breach and that the non-breaching party may be entitled to specific performance and injunctive or other equitable relief as a remedy for any such breach. Each party agrees to be responsible for any breach of this Contract by its respective Party’s Representatives.</w:t>
      </w:r>
    </w:p>
    <w:p>
      <w:pPr>
        <w:spacing w:after="0" w:line="203"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Confidential Information may be retained and disclosed as follows:</w:t>
      </w:r>
    </w:p>
    <w:p>
      <w:pPr>
        <w:spacing w:after="0" w:line="229" w:lineRule="exact"/>
        <w:rPr>
          <w:rFonts w:ascii="Times New Roman" w:cs="Times New Roman" w:eastAsia="Times New Roman" w:hAnsi="Times New Roman"/>
          <w:sz w:val="20"/>
          <w:szCs w:val="20"/>
          <w:color w:val="auto"/>
        </w:rPr>
      </w:pPr>
    </w:p>
    <w:p>
      <w:pPr>
        <w:jc w:val="both"/>
        <w:ind w:left="1952" w:hanging="656"/>
        <w:spacing w:after="0" w:line="244" w:lineRule="auto"/>
        <w:tabs>
          <w:tab w:leader="none" w:pos="1952" w:val="left"/>
        </w:tabs>
        <w:numPr>
          <w:ilvl w:val="2"/>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of the BUYER may be disclosed by the BUILDER to third parties as may be required for the design and construction of the VESSEL; and Confidential Information of the BUILDER may be retained and copied by the BUYER or any transferees of the VESSEL for the life of the VESSEL and may be disclosed by such parties to third parties as may be required in connection with the design, operation, repair, modification, chartering, insuring, financing, or sale of the VESSEL; provided that in each case the BUILDER or the BUYER or a transferee has entered into a confidentiality agreement having provisions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98" w:right="999" w:bottom="1440" w:gutter="0" w:footer="0" w:header="0"/>
        </w:sectPr>
      </w:pPr>
    </w:p>
    <w:bookmarkStart w:id="324" w:name="page325"/>
    <w:bookmarkEnd w:id="324"/>
    <w:p>
      <w:pPr>
        <w:ind w:left="1960"/>
        <w:spacing w:after="0"/>
        <w:rPr>
          <w:sz w:val="20"/>
          <w:szCs w:val="20"/>
          <w:color w:val="auto"/>
        </w:rPr>
      </w:pPr>
      <w:r>
        <w:rPr>
          <w:rFonts w:ascii="Times New Roman" w:cs="Times New Roman" w:eastAsia="Times New Roman" w:hAnsi="Times New Roman"/>
          <w:sz w:val="20"/>
          <w:szCs w:val="20"/>
          <w:color w:val="auto"/>
        </w:rPr>
        <w:t>providing substantially the same protections as in this Article XXIII, Paragraph 1.</w:t>
      </w:r>
    </w:p>
    <w:p>
      <w:pPr>
        <w:spacing w:after="0" w:line="22" w:lineRule="exact"/>
        <w:rPr>
          <w:sz w:val="20"/>
          <w:szCs w:val="20"/>
          <w:color w:val="auto"/>
        </w:rPr>
      </w:pPr>
    </w:p>
    <w:p>
      <w:pPr>
        <w:jc w:val="both"/>
        <w:ind w:left="1960" w:hanging="656"/>
        <w:spacing w:after="0" w:line="239" w:lineRule="auto"/>
        <w:tabs>
          <w:tab w:leader="none" w:pos="1960"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by applicable law or by order of a court or governmental authority may be disclosed by either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receiving party will give notice to the disclosing party in sufficient time as to permit a protective order to be sought by the disclosing party thereon.</w:t>
      </w:r>
    </w:p>
    <w:p>
      <w:pPr>
        <w:spacing w:after="0" w:line="1" w:lineRule="exact"/>
        <w:rPr>
          <w:rFonts w:ascii="Times New Roman" w:cs="Times New Roman" w:eastAsia="Times New Roman" w:hAnsi="Times New Roman"/>
          <w:sz w:val="20"/>
          <w:szCs w:val="20"/>
          <w:color w:val="auto"/>
        </w:rPr>
      </w:pPr>
    </w:p>
    <w:p>
      <w:pPr>
        <w:jc w:val="both"/>
        <w:ind w:left="1960" w:hanging="656"/>
        <w:spacing w:after="0"/>
        <w:tabs>
          <w:tab w:leader="none" w:pos="1960"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to a regulatory body in furtherance of the purposes of this Contract, or that is required to be disclosed in a filing with the Securities and Exchange Commission or other government agency having jurisdiction over a party may be disclosed by such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such regulatory bodies or government agencies permit a party to assert a claim of confidentiality with respect to such filings, the party making the filings will assert the same.</w:t>
      </w:r>
    </w:p>
    <w:p>
      <w:pPr>
        <w:spacing w:after="0" w:line="20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Public Announcements: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hereto will coordinate the issuance of any public announcement (including a press release or public filing) by them or their affiliates with respect to this Contract and the transactions contemplated hereby (an “Announcement”). Neither party hereto nor any of its affiliates may issue an Announcement unless that party has consulted with and received approval for such Announcement from the other party hereto with respect to the content and timing of such Announcement; provided that a party hereto or its affiliates may make an Announcement as may be required by applicable law or any listing agreement related to the trading of the shares of such party or its affiliates on any securities exchange without such approval upon advance written notice to each other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25" w:name="page326"/>
    <w:bookmarkEnd w:id="325"/>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caused this Shipbuilding Contract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PHILLY SHIPYARD, INC.</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MATSON NAVIGATION COMPANY, INC.</w:t>
            </w:r>
          </w:p>
        </w:tc>
      </w:tr>
      <w:tr>
        <w:trPr>
          <w:trHeight w:val="683"/>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Steinar Nerbovik</w:t>
            </w: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By: /s/ John W. Sullivan</w:t>
            </w:r>
          </w:p>
        </w:tc>
      </w:tr>
      <w:tr>
        <w:trPr>
          <w:trHeight w:val="200"/>
        </w:trPr>
        <w:tc>
          <w:tcPr>
            <w:tcW w:w="340" w:type="dxa"/>
            <w:vAlign w:val="bottom"/>
          </w:tcPr>
          <w:p>
            <w:pPr>
              <w:spacing w:after="0"/>
              <w:rPr>
                <w:sz w:val="17"/>
                <w:szCs w:val="17"/>
                <w:color w:val="auto"/>
              </w:rPr>
            </w:pPr>
          </w:p>
        </w:tc>
        <w:tc>
          <w:tcPr>
            <w:tcW w:w="44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Steinar Nerbovik</w:t>
            </w:r>
          </w:p>
        </w:tc>
        <w:tc>
          <w:tcPr>
            <w:tcW w:w="580" w:type="dxa"/>
            <w:vAlign w:val="bottom"/>
          </w:tcPr>
          <w:p>
            <w:pPr>
              <w:spacing w:after="0"/>
              <w:rPr>
                <w:sz w:val="17"/>
                <w:szCs w:val="17"/>
                <w:color w:val="auto"/>
              </w:rPr>
            </w:pPr>
          </w:p>
        </w:tc>
        <w:tc>
          <w:tcPr>
            <w:tcW w:w="45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John W. Sullivan</w:t>
            </w:r>
          </w:p>
        </w:tc>
      </w:tr>
      <w:tr>
        <w:trPr>
          <w:trHeight w:val="258"/>
        </w:trPr>
        <w:tc>
          <w:tcPr>
            <w:tcW w:w="340" w:type="dxa"/>
            <w:vAlign w:val="bottom"/>
          </w:tcPr>
          <w:p>
            <w:pPr>
              <w:spacing w:after="0"/>
              <w:rPr>
                <w:sz w:val="22"/>
                <w:szCs w:val="2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58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Shipbuilding Contract – Hull No. 041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8" w:right="99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0"/>
          <w:szCs w:val="20"/>
          <w:b w:val="1"/>
          <w:bCs w:val="1"/>
          <w:color w:val="auto"/>
        </w:rPr>
        <w:t>Exhibit 10.50</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Executive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4457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6292215" cy="44577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042</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 – DESCRIPTION AND CLASS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 – CONTRACT PRICE AND TERMS OF PAYMENT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 – LIQUIDATED DAMAGES AND TERMINATION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 – WORK, SUPERVISION AND INSPECTION AND APPROVAL OF PLANS AND DRAWINGS,</w:t>
            </w:r>
          </w:p>
        </w:tc>
        <w:tc>
          <w:tcPr>
            <w:tcW w:w="44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 – MODIFICATIONS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 – TRIALS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 – DELIVERY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 – DELAYS AND EXTENSION OF TIME FOR DELIVERY DUE TO FORCE MAJEURE AND</w:t>
            </w:r>
          </w:p>
        </w:tc>
        <w:tc>
          <w:tcPr>
            <w:tcW w:w="44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FOR EXCESSIVE DELAY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IX-WARRANTY OF QUALITY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 – TERMINATION BY THE BUYER AND OPTIONS ON TERMINATION; GUARANTY AGREEMENT</w:t>
            </w:r>
          </w:p>
        </w:tc>
        <w:tc>
          <w:tcPr>
            <w:tcW w:w="44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BUYER’S RIGHT TO ADDITIONAL SECURITY; AUDIT AND INSPECTION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XI-BUYER’S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 –BUILDER’S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XIII-INSURANCE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XIV-DISPUTE RESOLUTION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XV- ASSIGNMENT OF CONTRACT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XVI-TITLE AND LIENS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XVII-PATENTS, TRADEMARKS, COPYRIGHTS, ETC.</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XVIII-BUYER’S SUPPLIES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XIX COOPERATION REGARDING FINANCING AND RELATED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XX -NOTICE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XXI - INTERPRETATION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XXII – LIMITATION OF LIABILITY; INDEMNIFICATION AND NO BROKERAGE; AND FEDERAL</w:t>
            </w:r>
          </w:p>
        </w:tc>
        <w:tc>
          <w:tcPr>
            <w:tcW w:w="44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CONTRACTOR REQUIREMENTS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XXIII – CONFIDENTIALITY; PUBLIC ANNOUNCEMENTS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1 Schedule of Milestone Payments for Each Vessel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 Milestone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3 Escrow Instructions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4 Form of Invoice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5 Sample Steel Adjustment Calculation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6 Form of Change Order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7 Freedom of Liens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8 Theoretical Calculation of the Carbon Intensity Indicator (CII)</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9 Class Notations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has been excluded from this exhibit pursuant to Item 601(b)(10)(iv) of Regulation S-K because it is both (i) not material and (ii) the type that the registrant treats as private or confidential. The following symbol is included in this exhibit to indicate where such information has been omitted: [*].</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addition, certain other information has been excluded from this exhibit pursuant to Item 601(a)(6) of Regulation S-K because disclosure of such information would constitute a clearly unwarranted invasion of personal privacy. The following symbol is included in this exhibit to indicate where such information has been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516890</wp:posOffset>
            </wp:positionV>
            <wp:extent cx="629221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0"/>
          <w:szCs w:val="20"/>
          <w:b w:val="1"/>
          <w:bCs w:val="1"/>
          <w:color w:val="auto"/>
        </w:rPr>
        <w:t>Executive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6283325" cy="4457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6283325" cy="44577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SHIPBUILDING CONTRACT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Vessel Type ALOHA CLASS L- HULL NO. 042</w:t>
      </w:r>
    </w:p>
    <w:p>
      <w:pPr>
        <w:spacing w:after="0" w:line="3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THIS SHIPBUILDING CONTRACT </w:t>
      </w:r>
      <w:r>
        <w:rPr>
          <w:rFonts w:ascii="Times New Roman" w:cs="Times New Roman" w:eastAsia="Times New Roman" w:hAnsi="Times New Roman"/>
          <w:sz w:val="20"/>
          <w:szCs w:val="20"/>
          <w:color w:val="auto"/>
        </w:rPr>
        <w:t>(this “Contract”) is made as of November 1, 2022 by and between PHILLY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SHIPYARD, INC., a corporation organized under the laws of Pennsylvania, having its principal office at 2100 Kitty Hawk Avenue, Philadelphia, PA 19112 (hereinafter called the “BUILDER”), and MATSON NAVIGATION COMPANY, INC., a corporation organized under the laws of Hawaii, having its corporate offices at 555 12th Street, Oakland, CA 94607 (hereinafter called the “BUYER”).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WHEREAS, the BUILDER agrees to design, engineer, build, launch, equip, outfit, install or load the BUYER’s Supplies, as hereinafter defined, test, complete at its Philadelphia shipyard (hereinafter called the “Shipyard”) and sell and deliver to the BUYER one (1) containership of the ALOHA CLASS L vessel type designated as the BUILDER’s Hull No. 042, more fully described in Article 1 hereof (hereinafter called the “VESSEL”), and the BUYER agrees to purchase and take delivery of the VESSEL from the BUILDER and to pay for the same, upon the terms and subject to the conditions hereinafter set forth;</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WHEREAS, concurrent with the execution of this Contract, the BUYER and the BUILDER have executed two other Shipbuilding Contracts of even date herewith, each for the purchase of one (1) additional containership of the ALOHA CLASS L type vessel, designated as the BUILDER’s Hull Nos. 040 and 041 (hereinafter each called a “Sister Ship Contract” and collectively called the “Sister Ship Contracts”); and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WHEREAS, concurrent with the execution of this Contract, Philly Shipyard ASA (the “Guarantor”) has executed the Guaranty Agreement dated as of the date hereof guarantying the performance of this Contract and the Sister Ship Contracts by the BUILDER (the “Guaranty”).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in consideration of the mutual covenants herein, intending to be legally bound, 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DESCRIPTION AND CLASS</w:t>
      </w:r>
    </w:p>
    <w:p>
      <w:pPr>
        <w:spacing w:after="0" w:line="229" w:lineRule="exact"/>
        <w:rPr>
          <w:sz w:val="20"/>
          <w:szCs w:val="20"/>
          <w:color w:val="auto"/>
        </w:rPr>
      </w:pPr>
    </w:p>
    <w:p>
      <w:pPr>
        <w:ind w:left="660" w:hanging="652"/>
        <w:spacing w:after="0"/>
        <w:tabs>
          <w:tab w:leader="none" w:pos="660" w:val="left"/>
        </w:tabs>
        <w:numPr>
          <w:ilvl w:val="0"/>
          <w:numId w:val="4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VESSEL shall have the BUILDER’s Hull No. 042 and shall be designed, engineered, constructed, equipped, outfitted, installed or loaded with BUYER’s Supplies, tested and completed by BUILDER in accordance with the provisions of this Contract, and the Specification, as defined herein. The Specification for the construction of the VESSEL called “Aloha Class L,” Document No. ADE-CD-001 Rev A, dated October 25th, 2022, and the related drawings and plans identified in the Specification, including the General Arrangement, Document No. AA0030BL01 Rev. A, the Container Stowage Plan, Document No. AA0040BL01 Rev. A, and the Capacity Plan, Document No. AA3010BL02 Rev. A, are hereby adopted and agreed and made a part of this Contract with the same force and effect as though herein set out in full (herein collectively called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28" w:name="page329"/>
    <w:bookmarkEnd w:id="328"/>
    <w:p>
      <w:pPr>
        <w:jc w:val="both"/>
        <w:spacing w:after="0" w:line="244" w:lineRule="auto"/>
        <w:rPr>
          <w:sz w:val="20"/>
          <w:szCs w:val="20"/>
          <w:color w:val="auto"/>
        </w:rPr>
      </w:pPr>
      <w:r>
        <w:rPr>
          <w:rFonts w:ascii="Times New Roman" w:cs="Times New Roman" w:eastAsia="Times New Roman" w:hAnsi="Times New Roman"/>
          <w:sz w:val="20"/>
          <w:szCs w:val="20"/>
          <w:color w:val="auto"/>
        </w:rPr>
        <w:t>“Specification”). It is further understood by the parties that modifications to the Specification may be required to adjust to the BUILDER’s building methodologies and practices and the same shall be submitted to the BUYER for the BUYER’s approval, which shall not be unreasonably withheld. The BUYER will work with the BUILDER to reach agreement on a specification that meets the technical requirements while at the same time addresses the required goals of the BUILDER for maximizing productivity and minimizing unnecessary costs. The VESSEL shall be constructed, equipped, and maintained to qualify for the ratings of the American Bureau of Shipping (ABS) classification society (herein called the “Classification Society”), as described in the Specification, and to be eligible for U. S. registry and U.S. coastwise trade endorsements.</w:t>
      </w:r>
    </w:p>
    <w:p>
      <w:pPr>
        <w:spacing w:after="0" w:line="195" w:lineRule="exact"/>
        <w:rPr>
          <w:sz w:val="20"/>
          <w:szCs w:val="20"/>
          <w:color w:val="auto"/>
        </w:rPr>
      </w:pPr>
    </w:p>
    <w:p>
      <w:pPr>
        <w:ind w:left="640" w:hanging="632"/>
        <w:spacing w:after="0"/>
        <w:tabs>
          <w:tab w:leader="none" w:pos="640" w:val="left"/>
        </w:tabs>
        <w:numPr>
          <w:ilvl w:val="0"/>
          <w:numId w:val="4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Dimensions and Characteristics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6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have the following dimensions and characteristics and the other dimensions and characteristics stated in the Specification:</w:t>
      </w:r>
    </w:p>
    <w:p>
      <w:pPr>
        <w:spacing w:after="0" w:line="168"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Dimensions: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Overall length:</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 m</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Length between P.P.:</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248.5 m</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Breadth moulded: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 m</w:t>
            </w: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Depth moulded: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m</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Design draft: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m</w:t>
            </w:r>
          </w:p>
        </w:tc>
      </w:tr>
      <w:tr>
        <w:trPr>
          <w:trHeight w:val="25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Scantling draft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 m</w:t>
            </w: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Cargo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deadweight shall be approximately 53,000 metric tons, corresponding to a mean draft in seawater (specific gravity 1.025 metric tons/m3) of 12.6 m. The specified deadweight shall include the items as listed in the Specification.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Container Carrying Capacity:</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VESSEL’s container carrying capacity shall be 3,620 TEUs and as otherwise set out in the Specification, of which [*] TEUs are loadable hi-cube containers at a homogeneous weight of [*] MT per TEU at a draft of [*] m (hereinafter the “Guaranteed Loadable Container Capacity”).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Propulsion Machinery: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Type: Reversible slow speed two stroke dual fuel gas injection diesel engine.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(MCR) approx. 33,660kW.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Auxiliary Generators: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Type: 4 (four stroke) dual fuel gas injection diesel generators.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Max. continuous power approx. 2 (two) 1,620 kW @ 900 rpm; 2 (two) 2,430 kW @ 900 rpm.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9" w:name="page330"/>
    <w:bookmarkEnd w:id="329"/>
    <w:p>
      <w:pPr>
        <w:ind w:left="200"/>
        <w:spacing w:after="0"/>
        <w:rPr>
          <w:sz w:val="20"/>
          <w:szCs w:val="20"/>
          <w:color w:val="auto"/>
        </w:rPr>
      </w:pPr>
      <w:r>
        <w:rPr>
          <w:rFonts w:ascii="Times New Roman" w:cs="Times New Roman" w:eastAsia="Times New Roman" w:hAnsi="Times New Roman"/>
          <w:sz w:val="20"/>
          <w:szCs w:val="20"/>
          <w:b w:val="1"/>
          <w:bCs w:val="1"/>
          <w:color w:val="auto"/>
        </w:rPr>
        <w:t>Speed:</w:t>
      </w:r>
    </w:p>
    <w:p>
      <w:pPr>
        <w:spacing w:after="0" w:line="233"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20"/>
          <w:szCs w:val="20"/>
          <w:color w:val="auto"/>
        </w:rPr>
        <w:t>The VESSEL’s average speed on a sea trial undertaken in both directions over a measured distance, with clean hull, in calm weather, wind and sea not exceeding Beaufort [*] and with draft [*] m, shall be at least [*] knots with the main engine at NCR of [*] kW and with [*]% sea margin (the “Guaranteed Speed”) and the VESSEL’s design shall be in compliance with Energy Efficiency Design Index (EEDI) requirements for containerships at the Guaranteed Speed.</w:t>
      </w:r>
    </w:p>
    <w:p>
      <w:pPr>
        <w:spacing w:after="0" w:line="198"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The theoretical calculation of the Carbon Intensity Indicator (CII) for the VESSEL at the Guaranteed Speed, together with all of the underlying assumptions with respect thereto, are set forth for informational purposes in Exhibit 8. BUILDER does not provide any guarantee with respect to the VESSEL being in compliance with the CII during operations.</w:t>
      </w:r>
    </w:p>
    <w:p>
      <w:pPr>
        <w:spacing w:after="0" w:line="193"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0"/>
          <w:szCs w:val="20"/>
          <w:color w:val="auto"/>
        </w:rPr>
        <w:t>Early in the design process ship model tests shall be conducted to refine the hull form and improve the overall efficiency over the range of operating drafts and trims anticipated for the VESSEL for the intended service. Model tests shall be conducted at the drafts defined in the Specification but including the design draft, a deep ballast draft and the Summer Load Line draft. In addition, the model basin shall be tasked with providing a procedure for extrapolating the actual sea trial ship speed at a ballast condition to the speed at the design draft and main engine NCR power with [*]% sea margin. This procedure shall be submitted to the BUYER for approval along with the Model Test report.</w:t>
      </w:r>
    </w:p>
    <w:p>
      <w:pPr>
        <w:spacing w:after="0" w:line="172"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20"/>
          <w:szCs w:val="20"/>
          <w:color w:val="auto"/>
        </w:rPr>
        <w:t>The sea trial test for determination and verification of the VESSEL’s speed at the design draft and main engine NCR shall be based on the following:</w:t>
      </w:r>
    </w:p>
    <w:p>
      <w:pPr>
        <w:spacing w:after="0" w:line="132" w:lineRule="exact"/>
        <w:rPr>
          <w:sz w:val="20"/>
          <w:szCs w:val="20"/>
          <w:color w:val="auto"/>
        </w:rPr>
      </w:pPr>
    </w:p>
    <w:p>
      <w:pPr>
        <w:ind w:left="520" w:hanging="324"/>
        <w:spacing w:after="0" w:line="269" w:lineRule="auto"/>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sea trial speed test shall be conducted in water with a depth greater than 100m and at a deep ballast draft corresponding to the model tests.</w:t>
      </w:r>
    </w:p>
    <w:p>
      <w:pPr>
        <w:spacing w:after="0" w:line="145"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and sea conditions shall be Beaufort 6 or less, subject to approval of both parties.</w:t>
      </w:r>
    </w:p>
    <w:p>
      <w:pPr>
        <w:spacing w:after="0" w:line="202" w:lineRule="exact"/>
        <w:rPr>
          <w:rFonts w:ascii="Times New Roman" w:cs="Times New Roman" w:eastAsia="Times New Roman" w:hAnsi="Times New Roman"/>
          <w:sz w:val="20"/>
          <w:szCs w:val="20"/>
          <w:color w:val="auto"/>
        </w:rPr>
      </w:pPr>
    </w:p>
    <w:p>
      <w:pPr>
        <w:ind w:left="520" w:hanging="324"/>
        <w:spacing w:after="0" w:line="269" w:lineRule="auto"/>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Assessment of the distance traveled for determining the performance speed shall be conducted by means of DGPS (Differential Global Positioning System).</w:t>
      </w:r>
    </w:p>
    <w:p>
      <w:pPr>
        <w:spacing w:after="0" w:line="145" w:lineRule="exact"/>
        <w:rPr>
          <w:rFonts w:ascii="Times New Roman" w:cs="Times New Roman" w:eastAsia="Times New Roman" w:hAnsi="Times New Roman"/>
          <w:sz w:val="20"/>
          <w:szCs w:val="20"/>
          <w:color w:val="auto"/>
        </w:rPr>
      </w:pPr>
    </w:p>
    <w:p>
      <w:pPr>
        <w:ind w:left="520" w:hanging="324"/>
        <w:spacing w:after="0"/>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influence of rudder helm during the test shall be avoided.</w:t>
      </w:r>
    </w:p>
    <w:p>
      <w:pPr>
        <w:spacing w:after="0" w:line="202" w:lineRule="exact"/>
        <w:rPr>
          <w:rFonts w:ascii="Times New Roman" w:cs="Times New Roman" w:eastAsia="Times New Roman" w:hAnsi="Times New Roman"/>
          <w:sz w:val="20"/>
          <w:szCs w:val="20"/>
          <w:color w:val="auto"/>
        </w:rPr>
      </w:pPr>
    </w:p>
    <w:p>
      <w:pPr>
        <w:ind w:left="520" w:right="20" w:hanging="324"/>
        <w:spacing w:after="0" w:line="269" w:lineRule="auto"/>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speed trial shall consist of runs in alternate directions at each of four power levels defined in the Specification.</w:t>
      </w:r>
    </w:p>
    <w:p>
      <w:pPr>
        <w:spacing w:after="0" w:line="145"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speed trial shall be corrected to calm water (no wind, no waves, no current) according to ISO 15016 “Ships and Marine Technology – Guidelines for the Assessment of Speed and Power Performance by Analysis of Speed Trial Data”.</w:t>
      </w:r>
    </w:p>
    <w:p>
      <w:pPr>
        <w:spacing w:after="0" w:line="160" w:lineRule="exact"/>
        <w:rPr>
          <w:rFonts w:ascii="Times New Roman" w:cs="Times New Roman" w:eastAsia="Times New Roman" w:hAnsi="Times New Roman"/>
          <w:sz w:val="20"/>
          <w:szCs w:val="20"/>
          <w:color w:val="auto"/>
        </w:rPr>
      </w:pPr>
    </w:p>
    <w:p>
      <w:pPr>
        <w:jc w:val="both"/>
        <w:ind w:left="520" w:hanging="324"/>
        <w:spacing w:after="0" w:line="254" w:lineRule="auto"/>
        <w:tabs>
          <w:tab w:leader="none" w:pos="5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the speed trial at the ballast condition shall be projected, based on the model test results and the procedure developed by the model basin and approved by BUYER, to determine the speed at the design draft and main engine NCR power level with [*]% sea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9" w:right="999" w:bottom="1440" w:gutter="0" w:footer="0" w:header="0"/>
        </w:sectPr>
      </w:pPr>
    </w:p>
    <w:bookmarkStart w:id="330" w:name="page331"/>
    <w:bookmarkEnd w:id="330"/>
    <w:p>
      <w:pPr>
        <w:ind w:left="660"/>
        <w:spacing w:after="0"/>
        <w:rPr>
          <w:sz w:val="20"/>
          <w:szCs w:val="20"/>
          <w:color w:val="auto"/>
        </w:rPr>
      </w:pPr>
      <w:r>
        <w:rPr>
          <w:rFonts w:ascii="Times New Roman" w:cs="Times New Roman" w:eastAsia="Times New Roman" w:hAnsi="Times New Roman"/>
          <w:sz w:val="20"/>
          <w:szCs w:val="20"/>
          <w:b w:val="1"/>
          <w:bCs w:val="1"/>
          <w:color w:val="auto"/>
        </w:rPr>
        <w:t>Fuel Consumption:</w:t>
      </w:r>
    </w:p>
    <w:p>
      <w:pPr>
        <w:spacing w:after="0" w:line="23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main engine on the test bed shall not exceed [*] grams per kW per hour plus a [*]% tolerance when the engine develops [*]% of SMCR under ISO conditions and Tier II mode for Ultra Low Sulfur MGO and shall not exceed [*] kJ/kWh of total energy consumption plus [*]% tolerance when the engine develops [*]% of SMCR under ISO conditions under Tier II mode on Natural Gas from Liquefied Natural Gas (“LNG”) (hereinafter the “Guaranteed Fuel Consumption of the Main Engine”).</w:t>
      </w:r>
    </w:p>
    <w:p>
      <w:pPr>
        <w:spacing w:after="0" w:line="198"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fuel consumptions of the diesel generators on the test bed shall not exceed [*]grams per kW per hour plus a [*]% tolerance when the engine develops [*]% of MCR under ISO conditions and Tier II mode for Ultra Low Sulfur MGO (Based on technical engine specification dated June 2015) or [*] kJ/kWh of total energy consumption plus a [*]% tolerance when the engine develops [*]% of MCR under ISO conditions under Tier II mode for Natural Gas from Liquefied Natural Gas (hereinafter the “Guaranteed Fuel Consumption of the Diesel Generators”).</w:t>
      </w:r>
    </w:p>
    <w:p>
      <w:pPr>
        <w:spacing w:after="0" w:line="194" w:lineRule="exact"/>
        <w:rPr>
          <w:sz w:val="20"/>
          <w:szCs w:val="20"/>
          <w:color w:val="auto"/>
        </w:rPr>
      </w:pPr>
    </w:p>
    <w:p>
      <w:pPr>
        <w:ind w:left="660" w:hanging="652"/>
        <w:spacing w:after="0"/>
        <w:tabs>
          <w:tab w:leader="none" w:pos="660" w:val="left"/>
        </w:tabs>
        <w:numPr>
          <w:ilvl w:val="0"/>
          <w:numId w:val="4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Classification, Rules and Regulations: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including its machinery, equipment and outfittings shall be constructed in accordance with the rules of and under special survey of the Classification Society, with the class notations set forth on Exhibit 9 (herein referred to as the “Class”). Upon delivery and acceptance of the VESSEL, the BUILDER shall deliver to the BUYER a classification certificate with such class notations in accordance with Paragraph 3(d), Article VII hereof. Decisions of the Classification Society as to compliance or non-compliance with the rules thereof shall be final and binding upon both parties hereto.</w:t>
      </w:r>
    </w:p>
    <w:p>
      <w:pPr>
        <w:spacing w:after="0" w:line="197"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its performance of the work under this Contract, the BUILDER shall comply with all applicable laws, rules, regulations, and requirements of the regulatory bodies, which term shall include the Classification Society, the U.S. Coast Guard, and others as set forth in the Specification. At delivery thereof, the VESSEL shall be built and equipped in compliance with all rules and regulations for registration under the flag of the United States of America with a Coastwise endorsement and have all certificates and meet all rules, regulations requirements of the Classification Society and of the regulatory bodies required for operation of the VESSEL in the foreign and domestic trades of the United States as described in the Specification. If work in addition to work required by the Specification is required as a result of any statute enacted after the date of execution of this Contract, or by regulations or rules adopted by any of the regulatory bodies after such date, said work shall be performed pursuant to a Change Order under Article V.</w:t>
      </w:r>
    </w:p>
    <w:p>
      <w:pPr>
        <w:spacing w:after="0" w:line="205"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fees and charges incidental to the classification and with respect to compliance with the above referred rules, regulations and requirements applicable as of the date of this Contract shall be for account of the BUILDER.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Subcontracting:</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at its sole discretion and responsibility, subcontract portions of the construction work of the VESSEL. However, to subcontract more than 15% of the total hull steel weight to a single contractor, the BUILDER will need the prior written consent of the BUYER. The BUILDER shall nevertheless always be responsible under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31" w:name="page332"/>
    <w:bookmarkEnd w:id="331"/>
    <w:p>
      <w:pPr>
        <w:ind w:left="660"/>
        <w:spacing w:after="0" w:line="269" w:lineRule="auto"/>
        <w:rPr>
          <w:sz w:val="20"/>
          <w:szCs w:val="20"/>
          <w:color w:val="auto"/>
        </w:rPr>
      </w:pPr>
      <w:r>
        <w:rPr>
          <w:rFonts w:ascii="Times New Roman" w:cs="Times New Roman" w:eastAsia="Times New Roman" w:hAnsi="Times New Roman"/>
          <w:sz w:val="20"/>
          <w:szCs w:val="20"/>
          <w:color w:val="auto"/>
        </w:rPr>
        <w:t>Contract for the quality, workmanship and materials of the VESSEL (excluding, however BUYER’s Supplies). The BUYER’s rights hereunder shall not be in any way reduced in respect of such subcontracted work.</w:t>
      </w:r>
    </w:p>
    <w:p>
      <w:pPr>
        <w:spacing w:after="0" w:line="169" w:lineRule="exact"/>
        <w:rPr>
          <w:sz w:val="20"/>
          <w:szCs w:val="20"/>
          <w:color w:val="auto"/>
        </w:rPr>
      </w:pPr>
    </w:p>
    <w:p>
      <w:pPr>
        <w:ind w:left="660" w:hanging="652"/>
        <w:spacing w:after="0"/>
        <w:tabs>
          <w:tab w:leader="none" w:pos="660" w:val="left"/>
        </w:tabs>
        <w:numPr>
          <w:ilvl w:val="0"/>
          <w:numId w:val="4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Makers List</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 makers list of the equipment and machinery for the VESSEL is in Document No. ADE-CD-002 Rev A dated October 25th, 2022 (the “Makers List”). The BUILDER shall have the right to select any of the suppliers listed on the Makers List and may, subject to the BUYER’s prior written approval, select additional suppliers not listed on the Makers List. The BUILDER will advise the BUYER of individual suppliers selected by the BUILDER at least 30 days prior to any order being placed. If the BUYER requests the BUILDER to order any equipment or machinery from a supplier not selected by the BUILDER from the Maker’s List, the BUILDER will take reasonable steps to comply with such request, but the BUILDER may refuse to comply with the request unless the BUYER assumes the responsibility for the price and schedule impacts and for possible technical deficiencies, if any, compared with the BUILDER nominated supplier. The BUILDER assumes the responsibility for the price and schedule impacts and, subject to ARTICLE IX, for possible technical deficiencies for the BUILDER nominated supplier.</w:t>
      </w:r>
    </w:p>
    <w:p>
      <w:pPr>
        <w:spacing w:after="0" w:line="19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VESSEL shall be registered by the BUYER at its own cost and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CONTRACT PRICE AND TERMS OF PAYMENT</w:t>
      </w:r>
    </w:p>
    <w:p>
      <w:pPr>
        <w:spacing w:after="0" w:line="229" w:lineRule="exact"/>
        <w:rPr>
          <w:sz w:val="20"/>
          <w:szCs w:val="20"/>
          <w:color w:val="auto"/>
        </w:rPr>
      </w:pPr>
    </w:p>
    <w:p>
      <w:pPr>
        <w:ind w:left="660" w:hanging="652"/>
        <w:spacing w:after="0"/>
        <w:tabs>
          <w:tab w:leader="none" w:pos="660" w:val="left"/>
        </w:tabs>
        <w:numPr>
          <w:ilvl w:val="0"/>
          <w:numId w:val="4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 Price: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the VESSEL is THREE HUNDRED TWENTY MILLION SEVEN HUNDRED FIFTY THOUSAND DOLLARS ($320,750,000) (herein called the “Original Contract Price”). The purchase price of the VESSEL is exclusive of BUYER’s Supplies as provided in Article XVIII hereof. The Original Contract Price shall be subject to upward or downward adjustment, if any, as hereinafter set forth in this Contract (herein called the “Contract Price”). The Contract Price is inclusive of all sales, use, excise taxes and customs duties paid or payable with respect to the delivery and acceptance of the VESSEL, and all federal and state income taxes payable by the</w:t>
      </w:r>
    </w:p>
    <w:p>
      <w:pPr>
        <w:spacing w:after="0" w:line="1"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BUILDER.</w:t>
      </w:r>
    </w:p>
    <w:p>
      <w:pPr>
        <w:spacing w:after="0" w:line="207"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Contract Price includes a BUYER’s allowance of up to [*] for spares including the propeller and tailshaft and other supplies to be selected by the BUYER. The BUILDER shall purchase, arrange for delivery and put these supplies on the VESSEL prior to delivery, at the BUILDER’S cost. Any unexpended amounts of this allowance shall be paid to the BUYER or offset against amounts due the BUILDER at delivery of the VESSEL. For the avoidance of doubt, the BUYER is responsible for the cost of spares in excess of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32" w:name="page333"/>
    <w:bookmarkEnd w:id="332"/>
    <w:p>
      <w:pPr>
        <w:ind w:left="652" w:hanging="652"/>
        <w:spacing w:after="0"/>
        <w:tabs>
          <w:tab w:leader="none" w:pos="652" w:val="left"/>
        </w:tabs>
        <w:numPr>
          <w:ilvl w:val="0"/>
          <w:numId w:val="4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7" w:lineRule="auto"/>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pay the Contract Price to the BUILDER in: (i) a series of Milestone Payments throughout the construction period as provided in Paragraph 2(b) of this ARTICLE II; (ii) a Delivery Payment as provided in Paragraph 2(c) of this ARTICLE II; and (iii) a Guarantee Payment as provided in Paragraph 2(d) of this</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Payments shall be calculated as set forth in Exhibit 1. The first Milestone Payment shall be made concurrent with execution of this Contract and the Milestone Payment for Delivery shall be made concurrent with delivery of the VESSEL as provided in subparagraph (c) below. Each other Milestone Payment shall be made within fifteen (15) Business Days after the BUYER’s receipt of an invoice for such Milestone Payment from the BUILDER. The BUILDER’s invoice for each Milestone Payment shall be accompanied by the Certificate executed by an officer of the BUILDER and the BUYER certifying as to completion of the applicable milestone and including a no lien’s representation, in the forms set forth in Exhibits 2 and 7, supported by such other documentation as reasonably may be required by the BUYER. If there shall be any dispute as to the amount payable, then the BUYER shall deposit the disputed amount into escrow in accordance with subparagraph 2(c) of Article VII.</w:t>
      </w:r>
    </w:p>
    <w:p>
      <w:pPr>
        <w:spacing w:after="0" w:line="205" w:lineRule="exact"/>
        <w:rPr>
          <w:rFonts w:ascii="Times New Roman" w:cs="Times New Roman" w:eastAsia="Times New Roman" w:hAnsi="Times New Roman"/>
          <w:sz w:val="20"/>
          <w:szCs w:val="20"/>
          <w:color w:val="auto"/>
        </w:rPr>
      </w:pPr>
    </w:p>
    <w:p>
      <w:pPr>
        <w:jc w:val="both"/>
        <w:ind w:left="972" w:hanging="324"/>
        <w:spacing w:after="0" w:line="263" w:lineRule="auto"/>
        <w:tabs>
          <w:tab w:leader="none" w:pos="972" w:val="left"/>
        </w:tabs>
        <w:numPr>
          <w:ilvl w:val="1"/>
          <w:numId w:val="4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Delivery Payment in the amount set forth in Exhibit 1 shall be paid at delivery of the VESSEL, subject to (i) deferral of payment of the amounts stated in the Delivery Certificate agreed to be withheld under the provisions of ARTICLE VII, Paragraph 2, and (ii) less the amount of liquidated damages, if any, at the time of delivery claimed by the BUYER pursuant to ARTICLE III. If there shall be any dispute as to the amount payable, then the BUYER shall deposit the disputed amount into escrow in accordance with subparagraph 2(c) of Article VII.</w:t>
      </w:r>
    </w:p>
    <w:p>
      <w:pPr>
        <w:spacing w:after="0" w:line="179" w:lineRule="exact"/>
        <w:rPr>
          <w:rFonts w:ascii="Times New Roman" w:cs="Times New Roman" w:eastAsia="Times New Roman" w:hAnsi="Times New Roman"/>
          <w:sz w:val="19"/>
          <w:szCs w:val="19"/>
          <w:color w:val="auto"/>
        </w:rPr>
      </w:pPr>
    </w:p>
    <w:p>
      <w:pPr>
        <w:jc w:val="both"/>
        <w:ind w:left="972" w:hanging="324"/>
        <w:spacing w:after="0" w:line="249" w:lineRule="auto"/>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Payment in the amount set forth in Exhibit 1, less the amount of liquidated damages, if any, agreed to be withheld pursuant to ARTICLE III, shall be deposited by the BUYER at the delivery of the VESSEL into escrow subject to the Escrow Instructions in the form of Exhibit 3 (the “Escrow Instructions”) and shall be paid to BUILDER as and when provided under subparagraph 5(f) of ARTICLE IX.</w:t>
      </w:r>
    </w:p>
    <w:p>
      <w:pPr>
        <w:spacing w:after="0" w:line="193"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be entitled to withhold from any payment any liquidated damages that are payable under</w:t>
      </w:r>
    </w:p>
    <w:p>
      <w:pPr>
        <w:spacing w:after="0" w:line="21" w:lineRule="exact"/>
        <w:rPr>
          <w:rFonts w:ascii="Times New Roman" w:cs="Times New Roman" w:eastAsia="Times New Roman" w:hAnsi="Times New Roman"/>
          <w:sz w:val="20"/>
          <w:szCs w:val="20"/>
          <w:color w:val="auto"/>
        </w:rPr>
      </w:pP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III.</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payments shall be made by the BUYER to the BUILDER except upon invoices submitted in the form set forth in Exhibit 4 executed and certified by the BUILDER in such manner as the BUYER may reasonably prescribe. Except for the first Milestone Payment, all payments shall be supported by the certificate as provided in Paragraph 2(d) or 2(e) of ARTICLE XVI, and in the case of Milestone Payments, by the Certificate and any additional information required by Paragraph 2(b) of this ARTICLE II.</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or decrease in the Contract Price resulting from a Contract Change under ARTICLE V shall be deemed a part of the Contract Price for the purpose of determining the payments under this ARTICLE II. Timing of payments or credits for a Contract Change will be mutually agreed as part of the Contract Change under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333" w:name="page334"/>
    <w:bookmarkEnd w:id="333"/>
    <w:p>
      <w:pPr>
        <w:ind w:left="660" w:hanging="652"/>
        <w:spacing w:after="0"/>
        <w:tabs>
          <w:tab w:leader="none" w:pos="660" w:val="left"/>
        </w:tabs>
        <w:numPr>
          <w:ilvl w:val="0"/>
          <w:numId w:val="4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remit the amount of each of the payments required by Paragraph 2 of this Article II by wire transfer in accordance with wire instructions provided by the BUILDER to the BUYER.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for Increase or Decrease in Steel Cost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Contract Price shall be subject to adjustment to reflect any increase or decrease in the cost of steel (inclusive of plates and profiles), determined in accordance with this Paragraph 4. The steel cost adjustment shall be computed using the following formula:</w:t>
      </w:r>
    </w:p>
    <w:p>
      <w:pPr>
        <w:spacing w:after="0" w:line="187" w:lineRule="exact"/>
        <w:rPr>
          <w:rFonts w:ascii="Times New Roman" w:cs="Times New Roman" w:eastAsia="Times New Roman" w:hAnsi="Times New Roman"/>
          <w:sz w:val="20"/>
          <w:szCs w:val="20"/>
          <w:b w:val="1"/>
          <w:bCs w:val="1"/>
          <w:color w:val="auto"/>
        </w:rPr>
      </w:pPr>
    </w:p>
    <w:p>
      <w:pPr>
        <w:ind w:left="660" w:right="5300"/>
        <w:spacing w:after="0" w:line="47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 ((Actual Steel Price / Base Steel Price) – 1) For purposes of this calculation:</w:t>
      </w: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“Actual Steel Price” means the weighted average of the monthly values of the Index published for the months during which the BUILDER actually orders each amount of steel for the VESSEL. The Actual Steel Price shall be expressed as value/short ton.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“Base Steel Price” means $[*]/short ton ($[*]/metric ton).</w:t>
      </w:r>
    </w:p>
    <w:p>
      <w:pPr>
        <w:spacing w:after="0" w:line="229"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“Index” means the CRU Plate Index for A36 Plate as published by the CRU / The Independent Authority™ (CRU) in London, England.</w:t>
      </w:r>
    </w:p>
    <w:p>
      <w:pPr>
        <w:spacing w:after="0" w:line="17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Upon delivery of the VESSEL, the BUILDER shall compute the steel cost adjustment to the Contract Price pursuant to this Paragraph 4. If a positive adjustment results, the BUILDER shall invoice the BUYER and the BUYER shall pay such amount at delivery of the VESSEL. If a negative adjustment results, the BUILDER shall credit such amount against the delivery payment for the VESSEL.</w:t>
      </w:r>
    </w:p>
    <w:p>
      <w:pPr>
        <w:spacing w:after="0" w:line="193"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An example of the steel cost adjustment is attached hereto as Exhibit 5 and is incorporated herein and made part of this Contract.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LIQUIDATED DAMAGES AND TERMINATION RIGHTS</w:t>
      </w:r>
    </w:p>
    <w:p>
      <w:pPr>
        <w:spacing w:after="0" w:line="23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The Contract Price shall be subject to adjustment, as hereinafter set forth, in the event of the following contingencies (it being understood by both parties that any reduction of the Contract Price is by way of liquidated damages and not by way of penalty). The BUYER shall be entitled to offset or recoup from payments of the Contract Price as provided in Article II liquidated damages, or to exercise the below rights, upon the occurrence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34" w:name="page335"/>
    <w:bookmarkEnd w:id="334"/>
    <w:p>
      <w:pPr>
        <w:ind w:left="652" w:hanging="652"/>
        <w:spacing w:after="0"/>
        <w:tabs>
          <w:tab w:leader="none" w:pos="652"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pay liquidated damages for the first [*] days of delay of the delivery of the VESSEL beyond the Delivery Date as defined in Article VII hereof (ending at twelve o’clock midnight of the [*] day of delay) (the “Grace Period”). If the last day of the Grace Period does not fall on a Business Day, then the Grace Period shall be extended to the immediately following Business Day. “Business Day” means a day (other than a Saturday or Sunday) on which banks are open for general business in New York, NY.</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1" w:lineRule="auto"/>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if the delay in delivery of the VESSEL should continue for a period in excess of the Grace Period, then in such event, the BUILDER shall be responsible to the BUYER for payment of liquidated damages in the amount of [*] per day for each day that the delivery of the VESSEL is delayed beyond the end of the Grace Period. The total amount of liquidated damages shall not, however, exceed the amount that would be payable in the case of a delay of [*] days beyond the end of the Grace Period. If the delay in delivery of the VESSEL should continue for a period in excess of [*] days beyond the end of the Grace Period, then BUYER may at its option terminate this Contract in accordance with the provisions of Article X hereof. The BUILDER may, at any time after the expiration of the aforementioned [*] days of delay in delivery beyond the end of the Grace Period, if the BUYER has not served notice of termination as provided in Article X hereof, demand in writing that the BUYER shall make an election, in which case the BUYER shall, within fifteen (15) days after such demand is received by the BUYER, notify the BUILDER of its intention either to terminate this Contract or to consent to the acceptance of the VESSEL at an agreed future date; it being understood by the parties hereto that, if the VESSEL is not delivered by such future date, the BUYER shall have the same right of termination upon the same terms and conditions as hereinabove provided. For clarity, the BUILDER shall not be responsible for, and the BUYER shall not be entitled to receive, liquidated damages for any day of delay of delivery of the VESSEL on account of Permissible Delay as defined in Article VII, Paragraph 1(b).</w:t>
      </w:r>
    </w:p>
    <w:p>
      <w:pPr>
        <w:spacing w:after="0" w:line="202"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Speed</w:t>
      </w:r>
    </w:p>
    <w:p>
      <w:pPr>
        <w:spacing w:after="0" w:line="233" w:lineRule="exact"/>
        <w:rPr>
          <w:rFonts w:ascii="Times New Roman" w:cs="Times New Roman" w:eastAsia="Times New Roman" w:hAnsi="Times New Roman"/>
          <w:sz w:val="20"/>
          <w:szCs w:val="20"/>
          <w:b w:val="1"/>
          <w:bCs w:val="1"/>
          <w:color w:val="auto"/>
        </w:rPr>
      </w:pPr>
    </w:p>
    <w:p>
      <w:pPr>
        <w:ind w:left="972" w:hanging="324"/>
        <w:spacing w:after="0"/>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Speed is set forth in Article 1.</w:t>
      </w:r>
    </w:p>
    <w:p>
      <w:pPr>
        <w:spacing w:after="0" w:line="175" w:lineRule="exact"/>
        <w:rPr>
          <w:rFonts w:ascii="Times New Roman" w:cs="Times New Roman" w:eastAsia="Times New Roman" w:hAnsi="Times New Roman"/>
          <w:sz w:val="20"/>
          <w:szCs w:val="20"/>
          <w:color w:val="auto"/>
        </w:rPr>
      </w:pPr>
    </w:p>
    <w:p>
      <w:pPr>
        <w:jc w:val="both"/>
        <w:ind w:left="972" w:hanging="324"/>
        <w:spacing w:after="0" w:line="254" w:lineRule="auto"/>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speed of the VESSEL being less than the Guaranteed Speed minus 0.2 knots. However commencing with and including a deficiency of 0.2 knots below the Guaranteed Speed, liquidated damages shall be payable as set forth below:</w:t>
      </w:r>
    </w:p>
    <w:p>
      <w:pPr>
        <w:spacing w:after="0" w:line="133" w:lineRule="exact"/>
        <w:rPr>
          <w:rFonts w:ascii="Times New Roman" w:cs="Times New Roman" w:eastAsia="Times New Roman" w:hAnsi="Times New Roman"/>
          <w:sz w:val="20"/>
          <w:szCs w:val="20"/>
          <w:color w:val="auto"/>
        </w:rPr>
      </w:pPr>
    </w:p>
    <w:p>
      <w:pPr>
        <w:ind w:left="1612" w:hanging="316"/>
        <w:spacing w:after="0"/>
        <w:tabs>
          <w:tab w:leader="none" w:pos="1612" w:val="left"/>
        </w:tabs>
        <w:numPr>
          <w:ilvl w:val="2"/>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0.2 up to and including 0.5 knots below at $[*] per 0.1 knot below, and</w:t>
      </w:r>
    </w:p>
    <w:p>
      <w:pPr>
        <w:spacing w:after="0" w:line="175" w:lineRule="exact"/>
        <w:rPr>
          <w:rFonts w:ascii="Times New Roman" w:cs="Times New Roman" w:eastAsia="Times New Roman" w:hAnsi="Times New Roman"/>
          <w:sz w:val="20"/>
          <w:szCs w:val="20"/>
          <w:color w:val="auto"/>
        </w:rPr>
      </w:pPr>
    </w:p>
    <w:p>
      <w:pPr>
        <w:ind w:left="1612" w:hanging="316"/>
        <w:spacing w:after="0"/>
        <w:tabs>
          <w:tab w:leader="none" w:pos="1612" w:val="left"/>
        </w:tabs>
        <w:numPr>
          <w:ilvl w:val="2"/>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0.6 up to and including 1 knots below at $[*] per 0.1 knot below.</w:t>
      </w:r>
    </w:p>
    <w:p>
      <w:pPr>
        <w:spacing w:after="0" w:line="175"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deficiency in the Vessel Speed is more than 1 knot, the BUYER shall have the option of a total of $[*] deduction; or a right to reject the VESSEL and terminate this Contract.</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Excessive Fuel Consumption of the Main Engine</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Fuel Consumptions of the Main Engine for Ultra Low Sulfur MGO and LNG are set forth in Article I. The actual fuel consumptions of the main engine shall be determined by separate shop trials of the model of the VESSEL main engine on the test stand at the manufacturer’s Factory Authorized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335" w:name="page336"/>
    <w:bookmarkEnd w:id="335"/>
    <w:p>
      <w:pPr>
        <w:jc w:val="both"/>
        <w:ind w:left="972" w:hanging="324"/>
        <w:spacing w:after="0" w:line="249" w:lineRule="auto"/>
        <w:tabs>
          <w:tab w:leader="none" w:pos="972"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Price shall not be affected or changed by reason of the fuel consumption of the main engine being more than the Guaranteed Fuel Consumption of the Main Engine up to [*]% over of the Guarantee for Ultra Low Sulfur MGO and LNG. However liquidated damages will be assessed for consumption in excess of the guarantee as follows:</w:t>
      </w:r>
    </w:p>
    <w:p>
      <w:pPr>
        <w:spacing w:after="0" w:line="193"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 for each full gram/kWh above the [*]% tolerance;</w:t>
      </w:r>
    </w:p>
    <w:p>
      <w:pPr>
        <w:spacing w:after="0" w:line="175"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3 below, the total amount payable shall not exceed [*]; and</w:t>
      </w:r>
    </w:p>
    <w:p>
      <w:pPr>
        <w:spacing w:after="0" w:line="175" w:lineRule="exact"/>
        <w:rPr>
          <w:rFonts w:ascii="Times New Roman" w:cs="Times New Roman" w:eastAsia="Times New Roman" w:hAnsi="Times New Roman"/>
          <w:sz w:val="20"/>
          <w:szCs w:val="20"/>
          <w:color w:val="auto"/>
        </w:rPr>
      </w:pPr>
    </w:p>
    <w:p>
      <w:pPr>
        <w:ind w:left="1292" w:hanging="320"/>
        <w:spacing w:after="0" w:line="269" w:lineRule="auto"/>
        <w:tabs>
          <w:tab w:leader="none" w:pos="1292" w:val="left"/>
        </w:tabs>
        <w:numPr>
          <w:ilvl w:val="2"/>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all efforts and remedies, the Main Engine fuel consumption is more than [*]% above the Guaranteed Fuel Consumption, the liquidated damages will be [*].</w:t>
      </w:r>
    </w:p>
    <w:p>
      <w:pPr>
        <w:spacing w:after="0" w:line="16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Insufficient Loadable Container Capacities</w:t>
      </w:r>
    </w:p>
    <w:p>
      <w:pPr>
        <w:spacing w:after="0" w:line="233" w:lineRule="exact"/>
        <w:rPr>
          <w:rFonts w:ascii="Times New Roman" w:cs="Times New Roman" w:eastAsia="Times New Roman" w:hAnsi="Times New Roman"/>
          <w:sz w:val="20"/>
          <w:szCs w:val="20"/>
          <w:b w:val="1"/>
          <w:bCs w:val="1"/>
          <w:color w:val="auto"/>
        </w:rPr>
      </w:pPr>
    </w:p>
    <w:p>
      <w:pPr>
        <w:jc w:val="right"/>
        <w:ind w:left="1052" w:hanging="404"/>
        <w:spacing w:after="0" w:line="250" w:lineRule="auto"/>
        <w:tabs>
          <w:tab w:leader="none" w:pos="968" w:val="left"/>
        </w:tabs>
        <w:numPr>
          <w:ilvl w:val="1"/>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Loadable Container Capacities of the VESSEL are set forth in Article 1 and the Specification. The Guaranteed Loadable Container Capacity shall be confirmed by the Class approved Trim &amp; Stability</w:t>
      </w:r>
    </w:p>
    <w:p>
      <w:pPr>
        <w:spacing w:after="0" w:line="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20"/>
          <w:szCs w:val="20"/>
          <w:color w:val="auto"/>
        </w:rPr>
        <w:t>Booklet.</w:t>
      </w:r>
    </w:p>
    <w:p>
      <w:pPr>
        <w:spacing w:after="0" w:line="207" w:lineRule="exact"/>
        <w:rPr>
          <w:sz w:val="20"/>
          <w:szCs w:val="20"/>
          <w:color w:val="auto"/>
        </w:rPr>
      </w:pPr>
    </w:p>
    <w:p>
      <w:pPr>
        <w:jc w:val="both"/>
        <w:ind w:left="972" w:hanging="324"/>
        <w:spacing w:after="0" w:line="246" w:lineRule="auto"/>
        <w:tabs>
          <w:tab w:leader="none" w:pos="972"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loadable container capacity of the VESSEL of TEUs consisting of hi-cube containers at a homogeneous weight of [*] MT per TEU at a draft of [*] m as determined by the Cargomax load program software utilizing the input data defined by the BUILDER is less than the Guaranteed Loadable Container Capacity, the BUYER shall have the option to: (i) obtain payment of liquidated damages at $[*] for each hi-cube TEU lost or (ii) reject the VESSEL and terminate this Contract.</w:t>
      </w:r>
    </w:p>
    <w:p>
      <w:pPr>
        <w:spacing w:after="0" w:line="194"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Termination and Offset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652"/>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Article III, it is expressly understood and agreed by the parties hereto that: (a) if the BUYER terminates this Contract under this Article III, the BUYER shall not be entitled to any liquidated damages and in the event that any liquidated damages have been paid to the BUYER, the paid amount shall be deducted from the sums stipulated in Article X, Paragraph 1.f which otherwise would be payable to the BUYER; and (b) if BUYER does not terminate this Contract under this Article III, any amount of liquidated damages payable under this Article III may be offset from all payments due on the Contract Price. In the event the BUYER elects to reject the VESSEL and terminate this Contract, the BUYER shall be entitled to elect any of the remedies provided in Article X.</w:t>
      </w:r>
    </w:p>
    <w:p>
      <w:pPr>
        <w:spacing w:after="0" w:line="199" w:lineRule="exact"/>
        <w:rPr>
          <w:sz w:val="20"/>
          <w:szCs w:val="20"/>
          <w:color w:val="auto"/>
        </w:rPr>
      </w:pPr>
    </w:p>
    <w:p>
      <w:pPr>
        <w:jc w:val="center"/>
        <w:ind w:left="1000" w:right="200"/>
        <w:spacing w:after="0" w:line="273" w:lineRule="auto"/>
        <w:rPr>
          <w:sz w:val="20"/>
          <w:szCs w:val="20"/>
          <w:color w:val="auto"/>
        </w:rPr>
      </w:pPr>
      <w:r>
        <w:rPr>
          <w:rFonts w:ascii="Times New Roman" w:cs="Times New Roman" w:eastAsia="Times New Roman" w:hAnsi="Times New Roman"/>
          <w:sz w:val="20"/>
          <w:szCs w:val="20"/>
          <w:b w:val="1"/>
          <w:bCs w:val="1"/>
          <w:color w:val="auto"/>
        </w:rPr>
        <w:t>ARTICLE IV – WORK, SUPERVISION AND INSPECTION AND APPROVAL OF PLANS AND DRAWINGS, REPORTING</w:t>
      </w:r>
    </w:p>
    <w:p>
      <w:pPr>
        <w:spacing w:after="0" w:line="165" w:lineRule="exact"/>
        <w:rPr>
          <w:sz w:val="20"/>
          <w:szCs w:val="20"/>
          <w:color w:val="auto"/>
        </w:rPr>
      </w:pPr>
    </w:p>
    <w:p>
      <w:pPr>
        <w:ind w:left="652" w:hanging="652"/>
        <w:spacing w:after="0"/>
        <w:tabs>
          <w:tab w:leader="none" w:pos="652" w:val="left"/>
        </w:tabs>
        <w:numPr>
          <w:ilvl w:val="0"/>
          <w:numId w:val="4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Work and Material</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VESSEL shall be constructed in a good, sound and workmanlike manner, in accordance with the U.S. and international shipbuilding and marine engineering standards and practices defined in the Specification (including, without limitation, those of ISO9001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36" w:name="page337"/>
    <w:bookmarkEnd w:id="336"/>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and ISO9002). All materials incorporated in the VESSEL shall be new, suitable, and of good commercial marine quality for the service intended.</w:t>
      </w:r>
    </w:p>
    <w:p>
      <w:pPr>
        <w:spacing w:after="0" w:line="169" w:lineRule="exact"/>
        <w:rPr>
          <w:sz w:val="20"/>
          <w:szCs w:val="20"/>
          <w:color w:val="auto"/>
        </w:rPr>
      </w:pPr>
    </w:p>
    <w:p>
      <w:pPr>
        <w:ind w:left="660" w:hanging="652"/>
        <w:spacing w:after="0"/>
        <w:tabs>
          <w:tab w:leader="none" w:pos="660" w:val="left"/>
        </w:tabs>
        <w:numPr>
          <w:ilvl w:val="0"/>
          <w:numId w:val="4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of Plans and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thirty (30) days after the date hereof, the parties hereto shall mutually agree upon a list of the plans and drawings for the VESSEL to be submitted to the BUYER and the submittal schedule therefor. The BUILDER shall submit electronic copies of such plans and drawings in English to the BUYER and the BUYER shall have fourteen (14) days to review and approve, disapprove or comment. The BUYER shall, within such 14-day period, return to the BUILDER electronic copies of such plans and drawings with the BUYER’s approval, disapproval or comments, if any. In the event that the BUYER shall fail to return such plans and drawings to the BUILDER within such 14-day period, such plans and drawings shall be deemed to have been automatically approved without any comment. Any disapproval by the BUYER shall include the reasons for the disapproval and shall be a result of nonconformance with the Specification or good shipbuilding practice (as described in Article IV, Paragraph 1). Any request by the BUYER for changes to any of these plans and drawings not in accordance with the Specification or good commercial shipbuilding practice, except those required by regulatory bodies, shall be handled as a request for change to the Specification in accordance with Paragraph 1, Article V. Any plans which subsequent to the BUYER’s approval require alteration shall be resubmitted to the BUYER for approval of the alteration and its impact. The BUILDER shall respond to the BUYER’s comments or disapproval within fourteen (14) days of receipt. In the event that the BUILDER shall fail to respond to the BUYER’s comments within such 14-day period, such comments shall be deemed to have been accepted.</w:t>
      </w:r>
    </w:p>
    <w:p>
      <w:pPr>
        <w:spacing w:after="0" w:line="202"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Buyer’s Representative and Builder’s Representative: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appoint, at its cost, two representatives who shall be duly authorized in writing by the BUYER (herein called the “Buyer’s Representative(s)”) to act on behalf of the BUYER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BUYER. In case the Buyer’s Representative is not stationed at the Shipyard, the BUYER shall give clear instructions to the BUILDER regarding the authority of other personnel representing the BUYER at the Shipyard.</w:t>
      </w:r>
    </w:p>
    <w:p>
      <w:pPr>
        <w:spacing w:after="0" w:line="199" w:lineRule="exact"/>
        <w:rPr>
          <w:rFonts w:ascii="Times New Roman" w:cs="Times New Roman" w:eastAsia="Times New Roman" w:hAnsi="Times New Roman"/>
          <w:sz w:val="20"/>
          <w:szCs w:val="20"/>
          <w:b w:val="1"/>
          <w:bCs w:val="1"/>
          <w:color w:val="auto"/>
        </w:rPr>
      </w:pPr>
    </w:p>
    <w:p>
      <w:pPr>
        <w:jc w:val="both"/>
        <w:ind w:left="6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BUILDER shall appoint one representative who shall be duly authorized in writing by the BUILDER (herein called “Builder’s Representative”) to act on behalf of the BUILDER in connection with changes of the Specification, approval of Change Orders, approval of the plans and drawings, attendance at the tests and inspections relating to the VESSEL, its machinery, equipment, and outfitting and any other matters for which he is specifically authorized by the BUILDER. The BUYER has the right to request the BUILDER to replace the Builder’s Representative and/or his assistants who may be deemed unsuitable and unsatisfactory for the proper progress of the VESSEL’s construction. The BUILDER shall investigate the situation and if the BUILDER considers that such BUYER’s request is justified, the BUILDER shall effect such replacement as soon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37" w:name="page338"/>
    <w:bookmarkEnd w:id="337"/>
    <w:p>
      <w:pPr>
        <w:ind w:left="652" w:hanging="652"/>
        <w:spacing w:after="0"/>
        <w:tabs>
          <w:tab w:leader="none" w:pos="652" w:val="left"/>
        </w:tabs>
        <w:numPr>
          <w:ilvl w:val="0"/>
          <w:numId w:val="4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Supervision and Inspection:</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4" w:lineRule="auto"/>
        <w:tabs>
          <w:tab w:leader="none" w:pos="972"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necessary inspections of the VESSEL, its machinery, equipment and outfittings shall be carried out by the Buyer’s Representative, Classification Society, other regulatory bodies and/or an inspection team of the BUILDER throughout the entire period of construction, in order to ensure that the construction of the VESSEL is duly performed in accordance with this Contract. The BUILDER shall assign quality assurance personnel, who are independent of all production, scheduling, and marketing departments to inspect the work and materials to insure that the Contract requirements are met. The BUILDER will employ OEM representatives to supervise the installation of third party equipment as identified on the Makers List.</w:t>
      </w:r>
    </w:p>
    <w:p>
      <w:pPr>
        <w:spacing w:after="0" w:line="199"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and his assistants shall have, during the construction of the VESSEL, the right to attend all tests, trials and inspections of the VESSEL and its materials. The BUILDER shall give notice to the Buyer’s Representative reasonably in advance of the date (which in general shall be given no later than 1400 (2:00pm ET) on the prior Business Day), place and time of such tests, trials and inspections to be attended by him for his convenience. For weekend, or BUILDER holiday inspections, the schedule will be provided by noon on Friday for weekend inspections, or, for holidays, the Business Day preceding the holiday. The BUILDER shall furnish the BUYER an electronic copy of test procedures, related drawings and technical data required to carry out the inspection prior to the test or inspection in English. Failure of the Buyer’s Representative and/or his assistants to be present at such tests, trials and inspections after due notice to him as above provided shall be deemed a waiver of his right to be present. The BUILDER shall exercise reasonable efforts to schedule tests and, inspections between the hours of 7am and 6pm on Business Days. Final results shall be furnished to the BUYER for all tests, trials and inspections.</w:t>
      </w:r>
    </w:p>
    <w:p>
      <w:pPr>
        <w:spacing w:after="0" w:line="200" w:lineRule="exact"/>
        <w:rPr>
          <w:rFonts w:ascii="Times New Roman" w:cs="Times New Roman" w:eastAsia="Times New Roman" w:hAnsi="Times New Roman"/>
          <w:sz w:val="20"/>
          <w:szCs w:val="20"/>
          <w:color w:val="auto"/>
        </w:rPr>
      </w:pPr>
    </w:p>
    <w:p>
      <w:pPr>
        <w:jc w:val="both"/>
        <w:ind w:left="972" w:hanging="324"/>
        <w:spacing w:after="0" w:line="243" w:lineRule="auto"/>
        <w:tabs>
          <w:tab w:leader="none" w:pos="972"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help to determine that the VESSEL is being constructed in accordance with the terms of this Contract and the Specification, the Buyer’s Representative and his assistants shall, at all times until delivery and acceptance of the VESSEL, have the right to inspect the VESSEL, her engines and all accessories and all work in progress, or material utilized in connection with or intended for the construction of the VESSEL, wherever such work is being done, or such material is stored, including the yards, workshops, stores and offices of the BUILDER and the BUILDER’s contractors and subcontractors. The BUILDER shall arrange with its contractors and subcontractors that the Buyer’s Representative and his assistants have a similar right of inspection and supervision with respect to the work performed by the contractors and subcontractors.</w:t>
      </w:r>
    </w:p>
    <w:p>
      <w:pPr>
        <w:spacing w:after="0" w:line="202" w:lineRule="exact"/>
        <w:rPr>
          <w:rFonts w:ascii="Times New Roman" w:cs="Times New Roman" w:eastAsia="Times New Roman" w:hAnsi="Times New Roman"/>
          <w:sz w:val="20"/>
          <w:szCs w:val="20"/>
          <w:color w:val="auto"/>
        </w:rPr>
      </w:pPr>
    </w:p>
    <w:p>
      <w:pPr>
        <w:jc w:val="both"/>
        <w:ind w:left="972" w:right="20" w:hanging="324"/>
        <w:spacing w:after="0" w:line="254" w:lineRule="auto"/>
        <w:tabs>
          <w:tab w:leader="none" w:pos="972"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requiring approval from the Classification Society or U.S. Coast Guard, such inspections shall, to the extent possible, be carried out as a joint inspection by the Buyer’s Representative and the representative of the Classification Society or U.S. Coast Guard,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338" w:name="page339"/>
    <w:bookmarkEnd w:id="338"/>
    <w:p>
      <w:pPr>
        <w:jc w:val="both"/>
        <w:ind w:left="1292" w:hanging="644"/>
        <w:spacing w:after="0" w:line="254" w:lineRule="auto"/>
        <w:tabs>
          <w:tab w:leader="none" w:pos="1292"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Buyer’s Representative shall, on behalf of the BUYER, make decisions or give advice or suggestions to the BUILDER on all problems arising during the course of or in connection with the construction of the VESSEL with a view to co-operating to the utmost with the BUILDER in the construction process.</w:t>
      </w:r>
    </w:p>
    <w:p>
      <w:pPr>
        <w:spacing w:after="0" w:line="187" w:lineRule="exact"/>
        <w:rPr>
          <w:rFonts w:ascii="Times New Roman" w:cs="Times New Roman" w:eastAsia="Times New Roman" w:hAnsi="Times New Roman"/>
          <w:sz w:val="20"/>
          <w:szCs w:val="20"/>
          <w:color w:val="auto"/>
        </w:rPr>
      </w:pPr>
    </w:p>
    <w:p>
      <w:pPr>
        <w:jc w:val="both"/>
        <w:ind w:left="1292" w:hanging="644"/>
        <w:spacing w:after="0" w:line="245" w:lineRule="auto"/>
        <w:tabs>
          <w:tab w:leader="none" w:pos="1292"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Buyer’s Representative discovers any materials, construction or workmanship that is not deemed to conform to the requirements of this Contract, the Buyer’s Representative shall promptly give the Builder’s Representative a notice in writing as to such non-conformity. Upon receipt of such notice from the Buyer’s Representative, the BUILDER shall correct such non-conformity, if the BUILDER agrees to his view. In the event of difference of opinion between the parties hereto, the BUILDER or the BUYER may request resolution of the matter in accordance with the provisions of Article XIV hereof.</w:t>
      </w:r>
    </w:p>
    <w:p>
      <w:pPr>
        <w:spacing w:after="0" w:line="197"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acceptance or approval of the BUYER or the Buyer’s Representative or exercise of BUYER’s rights hereunder shall in no way alter or diminish the BUILDER’s obligations under this Contract or its obligation to comply with regulatory body requirements.</w:t>
      </w:r>
    </w:p>
    <w:p>
      <w:pPr>
        <w:spacing w:after="0" w:line="18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BUILDER:</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furnish the Buyer’s Representatives and his assistants with suitably lighted, heated and air conditioned office accommodations and conference facilities for up to ten (10) persons and more particularly as follows:</w:t>
      </w:r>
    </w:p>
    <w:p>
      <w:pPr>
        <w:spacing w:after="0" w:line="187"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Offices for ten on-site representatives complete with air conditioning and heat and furniture.</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dedicated parking spaces proximate to the location of offices.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Lavatory facilities.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individual offices, the remainder of desk locations may be arranged using dividers.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internet connections.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telephone lines and telephones. Long distance charges to be billed to the BUYER.</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desks, chairs, waste baskets, etc.</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Fax machine with dedicated phone line.</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Copier able to copy and scan in color, two sided and collate paper sizes of letter, legal and 11x17.</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dispenser with water refill service.</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 table.</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four drawer legal size file cabinets.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Conference Table (8 person) with chairs.</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Microwave.</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Refrigerator with freezer – 15+ cubic ft.</w:t>
      </w:r>
    </w:p>
    <w:p>
      <w:pPr>
        <w:spacing w:after="0" w:line="148" w:lineRule="exact"/>
        <w:rPr>
          <w:rFonts w:ascii="Times New Roman" w:cs="Times New Roman" w:eastAsia="Times New Roman" w:hAnsi="Times New Roman"/>
          <w:sz w:val="20"/>
          <w:szCs w:val="20"/>
          <w:color w:val="auto"/>
        </w:rPr>
      </w:pPr>
    </w:p>
    <w:p>
      <w:pPr>
        <w:ind w:left="1952" w:hanging="656"/>
        <w:spacing w:after="0"/>
        <w:tabs>
          <w:tab w:leader="none" w:pos="1952" w:val="left"/>
        </w:tabs>
        <w:numPr>
          <w:ilvl w:val="2"/>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room with lockers, shower and cleaning services.</w:t>
      </w:r>
    </w:p>
    <w:p>
      <w:pPr>
        <w:spacing w:after="0" w:line="17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BUILDER: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the BUYER’S subcontractors, employees and agents, shall at all times be deemed to be employees or agents of the BUYER. The BUILDER</w:t>
      </w:r>
    </w:p>
    <w:p>
      <w:pPr>
        <w:sectPr>
          <w:pgSz w:w="11900" w:h="16838" w:orient="portrait"/>
          <w:cols w:equalWidth="0" w:num="1">
            <w:col w:w="9912"/>
          </w:cols>
          <w:pgMar w:left="988"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type w:val="continuous"/>
        </w:sectPr>
      </w:pPr>
    </w:p>
    <w:bookmarkStart w:id="339" w:name="page340"/>
    <w:bookmarkEnd w:id="339"/>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shall be under no liability whatsoever for personal injuries to, or death of, such Buyer’s Representative or employees or agents of the BUYER, or for damage to, or loss or destruction of, their property, unless such injury, death, damage, loss or destruction is shown to have been caused by the gross negligence or willful acts of the BUILDER and/or its subcontractors and/or their employees or agents (including Builder’s Representative).</w:t>
      </w:r>
    </w:p>
    <w:p>
      <w:pPr>
        <w:spacing w:after="0" w:line="189" w:lineRule="exact"/>
        <w:rPr>
          <w:sz w:val="20"/>
          <w:szCs w:val="20"/>
          <w:color w:val="auto"/>
        </w:rPr>
      </w:pPr>
    </w:p>
    <w:p>
      <w:pPr>
        <w:ind w:left="660" w:hanging="652"/>
        <w:spacing w:after="0"/>
        <w:tabs>
          <w:tab w:leader="none" w:pos="660" w:val="left"/>
        </w:tabs>
        <w:numPr>
          <w:ilvl w:val="0"/>
          <w:numId w:val="4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undertake and assure that the Buyer’s Representative shall carry out his duties hereunder in accordance with the normal shipbuilding practices of the BUILDER and in such a way as to avoid any unnecessary increase in building cost, delay in or interference with the design and construction of the VESSEL, and/or any disturbance in the construction schedule of the BUILDER. The BUILDER has the right to request the BUYER to replace the Buyer’s Representative and/or his assistants who may be deemed unsuitable and unsatisfactory for the proper progress of the VESSEL’s construction. The BUYER shall investigate the situation by sending his representatives to the Shipyard if necessary, and if the BUYER considers that such BUILDER’s request is justified, the BUYER shall effect such replacement as soon as practicable.</w:t>
      </w:r>
    </w:p>
    <w:p>
      <w:pPr>
        <w:spacing w:after="0" w:line="202"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Buyer’s Representative, and BUYER’s subcontractors, employees and agents, shall comply with BUILDER’s standard security, safety, and environmental policies and procedures (including, without limitation, COVID-19 protocols) and also shall comply with all applicable federal, state, and local safety and environmental laws and regulations. BUILDER may deny access to the Shipyard to any person or entity who fails to comply with such policies, procedures, laws or regulations or has been banned from the Shipyard in the past on such basis.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employees, agents and subcontractors of the BUILDER shall at all times be deemed to be employees, agents and subcontractors of the BUILDER. The BUYER shall be under no liability whatsoever for personal injuries to, or death of, such BUILDER’s employees, agents, or subcontractors, or for damage to, or loss or destruction of, their property, unless such injury, death, damage, loss or destruction is shown to have been caused by the gross negligence or willful acts of the BUYER, and/or its subcontractors and/or their employees or agents (including Buyer’s Representative).</w:t>
      </w:r>
    </w:p>
    <w:p>
      <w:pPr>
        <w:spacing w:after="0" w:line="1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by Regulatory Bodies; BUYER’s access to Communications with Regulatory Bodies: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plans or data required by the Classification Society or other relevant regulatory bodies in connection with approval of the VESSEL shall be prepared and submitted by the BUILDER or its subcontractors and suppliers, except such data that is explicitly requested by the relevant regulatory body to be submitted by the BUYER. The BUILDER agrees to provide the BUYER with full reading and copying rights for all plan approval documents and written correspondence sent to or received from the Classification Society and other regulatory bodies and to sign the standard Classification Society authorization allowing such access. The BUILDER further agrees to copy the BUYER on all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0" w:name="page341"/>
    <w:bookmarkEnd w:id="340"/>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communications with the Classification Society and to make reasonable efforts to include the Buyer’s Representative in any in-person meetings with the Classification Society (it being understood that such meetings may proceed without the BUYER’s Representative in attendance) to the extent such communications or meetings will cover technical information (including comments originated from ABS design review). The BUILDER is not obligated to include the BUYER in communications or discussions (a) about commercial issues between the BUILDER, subcontractors and ABS, or (b) including documentation with proprietary information, unless expressly authorized by the owner of such information. The BUYER will provide a specific email address to be copied on email conversations to ease the collection burden of this requirement.</w:t>
      </w:r>
    </w:p>
    <w:p>
      <w:pPr>
        <w:spacing w:after="0" w:line="20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BUILDER, on behalf of itself and any subcontractors, shall grant oversight privileges to the BUYER and other related project team members through ABS Eagle Construct/Engineering Manager to allow the BUYER to review the design review status regarding pending and/or outstanding items and any other relevant technical information about the BUILDER and subcontractor scope.</w:t>
      </w:r>
    </w:p>
    <w:p>
      <w:pPr>
        <w:spacing w:after="0" w:line="193"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In addition, the BUILDER on behalf of itself and any subcontractors will give written permission for ABS to inform the BUYER and other related project team members, or notify directly under the BUYER’s formal request, the classification status regarding pending and/or outstanding items and any other relevant technical information about the BUILDER and subcontractor’s scope. Such permission should be emailed, faxed or mailed to ABS Account Manager, Project Manager, Attending Surveyor or Engineering office by the BUILDER on behalf of itself and any subcontractors.</w:t>
      </w:r>
    </w:p>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BUYER agrees to copy the BUILDER on all written communications with the Classification Society related to the BUILDER’s and its subcontractor’s scope and to make reasonable efforts to include the BUILDER’s Representative in any in-person meetings with the Classification Society (it being understood that such meetings may proceed without the BUILDER’s Representative in attendance).</w:t>
      </w:r>
    </w:p>
    <w:p>
      <w:pPr>
        <w:spacing w:after="0" w:line="19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addition, the BUYER shall not raise any issue or question regarding the VESSEL with ABS without first raising such issue or question with the BUILDER, and then only if the BUILDER’s response is unreasonably delayed or deemed inadequate.</w:t>
      </w:r>
    </w:p>
    <w:p>
      <w:pPr>
        <w:spacing w:after="0" w:line="184" w:lineRule="exact"/>
        <w:rPr>
          <w:sz w:val="20"/>
          <w:szCs w:val="20"/>
          <w:color w:val="auto"/>
        </w:rPr>
      </w:pPr>
    </w:p>
    <w:p>
      <w:pPr>
        <w:ind w:left="660" w:hanging="652"/>
        <w:spacing w:after="0"/>
        <w:tabs>
          <w:tab w:leader="none" w:pos="660" w:val="left"/>
        </w:tabs>
        <w:numPr>
          <w:ilvl w:val="0"/>
          <w:numId w:val="4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Master Schedule: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At the time of execution of this Contract, the BUYER shall be provided with the latest official version of the master schedule showing the main production activities for the VESSEL and the main production activities for the final outfitting, mechanical completion and testing of the VESSEL. The master schedule shall include the build strategy, master milestone schedule and key event schedule. The BUILDER shall report to the BUYER as to the purchasing schedule progress and the project progress percentage of completion on the VESSEL and tasks on a bi-weekly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1" w:name="page342"/>
    <w:bookmarkEnd w:id="341"/>
    <w:p>
      <w:pPr>
        <w:jc w:val="center"/>
        <w:spacing w:after="0"/>
        <w:rPr>
          <w:sz w:val="20"/>
          <w:szCs w:val="20"/>
          <w:color w:val="auto"/>
        </w:rPr>
      </w:pPr>
      <w:r>
        <w:rPr>
          <w:rFonts w:ascii="Times New Roman" w:cs="Times New Roman" w:eastAsia="Times New Roman" w:hAnsi="Times New Roman"/>
          <w:sz w:val="20"/>
          <w:szCs w:val="20"/>
          <w:b w:val="1"/>
          <w:bCs w:val="1"/>
          <w:color w:val="auto"/>
        </w:rPr>
        <w:t>ARTICLE V – MODIFICATIONS</w:t>
      </w:r>
    </w:p>
    <w:p>
      <w:pPr>
        <w:spacing w:after="0" w:line="229" w:lineRule="exact"/>
        <w:rPr>
          <w:sz w:val="20"/>
          <w:szCs w:val="20"/>
          <w:color w:val="auto"/>
        </w:rPr>
      </w:pPr>
    </w:p>
    <w:p>
      <w:pPr>
        <w:ind w:left="740" w:hanging="732"/>
        <w:spacing w:after="0"/>
        <w:tabs>
          <w:tab w:leader="none" w:pos="740" w:val="left"/>
        </w:tabs>
        <w:numPr>
          <w:ilvl w:val="0"/>
          <w:numId w:val="4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Modifications of Specification:</w:t>
      </w:r>
    </w:p>
    <w:p>
      <w:pPr>
        <w:spacing w:after="0" w:line="23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The Specification may only be modified and/or changed by written agreement of the parties hereto. The BUILDER and the BUYER shall first agree, in writing, before such modifications and/or changes are carried out, to alterations in the Contract Price, the Delivery Date and other terms and conditions of this Contract and Specification occasioned by or resulting from such modifications and/or changes. There shall be no cost for the BUILDER’S provision of an estimate regardless whether a proposed change is implemented.</w:t>
      </w:r>
    </w:p>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All such agreed changes shall be described on a change order in the form set forth in Exhibit 6 signed by the authorized representatives of the parties hereto manifesting agreements of the parties as to the work to be provided or deleted, and the effect on the Contract Price and the Delivery Date, which shall constitute amendments to this Contract and/or the Specification (each such change, a “Change Order”).</w:t>
      </w:r>
    </w:p>
    <w:p>
      <w:pPr>
        <w:spacing w:after="0" w:line="19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BUILDER may make minor changes to the Specification, if found necessary to suit the BUILDER’s local facilities; the availability of materials; introduction of improved production methods or otherwise, provided that the BUILDER shall obtain the BUYER’s prior written approval, which shall not be unreasonably withheld.</w:t>
      </w:r>
    </w:p>
    <w:p>
      <w:pPr>
        <w:spacing w:after="0" w:line="184" w:lineRule="exact"/>
        <w:rPr>
          <w:sz w:val="20"/>
          <w:szCs w:val="20"/>
          <w:color w:val="auto"/>
        </w:rPr>
      </w:pPr>
    </w:p>
    <w:p>
      <w:pPr>
        <w:ind w:left="660" w:hanging="652"/>
        <w:spacing w:after="0"/>
        <w:tabs>
          <w:tab w:leader="none" w:pos="660" w:val="left"/>
        </w:tabs>
        <w:numPr>
          <w:ilvl w:val="0"/>
          <w:numId w:val="4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Based on Class Requirements, etc.:</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after the date of this Contract, any requirements as to class, or as to rules and regulations to which the construction of the VESSEL is required to conform, are altered or changed by the Classification Society or the other regulatory bodies authorized to make such alterations or changes, the following provisions shall apply:</w:t>
      </w:r>
    </w:p>
    <w:p>
      <w:pPr>
        <w:spacing w:after="0" w:line="187" w:lineRule="exact"/>
        <w:rPr>
          <w:rFonts w:ascii="Times New Roman" w:cs="Times New Roman" w:eastAsia="Times New Roman" w:hAnsi="Times New Roman"/>
          <w:sz w:val="20"/>
          <w:szCs w:val="20"/>
          <w:b w:val="1"/>
          <w:bCs w:val="1"/>
          <w:color w:val="auto"/>
        </w:rPr>
      </w:pPr>
    </w:p>
    <w:p>
      <w:pPr>
        <w:jc w:val="both"/>
        <w:ind w:left="980" w:hanging="324"/>
        <w:spacing w:after="0" w:line="243" w:lineRule="auto"/>
        <w:tabs>
          <w:tab w:leader="none" w:pos="980" w:val="left"/>
        </w:tabs>
        <w:numPr>
          <w:ilvl w:val="1"/>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compulsory for the VESSEL, either of the parties hereto, upon receipt of such information from the Classification Society or such other regulatory bodies, shall promptly transmit the same to the other in writing, and the BUILDER shall thereupon incorporate such alterations or changes into the construction of the VESSEL. The BUILDER shall present to the BUYER the adjustment required by the BUILDER in the Contract Price, the Delivery Date and other terms and conditions of this Contract occasioned by the change. The adjustment shall then be agreed on as a Change Order in accordance with Paragraph 1 of this Article. If the parties cannot agree on the Change Order, then the matter shall be submitted for final decision in accordance with Article XIV hereof. In such case, work on the compulsory alteration or change shall proceed without waiting for the final decision on the Change Order.</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1"/>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alterations or changes are not compulsory for the VESSEL, but the BUYER desires to incorporate such alterations or changes into the construction of the VESSEL, then, the BUYER shall notify the BUILDER of such intention and such notice shall be treated as a request for a modification or change in accordance with Paragraph 1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42" w:name="page343"/>
    <w:bookmarkEnd w:id="342"/>
    <w:p>
      <w:pPr>
        <w:ind w:left="660" w:hanging="652"/>
        <w:spacing w:after="0"/>
        <w:tabs>
          <w:tab w:leader="none" w:pos="660" w:val="left"/>
        </w:tabs>
        <w:numPr>
          <w:ilvl w:val="0"/>
          <w:numId w:val="4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Substitution of Materials: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any of the materials required by the Specification or otherwise under this Contract for the construction of the VESSEL cannot be procured in time or are in short supply to maintain the Delivery Date of the VESSEL, or alternative materials are claimed by the BUILDER to be available which are suitable as substitutes by reason of advances in technology, the updating or improvements of, or changes in, specified materials or changes in the manufacture or production thereof; the BUILDER may, provided that the BUILDER shall obtain the BUYER’s prior written approval, which shall not be unreasonably withheld, supply other materials capable of meeting the requirements of the Classification Society and of the rules, regulations and requirements with which the construction of the VESSEL must comply. Any agreement as to such substitution of materials shall be effected in the manner provided in Paragraph 1 of this Article, and shall, likewise, include alterations in the Contract Price and other terms and conditions of this Contract occasioned by or resulting from such substitution.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 – TRIALS</w:t>
      </w:r>
    </w:p>
    <w:p>
      <w:pPr>
        <w:spacing w:after="0" w:line="229" w:lineRule="exact"/>
        <w:rPr>
          <w:sz w:val="20"/>
          <w:szCs w:val="20"/>
          <w:color w:val="auto"/>
        </w:rPr>
      </w:pPr>
    </w:p>
    <w:p>
      <w:pPr>
        <w:ind w:left="660" w:hanging="652"/>
        <w:spacing w:after="0"/>
        <w:tabs>
          <w:tab w:leader="none" w:pos="660" w:val="left"/>
        </w:tabs>
        <w:numPr>
          <w:ilvl w:val="0"/>
          <w:numId w:val="4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receive from the BUILDER at least fourteen (14) days’ prior notice in writing of the time and place of the trial run of the VESSEL, and a description of the trials to be performed, and the BUYER shall give prompt written acknowledgment of the receipt of such notice. The BUYER shall have the right to have a reasonable number (up to ten (10)) of authorized representatives, employees, inspectors and any other person reasonably designated by the BUYER present at the trial runs.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may, after due notice as described above, conduct trial runs of the VESSEL without the presence of the Buyer’s Representative or other authorized representative of the BUYER provided that the Classification Society and U.S. Coast Guard are present. In such case, the BUYER shall be obligated to accept the results of the trial runs on the basis of a certificate of the BUILDER, confirmed by the Classification Society and U.S. Coast Guard, stating the results of the runs.</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Weather Conditions: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trial run shall be carried out under weather conditions deemed favorable enough in the judgment of the BUILDER subject to approval by the BUYER. In the event of unfavorable weather on the date specified for the trial run, the same shall take place on the first available day thereafter that the weather condition permits. It is agreed that, if during the trial run of the VESSEL, the weather should suddenly become so unfavorable that orderly conduct of the trial run can no longer be continued, the trial run shall be discontinued and postponed until the first favorable day next following, unless the BUYER shall assent in writing to acceptance of the VESSEL on the basis of the trial run already made before such discontinuance has occurred.</w:t>
      </w:r>
    </w:p>
    <w:p>
      <w:pPr>
        <w:spacing w:after="0" w:line="19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delay of trial run caused by such unfavorable weather condition shall operate to postpone the Delivery Date by the period of delay involved and such delay shall be deemed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43" w:name="page344"/>
    <w:bookmarkEnd w:id="343"/>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as a Permissible Delay in the delivery of the VESSEL. Within twenty-four (24) hours from the cessation of a delay in the trial run caused by unfavorable weather, the BUILDER shall advise the BUYER in writing of the new proposed date for the trial run.</w:t>
      </w:r>
    </w:p>
    <w:p>
      <w:pPr>
        <w:spacing w:after="0" w:line="184" w:lineRule="exact"/>
        <w:rPr>
          <w:sz w:val="20"/>
          <w:szCs w:val="20"/>
          <w:color w:val="auto"/>
        </w:rPr>
      </w:pPr>
    </w:p>
    <w:p>
      <w:pPr>
        <w:ind w:left="652" w:hanging="652"/>
        <w:spacing w:after="0"/>
        <w:tabs>
          <w:tab w:leader="none" w:pos="652" w:val="left"/>
        </w:tabs>
        <w:numPr>
          <w:ilvl w:val="0"/>
          <w:numId w:val="4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Conducted:</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45" w:lineRule="auto"/>
        <w:tabs>
          <w:tab w:leader="none" w:pos="972"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expenses in connection with the trial run are to be for the account of the BUILDER and the BUILDER shall provide at its own expense the necessary crew to comply with conditions of safe navigation. The trial run shall be conducted in the manner prescribed in the Specification, and shall prove fulfillment of the performance requirements for the trial run as set forth in the Specification. The course of trial run shall be determined by the</w:t>
      </w:r>
    </w:p>
    <w:p>
      <w:pPr>
        <w:ind w:left="9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BUILDER.</w:t>
      </w:r>
    </w:p>
    <w:p>
      <w:pPr>
        <w:spacing w:after="0" w:line="20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fuel oil, LNG, lubricating oil, greases and fresh water necessary for the trial run of the VESSEL shall be supplied by the BUILDER at the Shipyard prior to the time of the trial run, and the BUYER shall pay the BUILDER upon delivery of the VESSEL (i) the cost of the quantities of fuel oil, lubricating oil, greases and fresh water not consumed during the trial run at the original purchase price, and (ii) the cost of all LNG (whether or not consumed during the trial run) at the original purchase price. In measuring the consumed quantity, lubricating oils and greases remaining in the main engine, other machinery and their pipes, stern tube and the like, shall be excluded. The BUILDER shall arrange for the quantity of fuel oil, LNG, lubricating oils, greases and fresh water to be loaded on the VESSEL at delivery in accordance with the instructions of the BUYER, at the BUYER’S cost. The BUILDER shall remove all waste and debris about the VESSEL and all sludge and oily water wastes from the VESSEL prior to delivery, at the BUILDER’S cost. The BUYER shall promptly reimburse the BUILDER for the cost of all LNG bunkering operations, including, without limitation, operational procedures, cleaning, and safety measures.</w:t>
      </w:r>
    </w:p>
    <w:p>
      <w:pPr>
        <w:spacing w:after="0" w:line="196"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Acceptance or Rejection:</w:t>
      </w:r>
    </w:p>
    <w:p>
      <w:pPr>
        <w:spacing w:after="0" w:line="233" w:lineRule="exact"/>
        <w:rPr>
          <w:sz w:val="20"/>
          <w:szCs w:val="20"/>
          <w:color w:val="auto"/>
        </w:rPr>
      </w:pPr>
    </w:p>
    <w:p>
      <w:pPr>
        <w:jc w:val="both"/>
        <w:ind w:left="652" w:hanging="652"/>
        <w:spacing w:after="0" w:line="246" w:lineRule="auto"/>
        <w:tabs>
          <w:tab w:leader="none" w:pos="652"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trial run, the BUILDER shall give the BUYER written notice of completion of the trial run along with copies of all sea trial test reports, including if the BUILDER considers that the results of the trial run indicate the conformity of the VESSEL to this Contract and the Specification. The BUYER shall, within three (3) days after receipt of such notice from the BUILDER, provide the BUILDER written notice of its intent to accept or reject the VESSEL on the Delivery Date.</w:t>
      </w:r>
    </w:p>
    <w:p>
      <w:pPr>
        <w:spacing w:after="0" w:line="198" w:lineRule="exact"/>
        <w:rPr>
          <w:rFonts w:ascii="Times New Roman" w:cs="Times New Roman" w:eastAsia="Times New Roman" w:hAnsi="Times New Roman"/>
          <w:sz w:val="20"/>
          <w:szCs w:val="20"/>
          <w:color w:val="auto"/>
        </w:rPr>
      </w:pPr>
    </w:p>
    <w:p>
      <w:pPr>
        <w:jc w:val="both"/>
        <w:ind w:left="652" w:hanging="652"/>
        <w:spacing w:after="0" w:line="256" w:lineRule="auto"/>
        <w:tabs>
          <w:tab w:leader="none" w:pos="652" w:val="left"/>
        </w:tabs>
        <w:numPr>
          <w:ilvl w:val="0"/>
          <w:numId w:val="4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However, should the results of the trial run indicate that the VESSEL, or any part or equipment thereof, does not conform to the requirements of this Contract and/or the Specification, or if the BUILDER is in agreement as to non-conformity as specified in the BUYER’s notice of rejection, then, the BUILDER shall with the written concurrence of the BUYER take the necessary steps to correct such non-conformity. Upon completion of correction and testing of such non-conformity, the BUILDER shall give the BUYER written notice thereof. The BUYER shall, within two</w:t>
      </w:r>
    </w:p>
    <w:p>
      <w:pPr>
        <w:spacing w:after="0" w:line="4" w:lineRule="exact"/>
        <w:rPr>
          <w:rFonts w:ascii="Times New Roman" w:cs="Times New Roman" w:eastAsia="Times New Roman" w:hAnsi="Times New Roman"/>
          <w:sz w:val="19"/>
          <w:szCs w:val="19"/>
          <w:color w:val="auto"/>
        </w:rPr>
      </w:pPr>
    </w:p>
    <w:p>
      <w:pPr>
        <w:ind w:left="65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days after receipt of such notice from the BUILDER, notify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44" w:name="page345"/>
    <w:bookmarkEnd w:id="344"/>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BUILDER of its acceptance or rejection of the VESSEL. The BUYER may only demand a new trial run if this is the only way the BUILDER can prove that the nonconformities have been corrected. In the event a new trial run takes place, the provisions set forth in Paragraphs 1, 2 and 3 hereof shall govern this trial run except that the BUILDER shall be entitled to give a written notice of two (2) days for such new trial run. Upon completion of the additional trial run, the provisions of this Paragraph 4 shall apply.</w:t>
      </w:r>
    </w:p>
    <w:p>
      <w:pPr>
        <w:spacing w:after="0" w:line="198" w:lineRule="exact"/>
        <w:rPr>
          <w:sz w:val="20"/>
          <w:szCs w:val="20"/>
          <w:color w:val="auto"/>
        </w:rPr>
      </w:pPr>
    </w:p>
    <w:p>
      <w:pPr>
        <w:ind w:left="660" w:hanging="652"/>
        <w:spacing w:after="0" w:line="269" w:lineRule="auto"/>
        <w:tabs>
          <w:tab w:leader="none" w:pos="66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event that the BUYER rejects the VESSEL, the BUYER shall specify in its notice of rejection in what respect the VESSEL, or any part or equipment thereof does not conform to this Contract.</w:t>
      </w:r>
    </w:p>
    <w:p>
      <w:pPr>
        <w:spacing w:after="0" w:line="172" w:lineRule="exact"/>
        <w:rPr>
          <w:rFonts w:ascii="Times New Roman" w:cs="Times New Roman" w:eastAsia="Times New Roman" w:hAnsi="Times New Roman"/>
          <w:sz w:val="20"/>
          <w:szCs w:val="20"/>
          <w:color w:val="auto"/>
        </w:rPr>
      </w:pPr>
    </w:p>
    <w:p>
      <w:pPr>
        <w:jc w:val="both"/>
        <w:ind w:left="660" w:right="20" w:hanging="652"/>
        <w:spacing w:after="0" w:line="254" w:lineRule="auto"/>
        <w:tabs>
          <w:tab w:leader="none" w:pos="66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BUYER fails to provide the BUILDER written notice of the acceptance of or the rejection together with the reason therefor of the VESSEL within the period as provided in the above subparagraphs (a) or (b), the BUYER shall be deemed to have accepted the VESSEL.</w:t>
      </w:r>
    </w:p>
    <w:p>
      <w:pPr>
        <w:spacing w:after="0" w:line="18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may dispute the rejection of the VESSEL by the BUYER under this Paragraph 4, in which case the matter shall be submitted for final decision in accordance with Article XIV hereof.</w:t>
      </w:r>
    </w:p>
    <w:p>
      <w:pPr>
        <w:spacing w:after="0" w:line="169" w:lineRule="exact"/>
        <w:rPr>
          <w:sz w:val="20"/>
          <w:szCs w:val="20"/>
          <w:color w:val="auto"/>
        </w:rPr>
      </w:pPr>
    </w:p>
    <w:p>
      <w:pPr>
        <w:ind w:left="660" w:hanging="652"/>
        <w:spacing w:after="0"/>
        <w:tabs>
          <w:tab w:leader="none" w:pos="660" w:val="left"/>
        </w:tabs>
        <w:numPr>
          <w:ilvl w:val="0"/>
          <w:numId w:val="4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Acceptance:</w:t>
      </w:r>
    </w:p>
    <w:p>
      <w:pPr>
        <w:spacing w:after="0" w:line="233" w:lineRule="exact"/>
        <w:rPr>
          <w:sz w:val="20"/>
          <w:szCs w:val="20"/>
          <w:color w:val="auto"/>
        </w:rPr>
      </w:pPr>
    </w:p>
    <w:p>
      <w:pPr>
        <w:jc w:val="both"/>
        <w:ind w:left="660" w:hanging="652"/>
        <w:spacing w:after="0" w:line="249" w:lineRule="auto"/>
        <w:tabs>
          <w:tab w:leader="none" w:pos="660"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VESSEL as above provided shall be final and binding and the VESSEL will be deemed to be in conformity with this Contract except as set forth in subparagraph b immediately below. The BUYER shall not refuse formal delivery of the VESSEL as hereinafter provided, if the BUILDER complies with all other procedural requirements for delivery as provided in Article VII hereof.</w:t>
      </w:r>
    </w:p>
    <w:p>
      <w:pPr>
        <w:spacing w:after="0" w:line="193" w:lineRule="exact"/>
        <w:rPr>
          <w:rFonts w:ascii="Times New Roman" w:cs="Times New Roman" w:eastAsia="Times New Roman" w:hAnsi="Times New Roman"/>
          <w:sz w:val="20"/>
          <w:szCs w:val="20"/>
          <w:color w:val="auto"/>
        </w:rPr>
      </w:pPr>
    </w:p>
    <w:p>
      <w:pPr>
        <w:jc w:val="both"/>
        <w:ind w:left="660" w:hanging="652"/>
        <w:spacing w:after="0" w:line="243" w:lineRule="auto"/>
        <w:tabs>
          <w:tab w:leader="none" w:pos="660"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minor work or items on the VESSEL are incomplete or missing when the VESSEL otherwise is ready for delivery and such work or items do not materially affect the operation, trade or schedule of the VESSEL nor are likely to cause damage or excessive deterioration to the VESSEL or void warranty requirements, the BUYER shall not withhold its consent to accept delivery of the VESSEL subject to the right of the BUYER to have such items completed by the BUILDER in a reasonable manner and period of time. The parties shall on delivery execute a protocol of outstanding work and a schedule for completion of such work or agree as to an adjustment of the Contract Price in lieu of completion of such work. The BUILDER agrees that any such monetary payments to and repairs done by BUYER shall not void the BUILDER’s or any manufacturer’s warranties.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 DELIVERY</w:t>
      </w:r>
    </w:p>
    <w:p>
      <w:pPr>
        <w:spacing w:after="0" w:line="229" w:lineRule="exact"/>
        <w:rPr>
          <w:sz w:val="20"/>
          <w:szCs w:val="20"/>
          <w:color w:val="auto"/>
        </w:rPr>
      </w:pPr>
    </w:p>
    <w:p>
      <w:pPr>
        <w:ind w:left="660" w:hanging="652"/>
        <w:spacing w:after="0"/>
        <w:tabs>
          <w:tab w:leader="none" w:pos="660" w:val="left"/>
        </w:tabs>
        <w:numPr>
          <w:ilvl w:val="0"/>
          <w:numId w:val="4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 and Place:</w:t>
      </w:r>
    </w:p>
    <w:p>
      <w:pPr>
        <w:spacing w:after="0" w:line="233" w:lineRule="exact"/>
        <w:rPr>
          <w:sz w:val="20"/>
          <w:szCs w:val="20"/>
          <w:color w:val="auto"/>
        </w:rPr>
      </w:pPr>
    </w:p>
    <w:p>
      <w:pPr>
        <w:ind w:left="660" w:hanging="652"/>
        <w:spacing w:after="0" w:line="269" w:lineRule="auto"/>
        <w:tabs>
          <w:tab w:leader="none" w:pos="660"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VESSEL shall be delivered by the BUILDER to the BUYER at the Shipyard or at another location acceptable to both parties hereto. The original Delivery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5" w:name="page346"/>
    <w:bookmarkEnd w:id="345"/>
    <w:p>
      <w:pPr>
        <w:ind w:left="652"/>
        <w:spacing w:after="0"/>
        <w:rPr>
          <w:sz w:val="20"/>
          <w:szCs w:val="20"/>
          <w:color w:val="auto"/>
        </w:rPr>
      </w:pPr>
      <w:r>
        <w:rPr>
          <w:rFonts w:ascii="Times New Roman" w:cs="Times New Roman" w:eastAsia="Times New Roman" w:hAnsi="Times New Roman"/>
          <w:sz w:val="20"/>
          <w:szCs w:val="20"/>
          <w:color w:val="auto"/>
        </w:rPr>
        <w:t>for the VESSEL shall be December [*], 2027 (herein called the “Original Delivery Date”).</w:t>
      </w:r>
    </w:p>
    <w:p>
      <w:pPr>
        <w:spacing w:after="0" w:line="229" w:lineRule="exact"/>
        <w:rPr>
          <w:sz w:val="20"/>
          <w:szCs w:val="20"/>
          <w:color w:val="auto"/>
        </w:rPr>
      </w:pPr>
    </w:p>
    <w:p>
      <w:pPr>
        <w:ind w:left="652" w:hanging="652"/>
        <w:spacing w:after="0" w:line="269" w:lineRule="auto"/>
        <w:tabs>
          <w:tab w:leader="none" w:pos="652"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on account of such causes which under the terms of this Contract permit the BUILDER to postpone the delivery of the VESSEL shall be understood to be Permissible Delay (herein called “Permissible Delay”).</w:t>
      </w:r>
    </w:p>
    <w:p>
      <w:pPr>
        <w:spacing w:after="0" w:line="172" w:lineRule="exact"/>
        <w:rPr>
          <w:rFonts w:ascii="Times New Roman" w:cs="Times New Roman" w:eastAsia="Times New Roman" w:hAnsi="Times New Roman"/>
          <w:sz w:val="20"/>
          <w:szCs w:val="20"/>
          <w:color w:val="auto"/>
        </w:rPr>
      </w:pPr>
    </w:p>
    <w:p>
      <w:pPr>
        <w:jc w:val="both"/>
        <w:ind w:left="652" w:hanging="652"/>
        <w:spacing w:after="0" w:line="254" w:lineRule="auto"/>
        <w:tabs>
          <w:tab w:leader="none" w:pos="652"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Delivery Date shall be adjusted by the total Permissible Delay and the adjusted date shall be the Delivery Date (herein called the “Delivery Date”). The VESSEL shall be delivered by the BUILDER to the BUYER on or before the Delivery Date.</w:t>
      </w:r>
    </w:p>
    <w:p>
      <w:pPr>
        <w:spacing w:after="0" w:line="187" w:lineRule="exact"/>
        <w:rPr>
          <w:rFonts w:ascii="Times New Roman" w:cs="Times New Roman" w:eastAsia="Times New Roman" w:hAnsi="Times New Roman"/>
          <w:sz w:val="20"/>
          <w:szCs w:val="20"/>
          <w:color w:val="auto"/>
        </w:rPr>
      </w:pPr>
    </w:p>
    <w:p>
      <w:pPr>
        <w:jc w:val="both"/>
        <w:ind w:left="652" w:hanging="652"/>
        <w:spacing w:after="0" w:line="244" w:lineRule="auto"/>
        <w:tabs>
          <w:tab w:leader="none" w:pos="652"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advises that it has contracts committing the BUILDER to construct five training ships and up to two subsea rock installation vessels (the “other contracts”). The BUILDER advises that the Original Delivery Date is being committed to taking into account BUILDER’s obligations under the other contracts. The BUILDER agrees that its obligations under the other contracts and any delay in its deliveries under the other contracts would not constitute a Permissible Delay as defined in subparagraph b. of this Paragraph 1, or a Force Majeure event under Article VIII of this Contract, unless the conditions under Article VIII apply to or otherwise impact the facilities or workforce at the Shipyard available for the construction of the VESSEL under this Contract.</w:t>
      </w:r>
    </w:p>
    <w:p>
      <w:pPr>
        <w:spacing w:after="0" w:line="195" w:lineRule="exact"/>
        <w:rPr>
          <w:sz w:val="20"/>
          <w:szCs w:val="20"/>
          <w:color w:val="auto"/>
        </w:rPr>
      </w:pPr>
    </w:p>
    <w:p>
      <w:pPr>
        <w:ind w:left="652" w:hanging="652"/>
        <w:spacing w:after="0"/>
        <w:tabs>
          <w:tab w:leader="none" w:pos="652" w:val="left"/>
        </w:tabs>
        <w:numPr>
          <w:ilvl w:val="0"/>
          <w:numId w:val="4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and How Effected:</w:t>
      </w:r>
    </w:p>
    <w:p>
      <w:pPr>
        <w:spacing w:after="0" w:line="233" w:lineRule="exact"/>
        <w:rPr>
          <w:sz w:val="20"/>
          <w:szCs w:val="20"/>
          <w:color w:val="auto"/>
        </w:rPr>
      </w:pPr>
    </w:p>
    <w:p>
      <w:pPr>
        <w:jc w:val="both"/>
        <w:ind w:left="652" w:hanging="652"/>
        <w:spacing w:after="0" w:line="254" w:lineRule="auto"/>
        <w:tabs>
          <w:tab w:leader="none" w:pos="652" w:val="left"/>
        </w:tabs>
        <w:numPr>
          <w:ilvl w:val="0"/>
          <w:numId w:val="4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the work on the VESSEL is complete or substantially complete in accordance with this Contract and the VESSEL has passed the tests required by this Contract, the VESSEL as completed or substantially completed shall be delivered by the BUILDER and accepted by the BUYER alongside a safe and accessible pier at the Shipyard, or at such other place as may be mutually agreed to by the BUILDER and the BUYER, where there must be sufficient water for the VESSEL always to be afloat and during egress from the berth, custom to the contrary notwithstanding, free and clear of all liens, security interests, and claims of every nature, excepting, however those in favor of a claimant, other than BUILDER, arising out of the acts or omissions of the BUYER, with not less than ten (10) days’ prior written notice to the BUYER of such delivery. As used in this Contract, the term “substantially complete” shall mean complete except for minor items not affecting the commercial utility and safe operation of the VESSEL, with all certificates required for operation of the VESSEL, and not violating any requirement of a regulatory body.</w:t>
      </w:r>
    </w:p>
    <w:p>
      <w:pPr>
        <w:spacing w:after="0" w:line="4" w:lineRule="exact"/>
        <w:rPr>
          <w:rFonts w:ascii="Times New Roman" w:cs="Times New Roman" w:eastAsia="Times New Roman" w:hAnsi="Times New Roman"/>
          <w:sz w:val="19"/>
          <w:szCs w:val="19"/>
          <w:color w:val="auto"/>
        </w:rPr>
      </w:pPr>
    </w:p>
    <w:p>
      <w:pPr>
        <w:jc w:val="both"/>
        <w:ind w:left="652"/>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Unless waived by the BUYER, the VESSEL shall not be deemed to be “substantially complete” if a delivery deficiency will require the VESSEL to be taken out of service prior to the VESSEL’S regular maintenance schedule or if the aggregate value of such delivery deficiencies is in excess of [*]. For the avoidance of doubt, if the Classification Society issues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46" w:name="page347"/>
    <w:bookmarkEnd w:id="346"/>
    <w:p>
      <w:pPr>
        <w:ind w:left="652"/>
        <w:spacing w:after="0" w:line="269" w:lineRule="auto"/>
        <w:rPr>
          <w:sz w:val="20"/>
          <w:szCs w:val="20"/>
          <w:color w:val="auto"/>
        </w:rPr>
      </w:pPr>
      <w:r>
        <w:rPr>
          <w:rFonts w:ascii="Times New Roman" w:cs="Times New Roman" w:eastAsia="Times New Roman" w:hAnsi="Times New Roman"/>
          <w:sz w:val="20"/>
          <w:szCs w:val="20"/>
          <w:color w:val="auto"/>
        </w:rPr>
        <w:t>Certificate of Class with a condition of class, the BUYER shall not be obligated to accept the VESSEL with such condition of class.</w:t>
      </w:r>
    </w:p>
    <w:p>
      <w:pPr>
        <w:spacing w:after="0" w:line="173" w:lineRule="exact"/>
        <w:rPr>
          <w:sz w:val="20"/>
          <w:szCs w:val="20"/>
          <w:color w:val="auto"/>
        </w:rPr>
      </w:pPr>
    </w:p>
    <w:p>
      <w:pPr>
        <w:jc w:val="both"/>
        <w:ind w:left="652" w:hanging="652"/>
        <w:spacing w:after="0" w:line="241" w:lineRule="auto"/>
        <w:tabs>
          <w:tab w:leader="none" w:pos="65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the BUYER shall have fulfilled all of its obligations stipulated under this Contract, delivery of the VESSEL shall be effected forthwith by the concurrent delivery by each of the parties hereto to the other of the PROTOCOL OF DELIVERY AND ACCEPTANCE, acknowledging delivery of the VESSEL by the BUILDER and acceptance thereof by the BUYER. The BUYER and the BUILDER agree to describe in the Protocol of Delivery and Acceptance (i) the amount of reduction in the Contract Price at delivery of the VESSEL in lieu of completion of uncompleted work and correction of defects, deficiencies, or damage by the BUILDER, and, if the amount of the proposed reduction is more than the amounts due from the BUYER at delivery, the amount to be paid by the BUILDER to the BUYER to the extent the price reduction amount is insufficient; and/or (ii) (y) the uncompleted work and defects, deficiencies, or damage to be completed and corrected by the BUILDER after delivery of the VESSEL, such completion and correction to be performed in the same manner as provided for Guarantee work under Article IX, and (z) the amount of the Contract Price to be withheld until the uncompleted work is completed and the defects, deficiencies, or damage are corrected. The BUILDER agrees to perform such completion and correction in such manner after delivery of the VESSEL. The BUYER shall pay the BUILDER for satisfactory performance of such completion and correction after delivery in the manner set forth in ARTICLE IX. If the BUYER and the BUILDER fail to agree as to any of the items to be included in the Protocol of Delivery and Acceptance pursuant to this Article, such items shall be resolved pursuant to ARTICLE XIV.</w:t>
      </w:r>
    </w:p>
    <w:p>
      <w:pPr>
        <w:spacing w:after="0" w:line="206" w:lineRule="exact"/>
        <w:rPr>
          <w:rFonts w:ascii="Times New Roman" w:cs="Times New Roman" w:eastAsia="Times New Roman" w:hAnsi="Times New Roman"/>
          <w:sz w:val="20"/>
          <w:szCs w:val="20"/>
          <w:color w:val="auto"/>
        </w:rPr>
      </w:pPr>
    </w:p>
    <w:p>
      <w:pPr>
        <w:jc w:val="both"/>
        <w:ind w:left="652" w:hanging="652"/>
        <w:spacing w:after="0" w:line="246" w:lineRule="auto"/>
        <w:tabs>
          <w:tab w:leader="none" w:pos="65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dispute concerning any Milestone Payment or the payment due upon delivery of the VESSEL, including the question of the BUYER’s right to offset any claim it may have, the BUYER shall pay the undisputed amount to the BUILDER and shall deposit the disputed amount into escrow subject to the Escrow Instructions. The BUILDER cannot in such case refuse to deliver the VESSEL and the BUYER cannot refuse to take delivery of the VESSEL. Any such disputed amount shall be paid as agreed by the parties or as determined by Article XIV.</w:t>
      </w:r>
    </w:p>
    <w:p>
      <w:pPr>
        <w:spacing w:after="0" w:line="198" w:lineRule="exact"/>
        <w:rPr>
          <w:rFonts w:ascii="Times New Roman" w:cs="Times New Roman" w:eastAsia="Times New Roman" w:hAnsi="Times New Roman"/>
          <w:sz w:val="20"/>
          <w:szCs w:val="20"/>
          <w:color w:val="auto"/>
        </w:rPr>
      </w:pPr>
    </w:p>
    <w:p>
      <w:pPr>
        <w:jc w:val="both"/>
        <w:ind w:left="652" w:hanging="652"/>
        <w:spacing w:after="0" w:line="246" w:lineRule="auto"/>
        <w:tabs>
          <w:tab w:leader="none" w:pos="65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thirty (30) days prior to the expected delivery of the VESSEL, employees of the BUYER or the BUYERS’s contractors or agents shall be entitled to access to the VESSEL to engage in such activities and perform such work as the BUYER may specify on a not-to-interfere basis. Two (2) weeks prior to delivery of the VESSEL the BUYER shall have access on a not-to-interfere basis to familiarize the crew with the VESSEL and to provision the VESSEL.</w:t>
      </w:r>
    </w:p>
    <w:p>
      <w:pPr>
        <w:spacing w:after="0" w:line="194" w:lineRule="exact"/>
        <w:rPr>
          <w:sz w:val="20"/>
          <w:szCs w:val="20"/>
          <w:color w:val="auto"/>
        </w:rPr>
      </w:pPr>
    </w:p>
    <w:p>
      <w:pPr>
        <w:ind w:left="652" w:hanging="652"/>
        <w:spacing w:after="0"/>
        <w:tabs>
          <w:tab w:leader="none" w:pos="652" w:val="left"/>
        </w:tabs>
        <w:numPr>
          <w:ilvl w:val="0"/>
          <w:numId w:val="4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Documents to be Delivered to the BUYER:</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delivery and acceptance of the VESSEL, the BUILDER shall deliver to the BUYER the following documents, which shall accompany the PROTOCOL OF DELIVERY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47" w:name="page348"/>
    <w:bookmarkEnd w:id="347"/>
    <w:p>
      <w:pPr>
        <w:ind w:left="652" w:hanging="652"/>
        <w:spacing w:after="0"/>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TRIALS of the VESSEL made pursuant to the Specification.</w:t>
      </w:r>
    </w:p>
    <w:p>
      <w:pPr>
        <w:spacing w:after="0" w:line="229" w:lineRule="exact"/>
        <w:rPr>
          <w:rFonts w:ascii="Times New Roman" w:cs="Times New Roman" w:eastAsia="Times New Roman" w:hAnsi="Times New Roman"/>
          <w:sz w:val="20"/>
          <w:szCs w:val="20"/>
          <w:color w:val="auto"/>
        </w:rPr>
      </w:pPr>
    </w:p>
    <w:p>
      <w:pPr>
        <w:ind w:left="652" w:right="20" w:hanging="652"/>
        <w:spacing w:after="0" w:line="269" w:lineRule="auto"/>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INVENTORY of the equipment of the VESSEL, including spare parts and the like, all as specified in the Specification; and Inventory of Hazardous Material (MEPC.197(2)).</w:t>
      </w:r>
    </w:p>
    <w:p>
      <w:pPr>
        <w:spacing w:after="0" w:line="172" w:lineRule="exact"/>
        <w:rPr>
          <w:rFonts w:ascii="Times New Roman" w:cs="Times New Roman" w:eastAsia="Times New Roman" w:hAnsi="Times New Roman"/>
          <w:sz w:val="20"/>
          <w:szCs w:val="20"/>
          <w:color w:val="auto"/>
        </w:rPr>
      </w:pPr>
    </w:p>
    <w:p>
      <w:pPr>
        <w:ind w:left="652" w:hanging="652"/>
        <w:spacing w:after="0" w:line="269" w:lineRule="auto"/>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PROTOCOL OF STORES OF CONSUMABLE NATURE referred to under subparagraph 3(b) of Article VI hereof, including the original purchase price thereof.</w:t>
      </w:r>
    </w:p>
    <w:p>
      <w:pPr>
        <w:spacing w:after="0" w:line="172" w:lineRule="exact"/>
        <w:rPr>
          <w:rFonts w:ascii="Times New Roman" w:cs="Times New Roman" w:eastAsia="Times New Roman" w:hAnsi="Times New Roman"/>
          <w:sz w:val="20"/>
          <w:szCs w:val="20"/>
          <w:color w:val="auto"/>
        </w:rPr>
      </w:pPr>
    </w:p>
    <w:p>
      <w:pPr>
        <w:jc w:val="both"/>
        <w:ind w:left="652" w:hanging="652"/>
        <w:spacing w:after="0" w:line="243" w:lineRule="auto"/>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clean and free of conditions, including the BUILDER’s CERTIFICATE on Form CG-1261, USCG CERTIFICATE OF INSPECTION Form CG-841, USCG approved Automation Test Procedures, USCG approved Bunkering Procedures for LNG, HFO, MGO and Lube Oils, USCG approved Cold Ironing (AMP) Procedures, and CLASSIFICATION CERTIFICATES and all type approval certificates required to be furnished upon delivery of the VESSEL pursuant to this Contract and the Specification or that are required by the regulatory bodies. It is agreed that if, through no fault on the part of the BUILDER, the classification and/or other certificates are not available at the time of delivery of the VESSEL, provisional certificates shall be accepted by the BUYER, provided that the BUILDER shall furnish the BUYER with the formal certificates as promptly as possible after such formal certificates have been issued.</w:t>
      </w:r>
    </w:p>
    <w:p>
      <w:pPr>
        <w:spacing w:after="0" w:line="199" w:lineRule="exact"/>
        <w:rPr>
          <w:rFonts w:ascii="Times New Roman" w:cs="Times New Roman" w:eastAsia="Times New Roman" w:hAnsi="Times New Roman"/>
          <w:sz w:val="20"/>
          <w:szCs w:val="20"/>
          <w:color w:val="auto"/>
        </w:rPr>
      </w:pPr>
    </w:p>
    <w:p>
      <w:pPr>
        <w:jc w:val="both"/>
        <w:ind w:left="652" w:hanging="652"/>
        <w:spacing w:after="0" w:line="246" w:lineRule="auto"/>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DECLARATION OF WARRANTY of the BUILDER that the VESSEL is delivered to the BUYER free and clear of any liens, charges, claims, mortgages, or other encumbrances upon the BUYER’s title thereto, and in particular, that the VESSEL is absolutely free of all burdens in the nature of imposts, taxes or charges imposed by local or federal authorities, as well as of all liabilities of the BUILDER to its subcontractors, employees and crew, and of all liabilities arising from the operation of the VESSEL in trial runs, or otherwise, prior to delivery.</w:t>
      </w:r>
    </w:p>
    <w:p>
      <w:pPr>
        <w:spacing w:after="0" w:line="198" w:lineRule="exact"/>
        <w:rPr>
          <w:rFonts w:ascii="Times New Roman" w:cs="Times New Roman" w:eastAsia="Times New Roman" w:hAnsi="Times New Roman"/>
          <w:sz w:val="20"/>
          <w:szCs w:val="20"/>
          <w:color w:val="auto"/>
        </w:rPr>
      </w:pPr>
    </w:p>
    <w:p>
      <w:pPr>
        <w:jc w:val="both"/>
        <w:ind w:left="652" w:hanging="652"/>
        <w:spacing w:after="0" w:line="249" w:lineRule="auto"/>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DRAWINGS AND PLANS pertaining to the VESSEL as stipulated in the Specification together with all drawings required to be submitted to regulatory bodies. Detailed design drawings for hull, structural, electrical, piping and outfitting drawings developed by BUILDER or any design agent for the construction of the VESSEL requested by the BUYER shall be provided in a format to be agreed at an additional cost to be billed at $100.00 per hour.</w:t>
      </w:r>
    </w:p>
    <w:p>
      <w:pPr>
        <w:spacing w:after="0" w:line="19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INVOICE and BILL OF SALE.</w:t>
      </w:r>
    </w:p>
    <w:p>
      <w:pPr>
        <w:spacing w:after="0" w:line="229" w:lineRule="exact"/>
        <w:rPr>
          <w:sz w:val="20"/>
          <w:szCs w:val="20"/>
          <w:color w:val="auto"/>
        </w:rPr>
      </w:pPr>
    </w:p>
    <w:p>
      <w:pPr>
        <w:ind w:left="652"/>
        <w:spacing w:after="0" w:line="269" w:lineRule="auto"/>
        <w:rPr>
          <w:sz w:val="20"/>
          <w:szCs w:val="20"/>
          <w:color w:val="auto"/>
        </w:rPr>
      </w:pPr>
      <w:r>
        <w:rPr>
          <w:rFonts w:ascii="Times New Roman" w:cs="Times New Roman" w:eastAsia="Times New Roman" w:hAnsi="Times New Roman"/>
          <w:sz w:val="20"/>
          <w:szCs w:val="20"/>
          <w:color w:val="auto"/>
        </w:rPr>
        <w:t>The BUILDER will cooperate with the BUYER to provide any other documents reasonably required by the BUYER to secure financing for the VESSEL.</w:t>
      </w:r>
    </w:p>
    <w:p>
      <w:pPr>
        <w:spacing w:after="0" w:line="169" w:lineRule="exact"/>
        <w:rPr>
          <w:sz w:val="20"/>
          <w:szCs w:val="20"/>
          <w:color w:val="auto"/>
        </w:rPr>
      </w:pPr>
    </w:p>
    <w:p>
      <w:pPr>
        <w:ind w:left="652" w:hanging="652"/>
        <w:spacing w:after="0"/>
        <w:tabs>
          <w:tab w:leader="none" w:pos="652" w:val="left"/>
        </w:tabs>
        <w:numPr>
          <w:ilvl w:val="0"/>
          <w:numId w:val="4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Tender of the VESSEL:</w:t>
      </w:r>
    </w:p>
    <w:p>
      <w:pPr>
        <w:spacing w:after="0" w:line="233" w:lineRule="exact"/>
        <w:rPr>
          <w:rFonts w:ascii="Times New Roman" w:cs="Times New Roman" w:eastAsia="Times New Roman" w:hAnsi="Times New Roman"/>
          <w:sz w:val="20"/>
          <w:szCs w:val="20"/>
          <w:b w:val="1"/>
          <w:bCs w:val="1"/>
          <w:color w:val="auto"/>
        </w:rPr>
      </w:pPr>
    </w:p>
    <w:p>
      <w:pPr>
        <w:ind w:left="652"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fails to take delivery of the VESSEL after completion thereof according to this Contract without any justifiable reason, the BUILDER shall have the right to tender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48" w:name="page349"/>
    <w:bookmarkEnd w:id="348"/>
    <w:p>
      <w:pPr>
        <w:ind w:left="660"/>
        <w:spacing w:after="0"/>
        <w:rPr>
          <w:sz w:val="20"/>
          <w:szCs w:val="20"/>
          <w:color w:val="auto"/>
        </w:rPr>
      </w:pPr>
      <w:r>
        <w:rPr>
          <w:rFonts w:ascii="Times New Roman" w:cs="Times New Roman" w:eastAsia="Times New Roman" w:hAnsi="Times New Roman"/>
          <w:sz w:val="20"/>
          <w:szCs w:val="20"/>
          <w:color w:val="auto"/>
        </w:rPr>
        <w:t>delivery of the VESSEL after compliance with all procedural requirements as above provided.</w:t>
      </w:r>
    </w:p>
    <w:p>
      <w:pPr>
        <w:spacing w:after="0" w:line="225" w:lineRule="exact"/>
        <w:rPr>
          <w:sz w:val="20"/>
          <w:szCs w:val="20"/>
          <w:color w:val="auto"/>
        </w:rPr>
      </w:pPr>
    </w:p>
    <w:p>
      <w:pPr>
        <w:ind w:left="660" w:hanging="652"/>
        <w:spacing w:after="0"/>
        <w:tabs>
          <w:tab w:leader="none" w:pos="660" w:val="left"/>
        </w:tabs>
        <w:numPr>
          <w:ilvl w:val="0"/>
          <w:numId w:val="4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Risk:</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provisions of Article XVI concerning passage of title to the material and the VESSEL during the construction period, the risk of loss of the VESSEL shall pass to the BUYER only upon delivery and acceptance thereof having been completed as stated above; it being expressly understood that, until such delivery is effected, risk of loss of the VESSEL and her equipment shall remain with the BUILDER.</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BUILDER’s entering into this Contract, the performance of the BUILDER’S obligations hereunder and the sale of the VESSEL to BUYER will not result in any violation of or be in conflict with, or result in a breach of or constitute a default under, any term or provision of any agreement, instrument or other restriction to which the BUILDER is a party or by which it is bound.</w:t>
      </w:r>
    </w:p>
    <w:p>
      <w:pPr>
        <w:spacing w:after="0" w:line="18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the VESSEL:</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BUYER shall take possession of the VESSEL immediately upon delivery and acceptance thereof and shall remove the VESSEL from the premises of the Shipyard within ten (10) days after delivery and acceptance thereof is completed. If the BUYER shall not remove the VESSEL from the premises of the Shipyard within the aforesaid ten</w:t>
      </w:r>
    </w:p>
    <w:p>
      <w:pPr>
        <w:jc w:val="both"/>
        <w:ind w:left="660" w:hanging="4"/>
        <w:spacing w:after="0" w:line="242" w:lineRule="auto"/>
        <w:tabs>
          <w:tab w:leader="none" w:pos="1056" w:val="left"/>
        </w:tabs>
        <w:numPr>
          <w:ilvl w:val="1"/>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then, in such event the BUYER shall pay to the BUILDER the mooring charges of the VESSEL at the rate of $[*] per day plus utilities. Such additional time on the BUILDER’s premises shall not exceed twenty-one (21) days.</w:t>
      </w:r>
    </w:p>
    <w:p>
      <w:pPr>
        <w:spacing w:after="0" w:line="196"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ARTICLE VIII -- EXTENSION OF TIME FOR DELIVERY DUE TO FORCE MAJEURE AND TERMINATION FOR EXCESSIVE DELAY</w:t>
      </w:r>
    </w:p>
    <w:p>
      <w:pPr>
        <w:spacing w:after="0" w:line="165" w:lineRule="exact"/>
        <w:rPr>
          <w:sz w:val="20"/>
          <w:szCs w:val="20"/>
          <w:color w:val="auto"/>
        </w:rPr>
      </w:pPr>
    </w:p>
    <w:p>
      <w:pPr>
        <w:ind w:left="660" w:hanging="652"/>
        <w:spacing w:after="0"/>
        <w:tabs>
          <w:tab w:leader="none" w:pos="660" w:val="left"/>
        </w:tabs>
        <w:numPr>
          <w:ilvl w:val="0"/>
          <w:numId w:val="4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Causes of Force Majeure:</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Force Majeure (herein called “Force Majeure”) is any or more of the events defined below:</w:t>
      </w:r>
    </w:p>
    <w:p>
      <w:pPr>
        <w:spacing w:after="0" w:line="229"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Acts of God; acts of princes or rulers; requirements of government authorities; delays caused by regulatory bodies whose documents or approvals are required; war or other hostilities or preparations thereto; blockade; revolution; insurrections; mobilizations; civil war; civil commotion; riots; strikes and other labor disturbances including local strikes affecting the BUILDER (not including any strikes or industrial disturbances resulting from unilateral changes made by the BUILDER under existing labor contracts); sabotages; acts of terrorists; lockouts; labor shortages, provided the BUILDER has exercised diligence in the recruitment and training of labor; plague; epidemics; pandemics; fire; flood; typhoons, hurricanes, storms or other weather conditions (other than ordinary storms or ordinary inclement weather conditions); earthquakes; tidal waves; landslides; explosions; collisions; strandings; embargoes; delays in transportation; import restrictions; shortage of materials, equipment or machinery or delay in delivery or inability to take delivery thereof, provided that such materials, equipment or machinery at the time of ordering could reasonably be expected by the BUILDER to be delivered in time, the BUILDER’S choice of a vendor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9" w:name="page350"/>
    <w:bookmarkEnd w:id="349"/>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subcontractor was reasonable and the BUILDER has exercised due diligence to monitor the actions and to expedite delivery of the vendor or to obtain substitute performance; prolonged failure or restriction of electric current or petroleum; non-delivery or late delivery of BUYER’S Supplies to BUILDER’S custody or other delay caused by any default or omission on the part of the BUYER in carrying out any of its obligations under this Contract; or destruction of or damage to the worksite or other works of the BUILDER, its main subcontractors or to the VESSEL or any part thereof, by any causes heretofore described in this Paragraph and any other causes properly to be considered to be beyond the BUILDER’s reasonable control; provided that there shall be excluded any such causes that are in existence as of the date of execution of this Contract or as to a cause impacting a contractor or subcontractor, a cause known to the party as of the date of execution of the contract or subcontract.</w:t>
      </w:r>
    </w:p>
    <w:p>
      <w:pPr>
        <w:spacing w:after="0" w:line="19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Parties acknowledge the current world events surrounding the COVID-19 pandemic and the Russia-Ukraine military conflict and agree that any future act, event, or circumstance caused by or arising from the COVID-19 pandemic or Russia-Ukraine military conflict otherwise meeting the definition of an event of Force Majeure is not excepted from that definition because of the duration and nature of the pandemic or the military conflict.</w:t>
      </w:r>
    </w:p>
    <w:p>
      <w:pPr>
        <w:spacing w:after="0" w:line="193"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20"/>
          <w:szCs w:val="20"/>
          <w:color w:val="auto"/>
        </w:rPr>
        <w:t>Any delay in the delivery of the VESSEL caused by an event of Force Majeure as to which the provisions of this Article VIII have been satisfied shall operate to postpone the Delivery Date by the number of days of delay involved.</w:t>
      </w:r>
    </w:p>
    <w:p>
      <w:pPr>
        <w:spacing w:after="0" w:line="184" w:lineRule="exact"/>
        <w:rPr>
          <w:sz w:val="20"/>
          <w:szCs w:val="20"/>
          <w:color w:val="auto"/>
        </w:rPr>
      </w:pPr>
    </w:p>
    <w:p>
      <w:pPr>
        <w:ind w:left="660" w:hanging="652"/>
        <w:spacing w:after="0"/>
        <w:tabs>
          <w:tab w:leader="none" w:pos="660" w:val="left"/>
        </w:tabs>
        <w:numPr>
          <w:ilvl w:val="0"/>
          <w:numId w:val="4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Delay: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ten (10) days from the date of commencement of the delay on account of Permissible Delays as defined in Paragraph 3 of this Article below, the BUILDER shall advise the BUYER in writing of the date such delay commences and the reasons therefor along with BUILDER’s proposed recovery plan. BUILDER shall exercise its commercially reasonable best efforts to develop a recovery plan that addresses the condition causing the delay and minimizes the length of the delay. Failure of the BUILDER to provide notification of any claim for postponement of the Delivery Date within such ten (10) days shall be deemed to be a waiver by the BUILDER of its right to propose such postponement.</w:t>
      </w:r>
    </w:p>
    <w:p>
      <w:pPr>
        <w:spacing w:after="0" w:line="199" w:lineRule="exact"/>
        <w:rPr>
          <w:rFonts w:ascii="Times New Roman" w:cs="Times New Roman" w:eastAsia="Times New Roman" w:hAnsi="Times New Roman"/>
          <w:sz w:val="20"/>
          <w:szCs w:val="20"/>
          <w:b w:val="1"/>
          <w:bCs w:val="1"/>
          <w:color w:val="auto"/>
        </w:rPr>
      </w:pPr>
    </w:p>
    <w:p>
      <w:pPr>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Likewise within ten (10) days after such delay ends, the BUILDER shall advise the BUYER in writing of the date such delay ended, and also shall specify the period of time by which the BUILDER asserts that the Delivery Date is postponed by reason of such delay. Within ten (10) days after receipt of such notification, BUYER shall inform BUILDER that BUYER either (1) accepts the new Delivery Date contained in such notification, or (2) disputes BUILDER’s postponement of the Delivery Date, which dispute will be resolved under the provisions of Article XIV. Failure of the BUYER to inform the BUILDER that it either accepts the new Delivery Date or disputes the postponement of the Delivery Date within ten (10) days after receipt of BUILDER’s notification shall be deemed to be a waiver by the BUYER of its right to object to such postponement.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0" w:name="page351"/>
    <w:bookmarkEnd w:id="350"/>
    <w:p>
      <w:pPr>
        <w:ind w:left="660" w:hanging="652"/>
        <w:spacing w:after="0"/>
        <w:tabs>
          <w:tab w:leader="none" w:pos="660" w:val="left"/>
        </w:tabs>
        <w:numPr>
          <w:ilvl w:val="0"/>
          <w:numId w:val="4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Permissible Delay:</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Delays on account of such causes as specified in Paragraph 1 of this Article shall be understood to be Permissible Delays provided that the BUILDER provides the notices set forth in Paragraph 2 of this Article.</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Terminate for Excessive Delay due to Force Majeure: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total accumulated time of all delays on account of the causes specified in Paragraph 1 of this Article only (excluding all other types of delays which, under the terms of this Contract, permit postponement of the Delivery Date), amounts to [*] months or more, then, in such event, the BUYER may terminate this Contract in accordance with the provisions of Article X hereof. The BUILDER may, at any time after the accumulated time of the aforementioned delays justifying termination by the BUYER, demand in writing that the BUYER shall make an election, in which case the BUYER shall, within twenty (20) days after such demand is received by the BUYER, notify the BUILDER in writing of either (1) its intention to terminate this Contract, or (2) consent to a postponement of the Delivery Date to a specific future date. If any further delay occurs beyond such specific future date on account of causes specified in Paragraph 1 of this Article only (and excluding all other types of delays as described above), that amounts to one (1) month or more, the BUYER shall have the same right of termination upon the same terms as hereinabove provided (except that this original six month period is reduced to one month for the further delay described in this sentence).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IX-WARRANTY OF QUALITY</w:t>
      </w:r>
    </w:p>
    <w:p>
      <w:pPr>
        <w:spacing w:after="0" w:line="229" w:lineRule="exact"/>
        <w:rPr>
          <w:sz w:val="20"/>
          <w:szCs w:val="20"/>
          <w:color w:val="auto"/>
        </w:rPr>
      </w:pPr>
    </w:p>
    <w:p>
      <w:pPr>
        <w:ind w:left="660" w:hanging="652"/>
        <w:spacing w:after="0"/>
        <w:tabs>
          <w:tab w:leader="none" w:pos="660" w:val="left"/>
        </w:tabs>
        <w:numPr>
          <w:ilvl w:val="0"/>
          <w:numId w:val="4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Guarantees at Delivery:</w:t>
      </w:r>
    </w:p>
    <w:p>
      <w:pPr>
        <w:spacing w:after="0" w:line="233"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guarantees that at the time of delivery the VESSEL will: (i) comply with applicable laws, lawful regulations, written standards and written interpretations of the regulatory bodies required for the VESSEL’s operation in the foreign and domestic trades of the United States in effect on the date of delivery of the VESSEL, except as noted in the PROTOCOL OF DELIVERY AND ACCEPTANCE; and (ii) meet the requirements in the Specification and plans, except as noted in the PROTOCOL OF DELIVERY AND ACCEPTANCE. The effect of any changes in laws, lawful regulations, standards and written interpretations of the regulatory bodies between the effective date of this Contract and the delivery of the VESSEL shall be incorporated into this Contract by a Change Order under ARTICLE V.</w:t>
      </w:r>
    </w:p>
    <w:p>
      <w:pPr>
        <w:spacing w:after="0" w:line="20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 of all changes to the VESSEL noted in the PROTOCOL OF DELIVERY AND ACCEPTANCE shall be for the account of the BUILDER, except as provided in subparagraph (a) of ARTICLE V, Paragraph 2.</w:t>
      </w:r>
    </w:p>
    <w:p>
      <w:pPr>
        <w:spacing w:after="0" w:line="18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Warranty:</w:t>
      </w:r>
    </w:p>
    <w:p>
      <w:pPr>
        <w:spacing w:after="0" w:line="233"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hereinafter set forth, the BUILDER undertakes to remedy, free of charge to the BUYER, any deficiency, defects, failure, breaking down or deterioration beyond that caused by ordinary wear and tear (jointly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51" w:name="page352"/>
    <w:bookmarkEnd w:id="351"/>
    <w:p>
      <w:pPr>
        <w:jc w:val="both"/>
        <w:ind w:left="1300"/>
        <w:spacing w:after="0" w:line="242" w:lineRule="auto"/>
        <w:rPr>
          <w:sz w:val="20"/>
          <w:szCs w:val="20"/>
          <w:color w:val="auto"/>
        </w:rPr>
      </w:pPr>
      <w:r>
        <w:rPr>
          <w:rFonts w:ascii="Times New Roman" w:cs="Times New Roman" w:eastAsia="Times New Roman" w:hAnsi="Times New Roman"/>
          <w:sz w:val="20"/>
          <w:szCs w:val="20"/>
          <w:color w:val="auto"/>
        </w:rPr>
        <w:t>“defects”) in the VESSEL which are due to defective material, faulty design and/or bad workmanship on the part of the BUILDER and/or its contractors or subcontractors, provided that the defects are discovered within a period of twelve (12) months after the date of delivery of the VESSEL (the “Guarantee Period”) and a notice thereof is duly given to the BUILDER as hereinbelow provided. In computing the Guarantee Period there shall be excluded any time the VESSEL is prevented from entering or is taken out of service on account of any defect for which the BUILDER is responsible. For the purpose of this Article, the VESSEL shall include her hull, machinery, equipment and gear, but excludes any parts of the VESSEL that have been supplied by or on behalf of the BUYER. Upon expiration of the Guarantee Period, and to the extent permitted by vendors and subcontractors, the BUILDER agrees to transfer any guarantees or warranties supplied to it by vendors and subcontractors.</w:t>
      </w:r>
    </w:p>
    <w:p>
      <w:pPr>
        <w:spacing w:after="0" w:line="206" w:lineRule="exact"/>
        <w:rPr>
          <w:sz w:val="20"/>
          <w:szCs w:val="20"/>
          <w:color w:val="auto"/>
        </w:rPr>
      </w:pPr>
    </w:p>
    <w:p>
      <w:pPr>
        <w:jc w:val="both"/>
        <w:ind w:left="1300" w:hanging="644"/>
        <w:spacing w:after="0" w:line="245" w:lineRule="auto"/>
        <w:tabs>
          <w:tab w:leader="none" w:pos="1300" w:val="left"/>
        </w:tabs>
        <w:numPr>
          <w:ilvl w:val="1"/>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BUILDER’s guarantee of the coatings shall be back to back with the guarantee of the coatings by the coatings manufacturer. During the Guarantee Period, the BUILDER shall be responsible for correction of paint defects in accordance with the guarantee of the coatings by the coatings manufacturer. After the expiration of the VESSEL Guarantee Period, the coating manufacturer’s extended warranty shall be transferred to the BUYER under Article IX subparagraph 5d. The coating manufacturer’s warranty shall be for at least sixty (60) months from delivery of the VESSEL.</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Defects: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notify the BUILDER in writing of any defects for which claim is made under this guarantee as promptly as possible after discovery thereof. If the defect was discovered during drydocking of the VESSEL, the BUYER must notify the BUILDER in time for the BUILDER to inspect the defect before the VESSEL leaves the drydock if this is necessary for a prudent inspection of the defect. The BUYER’s written notice shall in sufficient detail describe the nature and extent of the defects. The BUILDER shall have no obligation for any defects discovered prior to the expiry date of the said twelve (12) months period, unless notice of such defects is received by the BUILDER not later than thirty (30) days after such expiry date.</w:t>
      </w:r>
    </w:p>
    <w:p>
      <w:pPr>
        <w:spacing w:after="0" w:line="19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Remedy of Defects:</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6" w:lineRule="auto"/>
        <w:tabs>
          <w:tab w:leader="none" w:pos="980"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promptly remedy, at its expense, any defects, against which the VESSEL is guaranteed under this Article, by making all necessary repairs or replacements at the Shipyard, if practicable. Upon having remedied such defects the BUILDER shall give the BUYER a further guarantee period of six (6) months for the aforementioned repairs or replacements from the date such repair or replacement is accomplished, which extended period shall not reduce the original twelve (12) month Guarantee Period.</w:t>
      </w:r>
    </w:p>
    <w:p>
      <w:pPr>
        <w:spacing w:after="0" w:line="198"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if it is impractical to bring the VESSEL to the Shipyard, or if the BUILDER is unable to remedy the defects within a period of time satisfactory to the BUYER due to the BUILDER’S or the VESSEL’s working schedule or any other reason,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2" w:name="page353"/>
    <w:bookmarkEnd w:id="352"/>
    <w:p>
      <w:pPr>
        <w:jc w:val="both"/>
        <w:ind w:left="980"/>
        <w:spacing w:after="0" w:line="254" w:lineRule="auto"/>
        <w:rPr>
          <w:sz w:val="20"/>
          <w:szCs w:val="20"/>
          <w:color w:val="auto"/>
        </w:rPr>
      </w:pPr>
      <w:r>
        <w:rPr>
          <w:rFonts w:ascii="Times New Roman" w:cs="Times New Roman" w:eastAsia="Times New Roman" w:hAnsi="Times New Roman"/>
          <w:sz w:val="19"/>
          <w:szCs w:val="19"/>
          <w:color w:val="auto"/>
        </w:rPr>
        <w:t>BUYER may cause the necessary repairs or replacements to be made elsewhere which is deemed suitable for the purpose, provided that, in such event, the BUILDER may forward or supply replacement parts or materials to the VESSEL, unless forwarding or supplying thereof to the VESSEL would impair or delay the operation or working schedule of the VESSEL. In the event that the BUYER proposes to cause the necessary repairs or replacements to be made to the VESSEL at any other shipyard or works than the Shipyard, the BUYER shall first, but in all events as soon as possible, give the BUILDER notice in writing of the time and place such repairs or replacements will be made, and if the VESSEL is not thereby delayed, or her operation or working schedule is not thereby impaired, the BUILDER shall have the right to verify by its own representative(s) the nature and extent of the defects complained of. The BUILDER shall, in such case, promptly advise the BUYER in writing, after such examination has been completed, of its acceptance or rejection of the defects as ones that are covered by the guarantee herein provided. Upon the BUILDER’s acceptance of the defects as justifying remedy under this Article, or upon resolution of a dispute in accordance with the provisions of Article XIV hereof, the BUILDER shall immediately pay to the BUYER for such repairs or replacements the sum of BUYER’S documented costs therefor up to a sum equal to the reasonable cost of making the same repairs or replacements in the Shipyard. Subject to a written agreement with the BUILDER, warranty repairs may be made by the crewmembers of the VESSEL, provided however that the BUYER submits documentation for the work performed and the BUILDER will not reimburse the BUYER at labor rates currently in excess of $68.00 per hour (as escalated at 2.5% per year after delivery). For the avoidance of doubt, if the BUILDER is unable to remedy the defects within a period of time satisfactory to BUYER due to the BUILDER’S or the VESSEL’s working schedule or any other reason, BUYER shall not be obligated to operate the VESSEL with a defect even if the Classification Society agrees that the Vessel may be operated with a condition of class, and the BUYER shall be entitled to cause the necessary repairs or replacements to be made as provided in this paragraph.</w:t>
      </w:r>
    </w:p>
    <w:p>
      <w:pPr>
        <w:spacing w:after="0" w:line="200" w:lineRule="exact"/>
        <w:rPr>
          <w:sz w:val="20"/>
          <w:szCs w:val="20"/>
          <w:color w:val="auto"/>
        </w:rPr>
      </w:pPr>
    </w:p>
    <w:p>
      <w:pPr>
        <w:spacing w:after="0" w:line="223" w:lineRule="exact"/>
        <w:rPr>
          <w:sz w:val="20"/>
          <w:szCs w:val="20"/>
          <w:color w:val="auto"/>
        </w:rPr>
      </w:pPr>
    </w:p>
    <w:p>
      <w:pPr>
        <w:jc w:val="both"/>
        <w:ind w:left="980" w:hanging="324"/>
        <w:spacing w:after="0" w:line="249" w:lineRule="auto"/>
        <w:tabs>
          <w:tab w:leader="none" w:pos="980"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the VESSEL shall be taken at the BUYER’s cost, risk and responsibility to the place elected, ready in all respects for such repairs or replacements. Any preparation, draining of pipes, cleaning of spaces to make them accessible for warranty repairs, marine chemist’s certificates, including gas free certificate shall be at the BUILDER’s cost.</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defect cannot reasonably be corrected except by drydocking the VESSEL, the BUYER shall be entitled to postpone correction and repair until a subsequent drydocking of the VESSEL. The BUYER may withhold the estimated cost of correction and repair from the Guarantee Payment until such drydocking.</w:t>
      </w:r>
    </w:p>
    <w:p>
      <w:pPr>
        <w:spacing w:after="0" w:line="187"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under this Article shall be referred to dispute resolution in accordance with the provisions of Article XIV hereof.</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Extent of the BUILDER’s Responsibility:</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have no responsibility or liability for any other defects whatsoever in the VESSEL than the defects specified in Paragraphs 1 and 2 of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3" w:name="page354"/>
    <w:bookmarkEnd w:id="353"/>
    <w:p>
      <w:pPr>
        <w:jc w:val="both"/>
        <w:ind w:left="520"/>
        <w:spacing w:after="0" w:line="242" w:lineRule="auto"/>
        <w:rPr>
          <w:sz w:val="20"/>
          <w:szCs w:val="20"/>
          <w:color w:val="auto"/>
        </w:rPr>
      </w:pPr>
      <w:r>
        <w:rPr>
          <w:rFonts w:ascii="Times New Roman" w:cs="Times New Roman" w:eastAsia="Times New Roman" w:hAnsi="Times New Roman"/>
          <w:sz w:val="20"/>
          <w:szCs w:val="20"/>
          <w:color w:val="auto"/>
        </w:rPr>
        <w:t>Article. Nor shall the BUILDER in any circumstances be responsible or liable for any consequential or special losses, damages or expenses including, but not limited to, loss of time, loss or breach of charters or other contractual commitments, loss of profit or earning or demurrage directly or indirectly occasioned to the BUYER by reason of the defects specified in Paragraphs 1 and 2 of this Article or due to repairs, replacements or other works done to the VESSEL to remedy such defects; except that in the event a defect in an item of equipment or machinery causes any damage to such item of equipment or machinery or to other immediately adjacent equipment, machinery, components or portions of the VESSEL, the BUILDER shall be liable for not only the cost of correcting or repairing the defect but also for the cost of correcting or repairing such damage to such item of equipment or machinery and to such other immediately adjacent equipment, machinery, components or portions of the VESSEL caused by such defect.</w:t>
      </w:r>
    </w:p>
    <w:p>
      <w:pPr>
        <w:spacing w:after="0" w:line="206" w:lineRule="exact"/>
        <w:rPr>
          <w:sz w:val="20"/>
          <w:szCs w:val="20"/>
          <w:color w:val="auto"/>
        </w:rPr>
      </w:pPr>
    </w:p>
    <w:p>
      <w:pPr>
        <w:jc w:val="both"/>
        <w:ind w:left="520" w:hanging="324"/>
        <w:spacing w:after="0" w:line="246" w:lineRule="auto"/>
        <w:tabs>
          <w:tab w:leader="none" w:pos="520"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be responsible for any defects in any part of the VESSEL which may subsequent to delivery of the VESSEL have been replaced or in any way repaired by any other contractor, or for any defects which have been caused or aggravated by omission or improper use and maintenance of the VESSEL on the part of the BUYER, its servants or agents or by ordinary wear and tear or by any other circumstances whatsoever beyond the control of the BUILDER.</w:t>
      </w:r>
    </w:p>
    <w:p>
      <w:pPr>
        <w:spacing w:after="0" w:line="198" w:lineRule="exact"/>
        <w:rPr>
          <w:rFonts w:ascii="Times New Roman" w:cs="Times New Roman" w:eastAsia="Times New Roman" w:hAnsi="Times New Roman"/>
          <w:sz w:val="20"/>
          <w:szCs w:val="20"/>
          <w:color w:val="auto"/>
        </w:rPr>
      </w:pPr>
    </w:p>
    <w:p>
      <w:pPr>
        <w:jc w:val="both"/>
        <w:ind w:left="520" w:hanging="324"/>
        <w:spacing w:after="0" w:line="243" w:lineRule="auto"/>
        <w:tabs>
          <w:tab w:leader="none" w:pos="520"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guaranty survey of the VESSEL shall be conducted by the BUYER at or near the expiration of the Guarantee Period. Such survey shall be based on the defects in the contract work appearing or discovered during the Guarantee Period. In the event that the VESSEL is not available for the guarantee survey on or before the end of the Guarantee Period, the BUYER promptly shall submit to the BUILDER a list of all of the defects in the contract work appearing or discovered during the Guarantee Period and all damage for which the BUILDER is liable under the provisions of this Article IX. The final guarantee survey shall be held at such port in the United States as the BUYER designates and seven (7) days’ written notice of time and place for such guarantee survey shall be given to the BUILDER by the BUYER. The BUILDER shall have the right to attend the guarantee survey.</w:t>
      </w:r>
    </w:p>
    <w:p>
      <w:pPr>
        <w:spacing w:after="0" w:line="199"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end of the Guarantee Period, the BUILDER agrees to transfer and assign to the BUYER, as to any item of material installed in the VESSEL, the guarantee rights of the BUILDER against the vendor of such item of material where under the terms of such vendor’s guarantee the vendor’s obligations extend for a period beyond the Guarantee Period; provided that the BUILDER may exclude from such assignment any rights against the vendor in favor of the BUILDER for guarantee deficiencies and damages within the Guarantee Period. The BUILDER shall advise the BUYER of the terms of any such guarantees that are assigned to the BUYER.</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9" w:lineRule="auto"/>
        <w:tabs>
          <w:tab w:leader="none" w:pos="520"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as hereinabove in this Article replaces and excludes any other liability, guarantee, warranty and/or condition imposed or implied by the law, customary, statutory or otherwise, by reason of the construction and sale of the VESSEL for and to the BUYER. THE BUILDER MAKES NO FURTHER WARRANTIES, EXPRESS OR IMPLIED, INCLUDING ANY WARRANTY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54" w:name="page355"/>
    <w:bookmarkEnd w:id="354"/>
    <w:p>
      <w:pPr>
        <w:ind w:left="972" w:right="20"/>
        <w:spacing w:after="0" w:line="269" w:lineRule="auto"/>
        <w:rPr>
          <w:sz w:val="20"/>
          <w:szCs w:val="20"/>
          <w:color w:val="auto"/>
        </w:rPr>
      </w:pPr>
      <w:r>
        <w:rPr>
          <w:rFonts w:ascii="Times New Roman" w:cs="Times New Roman" w:eastAsia="Times New Roman" w:hAnsi="Times New Roman"/>
          <w:sz w:val="20"/>
          <w:szCs w:val="20"/>
          <w:color w:val="auto"/>
        </w:rPr>
        <w:t>OF MERCHANTABILITY OR FITNESS OF THE VESSEL, ITS MACHINERY OR EQUIPMENT FOR A PARTICULAR PURPOSE.</w:t>
      </w:r>
    </w:p>
    <w:p>
      <w:pPr>
        <w:spacing w:after="0" w:line="173" w:lineRule="exact"/>
        <w:rPr>
          <w:sz w:val="20"/>
          <w:szCs w:val="20"/>
          <w:color w:val="auto"/>
        </w:rPr>
      </w:pPr>
    </w:p>
    <w:p>
      <w:pPr>
        <w:jc w:val="both"/>
        <w:ind w:left="912" w:hanging="264"/>
        <w:spacing w:after="0" w:line="245" w:lineRule="auto"/>
        <w:tabs>
          <w:tab w:leader="none" w:pos="912"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may withhold the Guarantee Payment and deposit the full amount into an escrow account as provided in Article II. The BUYER shall pay to the BUILDER the entire Guarantee Payment, less any amount to cover any outstanding defect, upon completion of the Guarantee Period for the VESSEL. Any amounts withheld beyond the end of the Guarantee Period pursuant this Article IX shall be paid upon the correction of each defect for which such amounts were withheld. Any dispute with respect to the amounts due under this Paragraph shall be settled pursuant to Article XIV.</w:t>
      </w:r>
    </w:p>
    <w:p>
      <w:pPr>
        <w:spacing w:after="0" w:line="193"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Engineer:</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have the right (at its cost) to appoint a guarantee engineer to serve on the VESSEL as its representative for such portion of the guarantee period as the BUILDER may decide. The guarantee engineer shall be a properly documented citizen of the United States. The BUYER and its employees shall give the guarantee engineer full cooperation in carrying out his duties as the representative of the BUILDER on board the VESSEL. The BUYER shall accord the guarantee engineer the treatment comparable to the VESSEL’s chief engineer and shall provide him with accommodations and subsistence at no cost of the BUILDER and/or the guarantee engineer.</w:t>
      </w:r>
    </w:p>
    <w:p>
      <w:pPr>
        <w:spacing w:after="0" w:line="197"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Pertaining to the detailed particulars of this Paragraph, an agreement will be made according to this effect between the parties hereto upon delivery of the VESSEL.</w:t>
      </w:r>
    </w:p>
    <w:p>
      <w:pPr>
        <w:spacing w:after="0" w:line="172"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guarantee engineer shall, at all times and in all respects, be deemed to be an employee of the BUILDER. The BUYER shall be under no liability whatsoever to the BUILDER or the guarantee engineer for personal injuries, including death, suffered by the guarantee engineer during the time when he is on board the VESSEL, unless such injury or death, is shown to have been caused by the gross negligence or willful acts of the BUYER, and/or its subcontractors and/or their employees or agents (including Buyer’s Representative), while acting within the scope of their employment or engagement. Nor shall the BUYER be under any other liability whatsoever to the guarantee engineer.</w:t>
      </w:r>
    </w:p>
    <w:p>
      <w:pPr>
        <w:spacing w:after="0" w:line="195" w:lineRule="exact"/>
        <w:rPr>
          <w:sz w:val="20"/>
          <w:szCs w:val="20"/>
          <w:color w:val="auto"/>
        </w:rPr>
      </w:pPr>
    </w:p>
    <w:p>
      <w:pPr>
        <w:jc w:val="center"/>
        <w:ind w:left="1000" w:right="220"/>
        <w:spacing w:after="0" w:line="300" w:lineRule="auto"/>
        <w:rPr>
          <w:sz w:val="20"/>
          <w:szCs w:val="20"/>
          <w:color w:val="auto"/>
        </w:rPr>
      </w:pPr>
      <w:r>
        <w:rPr>
          <w:rFonts w:ascii="Times New Roman" w:cs="Times New Roman" w:eastAsia="Times New Roman" w:hAnsi="Times New Roman"/>
          <w:sz w:val="19"/>
          <w:szCs w:val="19"/>
          <w:b w:val="1"/>
          <w:bCs w:val="1"/>
          <w:color w:val="auto"/>
        </w:rPr>
        <w:t>ARTICLE X – TERMINATION BY THE BUYER AND OPTIONS ON TERMINATION; GUARANTY AGREEMENT AND BUYER’S RIGHT TO ADDITIONAL SECURITY; AUDIT AND INSPECTION RIGHTS</w:t>
      </w:r>
    </w:p>
    <w:p>
      <w:pPr>
        <w:spacing w:after="0" w:line="142" w:lineRule="exact"/>
        <w:rPr>
          <w:sz w:val="20"/>
          <w:szCs w:val="20"/>
          <w:color w:val="auto"/>
        </w:rPr>
      </w:pPr>
    </w:p>
    <w:p>
      <w:pPr>
        <w:ind w:left="652" w:hanging="652"/>
        <w:spacing w:after="0"/>
        <w:tabs>
          <w:tab w:leader="none" w:pos="652" w:val="left"/>
        </w:tabs>
        <w:numPr>
          <w:ilvl w:val="0"/>
          <w:numId w:val="4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33" w:lineRule="exact"/>
        <w:rPr>
          <w:rFonts w:ascii="Times New Roman" w:cs="Times New Roman" w:eastAsia="Times New Roman" w:hAnsi="Times New Roman"/>
          <w:sz w:val="20"/>
          <w:szCs w:val="20"/>
          <w:b w:val="1"/>
          <w:bCs w:val="1"/>
          <w:color w:val="auto"/>
        </w:rPr>
      </w:pPr>
    </w:p>
    <w:p>
      <w:pPr>
        <w:jc w:val="both"/>
        <w:ind w:left="1292" w:hanging="644"/>
        <w:spacing w:after="0" w:line="249" w:lineRule="auto"/>
        <w:tabs>
          <w:tab w:leader="none" w:pos="1292" w:val="left"/>
        </w:tabs>
        <w:numPr>
          <w:ilvl w:val="1"/>
          <w:numId w:val="4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In the event that the BUYER shall exercise its right of termination of this Contract under and pursuant to any of the provisions of this Contract specifically permitting the BUYER to do so, then the BUYER shall notify the BUILDER in writing and such termination shall be effective as of the date notice thereof is received by the BUILDER.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55" w:name="page356"/>
    <w:bookmarkEnd w:id="355"/>
    <w:p>
      <w:pPr>
        <w:jc w:val="both"/>
        <w:ind w:left="840" w:hanging="644"/>
        <w:spacing w:after="0" w:line="254" w:lineRule="auto"/>
        <w:tabs>
          <w:tab w:leader="none" w:pos="84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of BUYER</w:t>
      </w:r>
      <w:r>
        <w:rPr>
          <w:rFonts w:ascii="Times New Roman" w:cs="Times New Roman" w:eastAsia="Times New Roman" w:hAnsi="Times New Roman"/>
          <w:sz w:val="20"/>
          <w:szCs w:val="20"/>
          <w:color w:val="auto"/>
        </w:rPr>
        <w:t>: In the event that the BUYER elects to terminate this Contract, the BUYER may elect to remove the VESSEL, complete the work, sell the work in process or obtain a refund. Such election shall be made by notice to the BUILDER as provided below.</w:t>
      </w:r>
    </w:p>
    <w:p>
      <w:pPr>
        <w:spacing w:after="0" w:line="187" w:lineRule="exact"/>
        <w:rPr>
          <w:rFonts w:ascii="Times New Roman" w:cs="Times New Roman" w:eastAsia="Times New Roman" w:hAnsi="Times New Roman"/>
          <w:sz w:val="20"/>
          <w:szCs w:val="20"/>
          <w:color w:val="auto"/>
        </w:rPr>
      </w:pPr>
    </w:p>
    <w:p>
      <w:pPr>
        <w:jc w:val="both"/>
        <w:ind w:left="840" w:hanging="644"/>
        <w:spacing w:after="0" w:line="243" w:lineRule="auto"/>
        <w:tabs>
          <w:tab w:leader="none" w:pos="84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Remove</w:t>
      </w:r>
      <w:r>
        <w:rPr>
          <w:rFonts w:ascii="Times New Roman" w:cs="Times New Roman" w:eastAsia="Times New Roman" w:hAnsi="Times New Roman"/>
          <w:sz w:val="20"/>
          <w:szCs w:val="20"/>
          <w:color w:val="auto"/>
        </w:rPr>
        <w:t>: In the event the BUYER shall elect to terminate this Contract, at the BUYER’s option the BUYER may elect in writing within [*] days after the termination of this Contract to remove the work in process from the Shipyard. Such removal, including preparation therefor, shall be performed at the BUILDER’s expense, and, if reasonably possible, the BUILDER shall furnish forces and equipment for such removal and preparation. The BUYER shall reimburse the BUILDER for the reasonable cost of such removal and preparation. As reasonably practical, the BUILDER shall assign to the BUYER, all existing subcontracts and purchase orders required to complete the VESSEL for which the work in process is being removed as the BUYER may direct.</w:t>
      </w:r>
    </w:p>
    <w:p>
      <w:pPr>
        <w:spacing w:after="0" w:line="202" w:lineRule="exact"/>
        <w:rPr>
          <w:rFonts w:ascii="Times New Roman" w:cs="Times New Roman" w:eastAsia="Times New Roman" w:hAnsi="Times New Roman"/>
          <w:sz w:val="20"/>
          <w:szCs w:val="20"/>
          <w:color w:val="auto"/>
        </w:rPr>
      </w:pPr>
    </w:p>
    <w:p>
      <w:pPr>
        <w:jc w:val="both"/>
        <w:ind w:left="840" w:hanging="644"/>
        <w:spacing w:after="0" w:line="242" w:lineRule="auto"/>
        <w:tabs>
          <w:tab w:leader="none" w:pos="84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Completion of the Work</w:t>
      </w:r>
      <w:r>
        <w:rPr>
          <w:rFonts w:ascii="Times New Roman" w:cs="Times New Roman" w:eastAsia="Times New Roman" w:hAnsi="Times New Roman"/>
          <w:sz w:val="20"/>
          <w:szCs w:val="20"/>
          <w:color w:val="auto"/>
        </w:rPr>
        <w:t>: In the event the BUYER shall elect to terminate this Contract, at the BUYER’s option, the BUYER may elect to have all or part of the work completed. The BUYER for such purposes may take possession and use and occupy so much of the Shipyard and the equipment, tools, machinery, and appliances in the Shipyard as may be needed by the BUYER for such purposes. In such instance as reasonably practical the BUILDER shall assign all subcontracts and orders for material, work, services and supplies to be used in the performance of this Contract to the BUYER as the BUYER may direct. Completion of all or a part of the work shall be performed at the BUILDER’s expense with the BUYER to reimburse the BUILDER for the amount that would have been payable to the BUILDER had such work been completed by the BUILDER, and the BUILDER to reimburse the BUYER for any additional costs incurred by the BUYER in completion of such work in accordance with the terms of this Contract (including the plans and specifications referred to herein) as existing on the date of termination of this Contract, evidenced by documented invoices provided to the BUILDER.</w:t>
      </w:r>
    </w:p>
    <w:p>
      <w:pPr>
        <w:spacing w:after="0" w:line="200" w:lineRule="exact"/>
        <w:rPr>
          <w:rFonts w:ascii="Times New Roman" w:cs="Times New Roman" w:eastAsia="Times New Roman" w:hAnsi="Times New Roman"/>
          <w:sz w:val="20"/>
          <w:szCs w:val="20"/>
          <w:color w:val="auto"/>
        </w:rPr>
      </w:pPr>
    </w:p>
    <w:p>
      <w:pPr>
        <w:jc w:val="both"/>
        <w:ind w:left="840" w:hanging="644"/>
        <w:spacing w:after="0" w:line="242" w:lineRule="auto"/>
        <w:tabs>
          <w:tab w:leader="none" w:pos="84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of the Work</w:t>
      </w:r>
      <w:r>
        <w:rPr>
          <w:rFonts w:ascii="Times New Roman" w:cs="Times New Roman" w:eastAsia="Times New Roman" w:hAnsi="Times New Roman"/>
          <w:sz w:val="20"/>
          <w:szCs w:val="20"/>
          <w:color w:val="auto"/>
        </w:rPr>
        <w:t>: In the event the BUYER shall elect to terminate this Contract and not complete the construction of the VESSEL and the BUYER so notifies the BUILDER, at any time within [*] days from the date of delivering such notice to the BUILDER, the BUYER may sell the VESSEL in a partially completed condition, work in progress, material to be installed in the VESSEL, together with copies of all Plans, Specification, working plans, calculations and other records reasonably required to complete the construction of the VESSEL. The BUYER shall have access to the Shipyard in order to conduct the sale. The sale may be consummated without appraisal or evaluation of the VESSEL, and shall be conducted in the manner determined by the BUYER but the BUYER shall use reasonable efforts to secure the best price possible in respect of the VESSEL. Any purchaser at any such sale shall be given reasonable time, not less than sixty (60) days from the date of sale, within which to remove from the Shipyard the VESSEL, work in progress, and material. Either party may become a purchaser at such a sale. The proceeds of the sale shall be applied first to payment of all costs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56" w:name="page357"/>
    <w:bookmarkEnd w:id="356"/>
    <w:p>
      <w:pPr>
        <w:jc w:val="both"/>
        <w:ind w:left="1300"/>
        <w:spacing w:after="0" w:line="246" w:lineRule="auto"/>
        <w:rPr>
          <w:sz w:val="20"/>
          <w:szCs w:val="20"/>
          <w:color w:val="auto"/>
        </w:rPr>
      </w:pPr>
      <w:r>
        <w:rPr>
          <w:rFonts w:ascii="Times New Roman" w:cs="Times New Roman" w:eastAsia="Times New Roman" w:hAnsi="Times New Roman"/>
          <w:sz w:val="20"/>
          <w:szCs w:val="20"/>
          <w:color w:val="auto"/>
        </w:rPr>
        <w:t>expenses, including reasonable attorneys’ fees incurred by the BUYER or its assigns in making such sale; second, to reimburse the BUYER for payments theretofore made by the BUYER to the BUILDER on account of such VESSEL; and, third, to payment of any damages, demands, or deficiencies arising by reason of default of the BUILDER. In the event the proceeds of the sale shall not be sufficient to make the payments required by the preceding sentence, the difference shall be paid by the BUILDER to the BUYER.</w:t>
      </w:r>
    </w:p>
    <w:p>
      <w:pPr>
        <w:spacing w:after="0" w:line="194" w:lineRule="exact"/>
        <w:rPr>
          <w:sz w:val="20"/>
          <w:szCs w:val="20"/>
          <w:color w:val="auto"/>
        </w:rPr>
      </w:pPr>
    </w:p>
    <w:p>
      <w:pPr>
        <w:jc w:val="both"/>
        <w:ind w:left="1300" w:hanging="644"/>
        <w:spacing w:after="0" w:line="241" w:lineRule="auto"/>
        <w:tabs>
          <w:tab w:leader="none" w:pos="1300"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 BUYER elects to obtain a refund the BUILDER shall promptly refund to the BUYER the full amount of all sums paid by the BUYER to the BUILDER on account of the VESSEL (unless the BUILDER proceeds to dispute resolution under the provisions of Article XIV hereof). In such event, the BUILDER shall pay the BUYER interest at the rate of 250 basis points per annum above Term SOFR for a three month tenor on the amount required herein to be refunded to the BUYER, computed from the respective dates on which such sums were paid by the BUYER to the BUILDER to the date of remittance by transfer of such refund to the BUYER by the BUILDER, provided, however, that if such rescission by the BUYER is made under the provisions of Paragraph 4 of Article VIII hereof, the BUILDER shall not be required to pay any interest. “Term SOFR” as of any day means (i) the Term SOFR Reference Rate for a 3 month tenor on the applicable day, if such day is a Business Day, as such rate is published by the Term SOFR Administrator and (ii) the Term SOFR Reference Rate for a 3 month tenor on the Business Day most recently preceding such day, if such day is not a Business Day, as such rate was published by the Term SOFR Administrator on such preceding Business Day. “Term SOFR Administrator” means CME Group Benchmark Administration Limited (CBA) (or a successor administrator of the Term SOFR Reference Rate selected by the BUYER in its reasonable discretion). “Term SOFR Reference Rate” means the forward-looking term rate based on SOFR.</w:t>
      </w:r>
    </w:p>
    <w:p>
      <w:pPr>
        <w:spacing w:after="0" w:line="210" w:lineRule="exact"/>
        <w:rPr>
          <w:rFonts w:ascii="Times New Roman" w:cs="Times New Roman" w:eastAsia="Times New Roman" w:hAnsi="Times New Roman"/>
          <w:sz w:val="20"/>
          <w:szCs w:val="20"/>
          <w:color w:val="auto"/>
        </w:rPr>
      </w:pPr>
    </w:p>
    <w:p>
      <w:pPr>
        <w:jc w:val="both"/>
        <w:ind w:left="130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promptly transfer title to the VESSEL and the work to the BUILDER upon receipt of the payment provided under this subparagraph. Upon such refund by the BUILDER to the BUYER, all obligations, duties and liabilities of each of the parties hereto to the other under this Contract shall be forthwith completely discharged.</w:t>
      </w:r>
    </w:p>
    <w:p>
      <w:pPr>
        <w:spacing w:after="0" w:line="189"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4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Guaranty; the BUYER’s Right to Receive Additional Financial Information; the BUYER’s Right to Demand Additional Security</w:t>
      </w:r>
    </w:p>
    <w:p>
      <w:pPr>
        <w:spacing w:after="0" w:line="169" w:lineRule="exact"/>
        <w:rPr>
          <w:rFonts w:ascii="Times New Roman" w:cs="Times New Roman" w:eastAsia="Times New Roman" w:hAnsi="Times New Roman"/>
          <w:sz w:val="20"/>
          <w:szCs w:val="20"/>
          <w:b w:val="1"/>
          <w:bCs w:val="1"/>
          <w:color w:val="auto"/>
        </w:rPr>
      </w:pPr>
    </w:p>
    <w:p>
      <w:pPr>
        <w:jc w:val="both"/>
        <w:ind w:left="1300" w:hanging="644"/>
        <w:spacing w:after="0" w:line="249" w:lineRule="auto"/>
        <w:tabs>
          <w:tab w:leader="none" w:pos="1300" w:val="left"/>
        </w:tabs>
        <w:numPr>
          <w:ilvl w:val="1"/>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obligations assumed by the BUYER under this Contract, and as an inducement to the BUYER to enter into this Contract, the GUARANTOR has furnished to the BUYER the Guaranty guarantying the BUILDER’S performance of its obligations under this Contract. The commitment made by the Guarantor under the Guaranty is an important consideration to the BUYER under this Contract.</w:t>
      </w:r>
    </w:p>
    <w:p>
      <w:pPr>
        <w:spacing w:after="0" w:line="193"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conditions of the BUILDER and the GUARANTOR are an important consideration to the BUYER under this Contract. The BUILDER shall provide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7" w:name="page358"/>
    <w:bookmarkEnd w:id="357"/>
    <w:p>
      <w:pPr>
        <w:ind w:left="840"/>
        <w:spacing w:after="0" w:line="269" w:lineRule="auto"/>
        <w:rPr>
          <w:sz w:val="20"/>
          <w:szCs w:val="20"/>
          <w:color w:val="auto"/>
        </w:rPr>
      </w:pPr>
      <w:r>
        <w:rPr>
          <w:rFonts w:ascii="Times New Roman" w:cs="Times New Roman" w:eastAsia="Times New Roman" w:hAnsi="Times New Roman"/>
          <w:sz w:val="20"/>
          <w:szCs w:val="20"/>
          <w:color w:val="auto"/>
        </w:rPr>
        <w:t>BUYER with annual and quarterly financial statements of both the BUILDER and the GUARANTOR in accordance with paragraph (d) below.</w:t>
      </w:r>
    </w:p>
    <w:p>
      <w:pPr>
        <w:spacing w:after="0" w:line="173" w:lineRule="exact"/>
        <w:rPr>
          <w:sz w:val="20"/>
          <w:szCs w:val="20"/>
          <w:color w:val="auto"/>
        </w:rPr>
      </w:pPr>
    </w:p>
    <w:p>
      <w:pPr>
        <w:jc w:val="both"/>
        <w:ind w:left="840" w:hanging="644"/>
        <w:spacing w:after="0"/>
        <w:tabs>
          <w:tab w:leader="none" w:pos="840" w:val="left"/>
        </w:tabs>
        <w:numPr>
          <w:ilvl w:val="0"/>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there occurs a breach of a “material” covenant (i.e., financial covenant or negative covenant) or any payment default under any bond, debenture, note or other evidence of indebtedness of the BUILDER or the GUARANTOR, in an aggregate principal amount of at least [*], or under any indenture or other instrument under which any such evidence of indebtedness has been issued or by which it is governed, which breach or default gives the holder the right to accelerate such indebtedness and which breach or default is not cured within any applicable grace or cure period, then, in order to secure the performance by the BUILDER under this Contract, the BUILDER or the GUARANTOR shall provide or maintain upon the BUYER’S request either (x) cash collateral in the amount of [*] deposited in an escrow account, in form and substance reasonably satisfactory to the BUYER (the “Cash Collateral”) or (y) a letter of credit or similar instrument, in form and substance reasonably satisfactory to the BUYER, and issued by a bank or other financial institution reasonably satisfactory to the BUYER, in the face amount of [*] (the “Letter of Credit”); and if the BUILDER or the GUARANTOR fails to provide the Cash Collateral or to provide or maintain the Letter of Credit (as applicable, the “Security”) within [*] days after the BUYER’s request, then the BUYER shall be entitled to terminate this Contract and exercise any of the rights in Paragraph 1 of this Article X. If, after the Security is provided to the BUYER, the underlying breach or default is cured or waived, unless the BUILDER has elected to cure a BUILDER’s Default under Article XII, subparagraph 1(g) by providing Security, then the requirement to provide the Security shall cease to apply and the Cash Collateral shall be returned or the Letter of Credit shall be cancelled, as applicable. The provision of the Security to the BUYER under this Paragraph 2(c) will also satisfy the requirements of Paragraph 2(c) of Article X of the Sister Ship Contracts. The BUYER shall not access the Cash Collateral or draw on the Letter of Credit unless and until this Contract has been terminated by the BUYER.</w:t>
      </w:r>
    </w:p>
    <w:p>
      <w:pPr>
        <w:spacing w:after="0" w:line="219" w:lineRule="exact"/>
        <w:rPr>
          <w:rFonts w:ascii="Times New Roman" w:cs="Times New Roman" w:eastAsia="Times New Roman" w:hAnsi="Times New Roman"/>
          <w:sz w:val="20"/>
          <w:szCs w:val="20"/>
          <w:color w:val="auto"/>
        </w:rPr>
      </w:pPr>
    </w:p>
    <w:p>
      <w:pPr>
        <w:jc w:val="both"/>
        <w:ind w:left="840" w:hanging="644"/>
        <w:spacing w:after="0" w:line="256" w:lineRule="auto"/>
        <w:tabs>
          <w:tab w:leader="none" w:pos="840" w:val="left"/>
        </w:tabs>
        <w:numPr>
          <w:ilvl w:val="0"/>
          <w:numId w:val="4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BUILDER will provide the BUYER with: (i) audited annual financial statements of the GUARANTOR and its subsidiaries, on a consolidated basis, that shall be accompanied by an opinion thereon of KPMG AS or other independent certified public accountants of recognized standing that such statements present fairly, in all material respects, the consolidated financial position of the companies being reported, within one hundred twenty (120) days of the close of each fiscal year, and (ii) unaudited quarterly financial statements of the GUARANTOR and its subsidiaries, on a consolidated basis, certified, as appropriate, by a senior financial officer of the BUILDER or the GUARANTOR on behalf of such entity as fairly presenting, in all material respects, the consolidated financial position of the companies being reported, within sixty (60) days of the close of each fiscal quarter (other than the fourth fiscal quarter of each fiscal year). The BUILDER shall provide unaudited quarterly financial statements of the BUILDER on a stand-alone basis to the extent there is any material difference in such unaudited quarterly financial statements and the unaudited quarterly financial statements required by clause (ii) above with respect to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58" w:name="page359"/>
    <w:bookmarkEnd w:id="358"/>
    <w:p>
      <w:pPr>
        <w:jc w:val="center"/>
        <w:spacing w:after="0"/>
        <w:rPr>
          <w:sz w:val="20"/>
          <w:szCs w:val="20"/>
          <w:color w:val="auto"/>
        </w:rPr>
      </w:pPr>
      <w:r>
        <w:rPr>
          <w:rFonts w:ascii="Times New Roman" w:cs="Times New Roman" w:eastAsia="Times New Roman" w:hAnsi="Times New Roman"/>
          <w:sz w:val="20"/>
          <w:szCs w:val="20"/>
          <w:b w:val="1"/>
          <w:bCs w:val="1"/>
          <w:color w:val="auto"/>
        </w:rPr>
        <w:t>ARTICLE XI-BUYER’S DEFAULT</w:t>
      </w:r>
    </w:p>
    <w:p>
      <w:pPr>
        <w:spacing w:after="0" w:line="229" w:lineRule="exact"/>
        <w:rPr>
          <w:sz w:val="20"/>
          <w:szCs w:val="20"/>
          <w:color w:val="auto"/>
        </w:rPr>
      </w:pPr>
    </w:p>
    <w:p>
      <w:pPr>
        <w:ind w:left="660" w:hanging="652"/>
        <w:spacing w:after="0"/>
        <w:tabs>
          <w:tab w:leader="none" w:pos="660" w:val="left"/>
        </w:tabs>
        <w:numPr>
          <w:ilvl w:val="0"/>
          <w:numId w:val="4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 of BUYER’s Default:</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BUYER shall be deemed to be in default of performance of its obligations under this Contract in the following cases:</w:t>
      </w:r>
    </w:p>
    <w:p>
      <w:pPr>
        <w:spacing w:after="0" w:line="172" w:lineRule="exact"/>
        <w:rPr>
          <w:rFonts w:ascii="Times New Roman" w:cs="Times New Roman" w:eastAsia="Times New Roman" w:hAnsi="Times New Roman"/>
          <w:sz w:val="20"/>
          <w:szCs w:val="20"/>
          <w:b w:val="1"/>
          <w:bCs w:val="1"/>
          <w:color w:val="auto"/>
        </w:rPr>
      </w:pPr>
    </w:p>
    <w:p>
      <w:pPr>
        <w:ind w:left="1300" w:hanging="644"/>
        <w:spacing w:after="0" w:line="269" w:lineRule="auto"/>
        <w:tabs>
          <w:tab w:leader="none" w:pos="1300"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take delivery of the VESSEL, when the VESSEL is duly tendered for delivery by the BUILDER under the provisions of Article VII hereof.</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fails to make any payment under Article II in this Contract when such payment is due, absent a good faith dispute about the amount payable, and such failure is not remedied within [*] days after written notice thereof from BUILDER.</w:t>
      </w:r>
    </w:p>
    <w:p>
      <w:pPr>
        <w:spacing w:after="0" w:line="187" w:lineRule="exact"/>
        <w:rPr>
          <w:rFonts w:ascii="Times New Roman" w:cs="Times New Roman" w:eastAsia="Times New Roman" w:hAnsi="Times New Roman"/>
          <w:sz w:val="20"/>
          <w:szCs w:val="20"/>
          <w:color w:val="auto"/>
        </w:rPr>
      </w:pPr>
    </w:p>
    <w:p>
      <w:pPr>
        <w:jc w:val="both"/>
        <w:ind w:left="1300" w:hanging="644"/>
        <w:spacing w:after="0" w:line="243" w:lineRule="auto"/>
        <w:tabs>
          <w:tab w:leader="none" w:pos="1300"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being dissolved or adjudged bankrupt or making a general assignment for the benefit of its creditors, or the appointment of a receiver or receivers of any kind whatsoever, whether or not appointed in bankruptcy, common law or equity proceedings, whether temporary or permanent, for the property of the BUYER, or the filing by the BUYER of a petition for reorganization or other proceedings with reference to the BUYER, under the Bankruptcy Code of the United States or any similar law, state or federal or in any other jurisdiction in which the BUYER has assets or is registered to do business, or the filing of such petition of creditors and approval thereof by the Court, whether proposed by a creditor, a stockholder or any other person whatsoever, or the filing of an answer to such a petition admitting insolvency or inability to pay its debts.</w:t>
      </w:r>
    </w:p>
    <w:p>
      <w:pPr>
        <w:spacing w:after="0" w:line="19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and Charge: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BUYER is in default of a payment as to any installment as provided in Paragraph 1(a) and (b) of this Article, the BUYER shall pay interest on such installment at Term SOFR for a three month tenor plus 250 basis points per annum from the due date thereof to the date of payment to the BUILDER on the full amount including interest. In case the BUYER shall fail to take delivery of the VESSEL as provided in Paragraph 1(a) of this Article, the BUYER shall be deemed in default of the final payment and shall pay interest thereon at the same rate as aforesaid from and including the day on which the VESSEL is tendered for delivery by the BUILDER. In any event of default by the BUYER, the BUYER shall also pay all charges and expenses incurred by the BUILDER in connection with such default.</w:t>
      </w:r>
    </w:p>
    <w:p>
      <w:pPr>
        <w:spacing w:after="0" w:line="19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Default:</w:t>
      </w:r>
    </w:p>
    <w:p>
      <w:pPr>
        <w:spacing w:after="0" w:line="233" w:lineRule="exact"/>
        <w:rPr>
          <w:rFonts w:ascii="Times New Roman" w:cs="Times New Roman" w:eastAsia="Times New Roman" w:hAnsi="Times New Roman"/>
          <w:sz w:val="20"/>
          <w:szCs w:val="20"/>
          <w:b w:val="1"/>
          <w:bCs w:val="1"/>
          <w:color w:val="auto"/>
        </w:rPr>
      </w:pPr>
    </w:p>
    <w:p>
      <w:pPr>
        <w:ind w:left="980" w:hanging="324"/>
        <w:spacing w:after="0" w:line="269" w:lineRule="auto"/>
        <w:tabs>
          <w:tab w:leader="none" w:pos="980"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occurs as provided hereinbefore, the Delivery Date shall be postponed for the period of continuance of such default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59" w:name="page360"/>
    <w:bookmarkEnd w:id="359"/>
    <w:p>
      <w:pPr>
        <w:jc w:val="both"/>
        <w:ind w:left="972" w:hanging="324"/>
        <w:spacing w:after="0" w:line="246" w:lineRule="auto"/>
        <w:tabs>
          <w:tab w:leader="none" w:pos="972" w:val="left"/>
        </w:tabs>
        <w:numPr>
          <w:ilvl w:val="1"/>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by the BUYER continues for a period of fifteen (15) days after receipt of written notice from the BUILDER, the BUILDER may, at its option, terminate this Contract by giving notice of such effect to the BUYER in writing. Upon receipt by the BUYER of such notice of termination, this Contract shall forthwith become terminated and any of the BUYER’s Supplies in the BUILDER’s custody shall be tendered to the BUYER and if not promptly removed up by the BUYER shall become the sole property of the BUILDER.</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such termination of this Contract, the BUILDER shall be entitled to retain any installments theretofore paid by the BUYER to the BUILDER on account of this Contract in trust (both for itself and the BUYER) until disposition of the VESSEL as hereinafter provided, whereupon the same shall be applied as provided in Paragraph 4 below.</w:t>
      </w:r>
    </w:p>
    <w:p>
      <w:pPr>
        <w:spacing w:after="0" w:line="189"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of the VESSEL:</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54" w:lineRule="auto"/>
        <w:tabs>
          <w:tab w:leader="none" w:pos="972"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termination of this Contract as above provided, the BUILDER shall have full right and power either to complete or not to complete the VESSEL as it deems fit, and to sell the VESSEL at a public or private sale on such terms and conditions as the BUILDER thinks fit without being answerable for any loss or damage.</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6" w:lineRule="auto"/>
        <w:tabs>
          <w:tab w:leader="none" w:pos="972"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sale of the VESSEL in its completed state, the proceeds of the sale received by the BUILDER shall be applied as follows: first, to the payment of all expenses attending such sale and otherwise incurred by the BUILDER as a result of the BUYER’s default; and second, to payment of all unpaid installments of the Contract Price and interest on such installments at Term SOFR for a three month tenor plus 250 basis points per annum from the respective due dates thereof to the date of application.</w:t>
      </w:r>
    </w:p>
    <w:p>
      <w:pPr>
        <w:spacing w:after="0" w:line="198" w:lineRule="exact"/>
        <w:rPr>
          <w:rFonts w:ascii="Times New Roman" w:cs="Times New Roman" w:eastAsia="Times New Roman" w:hAnsi="Times New Roman"/>
          <w:sz w:val="20"/>
          <w:szCs w:val="20"/>
          <w:color w:val="auto"/>
        </w:rPr>
      </w:pPr>
    </w:p>
    <w:p>
      <w:pPr>
        <w:jc w:val="both"/>
        <w:ind w:left="972" w:hanging="324"/>
        <w:spacing w:after="0" w:line="245" w:lineRule="auto"/>
        <w:tabs>
          <w:tab w:leader="none" w:pos="972"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sale of the VESSEL in its incomplete state, the proceeds of sale received by the BUILDER shall be applied as follows: first, to all expenses attending such sale and otherwise incurred by the BUILDER as a result of the BUYER’s default; second, to payment of all costs of construction of the VESSEL less the installments paid to the BUILDER; and third, to payment of compensation to the BUILDER in an amount equal to ten percent (10%) of all costs of construction of the VESSEL, representing a reasonable loss of profit on such costs due to the termination of this Contract.</w:t>
      </w:r>
    </w:p>
    <w:p>
      <w:pPr>
        <w:spacing w:after="0" w:line="197" w:lineRule="exact"/>
        <w:rPr>
          <w:rFonts w:ascii="Times New Roman" w:cs="Times New Roman" w:eastAsia="Times New Roman" w:hAnsi="Times New Roman"/>
          <w:sz w:val="20"/>
          <w:szCs w:val="20"/>
          <w:color w:val="auto"/>
        </w:rPr>
      </w:pPr>
    </w:p>
    <w:p>
      <w:pPr>
        <w:jc w:val="both"/>
        <w:ind w:left="972" w:hanging="324"/>
        <w:spacing w:after="0" w:line="249" w:lineRule="auto"/>
        <w:tabs>
          <w:tab w:leader="none" w:pos="972"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either of the above events of sale, if the proceeds of sale exceed the total of amounts to which such proceeds are to be applied under subparagraphs b or c of this Paragraph 4, the BUILDER shall promptly pay the excess to the BUYER without interest, provided, however, that the amount of such payment to the BUYER shall in no event exceed the total amount of installments already paid by the BUYER.</w:t>
      </w:r>
    </w:p>
    <w:p>
      <w:pPr>
        <w:spacing w:after="0" w:line="193" w:lineRule="exact"/>
        <w:rPr>
          <w:rFonts w:ascii="Times New Roman" w:cs="Times New Roman" w:eastAsia="Times New Roman" w:hAnsi="Times New Roman"/>
          <w:sz w:val="20"/>
          <w:szCs w:val="20"/>
          <w:color w:val="auto"/>
        </w:rPr>
      </w:pPr>
    </w:p>
    <w:p>
      <w:pPr>
        <w:ind w:left="972" w:hanging="324"/>
        <w:spacing w:after="0" w:line="269" w:lineRule="auto"/>
        <w:tabs>
          <w:tab w:leader="none" w:pos="972"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proceeds of sale are insufficient to pay such total amounts payable under subparagraphs b or c of this Paragraph 4, the BUYER shall promptly pay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60" w:name="page361"/>
    <w:bookmarkEnd w:id="360"/>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deficiency, plus interest thereon at Term SOFR for a three month tenor plus two percent (2%) per annum running on and from the date of the sale closing until the date the full amount of said deficiency and interest is received by the BUILDER, to the BUILDER upon request.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XII –BUILDER’S DEFAULT</w:t>
      </w:r>
    </w:p>
    <w:p>
      <w:pPr>
        <w:spacing w:after="0" w:line="229" w:lineRule="exact"/>
        <w:rPr>
          <w:sz w:val="20"/>
          <w:szCs w:val="20"/>
          <w:color w:val="auto"/>
        </w:rPr>
      </w:pPr>
    </w:p>
    <w:p>
      <w:pPr>
        <w:ind w:left="660" w:hanging="652"/>
        <w:spacing w:after="0"/>
        <w:tabs>
          <w:tab w:leader="none" w:pos="660"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 of BUILDER’s Default: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shall constitute events of default of the BUILDER under this Contract (each a “BUILDER’S Default”):</w:t>
      </w:r>
    </w:p>
    <w:p>
      <w:pPr>
        <w:spacing w:after="0" w:line="229" w:lineRule="exact"/>
        <w:rPr>
          <w:sz w:val="20"/>
          <w:szCs w:val="20"/>
          <w:color w:val="auto"/>
        </w:rPr>
      </w:pPr>
    </w:p>
    <w:p>
      <w:pPr>
        <w:jc w:val="both"/>
        <w:ind w:left="980" w:hanging="324"/>
        <w:spacing w:after="0" w:line="263" w:lineRule="auto"/>
        <w:tabs>
          <w:tab w:leader="none" w:pos="980"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BUILDER fails to timely perform any obligation of the BUILDER under this Contract, and such failure is material and not remedied within thirty (30) days after written notice thereof from the BUYER;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166" w:lineRule="exact"/>
        <w:rPr>
          <w:rFonts w:ascii="Times New Roman" w:cs="Times New Roman" w:eastAsia="Times New Roman" w:hAnsi="Times New Roman"/>
          <w:sz w:val="19"/>
          <w:szCs w:val="19"/>
          <w:color w:val="auto"/>
        </w:rPr>
      </w:pPr>
    </w:p>
    <w:p>
      <w:pPr>
        <w:jc w:val="both"/>
        <w:ind w:left="980" w:hanging="324"/>
        <w:spacing w:after="0" w:line="242" w:lineRule="auto"/>
        <w:tabs>
          <w:tab w:leader="none" w:pos="980"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or the GUARANTOR (the “BUILDER PARTIES”) being dissolved or adjudged as bankrupt or making a general assignment for the benefit of its creditors, or the appointment of a receiver or receivers of any kind whatsoever, whether or not appointed in bankruptcy, common law or equity proceedings, whether temporary or permanent, for the property of the BUILDER, or the filing by any of the BUILDER PARTIES of a petition for reorganization or other proceedings with reference to any of the BUILDER PARTIES, under any of the provisions of the Bankruptcy Code of the United States or any similar law, state or federal or in any jurisdiction in which any of the BUILDER PARTIES has assets or is registered to do business, or the filing of such petition by creditors and approval thereof by the Court, whether proposed by a creditor, a stockholder or any other person whatsoever, or the filing of an answer to such petition admitting insolvency or inability to pay its debts, or if the BUILDER fails to assume this Contract within thirty (30) days of the filing of a petition by or against the BUILDER under the U.S. Bankruptcy Code or similar law.</w:t>
      </w:r>
    </w:p>
    <w:p>
      <w:pPr>
        <w:spacing w:after="0" w:line="203"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BUILDER to prosecute the work with such diligence and in such manner as will clearly prevent it from completing said work in accordance with the Delivery Date as adjusted plus [*] days, except and to the extent that such failure is due to one or more of the causes stated in ARTICLE VIII, which default continues unremedied for a period of thirty (30) days after written notice to the BUILDER thereof; provided that if such default is not capable of cure within such 30-day period, the BUILDER shall not be in default hereunder if within such 30-day period the BUILDER has commenced the work or performance required to cure such failure and thereafter diligently prosecutes to completion all such work and performance required to cure such failure;</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solely due to the fault of the BUILDER a total of [*] days of delay in delivery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61" w:name="page362"/>
    <w:bookmarkEnd w:id="361"/>
    <w:p>
      <w:pPr>
        <w:ind w:left="972"/>
        <w:spacing w:after="0"/>
        <w:rPr>
          <w:sz w:val="20"/>
          <w:szCs w:val="20"/>
          <w:color w:val="auto"/>
        </w:rPr>
      </w:pPr>
      <w:r>
        <w:rPr>
          <w:rFonts w:ascii="Times New Roman" w:cs="Times New Roman" w:eastAsia="Times New Roman" w:hAnsi="Times New Roman"/>
          <w:sz w:val="20"/>
          <w:szCs w:val="20"/>
          <w:color w:val="auto"/>
        </w:rPr>
        <w:t>VESSEL has elapsed after the Delivery Date as adjusted; or</w:t>
      </w:r>
    </w:p>
    <w:p>
      <w:pPr>
        <w:spacing w:after="0" w:line="216" w:lineRule="exact"/>
        <w:rPr>
          <w:sz w:val="20"/>
          <w:szCs w:val="20"/>
          <w:color w:val="auto"/>
        </w:rPr>
      </w:pPr>
    </w:p>
    <w:p>
      <w:pPr>
        <w:ind w:left="972" w:hanging="324"/>
        <w:spacing w:after="0" w:line="269" w:lineRule="auto"/>
        <w:tabs>
          <w:tab w:leader="none" w:pos="972" w:val="left"/>
        </w:tabs>
        <w:numPr>
          <w:ilvl w:val="1"/>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BUILDER’s Default under either of the Sister Ship Contracts continues unremedied beyond any applicable notice and cure period specified therein.</w:t>
      </w:r>
    </w:p>
    <w:p>
      <w:pPr>
        <w:spacing w:after="0" w:line="159" w:lineRule="exact"/>
        <w:rPr>
          <w:rFonts w:ascii="Times New Roman" w:cs="Times New Roman" w:eastAsia="Times New Roman" w:hAnsi="Times New Roman"/>
          <w:sz w:val="20"/>
          <w:szCs w:val="20"/>
          <w:color w:val="auto"/>
        </w:rPr>
      </w:pPr>
    </w:p>
    <w:p>
      <w:pPr>
        <w:jc w:val="both"/>
        <w:ind w:left="972" w:hanging="324"/>
        <w:spacing w:after="0" w:line="274" w:lineRule="auto"/>
        <w:tabs>
          <w:tab w:leader="none" w:pos="972" w:val="left"/>
        </w:tabs>
        <w:numPr>
          <w:ilvl w:val="1"/>
          <w:numId w:val="4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or statement made or deemed to be made by the BUILDER herein or in any statement or certificate delivered or required to be delivered by an officer of the BUILDER pursuant hereto shall prove to be untrue in any material respect on the date as of which it was made or deemed to have been made.</w:t>
      </w:r>
    </w:p>
    <w:p>
      <w:pPr>
        <w:spacing w:after="0" w:line="156" w:lineRule="exact"/>
        <w:rPr>
          <w:rFonts w:ascii="Times New Roman" w:cs="Times New Roman" w:eastAsia="Times New Roman" w:hAnsi="Times New Roman"/>
          <w:sz w:val="19"/>
          <w:szCs w:val="19"/>
          <w:color w:val="auto"/>
        </w:rPr>
      </w:pPr>
    </w:p>
    <w:p>
      <w:pPr>
        <w:jc w:val="both"/>
        <w:ind w:left="972" w:hanging="324"/>
        <w:spacing w:after="0" w:line="242" w:lineRule="auto"/>
        <w:tabs>
          <w:tab w:leader="none" w:pos="972" w:val="left"/>
        </w:tabs>
        <w:numPr>
          <w:ilvl w:val="1"/>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there occurs a default under any bond, debenture, note or other evidence of indebtedness of the BUILDER or the GUARANTOR, or under any indenture or other instrument under which any such evidence of indebtedness has been issued or by which it is governed, which default gives the holder the right to accelerate such indebtedness and which breach is not cured within any applicable grace or cure period, and (ii) such default results in the acceleration of the maturity of indebtedness in an aggregate principal amount of at least [*], unless the BUILDER and/or the GUARANTOR provides Security to the BUYER. Any Security provided to cure a BUILDER’s Default under this Article XII subparagraph 1(g) shall be maintained by the BUILDER for the benefit of the BUYER until the earlier of (x) delivery of the VESSEL and the vessels subject to the Sister Ship Contracts or (y) four (4) consecutive quarters of debt compliance during which the BUILDER is not in bankruptcy.</w:t>
      </w: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4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BUYER’s Remedies: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the occurrence of a BUILDER’s Default, the BUYER may, at its option, cease to make payments hereunder and exercise any other remedy available to it by law, including without limitation, to terminate this Contract by giving notice of such effect to the BUILDER in accordance with ARTICLE X hereof, which termination shall be effective, without further act or deed immediately upon the receipt of such notice provided, such termination shall not prevent either party from initiating proceedings pursuant to the provisions of Article XIV with respect to any claim it may allege concerning rights and obligations under this Contract. Upon the giving of such notice, the BUYER may elect any of the options set forth in Article X.</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XIII-INSURANCE</w:t>
      </w:r>
    </w:p>
    <w:p>
      <w:pPr>
        <w:spacing w:after="0" w:line="229" w:lineRule="exact"/>
        <w:rPr>
          <w:sz w:val="20"/>
          <w:szCs w:val="20"/>
          <w:color w:val="auto"/>
        </w:rPr>
      </w:pPr>
    </w:p>
    <w:p>
      <w:pPr>
        <w:ind w:left="652" w:hanging="652"/>
        <w:spacing w:after="0"/>
        <w:tabs>
          <w:tab w:leader="none" w:pos="652" w:val="left"/>
        </w:tabs>
        <w:numPr>
          <w:ilvl w:val="0"/>
          <w:numId w:val="4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Builder’s Insurance:</w:t>
      </w:r>
    </w:p>
    <w:p>
      <w:pPr>
        <w:spacing w:after="0" w:line="233" w:lineRule="exact"/>
        <w:rPr>
          <w:rFonts w:ascii="Times New Roman" w:cs="Times New Roman" w:eastAsia="Times New Roman" w:hAnsi="Times New Roman"/>
          <w:sz w:val="20"/>
          <w:szCs w:val="20"/>
          <w:b w:val="1"/>
          <w:bCs w:val="1"/>
          <w:color w:val="auto"/>
        </w:rPr>
      </w:pPr>
    </w:p>
    <w:p>
      <w:pPr>
        <w:jc w:val="both"/>
        <w:ind w:left="652"/>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any and all times during the term of this Contract, BUILDER shall at its own expense maintain, with an insurance company or companies, with a minimum rating by A.M. Best Company and/or Standard &amp; Poor’s of A minus or equivalent, and authorized to do business in the state in which work is to be performed, insurance and surety coverage’s of the kind and in the minimum amounts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2" w:right="999" w:bottom="1440" w:gutter="0" w:footer="0" w:header="0"/>
        </w:sectPr>
      </w:pPr>
    </w:p>
    <w:bookmarkStart w:id="362" w:name="page363"/>
    <w:bookmarkEnd w:id="362"/>
    <w:p>
      <w:pPr>
        <w:ind w:left="520" w:hanging="324"/>
        <w:spacing w:after="0"/>
        <w:tabs>
          <w:tab w:leader="none" w:pos="52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argo Insurance, Builder’s Risk Insurance and Property Insurance</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jc w:val="both"/>
        <w:ind w:left="1500" w:hanging="656"/>
        <w:spacing w:after="0" w:line="243" w:lineRule="auto"/>
        <w:tabs>
          <w:tab w:leader="none" w:pos="150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Cargo Insurance</w:t>
      </w:r>
      <w:r>
        <w:rPr>
          <w:rFonts w:ascii="Times New Roman" w:cs="Times New Roman" w:eastAsia="Times New Roman" w:hAnsi="Times New Roman"/>
          <w:sz w:val="20"/>
          <w:szCs w:val="20"/>
          <w:color w:val="auto"/>
        </w:rPr>
        <w:t>. BUILDER shall maintain All Risk Marine/War Risk Cargo Insurance subject to a limit of $[*] any one conveyance on all machinery, materials or equipment to be installed as part of the VESSEL, at all times commencing with the earlier of BUILDER taking title or having an insurable interest and while in transit until such machinery, materials or equipment reaches the Shipyard and risk of loss is properly transferred to a Property Insurance policy or a Hull Builder’s Risk Insurance policy. In the event that any shipment (by sea, air, etc.) exceeds the $[*] limit, then five (5) days before such shipment, BUILDER will disclose the value of such shipment to BUYER and verify that adequate insurance is in place. BUILDER shall promptly provide BUYER with a certificate evidencing the cargo insurance if a new policy is procured.</w:t>
      </w:r>
    </w:p>
    <w:p>
      <w:pPr>
        <w:spacing w:after="0" w:line="212" w:lineRule="exact"/>
        <w:rPr>
          <w:rFonts w:ascii="Times New Roman" w:cs="Times New Roman" w:eastAsia="Times New Roman" w:hAnsi="Times New Roman"/>
          <w:sz w:val="20"/>
          <w:szCs w:val="20"/>
          <w:color w:val="auto"/>
        </w:rPr>
      </w:pPr>
    </w:p>
    <w:p>
      <w:pPr>
        <w:jc w:val="both"/>
        <w:ind w:left="1500" w:hanging="656"/>
        <w:spacing w:after="0" w:line="245" w:lineRule="auto"/>
        <w:tabs>
          <w:tab w:leader="none" w:pos="150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Insurance</w:t>
      </w:r>
      <w:r>
        <w:rPr>
          <w:rFonts w:ascii="Times New Roman" w:cs="Times New Roman" w:eastAsia="Times New Roman" w:hAnsi="Times New Roman"/>
          <w:sz w:val="20"/>
          <w:szCs w:val="20"/>
          <w:color w:val="auto"/>
        </w:rPr>
        <w:t>. From the time that the first machinery, material or equipment to be installed or included as part of each VESSEL enters the Shipyard, and until the laying of the keel of the VESSEL, BUILDER, at its expense, shall keep all such machinery, material and equipment, including all items furnished by BUYER to the extent that BUYER has declared the value of such items to BUILDER, insured at all times under BUILDER’S existing property insurance policy and/or a Hull Builder’s Risk Insurance policy.</w:t>
      </w:r>
    </w:p>
    <w:p>
      <w:pPr>
        <w:spacing w:after="0" w:line="197"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Builder’s risk insurance:</w:t>
      </w:r>
    </w:p>
    <w:p>
      <w:pPr>
        <w:spacing w:after="0" w:line="229" w:lineRule="exact"/>
        <w:rPr>
          <w:sz w:val="20"/>
          <w:szCs w:val="20"/>
          <w:color w:val="auto"/>
        </w:rPr>
      </w:pPr>
    </w:p>
    <w:p>
      <w:pPr>
        <w:jc w:val="both"/>
        <w:ind w:left="1480" w:hanging="636"/>
        <w:spacing w:after="0" w:line="242" w:lineRule="auto"/>
        <w:tabs>
          <w:tab w:leader="none" w:pos="148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w:t>
      </w:r>
      <w:r>
        <w:rPr>
          <w:rFonts w:ascii="Times New Roman" w:cs="Times New Roman" w:eastAsia="Times New Roman" w:hAnsi="Times New Roman"/>
          <w:sz w:val="20"/>
          <w:szCs w:val="20"/>
          <w:color w:val="auto"/>
        </w:rPr>
        <w:t>. From the time of the laying of the keel of the VESSEL, and until delivery of the VESSEL, BUILDER, at its expense, shall keep the VESSEL and all machinery, material and equipment to be installed in the VESSEL, including all items furnished by BUYER (to the extent that BUYER has declared the value of such items to BUILDER) insured at all times under an all-risk form Marine Builders Risk policy, acceptable to BUYER (such acceptance not to be unreasonably withheld), it being agreed that if such policy is acceptable to the lender(s) providing construction period financing for the VESSEL, if any, then such policy shall be deemed to be acceptable to BUYER. BUILDER may utilize existing policies of insurance that cover the risks listed in subparagraph (a)(iii)(2) of this Article, provided that such policies are maintained by BUILDER in accordance with the provisions of paragraph (a) of this Article.</w:t>
      </w:r>
    </w:p>
    <w:p>
      <w:pPr>
        <w:spacing w:after="0" w:line="205"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w:t>
      </w:r>
      <w:r>
        <w:rPr>
          <w:rFonts w:ascii="Times New Roman" w:cs="Times New Roman" w:eastAsia="Times New Roman" w:hAnsi="Times New Roman"/>
          <w:sz w:val="20"/>
          <w:szCs w:val="20"/>
          <w:color w:val="auto"/>
        </w:rPr>
        <w:t>. The insurance shall cover all usual marine risks, and in particular, but without prejudice to the generality of the foregoing, shall cover the following risks to the extent such insurance is available on commercially reasonable terms:</w:t>
      </w:r>
    </w:p>
    <w:p>
      <w:pPr>
        <w:spacing w:after="0" w:line="187" w:lineRule="exact"/>
        <w:rPr>
          <w:rFonts w:ascii="Times New Roman" w:cs="Times New Roman" w:eastAsia="Times New Roman" w:hAnsi="Times New Roman"/>
          <w:sz w:val="20"/>
          <w:szCs w:val="20"/>
          <w:color w:val="auto"/>
        </w:rPr>
      </w:pPr>
    </w:p>
    <w:p>
      <w:pPr>
        <w:jc w:val="both"/>
        <w:ind w:left="2120" w:hanging="641"/>
        <w:spacing w:after="0" w:line="254" w:lineRule="auto"/>
        <w:tabs>
          <w:tab w:leader="none" w:pos="2120"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risks of loss or damage, including earthquake, volcanic eruption, hurricane, named windstorm and tidal wave, in respect of the VESSEL and all machinery, material and equipment, whether at the Shipyard or BUILDER’s suppliers’ premises or 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63" w:name="page364"/>
    <w:bookmarkEnd w:id="363"/>
    <w:p>
      <w:pPr>
        <w:ind w:left="2120" w:right="20"/>
        <w:spacing w:after="0" w:line="269" w:lineRule="auto"/>
        <w:rPr>
          <w:sz w:val="20"/>
          <w:szCs w:val="20"/>
          <w:color w:val="auto"/>
        </w:rPr>
      </w:pPr>
      <w:r>
        <w:rPr>
          <w:rFonts w:ascii="Times New Roman" w:cs="Times New Roman" w:eastAsia="Times New Roman" w:hAnsi="Times New Roman"/>
          <w:sz w:val="20"/>
          <w:szCs w:val="20"/>
          <w:color w:val="auto"/>
        </w:rPr>
        <w:t>transit to the Shipyard or other place of BUILDER custody, including and during launching and trials;</w:t>
      </w:r>
    </w:p>
    <w:p>
      <w:pPr>
        <w:spacing w:after="0" w:line="173" w:lineRule="exact"/>
        <w:rPr>
          <w:sz w:val="20"/>
          <w:szCs w:val="20"/>
          <w:color w:val="auto"/>
        </w:rPr>
      </w:pPr>
    </w:p>
    <w:p>
      <w:pPr>
        <w:ind w:left="2120" w:hanging="641"/>
        <w:spacing w:after="0"/>
        <w:tabs>
          <w:tab w:leader="none" w:pos="212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Strikes, riots, civil commotions, and malicious damage;</w:t>
      </w:r>
    </w:p>
    <w:p>
      <w:pPr>
        <w:spacing w:after="0" w:line="229" w:lineRule="exact"/>
        <w:rPr>
          <w:rFonts w:ascii="Times New Roman" w:cs="Times New Roman" w:eastAsia="Times New Roman" w:hAnsi="Times New Roman"/>
          <w:sz w:val="20"/>
          <w:szCs w:val="20"/>
          <w:color w:val="auto"/>
        </w:rPr>
      </w:pPr>
    </w:p>
    <w:p>
      <w:pPr>
        <w:jc w:val="both"/>
        <w:ind w:left="2120" w:right="20" w:hanging="641"/>
        <w:spacing w:after="0" w:line="254" w:lineRule="auto"/>
        <w:tabs>
          <w:tab w:leader="none" w:pos="212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Hull War Risks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jc w:val="both"/>
        <w:ind w:left="2120" w:hanging="641"/>
        <w:spacing w:after="0" w:line="254" w:lineRule="auto"/>
        <w:tabs>
          <w:tab w:leader="none" w:pos="212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Terrorism while the VESSEL is at the Shipyard or other premises of BUILDER or any subcontractor, including after the VESSEL has been launched and is either dockside or in sea trials;</w:t>
      </w:r>
    </w:p>
    <w:p>
      <w:pPr>
        <w:spacing w:after="0" w:line="187" w:lineRule="exact"/>
        <w:rPr>
          <w:rFonts w:ascii="Times New Roman" w:cs="Times New Roman" w:eastAsia="Times New Roman" w:hAnsi="Times New Roman"/>
          <w:sz w:val="20"/>
          <w:szCs w:val="20"/>
          <w:color w:val="auto"/>
        </w:rPr>
      </w:pPr>
    </w:p>
    <w:p>
      <w:pPr>
        <w:ind w:left="2120" w:hanging="641"/>
        <w:spacing w:after="0"/>
        <w:tabs>
          <w:tab w:leader="none" w:pos="212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and indemnity coverage including full Collision.</w:t>
      </w:r>
    </w:p>
    <w:p>
      <w:pPr>
        <w:spacing w:after="0" w:line="229" w:lineRule="exact"/>
        <w:rPr>
          <w:sz w:val="20"/>
          <w:szCs w:val="20"/>
          <w:color w:val="auto"/>
        </w:rPr>
      </w:pPr>
    </w:p>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Coverage shall include [*] percent ([*]%) cost escalation coverage and coverage for soft costs including liquidated damages for delay, additional construction financing interest, construction loan fees, engineering expenses/fees, insurance premiums, accounting fees, project administration expenses, attorneys’ fees and fees and other costs associated with such damage or loss and with Regulatory Agency approvals. Policy deductible shall be no more than $[*] per occurrence. Coverage shall be the equivalent of the American Institute Builder’s Risk Clauses (Feb 8, 1979) and American Hull Insurance Syndicate Addendum No. 1 (May 15, 1985, SRCC) and shall include Pre-Keel coverage. Coverage shall be written without risk of liability of the BUYER for payment and without deduction for depreciation. There shall be no coinsurance penalty provision in any such policy.</w:t>
      </w:r>
    </w:p>
    <w:p>
      <w:pPr>
        <w:spacing w:after="0" w:line="19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In addition to liability for physical loss of, damage to, or damage caused by the VESSEL imposed upon the BUILDER by law or by the Contract, the Marine Builder’s Risk Insurance Policy shall be written to specifically include, in part:</w:t>
      </w:r>
    </w:p>
    <w:p>
      <w:pPr>
        <w:spacing w:after="0" w:line="188" w:lineRule="exact"/>
        <w:rPr>
          <w:sz w:val="20"/>
          <w:szCs w:val="20"/>
          <w:color w:val="auto"/>
        </w:rPr>
      </w:pPr>
    </w:p>
    <w:p>
      <w:pPr>
        <w:ind w:left="2120" w:hanging="641"/>
        <w:spacing w:after="0"/>
        <w:tabs>
          <w:tab w:leader="none" w:pos="2120" w:val="left"/>
        </w:tabs>
        <w:numPr>
          <w:ilvl w:val="1"/>
          <w:numId w:val="4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Ship underway activity as often as necessary for completion and testing of the VESSEL;</w:t>
      </w:r>
    </w:p>
    <w:p>
      <w:pPr>
        <w:spacing w:after="0" w:line="186" w:lineRule="exact"/>
        <w:rPr>
          <w:rFonts w:ascii="Times New Roman" w:cs="Times New Roman" w:eastAsia="Times New Roman" w:hAnsi="Times New Roman"/>
          <w:sz w:val="19"/>
          <w:szCs w:val="19"/>
          <w:color w:val="auto"/>
        </w:rPr>
      </w:pPr>
    </w:p>
    <w:p>
      <w:pPr>
        <w:ind w:left="2120" w:hanging="641"/>
        <w:spacing w:after="0" w:line="269" w:lineRule="auto"/>
        <w:tabs>
          <w:tab w:leader="none" w:pos="2120"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for BUYER’s Supplies, if any, from the time of delivery of the BUYER’s Supplies to the BUILDER;</w:t>
      </w:r>
    </w:p>
    <w:p>
      <w:pPr>
        <w:spacing w:after="0" w:line="118" w:lineRule="exact"/>
        <w:rPr>
          <w:rFonts w:ascii="Times New Roman" w:cs="Times New Roman" w:eastAsia="Times New Roman" w:hAnsi="Times New Roman"/>
          <w:sz w:val="20"/>
          <w:szCs w:val="20"/>
          <w:color w:val="auto"/>
        </w:rPr>
      </w:pPr>
    </w:p>
    <w:p>
      <w:pPr>
        <w:ind w:left="2120" w:hanging="641"/>
        <w:spacing w:after="0"/>
        <w:tabs>
          <w:tab w:leader="none" w:pos="2120"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policy is primary to all other collectible insurance; and</w:t>
      </w:r>
    </w:p>
    <w:p>
      <w:pPr>
        <w:spacing w:after="0" w:line="175" w:lineRule="exact"/>
        <w:rPr>
          <w:rFonts w:ascii="Times New Roman" w:cs="Times New Roman" w:eastAsia="Times New Roman" w:hAnsi="Times New Roman"/>
          <w:sz w:val="20"/>
          <w:szCs w:val="20"/>
          <w:color w:val="auto"/>
        </w:rPr>
      </w:pPr>
    </w:p>
    <w:p>
      <w:pPr>
        <w:ind w:left="2120" w:hanging="641"/>
        <w:spacing w:after="0" w:line="269" w:lineRule="auto"/>
        <w:tabs>
          <w:tab w:leader="none" w:pos="2120"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Underwriters’ waiver of subrogation in favor of the BUYER and all subcontractors of any tier.</w:t>
      </w:r>
    </w:p>
    <w:p>
      <w:pPr>
        <w:spacing w:after="0" w:line="118"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Sum</w:t>
      </w:r>
      <w:r>
        <w:rPr>
          <w:rFonts w:ascii="Times New Roman" w:cs="Times New Roman" w:eastAsia="Times New Roman" w:hAnsi="Times New Roman"/>
          <w:sz w:val="20"/>
          <w:szCs w:val="20"/>
          <w:color w:val="auto"/>
        </w:rPr>
        <w:t>. The minimum sum insured, and the limit of the BUILDER’s liability, at any date from at the point of laying the keel onward, shall be the value of the contract work completed to such date, which shall not be less than the total sum of Milestone Payments paid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64" w:name="page365"/>
    <w:bookmarkEnd w:id="364"/>
    <w:p>
      <w:pPr>
        <w:ind w:left="1480"/>
        <w:spacing w:after="0"/>
        <w:rPr>
          <w:sz w:val="20"/>
          <w:szCs w:val="20"/>
          <w:color w:val="auto"/>
        </w:rPr>
      </w:pPr>
      <w:r>
        <w:rPr>
          <w:rFonts w:ascii="Times New Roman" w:cs="Times New Roman" w:eastAsia="Times New Roman" w:hAnsi="Times New Roman"/>
          <w:sz w:val="20"/>
          <w:szCs w:val="20"/>
          <w:color w:val="auto"/>
        </w:rPr>
        <w:t>date, plus the value declared by the BUYER to the BUILDER for the BUYER’s Supplies.</w:t>
      </w:r>
    </w:p>
    <w:p>
      <w:pPr>
        <w:spacing w:after="0" w:line="229" w:lineRule="exact"/>
        <w:rPr>
          <w:sz w:val="20"/>
          <w:szCs w:val="20"/>
          <w:color w:val="auto"/>
        </w:rPr>
      </w:pPr>
    </w:p>
    <w:p>
      <w:pPr>
        <w:ind w:left="520" w:hanging="324"/>
        <w:spacing w:after="0"/>
        <w:tabs>
          <w:tab w:leader="none" w:pos="52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Insurance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40" w:right="20"/>
        <w:spacing w:after="0" w:line="269" w:lineRule="auto"/>
        <w:rPr>
          <w:sz w:val="20"/>
          <w:szCs w:val="20"/>
          <w:color w:val="auto"/>
        </w:rPr>
      </w:pPr>
      <w:r>
        <w:rPr>
          <w:rFonts w:ascii="Times New Roman" w:cs="Times New Roman" w:eastAsia="Times New Roman" w:hAnsi="Times New Roman"/>
          <w:sz w:val="20"/>
          <w:szCs w:val="20"/>
          <w:color w:val="auto"/>
        </w:rPr>
        <w:t>BUILDER, at its expense, shall keep and maintain in effect the following additional insurance for the duration of this Contract:</w:t>
      </w:r>
    </w:p>
    <w:p>
      <w:pPr>
        <w:spacing w:after="0" w:line="173" w:lineRule="exact"/>
        <w:rPr>
          <w:sz w:val="20"/>
          <w:szCs w:val="20"/>
          <w:color w:val="auto"/>
        </w:rPr>
      </w:pPr>
    </w:p>
    <w:p>
      <w:pPr>
        <w:jc w:val="both"/>
        <w:ind w:left="1480" w:hanging="636"/>
        <w:spacing w:after="0" w:line="242" w:lineRule="auto"/>
        <w:tabs>
          <w:tab w:leader="none" w:pos="1480"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General Liability</w:t>
      </w:r>
      <w:r>
        <w:rPr>
          <w:rFonts w:ascii="Times New Roman" w:cs="Times New Roman" w:eastAsia="Times New Roman" w:hAnsi="Times New Roman"/>
          <w:sz w:val="20"/>
          <w:szCs w:val="20"/>
          <w:color w:val="auto"/>
        </w:rPr>
        <w:t xml:space="preserve"> coverage to include, but not limited to, broad form property damage, personal injury, premises, completed operations and products liability, non-owned watercraft coverage with an “in rem” endorsement, and contractual liability covering all liability assumed by BUILDER under the terms of this Contract and with limits of liability not less than $5,000,000 any one occurrence or series of occurrences arising out of any one event, subject to an aggregate limit of $5,000,000 in the period of insurance for Products Liability. The BUILDER shall maintain such insurance through the expiration of the Guarantee Period. This coverage shall include broad form property damage, personal injury, broad form blanket contractual liability, products and completed operations (for one year following final acceptance of the VESSEL), and insured indemnity obligations.</w:t>
      </w:r>
    </w:p>
    <w:p>
      <w:pPr>
        <w:spacing w:after="0" w:line="205" w:lineRule="exact"/>
        <w:rPr>
          <w:rFonts w:ascii="Times New Roman" w:cs="Times New Roman" w:eastAsia="Times New Roman" w:hAnsi="Times New Roman"/>
          <w:sz w:val="20"/>
          <w:szCs w:val="20"/>
          <w:color w:val="auto"/>
        </w:rPr>
      </w:pPr>
    </w:p>
    <w:p>
      <w:pPr>
        <w:ind w:left="1480" w:hanging="636"/>
        <w:spacing w:after="0" w:line="269" w:lineRule="auto"/>
        <w:tabs>
          <w:tab w:leader="none" w:pos="1480"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Automobile Liability</w:t>
      </w:r>
      <w:r>
        <w:rPr>
          <w:rFonts w:ascii="Times New Roman" w:cs="Times New Roman" w:eastAsia="Times New Roman" w:hAnsi="Times New Roman"/>
          <w:sz w:val="20"/>
          <w:szCs w:val="20"/>
          <w:color w:val="auto"/>
        </w:rPr>
        <w:t xml:space="preserve"> insurance with a combined single limit of $2,000,000 each accident for bodily injury and property damage.</w:t>
      </w:r>
    </w:p>
    <w:p>
      <w:pPr>
        <w:spacing w:after="0" w:line="172" w:lineRule="exact"/>
        <w:rPr>
          <w:rFonts w:ascii="Times New Roman" w:cs="Times New Roman" w:eastAsia="Times New Roman" w:hAnsi="Times New Roman"/>
          <w:sz w:val="20"/>
          <w:szCs w:val="20"/>
          <w:color w:val="auto"/>
        </w:rPr>
      </w:pPr>
    </w:p>
    <w:p>
      <w:pPr>
        <w:jc w:val="both"/>
        <w:ind w:left="1480" w:hanging="636"/>
        <w:spacing w:after="0" w:line="249" w:lineRule="auto"/>
        <w:tabs>
          <w:tab w:leader="none" w:pos="1480"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Worker’s Compensation and Longshore and Harbor Worker’s Compensation Act</w:t>
      </w:r>
      <w:r>
        <w:rPr>
          <w:rFonts w:ascii="Times New Roman" w:cs="Times New Roman" w:eastAsia="Times New Roman" w:hAnsi="Times New Roman"/>
          <w:sz w:val="20"/>
          <w:szCs w:val="20"/>
          <w:color w:val="auto"/>
        </w:rPr>
        <w:t xml:space="preserve"> insurance (or an authorized and approved program of self-insurance therefor) conforming to the statutory requirements of the Commonwealth of Pennsylvania and the United States of America, respectively, and including Employers Liability with minimum limits of $1,000,000 each accident.</w:t>
      </w:r>
    </w:p>
    <w:p>
      <w:pPr>
        <w:spacing w:after="0" w:line="193" w:lineRule="exact"/>
        <w:rPr>
          <w:rFonts w:ascii="Times New Roman" w:cs="Times New Roman" w:eastAsia="Times New Roman" w:hAnsi="Times New Roman"/>
          <w:sz w:val="20"/>
          <w:szCs w:val="20"/>
          <w:color w:val="auto"/>
        </w:rPr>
      </w:pPr>
    </w:p>
    <w:p>
      <w:pPr>
        <w:ind w:left="1480" w:hanging="636"/>
        <w:spacing w:after="0" w:line="269" w:lineRule="auto"/>
        <w:tabs>
          <w:tab w:leader="none" w:pos="1480"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Maritime Employer’s Liability</w:t>
      </w:r>
      <w:r>
        <w:rPr>
          <w:rFonts w:ascii="Times New Roman" w:cs="Times New Roman" w:eastAsia="Times New Roman" w:hAnsi="Times New Roman"/>
          <w:sz w:val="20"/>
          <w:szCs w:val="20"/>
          <w:color w:val="auto"/>
        </w:rPr>
        <w:t xml:space="preserve"> Insurance (including transportation, wages, Maintenance and Cure) for limits not less than $2,000,000 each person and each occurrence.</w:t>
      </w:r>
    </w:p>
    <w:p>
      <w:pPr>
        <w:spacing w:after="0" w:line="172" w:lineRule="exact"/>
        <w:rPr>
          <w:rFonts w:ascii="Times New Roman" w:cs="Times New Roman" w:eastAsia="Times New Roman" w:hAnsi="Times New Roman"/>
          <w:sz w:val="20"/>
          <w:szCs w:val="20"/>
          <w:color w:val="auto"/>
        </w:rPr>
      </w:pPr>
    </w:p>
    <w:p>
      <w:pPr>
        <w:jc w:val="both"/>
        <w:ind w:left="1480" w:hanging="636"/>
        <w:spacing w:after="0" w:line="274" w:lineRule="auto"/>
        <w:tabs>
          <w:tab w:leader="none" w:pos="1480" w:val="left"/>
        </w:tabs>
        <w:numPr>
          <w:ilvl w:val="0"/>
          <w:numId w:val="4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Excess Liability</w:t>
      </w:r>
      <w:r>
        <w:rPr>
          <w:rFonts w:ascii="Times New Roman" w:cs="Times New Roman" w:eastAsia="Times New Roman" w:hAnsi="Times New Roman"/>
          <w:sz w:val="19"/>
          <w:szCs w:val="19"/>
          <w:color w:val="auto"/>
        </w:rPr>
        <w:t xml:space="preserve"> insurance in the minimum amount of $[*] per occurrence, subject to an aggregate limit of $[*] in the period of insurance for Products Liability, in excess of the liability coverages specified in Article XIII, subparagraphs (b)(1), (b)(2), (b)(3) for employers liability only, and (b)(4).</w:t>
      </w:r>
    </w:p>
    <w:p>
      <w:pPr>
        <w:spacing w:after="0" w:line="169" w:lineRule="exact"/>
        <w:rPr>
          <w:rFonts w:ascii="Times New Roman" w:cs="Times New Roman" w:eastAsia="Times New Roman" w:hAnsi="Times New Roman"/>
          <w:sz w:val="19"/>
          <w:szCs w:val="19"/>
          <w:color w:val="auto"/>
        </w:rPr>
      </w:pPr>
    </w:p>
    <w:p>
      <w:pPr>
        <w:jc w:val="both"/>
        <w:ind w:left="1480" w:hanging="636"/>
        <w:spacing w:after="0" w:line="245" w:lineRule="auto"/>
        <w:tabs>
          <w:tab w:leader="none" w:pos="1480"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Pollution Liability</w:t>
      </w:r>
      <w:r>
        <w:rPr>
          <w:rFonts w:ascii="Times New Roman" w:cs="Times New Roman" w:eastAsia="Times New Roman" w:hAnsi="Times New Roman"/>
          <w:sz w:val="20"/>
          <w:szCs w:val="20"/>
          <w:color w:val="auto"/>
        </w:rPr>
        <w:t xml:space="preserve"> insurance to include coverage for a) sudden and accidental pollution prior to the Vessel being launched in an amount not less than $5,000,000 per occurrence; and b) shipyard/vessel pollution after the Vessel is launched in an amount not less than $5,000,000 per occurrence containing customary terms and conditions that are acceptable to BUYER and no more restrictive than provided under WQIS policy forms or equivalent. This requirement may be satisfied by either coverage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65" w:name="page366"/>
    <w:bookmarkEnd w:id="365"/>
    <w:p>
      <w:pPr>
        <w:ind w:left="1480"/>
        <w:spacing w:after="0" w:line="269" w:lineRule="auto"/>
        <w:rPr>
          <w:sz w:val="20"/>
          <w:szCs w:val="20"/>
          <w:color w:val="auto"/>
        </w:rPr>
      </w:pPr>
      <w:r>
        <w:rPr>
          <w:rFonts w:ascii="Times New Roman" w:cs="Times New Roman" w:eastAsia="Times New Roman" w:hAnsi="Times New Roman"/>
          <w:sz w:val="20"/>
          <w:szCs w:val="20"/>
          <w:color w:val="auto"/>
        </w:rPr>
        <w:t>under the Commercial General Liability policy required by Article 13 (1)(b)(1) or a separate pollution liability policy.</w:t>
      </w:r>
    </w:p>
    <w:p>
      <w:pPr>
        <w:spacing w:after="0" w:line="173" w:lineRule="exact"/>
        <w:rPr>
          <w:sz w:val="20"/>
          <w:szCs w:val="20"/>
          <w:color w:val="auto"/>
        </w:rPr>
      </w:pPr>
    </w:p>
    <w:p>
      <w:pPr>
        <w:ind w:left="720"/>
        <w:spacing w:after="0" w:line="269" w:lineRule="auto"/>
        <w:rPr>
          <w:sz w:val="20"/>
          <w:szCs w:val="20"/>
          <w:color w:val="auto"/>
        </w:rPr>
      </w:pPr>
      <w:r>
        <w:rPr>
          <w:rFonts w:ascii="Times New Roman" w:cs="Times New Roman" w:eastAsia="Times New Roman" w:hAnsi="Times New Roman"/>
          <w:sz w:val="20"/>
          <w:szCs w:val="20"/>
          <w:color w:val="auto"/>
        </w:rPr>
        <w:t>The insurance coverage limits stated above can be met utilizing the BUILDER’s umbrella/excess liability policy.</w:t>
      </w:r>
    </w:p>
    <w:p>
      <w:pPr>
        <w:spacing w:after="0" w:line="173" w:lineRule="exact"/>
        <w:rPr>
          <w:sz w:val="20"/>
          <w:szCs w:val="20"/>
          <w:color w:val="auto"/>
        </w:rPr>
      </w:pPr>
    </w:p>
    <w:p>
      <w:pPr>
        <w:ind w:left="520" w:hanging="324"/>
        <w:spacing w:after="0"/>
        <w:tabs>
          <w:tab w:leader="none" w:pos="520" w:val="left"/>
        </w:tabs>
        <w:numPr>
          <w:ilvl w:val="0"/>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Insurance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480" w:hanging="636"/>
        <w:spacing w:after="0" w:line="241" w:lineRule="auto"/>
        <w:tabs>
          <w:tab w:leader="none" w:pos="1480"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policy identified in paragraph (a) of Article XIII shall provide that it is primary insurance to and noncontributing with any other insurance carried by the BUYER, and shall obligate the insurer to give the BUYER not less than 14 days prior written notice in the event of policy cancellation (except for war risk insurance, which shall be not less than 7 days advance written notification). Each policy identified in paragraphs (b)(1) and (2) of Article XIII shall provide that it is primary insurance to and noncontributing with any other insurance carried by the BUYER, and shall obligate the insurer to give the BUYER not less than 30 days’ prior written notice in the event of policy cancellation (or 10 days’ prior written notice in the event of policy cancellation due to failure to pay premiums). Primary and noncontributing language shall be stated affirmatively on the certificates, and the insurance required under subparagraphs (a)(2)(iii) and (b)(1, 2, and 5) of Article XIII shall include appropriate endorsements evidencing such additional insured language required of the BUILDER and the insurance required under subparagraphs (a)(2)(iii) and (b)(1, 2, 3, 4, and 5) of Article XIII shall include appropriate endorsements evidencing waiver of subrogation language required of the BUILDER.</w:t>
      </w:r>
    </w:p>
    <w:p>
      <w:pPr>
        <w:spacing w:after="0" w:line="276" w:lineRule="exact"/>
        <w:rPr>
          <w:rFonts w:ascii="Times New Roman" w:cs="Times New Roman" w:eastAsia="Times New Roman" w:hAnsi="Times New Roman"/>
          <w:sz w:val="20"/>
          <w:szCs w:val="20"/>
          <w:color w:val="auto"/>
        </w:rPr>
      </w:pPr>
    </w:p>
    <w:p>
      <w:pPr>
        <w:jc w:val="both"/>
        <w:ind w:left="1500" w:hanging="656"/>
        <w:spacing w:after="0" w:line="243" w:lineRule="auto"/>
        <w:tabs>
          <w:tab w:leader="none" w:pos="1500"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evidencing the policies described in this Article, in a form reasonably satisfactory to the BUYER, shall be delivered to the BUYER within ten (10) days of the date of this Contract and renewals thereof shall be delivered to the BUYER within ten (10) days after expiration of the respective policy terms. Not later than 60 days prior to commencement of Work, the BUILDER shall provide summaries of the policies referred to in Article XIII (1)(a) and Article XIII (1) (b) and a complete copy of the policy referred to in Article XIII (1) (c); provided, however, that the BUILDER may redact itemized pricing information for machinery, material and equipment from those policies not related to VESSEL but, if such information is redacted, then the BUILDER at a minimum will provide the aggregate total value for such machinery, material and equipment .</w:t>
      </w:r>
    </w:p>
    <w:p>
      <w:pPr>
        <w:spacing w:after="0" w:line="199" w:lineRule="exact"/>
        <w:rPr>
          <w:rFonts w:ascii="Times New Roman" w:cs="Times New Roman" w:eastAsia="Times New Roman" w:hAnsi="Times New Roman"/>
          <w:sz w:val="20"/>
          <w:szCs w:val="20"/>
          <w:color w:val="auto"/>
        </w:rPr>
      </w:pPr>
    </w:p>
    <w:p>
      <w:pPr>
        <w:jc w:val="both"/>
        <w:ind w:left="1480" w:hanging="636"/>
        <w:spacing w:after="0" w:line="254" w:lineRule="auto"/>
        <w:tabs>
          <w:tab w:leader="none" w:pos="1480"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policies referred to in Paragraph (a) of Article XIII shall name the BUYER and its assigns as loss payee as their interests may appear, subject to the prior senior assignment of such policies to the lender(s) providing construction period financing for the VESSEL, if any.</w:t>
      </w:r>
    </w:p>
    <w:p>
      <w:pPr>
        <w:spacing w:after="0" w:line="187" w:lineRule="exact"/>
        <w:rPr>
          <w:rFonts w:ascii="Times New Roman" w:cs="Times New Roman" w:eastAsia="Times New Roman" w:hAnsi="Times New Roman"/>
          <w:sz w:val="20"/>
          <w:szCs w:val="20"/>
          <w:color w:val="auto"/>
        </w:rPr>
      </w:pPr>
    </w:p>
    <w:p>
      <w:pPr>
        <w:ind w:left="1500" w:right="20" w:hanging="656"/>
        <w:spacing w:after="0" w:line="269" w:lineRule="auto"/>
        <w:tabs>
          <w:tab w:leader="none" w:pos="1500"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(b) (3) and (4) of Article XIII, the BUILDER agrees that for all Worker’s Compensation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66" w:name="page367"/>
    <w:bookmarkEnd w:id="366"/>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Longshore and Harbor Worker’s Compensation Act Insurance, or authorized and approved self-insurance therefor, and all Employer’s Liability and Maritime Employer’s Liability Insurance policies, they shall contain waivers of rights of subrogation against the BUYER and its parent, subsidiaries, and affiliated companies.</w:t>
      </w:r>
    </w:p>
    <w:p>
      <w:pPr>
        <w:spacing w:after="0" w:line="193" w:lineRule="exact"/>
        <w:rPr>
          <w:sz w:val="20"/>
          <w:szCs w:val="20"/>
          <w:color w:val="auto"/>
        </w:rPr>
      </w:pPr>
    </w:p>
    <w:p>
      <w:pPr>
        <w:jc w:val="both"/>
        <w:ind w:left="1500" w:right="20" w:hanging="656"/>
        <w:spacing w:after="0" w:line="244" w:lineRule="auto"/>
        <w:tabs>
          <w:tab w:leader="none" w:pos="1500"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policies referenced in subparagraphs (a)(2)(iii), and (b) (1) and (2) of Article XIII, the BUILDER agrees that for all Collision, Protection and Indemnity Liability, Commercial General Liability and Automobile Liability that the BUYER and its parent, subsidiaries, and affiliated companies shall be named as additional assured on those policies and such policies shall contain waivers of underwriter’s rights of subrogation. It is agreed that such naming and waiving shall apply only to the extent of the legally enforceable indemnity obligations and risks assumed by the BUILDER in this Contract.</w:t>
      </w:r>
    </w:p>
    <w:p>
      <w:pPr>
        <w:spacing w:after="0" w:line="145" w:lineRule="exact"/>
        <w:rPr>
          <w:rFonts w:ascii="Times New Roman" w:cs="Times New Roman" w:eastAsia="Times New Roman" w:hAnsi="Times New Roman"/>
          <w:sz w:val="20"/>
          <w:szCs w:val="20"/>
          <w:color w:val="auto"/>
        </w:rPr>
      </w:pPr>
    </w:p>
    <w:p>
      <w:pPr>
        <w:jc w:val="both"/>
        <w:ind w:left="1500" w:hanging="656"/>
        <w:spacing w:after="0" w:line="243" w:lineRule="auto"/>
        <w:tabs>
          <w:tab w:leader="none" w:pos="1500"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BUILDER does not provide insurance that meets BUYER’s coverage requirements as set forth in Article XIII Paragraphs 1(a) – (c), or if BUILDER fails to provide insurance documentation as required by Article XIII, Paragraph 1.c.(2) and such failure is not cured within thirty (30) days after notice from BUYER, then BUYER reserves the right, but not the obligation, to procure and maintain any or all of the insurance required by Article XIII, Paragraphs 1(a)- (c), for and in the name of BUILDER, in lieu of BUILDER provided insurance with terms reasonably agreeable to BUILDER. If such insurance is purchased by BUYER, BUILDER shall deduct the actual premium cost thereof (as substantiated by documentation reasonably satisfactory to BUYER) from the Contract Price.</w:t>
      </w:r>
    </w:p>
    <w:p>
      <w:pPr>
        <w:spacing w:after="0" w:line="199" w:lineRule="exact"/>
        <w:rPr>
          <w:rFonts w:ascii="Times New Roman" w:cs="Times New Roman" w:eastAsia="Times New Roman" w:hAnsi="Times New Roman"/>
          <w:sz w:val="20"/>
          <w:szCs w:val="20"/>
          <w:color w:val="auto"/>
        </w:rPr>
      </w:pPr>
    </w:p>
    <w:p>
      <w:pPr>
        <w:jc w:val="both"/>
        <w:ind w:left="520" w:hanging="324"/>
        <w:spacing w:after="0" w:line="245" w:lineRule="auto"/>
        <w:tabs>
          <w:tab w:leader="none" w:pos="520"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Deductibles</w:t>
      </w:r>
      <w:r>
        <w:rPr>
          <w:rFonts w:ascii="Times New Roman" w:cs="Times New Roman" w:eastAsia="Times New Roman" w:hAnsi="Times New Roman"/>
          <w:sz w:val="20"/>
          <w:szCs w:val="20"/>
          <w:color w:val="auto"/>
        </w:rPr>
        <w:t>. Policy deductibles shall be no more than USD $[*] per occurrence. BUILDER is responsible for and will pay all deductible payments and self-insured retentions under the required insurance, and BUILDER will act as BUYER’s insurer for the amount of those deductibles and retentions under the terms and conditions of the policies to which the deductibles pertain. Coverage shall be written without risk of liability of BUYER for payment and without deduction for depreciation. There shall be no coinsurance penalty provision in any such policy.</w:t>
      </w:r>
    </w:p>
    <w:p>
      <w:pPr>
        <w:spacing w:after="0" w:line="197" w:lineRule="exact"/>
        <w:rPr>
          <w:rFonts w:ascii="Times New Roman" w:cs="Times New Roman" w:eastAsia="Times New Roman" w:hAnsi="Times New Roman"/>
          <w:sz w:val="20"/>
          <w:szCs w:val="20"/>
          <w:color w:val="auto"/>
        </w:rPr>
      </w:pPr>
    </w:p>
    <w:p>
      <w:pPr>
        <w:jc w:val="both"/>
        <w:ind w:left="520" w:hanging="324"/>
        <w:spacing w:after="0" w:line="244" w:lineRule="auto"/>
        <w:tabs>
          <w:tab w:leader="none" w:pos="520"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Coverage Limits and BUILDER’s Liability.</w:t>
      </w:r>
      <w:r>
        <w:rPr>
          <w:rFonts w:ascii="Times New Roman" w:cs="Times New Roman" w:eastAsia="Times New Roman" w:hAnsi="Times New Roman"/>
          <w:sz w:val="20"/>
          <w:szCs w:val="20"/>
          <w:color w:val="auto"/>
        </w:rPr>
        <w:t xml:space="preserve"> The insurance coverage limits stated in this Article XIII are minimum insurance coverage requirements, not limits of BUILDER’s liability. Notwithstanding the above-required insurance policies, BUILDER shall be obligated for the full and total amount of any damage, injury, expense or loss to the extent provided in this Contract. Should BUILDER fail to procure or maintain any of these insurance coverages, or by any act or omission vitiate or invalidate any of the aforesaid insurance coverages, BUILDER shall pay to BUYER all losses and indemnify BUYER against all claims and demands which would otherwise have been covered by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67" w:name="page368"/>
    <w:bookmarkEnd w:id="367"/>
    <w:p>
      <w:pPr>
        <w:ind w:left="660" w:hanging="652"/>
        <w:spacing w:after="0"/>
        <w:tabs>
          <w:tab w:leader="none" w:pos="660" w:val="left"/>
        </w:tabs>
        <w:numPr>
          <w:ilvl w:val="0"/>
          <w:numId w:val="4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Application of Recovered Amount:</w:t>
      </w:r>
    </w:p>
    <w:p>
      <w:pPr>
        <w:spacing w:after="0" w:line="17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Partial Loss:</w:t>
      </w:r>
    </w:p>
    <w:p>
      <w:pPr>
        <w:spacing w:after="0" w:line="229" w:lineRule="exact"/>
        <w:rPr>
          <w:rFonts w:ascii="Times New Roman" w:cs="Times New Roman" w:eastAsia="Times New Roman" w:hAnsi="Times New Roman"/>
          <w:sz w:val="20"/>
          <w:szCs w:val="20"/>
          <w:color w:val="auto"/>
        </w:rPr>
      </w:pPr>
    </w:p>
    <w:p>
      <w:pPr>
        <w:jc w:val="both"/>
        <w:ind w:left="13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VESSEL shall be damaged by any insured cause whatsoever prior to acceptance thereof by the BUYER and in the further event that such damage shall not constitute an actual or a constructive total loss of the VESSEL, the BUILDER shall apply the amount recovered under the insurance policy referred to in Paragraph 1 of this Article to the repair of such damage satisfactory to the Classification Society, and the BUYER shall accept the VESSEL under this Contract if completed in accordance with this Contract and Specification.</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Loss:</w:t>
      </w:r>
    </w:p>
    <w:p>
      <w:pPr>
        <w:spacing w:after="0" w:line="229" w:lineRule="exact"/>
        <w:rPr>
          <w:rFonts w:ascii="Times New Roman" w:cs="Times New Roman" w:eastAsia="Times New Roman" w:hAnsi="Times New Roman"/>
          <w:sz w:val="20"/>
          <w:szCs w:val="20"/>
          <w:color w:val="auto"/>
        </w:rPr>
      </w:pPr>
    </w:p>
    <w:p>
      <w:pPr>
        <w:ind w:left="13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in the event that the VESSEL is determined to be an actual or constructive total loss, the BUILDER shall by the mutual agreement between the parties hereto, either:</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46" w:lineRule="auto"/>
        <w:tabs>
          <w:tab w:leader="none" w:pos="1960" w:val="left"/>
        </w:tabs>
        <w:numPr>
          <w:ilvl w:val="2"/>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 in accordance with the terms of this Contract, in which case the amount recovered under said insurance policy shall be applied to the reconstruction of the VESSEL and/or replacement of any damaged BUYER’s Supplies, provided the parties hereto shall have first agreed in writing to such reasonable postponement of the Delivery Date and adjustment of other terms of this Contract including the Contract Price as may be necessary for the completion of such reconstruction; or</w:t>
      </w:r>
    </w:p>
    <w:p>
      <w:pPr>
        <w:spacing w:after="0" w:line="198" w:lineRule="exact"/>
        <w:rPr>
          <w:rFonts w:ascii="Times New Roman" w:cs="Times New Roman" w:eastAsia="Times New Roman" w:hAnsi="Times New Roman"/>
          <w:sz w:val="20"/>
          <w:szCs w:val="20"/>
          <w:color w:val="auto"/>
        </w:rPr>
      </w:pPr>
    </w:p>
    <w:p>
      <w:pPr>
        <w:jc w:val="both"/>
        <w:ind w:left="1960" w:hanging="656"/>
        <w:spacing w:after="0" w:line="246" w:lineRule="auto"/>
        <w:tabs>
          <w:tab w:leader="none" w:pos="1960" w:val="left"/>
        </w:tabs>
        <w:numPr>
          <w:ilvl w:val="2"/>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Refund immediately to the BUYER the amount of all installments paid to the BUILDER under this Contract without any interest and the value of all BUYER’s Supplies in BUILDER custody that were damaged or not returned to the BUYER, whereupon this Contract shall be deemed to be terminated and all rights, duties, liabilities and obligations of each of the parties to the other shall terminate forthwith.</w:t>
      </w:r>
    </w:p>
    <w:p>
      <w:pPr>
        <w:spacing w:after="0" w:line="198"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If the parties hereto fail to reach such agreement within two (2) months after the VESSEL is determined to be an actual or constructive total loss, the provisions of subparagraph (b)(ii) as above shall apply.</w:t>
      </w:r>
    </w:p>
    <w:p>
      <w:pPr>
        <w:spacing w:after="0" w:line="173" w:lineRule="exact"/>
        <w:rPr>
          <w:sz w:val="20"/>
          <w:szCs w:val="20"/>
          <w:color w:val="auto"/>
        </w:rPr>
      </w:pPr>
    </w:p>
    <w:p>
      <w:pPr>
        <w:ind w:left="1140" w:hanging="646"/>
        <w:spacing w:after="0"/>
        <w:tabs>
          <w:tab w:leader="none" w:pos="1140" w:val="left"/>
        </w:tabs>
        <w:numPr>
          <w:ilvl w:val="0"/>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the BUILDER’s Obligation to Insure:</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BUILDER’s obligation to insure the VESSEL hereunder shall cease and terminate forthwith upon delivery thereof and acceptance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20"/>
          <w:szCs w:val="20"/>
          <w:b w:val="1"/>
          <w:bCs w:val="1"/>
          <w:color w:val="auto"/>
        </w:rPr>
        <w:t>ARTICLE XIV-DISPUTE RESOLUTION</w:t>
      </w:r>
    </w:p>
    <w:p>
      <w:pPr>
        <w:spacing w:after="0" w:line="229" w:lineRule="exact"/>
        <w:rPr>
          <w:sz w:val="20"/>
          <w:szCs w:val="20"/>
          <w:color w:val="auto"/>
        </w:rPr>
      </w:pPr>
    </w:p>
    <w:p>
      <w:pPr>
        <w:ind w:left="660" w:hanging="652"/>
        <w:spacing w:after="0"/>
        <w:tabs>
          <w:tab w:leader="none" w:pos="660" w:val="left"/>
        </w:tabs>
        <w:numPr>
          <w:ilvl w:val="0"/>
          <w:numId w:val="4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Technical Disputes: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dispute or any difference of opinion between the parties hereto relating to conformity of the construction of the VESSEL or material used to Classification requirements (“Technical Disputes”) shall be referred to the Classification Society or the USCG (MSC) for matters within their authority for settlement by and between the parties and the Classification Society or USCG (MSC), as applicable. Decisions of the Classification Society or USCG (MSC) with regards to conformity with the rules shall be final and binding upon both parties hereto.</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by Senior Executives: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Before proceeding with Arbitration as set forth below in Paragraph 3 of this Article, the Buyer’s Representative and the Builder’s Representative will attempt to discuss and negotiate in good faith to resolve any dispute, difference of opinion, or controversy arising out of or in connection with this Contract or the transactions contemplated hereby, other than Technical Disputes, which shall be resolved as provided in Paragraph 1 of this Article. If the Buyer’s Representative and the Builder’s Representative cannot resolve the matter, a party may give notice to the other party that it wishes to employ the dispute resolution mechanism set forth in this Paragraph 2 of this Article. Such notice will designate a senior executive officer who is not involved directly on a day-to-day basis with the construction of the Vessel and who the designating party will vest with the necessary authority to address and resolve the matter (a “Senior Executive”), and who shall be available for regular meetings and negotiations with a Senior Executive designated by the other party. Promptly, but no later than seven (7) days after a party receives such notice, it shall designate its Senior Executive for purposes of this Paragraph. If despite the good faith efforts of the Senior Executives the dispute, difference of opinion, or controversy cannot be resolved within thirty (30) days from the date of the first notice referred to in this Paragraph, the parties may proceed to Arbitration as described below in Paragraph 3 of this Article. This thirty-day period may be waived, shortened, or extended by mutual agreement of the parties.</w:t>
      </w:r>
    </w:p>
    <w:p>
      <w:pPr>
        <w:spacing w:after="0" w:line="20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for cases which are settled under Paragraphs 1 or 2 hereof, all claims, counterclaims, demands, controversies, disputes, actions or causes of action of any nature or character arising out of or in connection with this Contract or the transactions contemplated hereby or thereby, whether legal or equitable, known or unknown, contingent or otherwise (“Claims”) shall be finally settled by arbitration, held in the city of New York, New York, pursuant to the Rules of the Society of Maritime Arbitrators, Inc. (“SMA”), before a single arbitrator. The party that wishes to arbitrate a matter shall specify in its demand for arbitration the name and address of the person such party proposes be appointed as the sole arbitrator, who shall be an attorney practicing maritime law. If the party upon whom the demand for arbitration is served fails to approve or disapprove the proposed sole arbitrator within ten (10) days, such proposed sole arbitrator shall be deemed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69" w:name="page370"/>
    <w:bookmarkEnd w:id="369"/>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approved by such party. If the parties fail to reach agreement on the sole arbitrator within fifteen (15) days after the demand for arbitration is served, the sole arbitrator shall be appointed by the Society of Maritime Arbitrators, Inc. The decision of the sole arbitrator on any point or points shall be final and binding and may include costs, including reasonable attorneys’ fees. The arbitrator shall be directed to undertake proceedings on an expedited basis so that a prompt decision of the question or questions can be announced by the arbitrator to the parties. Upon the selection of the arbitrator, each of the parties shall be entitled to commence reasonable discovery through exchange of documents, requests for admissions or depositions, subject to the sole discretion of the arbitrator, provided, however, that the arbitrator shall limit depositions, if any, to those deemed essential to the fair and reasonable resolution of the Claim. The parties shall use their reasonable best efforts to have the arbitral proceeding concluded and a judgment rendered by the arbitrator within forty-five (45) days of the initiation of the arbitration proceeding. The arbitrator shall be entitled to award interest, but shall not be entitled to award special, incidental, consequential or punitive damages. Judgment may be entered upon any award made hereunder, in any court having jurisdiction, and the parties hereby waive any right to appeal such award on the merits or to challenge the award except on the grounds set forth under United States Law (Federal Arbitration Act). Notwithstanding the foregoing agreement to arbitrate, the parties expressly reserve the right to seek provisional relief from any court of competent jurisdiction to preserve their respective rights pending arbitration, and in seeking such relief shall not waive the right of arbitration. Any dispute relating to claims of $100,000 or less in the aggregate shall be governed by the Shortened Arbitration Procedures adopted by the SMA.</w:t>
      </w:r>
    </w:p>
    <w:p>
      <w:pPr>
        <w:spacing w:after="0" w:line="200" w:lineRule="exact"/>
        <w:rPr>
          <w:sz w:val="20"/>
          <w:szCs w:val="20"/>
          <w:color w:val="auto"/>
        </w:rPr>
      </w:pPr>
    </w:p>
    <w:p>
      <w:pPr>
        <w:ind w:left="660" w:hanging="652"/>
        <w:spacing w:after="0"/>
        <w:tabs>
          <w:tab w:leader="none" w:pos="660" w:val="left"/>
        </w:tabs>
        <w:numPr>
          <w:ilvl w:val="0"/>
          <w:numId w:val="4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 of Delivery Date:</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the event of arbitration of any dispute arising or occurring prior to delivery of the VESSEL, an award of the arbitrator shall include a finding as to whether or not the Delivery Date of the VESSEL is in any way altered thereby.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 ASSIGNMENT OF CONTRACT</w:t>
      </w:r>
    </w:p>
    <w:p>
      <w:pPr>
        <w:spacing w:after="0" w:line="23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The benefits and obligations of this Contract shall inure to and be binding upon the successors and assigns of the original parties hereto, respectively; provided, however, that no assignment of this Contract (other than a Permitted Financing Assignment made by the BUYER) shall be made by either party without the prior written consent of the other. “Permitted Financing Assignment” shall mean any granting of any security interest or lien, or any other assignment (including without limitation any assignment in connection with the exercise of remedies by any Lender Party, as defined below) by the BUYER of (a) this Contract and the BUYER’s rights hereunder, and/or (b) the BUYER’S rights to and with respect to the VESSEL and the work in process with respect to the VESSEL, in each case to or for the benefit of MARAD, as defined in Article XIX, or any lender providing construction period financing to the BUYER or any affiliate of the BUYER or any other financing or refinancing to the BUYER or any affiliate of the BUYER relating to or secured directly or indirectly by this Contract, the VESSEL and/or any work in process (any such lender, a “Lender Party”), or any designee of any such Lender Party; provided that no such assignment shall diminish the BUYER’S obligations to perform under this Contract.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0" w:name="page371"/>
    <w:bookmarkEnd w:id="370"/>
    <w:p>
      <w:pPr>
        <w:jc w:val="both"/>
        <w:ind w:left="328"/>
        <w:spacing w:after="0" w:line="245" w:lineRule="auto"/>
        <w:rPr>
          <w:sz w:val="20"/>
          <w:szCs w:val="20"/>
          <w:color w:val="auto"/>
        </w:rPr>
      </w:pPr>
      <w:r>
        <w:rPr>
          <w:rFonts w:ascii="Times New Roman" w:cs="Times New Roman" w:eastAsia="Times New Roman" w:hAnsi="Times New Roman"/>
          <w:sz w:val="20"/>
          <w:szCs w:val="20"/>
          <w:color w:val="auto"/>
        </w:rPr>
        <w:t>term Lender Party shall include MARAD. The BUILDER hereby expressly consents to any such Permitted Financing Assignment by the BUYER. Notwithstanding the foregoing, at delivery of the VESSEL, the BUYER shall have the right, subject to BUILDER’s prior written consent, which shall not be unreasonably withheld or delayed, to assign this Contract to a third party nominee for delivery and final delivery payment purposes, provided the BUYER shall remain responsible for the performance by such assignee of the obligations of the BUYER under this Contract.</w:t>
      </w:r>
    </w:p>
    <w:p>
      <w:pPr>
        <w:spacing w:after="0" w:line="1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ARTICLE XVI-TITLE AND LIENS</w:t>
      </w:r>
    </w:p>
    <w:p>
      <w:pPr>
        <w:spacing w:after="0" w:line="229" w:lineRule="exact"/>
        <w:rPr>
          <w:sz w:val="20"/>
          <w:szCs w:val="20"/>
          <w:color w:val="auto"/>
        </w:rPr>
      </w:pPr>
    </w:p>
    <w:p>
      <w:pPr>
        <w:ind w:left="328" w:hanging="328"/>
        <w:spacing w:after="0"/>
        <w:tabs>
          <w:tab w:leader="none" w:pos="328" w:val="left"/>
        </w:tabs>
        <w:numPr>
          <w:ilvl w:val="0"/>
          <w:numId w:val="4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w:t>
      </w:r>
    </w:p>
    <w:p>
      <w:pPr>
        <w:spacing w:after="0" w:line="233" w:lineRule="exact"/>
        <w:rPr>
          <w:rFonts w:ascii="Times New Roman" w:cs="Times New Roman" w:eastAsia="Times New Roman" w:hAnsi="Times New Roman"/>
          <w:sz w:val="20"/>
          <w:szCs w:val="20"/>
          <w:b w:val="1"/>
          <w:bCs w:val="1"/>
          <w:color w:val="auto"/>
        </w:rPr>
      </w:pPr>
    </w:p>
    <w:p>
      <w:pPr>
        <w:jc w:val="both"/>
        <w:ind w:left="328"/>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Title to the BUYER’s Supplies is and shall continue to be vested in the BUYER and title to all material paid for by the BUYER shall vest in the BUYER and shall continue to be vested in the BUYER until delivery of the VESSEL. To the extent not so vested in the BUYER, title to the VESSEL, to the extent completed, and title to all work and material performed upon or installed in the VESSEL or placed on board the VESSEL shall vest in the BUYER; provided, however, that except as may otherwise be provided in this Contract, the risk of loss of or damage to such material and the VESSEL shall remain with the BUILDER, and the BUYER shall not be deemed to have waived its rights to require the BUILDER to replace, at the BUILDER’s expense, defective, damaged or destroyed work or material, and to deliver the VESSEL with the work completed and material furnished, as provided in this Contract. Title to all scrap and title to any material which is surplus to the requirements of this Contract shall vest in the</w:t>
      </w:r>
    </w:p>
    <w:p>
      <w:pPr>
        <w:ind w:left="32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BUILDER.</w:t>
      </w:r>
    </w:p>
    <w:p>
      <w:pPr>
        <w:spacing w:after="0" w:line="20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4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Liens:</w:t>
      </w:r>
    </w:p>
    <w:p>
      <w:pPr>
        <w:spacing w:after="0" w:line="233" w:lineRule="exact"/>
        <w:rPr>
          <w:rFonts w:ascii="Times New Roman" w:cs="Times New Roman" w:eastAsia="Times New Roman" w:hAnsi="Times New Roman"/>
          <w:sz w:val="20"/>
          <w:szCs w:val="20"/>
          <w:b w:val="1"/>
          <w:bCs w:val="1"/>
          <w:color w:val="auto"/>
        </w:rPr>
      </w:pPr>
    </w:p>
    <w:p>
      <w:pPr>
        <w:jc w:val="both"/>
        <w:ind w:left="808" w:right="20" w:hanging="484"/>
        <w:spacing w:after="0" w:line="254" w:lineRule="auto"/>
        <w:tabs>
          <w:tab w:leader="none" w:pos="808" w:val="left"/>
        </w:tabs>
        <w:numPr>
          <w:ilvl w:val="1"/>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"Liens" means any lien, security interest, encumbrance or other right </w:t>
      </w:r>
      <w:r>
        <w:rPr>
          <w:rFonts w:ascii="Times New Roman" w:cs="Times New Roman" w:eastAsia="Times New Roman" w:hAnsi="Times New Roman"/>
          <w:sz w:val="20"/>
          <w:szCs w:val="20"/>
          <w:u w:val="single" w:color="auto"/>
          <w:color w:val="auto"/>
        </w:rPr>
        <w:t>in rem</w:t>
      </w:r>
      <w:r>
        <w:rPr>
          <w:rFonts w:ascii="Times New Roman" w:cs="Times New Roman" w:eastAsia="Times New Roman" w:hAnsi="Times New Roman"/>
          <w:sz w:val="20"/>
          <w:szCs w:val="20"/>
          <w:color w:val="auto"/>
        </w:rPr>
        <w:t xml:space="preserve"> against the VESSEL, work or material enforceable in a court of competent jurisdiction, other than the liens in favor of the BUYER or its assignees.</w:t>
      </w:r>
    </w:p>
    <w:p>
      <w:pPr>
        <w:spacing w:after="0" w:line="187" w:lineRule="exact"/>
        <w:rPr>
          <w:rFonts w:ascii="Times New Roman" w:cs="Times New Roman" w:eastAsia="Times New Roman" w:hAnsi="Times New Roman"/>
          <w:sz w:val="20"/>
          <w:szCs w:val="20"/>
          <w:color w:val="auto"/>
        </w:rPr>
      </w:pPr>
    </w:p>
    <w:p>
      <w:pPr>
        <w:jc w:val="both"/>
        <w:ind w:left="808" w:hanging="484"/>
        <w:spacing w:after="0" w:line="249" w:lineRule="auto"/>
        <w:tabs>
          <w:tab w:leader="none" w:pos="808" w:val="left"/>
        </w:tabs>
        <w:numPr>
          <w:ilvl w:val="1"/>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BUILDER shall not permit or cause any Lien to come into existence arising out of the BUILDER’s performance under this Contract, the BUILDER waives any and all rights to any Lien, and the BUILDER shall not permit or cause any claim against the BUILDER or any subcontractor furnishing or performing work or material under this Contract to lie or attach against the VESSEL, work or material.</w:t>
      </w:r>
    </w:p>
    <w:p>
      <w:pPr>
        <w:spacing w:after="0" w:line="193" w:lineRule="exact"/>
        <w:rPr>
          <w:rFonts w:ascii="Times New Roman" w:cs="Times New Roman" w:eastAsia="Times New Roman" w:hAnsi="Times New Roman"/>
          <w:sz w:val="20"/>
          <w:szCs w:val="20"/>
          <w:color w:val="auto"/>
        </w:rPr>
      </w:pPr>
    </w:p>
    <w:p>
      <w:pPr>
        <w:jc w:val="both"/>
        <w:ind w:left="808" w:hanging="484"/>
        <w:spacing w:after="0" w:line="243" w:lineRule="auto"/>
        <w:tabs>
          <w:tab w:leader="none" w:pos="808" w:val="left"/>
        </w:tabs>
        <w:numPr>
          <w:ilvl w:val="1"/>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Lien is filed or asserted against or attached upon the VESSEL, work or material (whether or not arising under this Contract), the BUILDER shall promptly notify the BUYER. The BUILDER shall secure the discharge or release of any such Lien arising out of the BUILDER’s performance or the performance of the BUILDER’s subcontractors or vendors under this Contract not later than [*] days after it is filed, asserted or attached, provided that the BUILDER may contest such Lien or the claim upon which it is based, and if the BUILDER shall not have secured the discharge or release of such Lien by court order within the time provided in this Contract, then the BUILDER shall furnish to the BUYER, or the appropriate court having jurisdiction in such matters, such bond or security therefor as the BUYER or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356870</wp:posOffset>
            </wp:positionV>
            <wp:extent cx="629221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3" w:right="999" w:bottom="1440" w:gutter="0" w:footer="0" w:header="0"/>
        </w:sectPr>
      </w:pPr>
    </w:p>
    <w:bookmarkStart w:id="371" w:name="page372"/>
    <w:bookmarkEnd w:id="371"/>
    <w:p>
      <w:pPr>
        <w:jc w:val="both"/>
        <w:ind w:left="1140"/>
        <w:spacing w:after="0" w:line="254" w:lineRule="auto"/>
        <w:rPr>
          <w:sz w:val="20"/>
          <w:szCs w:val="20"/>
          <w:color w:val="auto"/>
        </w:rPr>
      </w:pPr>
      <w:r>
        <w:rPr>
          <w:rFonts w:ascii="Times New Roman" w:cs="Times New Roman" w:eastAsia="Times New Roman" w:hAnsi="Times New Roman"/>
          <w:sz w:val="20"/>
          <w:szCs w:val="20"/>
          <w:color w:val="auto"/>
        </w:rPr>
        <w:t>court shall reasonably require, and the BUILDER shall indemnify the BUYER and save the BUYER harmless from all costs, charges, damages and attorneys’ fees by reason of such Lien or claims in any way attributable thereto.</w:t>
      </w:r>
    </w:p>
    <w:p>
      <w:pPr>
        <w:spacing w:after="0" w:line="188" w:lineRule="exact"/>
        <w:rPr>
          <w:sz w:val="20"/>
          <w:szCs w:val="20"/>
          <w:color w:val="auto"/>
        </w:rPr>
      </w:pPr>
    </w:p>
    <w:p>
      <w:pPr>
        <w:jc w:val="both"/>
        <w:ind w:left="1140" w:hanging="484"/>
        <w:spacing w:after="0" w:line="249" w:lineRule="auto"/>
        <w:tabs>
          <w:tab w:leader="none" w:pos="1140"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each Milestone Payment to the BUILDER, the BUILDER shall furnish to the BUYER a certificate executed by the BUILDER certifying freedom of the VESSEL, work and material from Liens arising out of the BUILDER’s performance or the performance of the BUILDER’s subcontractors or vendors under this Contract in the form of Exhibit 7.</w:t>
      </w:r>
    </w:p>
    <w:p>
      <w:pPr>
        <w:spacing w:after="0" w:line="193" w:lineRule="exact"/>
        <w:rPr>
          <w:rFonts w:ascii="Times New Roman" w:cs="Times New Roman" w:eastAsia="Times New Roman" w:hAnsi="Times New Roman"/>
          <w:sz w:val="20"/>
          <w:szCs w:val="20"/>
          <w:color w:val="auto"/>
        </w:rPr>
      </w:pPr>
    </w:p>
    <w:p>
      <w:pPr>
        <w:jc w:val="both"/>
        <w:ind w:left="1140" w:hanging="484"/>
        <w:spacing w:after="0" w:line="245" w:lineRule="auto"/>
        <w:tabs>
          <w:tab w:leader="none" w:pos="1140"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delivery of the VESSEL, the BUILDER shall deliver the VESSEL to the BUYER free and clear of all Liens other than those Liens resulting from an act or omission on the part of the BUYER. At the time of delivery of the VESSEL, the BUILDER shall furnish to the BUYER a certificate executed by the BUILDER certifying freedom of the VESSEL from such Liens and confirming the indemnity stated above in the form of Exhibit 7, provided the BUYER has paid to the BUILDER or into escrow all amounts required to be paid into escrow by 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XVII-PATENTS, TRADEMARKS, COPYRIGHTS, ETC.</w:t>
      </w:r>
    </w:p>
    <w:p>
      <w:pPr>
        <w:spacing w:after="0" w:line="229" w:lineRule="exact"/>
        <w:rPr>
          <w:sz w:val="20"/>
          <w:szCs w:val="20"/>
          <w:color w:val="auto"/>
        </w:rPr>
      </w:pPr>
    </w:p>
    <w:p>
      <w:pPr>
        <w:ind w:left="660" w:hanging="652"/>
        <w:spacing w:after="0"/>
        <w:tabs>
          <w:tab w:leader="none" w:pos="660" w:val="left"/>
        </w:tabs>
        <w:numPr>
          <w:ilvl w:val="0"/>
          <w:numId w:val="4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Patents, Trademarks and Copyrights: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Machinery and equipment of the VESSEL may bear the patent number, trademarks or trade names of the manufacturers.</w:t>
      </w:r>
    </w:p>
    <w:p>
      <w:pPr>
        <w:spacing w:after="0" w:line="172"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contained herein shall be construed as transferring any patent or trademark rights or copyrights in equipment covered by this Contract, and all such rights are hereby expressly reserved to the true and lawful owners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Plans, Specification and Working Drawings: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retains all rights with respect to the Specification, and plans and working drawings, technical descriptions, calculations, test results and other data, information and documents concerning the design and construction of the VESSEL and the BUYER undertakes therefore not to disclose the same or divulge any information contained therein to any third parties, without the prior written consent of the BUILDER, excepting where it is necessary for usual operation, repair and maintenance of the VESSEL.</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grants to the BUYER and its assignees and any subsequent purchaser or operator of the VESSEL a perpetual, worldwide, royalty-free license to use the Specification, and the plans and working drawings, technical descriptions, calculations, test results and other data, information and documents concerning the design and construction of the VESSEL (jointly the “BUILDER’s Vessel Design Materials”) as may be required for the operation, repair, maintenance, modification, or classification of the VESSEL or must otherwise be provided to regulatory authorities in connection therewith, subject to confidentiality requirements for any third party contractor. The BUILDER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2" w:name="page373"/>
    <w:bookmarkEnd w:id="372"/>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warrants that it has full right, title and interest in the BUILDER’s Vessel Design Materials and is entitled to grant the licenses to the BUYER under this Contract and that the BUILDER’s contribution to the BUILDER’s Vessel Design Materials, including the plans, will not infringe the patent, copyright, trademark or trade secrets rights of any third party. In making any disclosures of any BUILDER’s Vessel Design Materials to any third party contractor, the BUYER shall impose upon such third persons restrictions relating to the safeguarding to the same extent as have been imposed on the BUYER. The BUYER shall not be liable for unauthorized actions of its employees in disclosing the BUILDER’s Vessel Design Materials, provided that the BUYER has taken commercially reasonable precautions to safeguard such data.</w:t>
      </w:r>
    </w:p>
    <w:p>
      <w:pPr>
        <w:spacing w:after="0" w:line="199" w:lineRule="exact"/>
        <w:rPr>
          <w:sz w:val="20"/>
          <w:szCs w:val="20"/>
          <w:color w:val="auto"/>
        </w:rPr>
      </w:pPr>
    </w:p>
    <w:p>
      <w:pPr>
        <w:ind w:left="660" w:hanging="652"/>
        <w:spacing w:after="0"/>
        <w:tabs>
          <w:tab w:leader="none" w:pos="660" w:val="left"/>
        </w:tabs>
        <w:numPr>
          <w:ilvl w:val="0"/>
          <w:numId w:val="4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Non-infringement:</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defend, indemnify and save harmless the BUYER and its affiliates, agents, contractors, servants or employees from and against all loss, cost, liability and claims, plus attorneys’ fees, resulting from any claim by any third party that the VESSEL, or any material used in the construction of the VESSEL or incorporated in the VESSEL by the BUILDER, other than (x) the BUYER’s Supplies, (y) a design feature of the VESSEL specified by the BUYER, or (z) material for which the BUYER has specified the sole acceptable manufacturer, infringes any United States or foreign patent, copyright, trademark or trade secret rights (“BUYER’s Exclusions”). If the VESSEL or any material incorporated in the VESSEL by the BUILDER, other than the BUYER’s Exclusions, shall be held by a court having jurisdiction to constitute such an infringement and the use thereof shall be enjoined, the BUILDER shall procure for the BUYER at its sole cost and expense (i) the right to continue using the VESSEL with any such infringement, (ii) replace infringing material with noninfringing material of equal quality, function and performance, or (iii) modify the VESSEL so it becomes noninfringing, as may be required to eliminate all problems of infringement. Prompt written notice of the assertion of any claim or the bringing of any suit shall be given by the BUYER to the BUILDER, and thirty (30) days shall be given to the BUILDER from giving of such notice to settle or defend it as the parties may see fit. The BUYER shall provide every reasonable assistance in settling or defending such claim or suit. If, at the end of thirty (30) days, the BUILDER failed to undertake such settlement or defense, the BUYER shall undertake settlement or defense as it sees fit, with full reimbursement for damages, costs and attorneys’ fees as herein provided, it being understood and agreed that the BUYER, in such case, shall keep the BUILDER informed, on a regular basis, of the progress of the matter and shall not settle any claims without the prior written approval of the BUILDER, which approval shall not be unreasonably withheld. The BUYER warrants that the technical contribution to the Specification contributed solely by the BUYER will not infringe the patent, copyright, trademark or trade secrets of any third party. With respect to any such infringement, the BUYER will indemnify, defend and hold the BUILDER or its subcontractors or vendors harmless from and against any and all liability, cost, or expense resulting from such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3" w:name="page374"/>
    <w:bookmarkEnd w:id="373"/>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XVIII-BUYER’S SUPPLIES</w:t>
      </w:r>
    </w:p>
    <w:p>
      <w:pPr>
        <w:spacing w:after="0" w:line="229" w:lineRule="exact"/>
        <w:rPr>
          <w:sz w:val="20"/>
          <w:szCs w:val="20"/>
          <w:color w:val="auto"/>
        </w:rPr>
      </w:pPr>
    </w:p>
    <w:p>
      <w:pPr>
        <w:ind w:left="652" w:hanging="652"/>
        <w:spacing w:after="0"/>
        <w:tabs>
          <w:tab w:leader="none" w:pos="652" w:val="left"/>
        </w:tabs>
        <w:numPr>
          <w:ilvl w:val="0"/>
          <w:numId w:val="4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BUYER:</w:t>
      </w:r>
    </w:p>
    <w:p>
      <w:pPr>
        <w:spacing w:after="0" w:line="233" w:lineRule="exact"/>
        <w:rPr>
          <w:rFonts w:ascii="Times New Roman" w:cs="Times New Roman" w:eastAsia="Times New Roman" w:hAnsi="Times New Roman"/>
          <w:sz w:val="20"/>
          <w:szCs w:val="20"/>
          <w:b w:val="1"/>
          <w:bCs w:val="1"/>
          <w:color w:val="auto"/>
        </w:rPr>
      </w:pPr>
    </w:p>
    <w:p>
      <w:pPr>
        <w:jc w:val="both"/>
        <w:ind w:left="1292" w:hanging="644"/>
        <w:spacing w:after="0" w:line="241" w:lineRule="auto"/>
        <w:tabs>
          <w:tab w:leader="none" w:pos="1292" w:val="left"/>
        </w:tabs>
        <w:numPr>
          <w:ilvl w:val="1"/>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at its own risk, cost and expense, including the payment of any applicable sales, use or excise taxes, supply and deliver to the BUILDER all of the items to be furnished by the BUYER according to an agreed list, which list is included in the Specification and is incorporated herein and made part of this Contract (“BUYER’S Contract Equipment”, and together with BUYER’S supplies, materials, stores, spares and gear, herein jointly called the “BUYER’s Supplies”), at a warehouse or other storage facility of the Shipyard in the proper condition ready for installation in or on the VESSEL, in accordance with the time schedule designated by the BUILDER. The BUILDER shall, within one hundred twenty (120) days after the effective date of this Contract, submit to the BUYER a schedule setting out the timing for the BUYER’s delivery to the BUILDER of the BUYER’s Supplies. Such schedule shall (i) be reviewed and approved by the BUYER, such approval to not be unreasonably withheld, and any comments provided to the BUILDER shall be made within thirty (30) days of receipt of the schedule, provided always that the schedule shall enable BUILDER to deliver the VESSEL in accordance with this Contract, and (ii) be updated as needed and, following any such required update, be resubmitted to the BUYER for review and approval, as aforesaid.</w:t>
      </w:r>
    </w:p>
    <w:p>
      <w:pPr>
        <w:spacing w:after="0" w:line="209" w:lineRule="exact"/>
        <w:rPr>
          <w:rFonts w:ascii="Times New Roman" w:cs="Times New Roman" w:eastAsia="Times New Roman" w:hAnsi="Times New Roman"/>
          <w:sz w:val="20"/>
          <w:szCs w:val="20"/>
          <w:color w:val="auto"/>
        </w:rPr>
      </w:pPr>
    </w:p>
    <w:p>
      <w:pPr>
        <w:jc w:val="both"/>
        <w:ind w:left="1292" w:hanging="644"/>
        <w:spacing w:after="0" w:line="244" w:lineRule="auto"/>
        <w:tabs>
          <w:tab w:leader="none" w:pos="1292" w:val="left"/>
        </w:tabs>
        <w:numPr>
          <w:ilvl w:val="1"/>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facilitate installation or loading by the BUILDER of the BUYER’s Supplies in or on the VESSEL, the BUYER shall furnish the BUILDER with necessary specifications, plans, drawings, instruction books, manuals, test reports and certificates required by the applicable rules and regulations. The BUYER, if so requested by the BUILDER, shall, without any charge to the BUILDER, cause the representatives of the manufacturers of the BUYER’s Supplies to assist the BUILDER in installation thereof in or on the VESSEL and/or to carry out installation thereof by themselves or to make necessary adjustments thereof at the Shipyard.</w:t>
      </w:r>
    </w:p>
    <w:p>
      <w:pPr>
        <w:spacing w:after="0" w:line="199" w:lineRule="exact"/>
        <w:rPr>
          <w:rFonts w:ascii="Times New Roman" w:cs="Times New Roman" w:eastAsia="Times New Roman" w:hAnsi="Times New Roman"/>
          <w:sz w:val="20"/>
          <w:szCs w:val="20"/>
          <w:color w:val="auto"/>
        </w:rPr>
      </w:pPr>
    </w:p>
    <w:p>
      <w:pPr>
        <w:jc w:val="both"/>
        <w:ind w:left="1292" w:hanging="644"/>
        <w:spacing w:after="0" w:line="243" w:lineRule="auto"/>
        <w:tabs>
          <w:tab w:leader="none" w:pos="1292" w:val="left"/>
        </w:tabs>
        <w:numPr>
          <w:ilvl w:val="1"/>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of the BUYER’s Supplies shall be subject to the BUILDER’s reasonable right of rejection, as and if they are found to be unsuitable or in improper condition for installation. However, if so requested by the BUYER, the BUILDER may repair or adjust the BUYER’s Supplies without prejudice to the BUILDER’s other rights hereunder and without being responsible for any consequences therefrom. In such case, the BUYER shall reimburse the BUILDER for all costs and expenses incurred by the BUILDER in such repair or adjustment and the Delivery Date shall be postponed for a period of time necessary for such repair or replacement to the extent it impacts the construction schedule and such schedule cannot reasonably be adjusted by the BUILDER to meet the Delivery Date.</w:t>
      </w:r>
    </w:p>
    <w:p>
      <w:pPr>
        <w:spacing w:after="0" w:line="202"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BUYER fail to deliver any of the BUYER’s Supplies within the time designated, the Delivery Date shall be extended for a period of such delay in delivery if such delay affects the Delivery Date and the effects of the delayed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374" w:name="page375"/>
    <w:bookmarkEnd w:id="374"/>
    <w:p>
      <w:pPr>
        <w:jc w:val="both"/>
        <w:ind w:left="1300"/>
        <w:spacing w:after="0" w:line="244" w:lineRule="auto"/>
        <w:rPr>
          <w:sz w:val="20"/>
          <w:szCs w:val="20"/>
          <w:color w:val="auto"/>
        </w:rPr>
      </w:pPr>
      <w:r>
        <w:rPr>
          <w:rFonts w:ascii="Times New Roman" w:cs="Times New Roman" w:eastAsia="Times New Roman" w:hAnsi="Times New Roman"/>
          <w:sz w:val="20"/>
          <w:szCs w:val="20"/>
          <w:color w:val="auto"/>
        </w:rPr>
        <w:t>delivery cannot reasonably be made up in the construction schedule. In such event, the BUYER shall be responsible for and pay to the BUILDER all losses and damages incurred by the BUILDER by reason of such delay in delivery of the BUYER’s Supplies and such payment shall be made upon delivery of the VESSEL. If delay in delivery of any of the BUYER’s Supplies exceeds thirty (30) days, then, the BUILDER shall be entitled to proceed with construction of the VESSEL without installation thereof in or on the VESSEL, without prejudice to the BUILDER’s other rights as hereinabove provided, and the BUYER shall accept and take delivery of the VESSEL so constructed.</w:t>
      </w:r>
    </w:p>
    <w:p>
      <w:pPr>
        <w:spacing w:after="0" w:line="195" w:lineRule="exact"/>
        <w:rPr>
          <w:sz w:val="20"/>
          <w:szCs w:val="20"/>
          <w:color w:val="auto"/>
        </w:rPr>
      </w:pPr>
    </w:p>
    <w:p>
      <w:pPr>
        <w:ind w:left="660" w:hanging="652"/>
        <w:spacing w:after="0"/>
        <w:tabs>
          <w:tab w:leader="none" w:pos="660" w:val="left"/>
        </w:tabs>
        <w:numPr>
          <w:ilvl w:val="0"/>
          <w:numId w:val="4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BUILDER:</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at its own risk and expense, receive, inspect, check as to agreement with bill of lading, store, protect and handle with reasonable care all of the BUYER’s Supplies after delivery thereof at the Shipyard, and shall install or load them in or on the VESSEL, unless otherwise provided herein or agreed by the parties hereto, provided, always, that the BUILDER shall not be responsible for quality, efficiency and/or performance of any of the BUYER’s Supplies.</w:t>
      </w:r>
    </w:p>
    <w:p>
      <w:pPr>
        <w:spacing w:after="0" w:line="198"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BUILDER does not deliver the VESSEL, except as otherwise expressly provided herein, the BUILDER shall return all of the BUYER’s Supplies to the BUYER or shall reimburse the BUYER for the cost of such supplies, at the BUYER’S option.</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and Risk</w:t>
      </w:r>
    </w:p>
    <w:p>
      <w:pPr>
        <w:spacing w:after="0" w:line="233" w:lineRule="exact"/>
        <w:rPr>
          <w:rFonts w:ascii="Times New Roman" w:cs="Times New Roman" w:eastAsia="Times New Roman" w:hAnsi="Times New Roman"/>
          <w:sz w:val="20"/>
          <w:szCs w:val="20"/>
          <w:b w:val="1"/>
          <w:bCs w:val="1"/>
          <w:color w:val="auto"/>
        </w:rPr>
      </w:pPr>
    </w:p>
    <w:p>
      <w:pPr>
        <w:jc w:val="both"/>
        <w:ind w:left="1300" w:hanging="644"/>
        <w:spacing w:after="0" w:line="243" w:lineRule="auto"/>
        <w:tabs>
          <w:tab w:leader="none" w:pos="1300" w:val="left"/>
        </w:tabs>
        <w:numPr>
          <w:ilvl w:val="1"/>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to the BUYER’s Supplies shall remain in the BUYER at all times while such items are in the custody of the BUILDER, as provided in ARTICLE XVIII. The BUILDER shall be liable to the BUYER for all damage to or loss of the BUYER’s Supplies occurring during the BUILDER’s custody thereof, which may arise from any event, excepting from acts or omissions of the BUYER, and excluding all war risks, except to the extent such war risks are insurable at the time and place of loss and the BUYER has requested the BUILDER to insure such war risks at the BUYER’s expense under a Change Order. The BUYER shall have reasonable access to the BUYER’s Supplies during the construction. The BUILDER shall not be deemed to have extended to the BUYER any warranty as to the BUYER’s Supplies other than the warranty of workmanship in the installation thereof, as set forth in ARTICLE IX.</w:t>
      </w:r>
    </w:p>
    <w:p>
      <w:pPr>
        <w:spacing w:after="0" w:line="19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BUYER requests that the BUILDER furnish all or any of the BUYER’s Supplies, the furnishing of such BUYER’s Supplies by the BUILDER shall be treated as a Change Order under ARTICLE IX, and such equipment shall be treated as 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XIX COOPERATION REGARDING FINANCING AND RELATED MATTERS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BUYER contemplates that it will seek financing under the Title XI program administered by the United States Department of Transportation, acting by and through the Maritime Administrator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5" w:name="page376"/>
    <w:bookmarkEnd w:id="375"/>
    <w:p>
      <w:pPr>
        <w:jc w:val="both"/>
        <w:spacing w:after="0" w:line="245" w:lineRule="auto"/>
        <w:rPr>
          <w:sz w:val="20"/>
          <w:szCs w:val="20"/>
          <w:color w:val="auto"/>
        </w:rPr>
      </w:pPr>
      <w:r>
        <w:rPr>
          <w:rFonts w:ascii="Times New Roman" w:cs="Times New Roman" w:eastAsia="Times New Roman" w:hAnsi="Times New Roman"/>
          <w:sz w:val="20"/>
          <w:szCs w:val="20"/>
          <w:color w:val="auto"/>
        </w:rPr>
        <w:t>(“MARAD”), under 46 U.S.C. chapter 537 (“Title XI”), and/or private or bank financing. The BUYER intends to make qualified withdrawals from its Capital Construction Fund (“CCF”) for some or all of the construction cost. Commencing on the date of execution of this Contract and continuing through the date that is one year following the Delivery Date of the VESSEL, the BUILDER agrees to reasonably cooperate with the BUYER to assist the BUYER in arranging construction period or permanent financing in connection with the VESSEL. At this time it is anticipated that this cooperation will entail the following:</w:t>
      </w:r>
    </w:p>
    <w:p>
      <w:pPr>
        <w:spacing w:after="0" w:line="198" w:lineRule="exact"/>
        <w:rPr>
          <w:sz w:val="20"/>
          <w:szCs w:val="20"/>
          <w:color w:val="auto"/>
        </w:rPr>
      </w:pPr>
    </w:p>
    <w:p>
      <w:pPr>
        <w:jc w:val="both"/>
        <w:ind w:left="1300" w:hanging="644"/>
        <w:spacing w:after="0" w:line="245" w:lineRule="auto"/>
        <w:tabs>
          <w:tab w:leader="none" w:pos="1300"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information of any nature with respect to the VESSEL, its construction, and the BUILDER (including confidential information) in the possession of the BUILDER or its suppliers and not otherwise readily available to the BUYER that is reasonably requested by (i) MARAD as a condition to processing or approving any application for Title XI financing submitted by the BUYER, including Forms MA-163, MA-440 and MA-133, and (ii) the lenders under a non-Title XI financing; and in all cases as soon as reasonably practicable after it is requested;</w:t>
      </w:r>
    </w:p>
    <w:p>
      <w:pPr>
        <w:spacing w:after="0" w:line="197" w:lineRule="exact"/>
        <w:rPr>
          <w:rFonts w:ascii="Times New Roman" w:cs="Times New Roman" w:eastAsia="Times New Roman" w:hAnsi="Times New Roman"/>
          <w:sz w:val="20"/>
          <w:szCs w:val="20"/>
          <w:color w:val="auto"/>
        </w:rPr>
      </w:pPr>
    </w:p>
    <w:p>
      <w:pPr>
        <w:jc w:val="both"/>
        <w:ind w:left="1300" w:hanging="644"/>
        <w:spacing w:after="0"/>
        <w:tabs>
          <w:tab w:leader="none" w:pos="1300"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making any amendments to this Contract and the Guaranty that are reasonably requested by MARAD as a condition to processing or approving any application for Title XI financing submitted by the BUYER or any affiliate of the BUYER, or that are reasonably requested by any non-Title XI lenders, provided such amendments are customarily requested by MARAD or such non-Title XI lenders in connection with other financings and do not unreasonably increase the obligations or decrease the rights of the BUILDER or the GUARANTOR, it being understood that such amendments may include, without limitation, documentation in support of invoices, audit, inspection, and consent rights, copies of drawings, notices, insurance coverages and loss payable clauses, naming MARAD or such lenders as beneficiary of the Guaranty or any other security provided in respect of BUILDER’s performance under this Contract, any amendments or supplements relating to the assignment of, or the granting of security interest in, this Contract to MARAD or any other Lender Party as security for the Title XI financing or any private or bank financing, allowing the Lender Parties to have reasonable access to the Shipyard to inspect the work in process on the VESSEL, certifying substantial completion of the VESSEL at delivery, and attending any tests and sea trials; and (ii) providing documentation evidencing (x) its consent to any assignment of, or the granting of security interest in, this Contract, the VESSEL or any work in process with respect to the VESSEL as security for the Title XI financing or any private or bank financing or otherwise in connection therewith, including without limitation any Permitted Financing Assignment, in each case in form and substance reasonably requested by MARAD or any other applicable Lender Party; and (y) its consent to subordination of its interests herein and with respect to the VESSEL and any work in process with respect to the VESSEL to any such lien or security interest of the Lender Parties to the extent of the aggregate of the initial payments and all milestone payments made by BUYER from time to time, in each case in form and substance reasonably requested by MARAD or any other applicable Lender Party;</w:t>
      </w:r>
    </w:p>
    <w:p>
      <w:pPr>
        <w:spacing w:after="0" w:line="21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tracking from the time the BUILDER places orders for the same, the foreign components and services that will be utilized in the construction of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6" w:name="page377"/>
    <w:bookmarkEnd w:id="376"/>
    <w:p>
      <w:pPr>
        <w:jc w:val="both"/>
        <w:ind w:left="1300"/>
        <w:spacing w:after="0" w:line="244" w:lineRule="auto"/>
        <w:rPr>
          <w:sz w:val="20"/>
          <w:szCs w:val="20"/>
          <w:color w:val="auto"/>
        </w:rPr>
      </w:pPr>
      <w:r>
        <w:rPr>
          <w:rFonts w:ascii="Times New Roman" w:cs="Times New Roman" w:eastAsia="Times New Roman" w:hAnsi="Times New Roman"/>
          <w:sz w:val="20"/>
          <w:szCs w:val="20"/>
          <w:color w:val="auto"/>
        </w:rPr>
        <w:t>VESSEL and providing all information requested by MARAD in the possession of the BUILDER or its suppliers and not otherwise readily available to the BUYER that is (i) to support a waiver to include in “Actual Cost” the cost of any foreign components (including information that substantiates the choice of foreign over domestic), and (ii) to support the BUYER in complying with MARAD’s cargo preference requirements and policies regarding the transport of such foreign components to the U.S. by ocean on U.S.-flag vessels in order to satisfy MARAD’s foreign components waiver requirements, and providing such information as soon as reasonably practicable after it is requested;</w:t>
      </w:r>
    </w:p>
    <w:p>
      <w:pPr>
        <w:spacing w:after="0" w:line="199" w:lineRule="exact"/>
        <w:rPr>
          <w:sz w:val="20"/>
          <w:szCs w:val="20"/>
          <w:color w:val="auto"/>
        </w:rPr>
      </w:pPr>
    </w:p>
    <w:p>
      <w:pPr>
        <w:ind w:left="1300" w:right="20" w:hanging="644"/>
        <w:spacing w:after="0" w:line="269" w:lineRule="auto"/>
        <w:tabs>
          <w:tab w:leader="none" w:pos="1300" w:val="left"/>
        </w:tabs>
        <w:numPr>
          <w:ilvl w:val="0"/>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supporting the BUYER’s efforts to secure any grants or awards that might be available related to the LNG features or TIER 3 engines on the VESSEL; and</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for and providing the BUYER a U.S. Coast Guard ruling confirming the U.S. construction of the VESSEL to enable the BUYER to treat the VESSEL as a “qualified vessel” under the BUYER’s CCF for purposes of 46 USC Chapter 535 §53501(2)(B) and 46 C.F.R. §390.5.</w:t>
      </w:r>
    </w:p>
    <w:p>
      <w:pPr>
        <w:spacing w:after="0" w:line="188"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All of the foregoing the BUILDER shall perform with no changes to the Delivery Date and with no costs to the BUYER other than such actual out-of-pocket costs paid by the BUILDER to third parties which the BUYER shall have previously approved in writing. For clarity, (1) the BUILDER shall not be required to incur any out-of-pocket costs if the BUYER refuses to approve and reimburse those costs, and (2) the BUILDER will not pay any increased costs of carriage in connection with the BUYER’s compliance with MARAD’s cargo preference requirements and policies.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 -NOTICE</w:t>
      </w:r>
    </w:p>
    <w:p>
      <w:pPr>
        <w:spacing w:after="0" w:line="229" w:lineRule="exact"/>
        <w:rPr>
          <w:sz w:val="20"/>
          <w:szCs w:val="20"/>
          <w:color w:val="auto"/>
        </w:rPr>
      </w:pPr>
    </w:p>
    <w:p>
      <w:pPr>
        <w:ind w:left="660" w:hanging="652"/>
        <w:spacing w:after="0"/>
        <w:tabs>
          <w:tab w:leader="none" w:pos="660" w:val="left"/>
        </w:tabs>
        <w:numPr>
          <w:ilvl w:val="0"/>
          <w:numId w:val="4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Address:</w:t>
      </w:r>
    </w:p>
    <w:p>
      <w:pPr>
        <w:spacing w:after="0" w:line="233" w:lineRule="exact"/>
        <w:rPr>
          <w:rFonts w:ascii="Times New Roman" w:cs="Times New Roman" w:eastAsia="Times New Roman" w:hAnsi="Times New Roman"/>
          <w:sz w:val="20"/>
          <w:szCs w:val="20"/>
          <w:b w:val="1"/>
          <w:bCs w:val="1"/>
          <w:color w:val="auto"/>
        </w:rPr>
      </w:pPr>
    </w:p>
    <w:p>
      <w:pPr>
        <w:ind w:left="660" w:right="1040"/>
        <w:spacing w:after="0" w:line="47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addressed as follows: To the BUYER:</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Senior Vice President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Email: [†]</w:t>
      </w:r>
    </w:p>
    <w:p>
      <w:pPr>
        <w:spacing w:after="0" w:line="207"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Matson Navigation Company, Inc.</w:t>
      </w:r>
    </w:p>
    <w:p>
      <w:pPr>
        <w:spacing w:after="0" w:line="21" w:lineRule="exact"/>
        <w:rPr>
          <w:rFonts w:ascii="Times New Roman" w:cs="Times New Roman" w:eastAsia="Times New Roman" w:hAnsi="Times New Roman"/>
          <w:sz w:val="20"/>
          <w:szCs w:val="20"/>
          <w:b w:val="1"/>
          <w:bCs w:val="1"/>
          <w:color w:val="auto"/>
        </w:rPr>
      </w:pPr>
    </w:p>
    <w:p>
      <w:pPr>
        <w:ind w:left="660" w:right="75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555 12th Street Oakland, CA 94607</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Attn: Vice President -- Vessel Operations and Engineering</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Telephone No.: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7" w:name="page378"/>
    <w:bookmarkEnd w:id="377"/>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Matson Navigation Company,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555 12th Street</w:t>
      </w:r>
    </w:p>
    <w:p>
      <w:pPr>
        <w:ind w:left="652"/>
        <w:spacing w:after="0"/>
        <w:rPr>
          <w:sz w:val="20"/>
          <w:szCs w:val="20"/>
          <w:color w:val="auto"/>
        </w:rPr>
      </w:pPr>
      <w:r>
        <w:rPr>
          <w:rFonts w:ascii="Times New Roman" w:cs="Times New Roman" w:eastAsia="Times New Roman" w:hAnsi="Times New Roman"/>
          <w:sz w:val="20"/>
          <w:szCs w:val="20"/>
          <w:color w:val="auto"/>
        </w:rPr>
        <w:t>Oakland, CA  94607</w:t>
      </w:r>
    </w:p>
    <w:p>
      <w:pPr>
        <w:ind w:left="652"/>
        <w:spacing w:after="0"/>
        <w:rPr>
          <w:sz w:val="20"/>
          <w:szCs w:val="20"/>
          <w:color w:val="auto"/>
        </w:rPr>
      </w:pPr>
      <w:r>
        <w:rPr>
          <w:rFonts w:ascii="Times New Roman" w:cs="Times New Roman" w:eastAsia="Times New Roman" w:hAnsi="Times New Roman"/>
          <w:sz w:val="20"/>
          <w:szCs w:val="20"/>
          <w:color w:val="auto"/>
        </w:rPr>
        <w:t>Attn: Executive Vice President, Chief Administrative Officer and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To the BUILDER:</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Thomas Grunwald, Vice President</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Philly Shipyard, Inc.</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2100 Kitty Hawk Avenue</w:t>
      </w:r>
    </w:p>
    <w:p>
      <w:pPr>
        <w:ind w:left="652"/>
        <w:spacing w:after="0"/>
        <w:rPr>
          <w:sz w:val="20"/>
          <w:szCs w:val="20"/>
          <w:color w:val="auto"/>
        </w:rPr>
      </w:pPr>
      <w:r>
        <w:rPr>
          <w:rFonts w:ascii="Times New Roman" w:cs="Times New Roman" w:eastAsia="Times New Roman" w:hAnsi="Times New Roman"/>
          <w:sz w:val="20"/>
          <w:szCs w:val="20"/>
          <w:color w:val="auto"/>
        </w:rPr>
        <w:t>Philadelphia, PA 19112</w:t>
      </w:r>
    </w:p>
    <w:p>
      <w:pPr>
        <w:ind w:left="652"/>
        <w:spacing w:after="0"/>
        <w:rPr>
          <w:sz w:val="20"/>
          <w:szCs w:val="20"/>
          <w:color w:val="auto"/>
        </w:rPr>
      </w:pPr>
      <w:r>
        <w:rPr>
          <w:rFonts w:ascii="Times New Roman" w:cs="Times New Roman" w:eastAsia="Times New Roman" w:hAnsi="Times New Roman"/>
          <w:sz w:val="20"/>
          <w:szCs w:val="20"/>
          <w:color w:val="auto"/>
        </w:rPr>
        <w:t>Attn: Dean E. Grabelle, Senior Vice President &amp; General Counsel</w:t>
      </w:r>
    </w:p>
    <w:p>
      <w:pPr>
        <w:ind w:left="652"/>
        <w:spacing w:after="0"/>
        <w:rPr>
          <w:sz w:val="20"/>
          <w:szCs w:val="20"/>
          <w:color w:val="auto"/>
        </w:rPr>
      </w:pPr>
      <w:r>
        <w:rPr>
          <w:rFonts w:ascii="Times New Roman" w:cs="Times New Roman" w:eastAsia="Times New Roman" w:hAnsi="Times New Roman"/>
          <w:sz w:val="20"/>
          <w:szCs w:val="20"/>
          <w:color w:val="auto"/>
        </w:rPr>
        <w:t>Telephone No.: [†]</w:t>
      </w:r>
    </w:p>
    <w:p>
      <w:pPr>
        <w:ind w:left="652"/>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Any notice, including any written notice, required hereunder, shall be effected and deemed received only as follows:</w:t>
      </w:r>
    </w:p>
    <w:p>
      <w:pPr>
        <w:spacing w:after="0" w:line="241" w:lineRule="exact"/>
        <w:rPr>
          <w:sz w:val="20"/>
          <w:szCs w:val="20"/>
          <w:color w:val="auto"/>
        </w:rPr>
      </w:pPr>
    </w:p>
    <w:p>
      <w:pPr>
        <w:jc w:val="both"/>
        <w:ind w:left="652" w:hanging="652"/>
        <w:spacing w:after="0" w:line="254" w:lineRule="auto"/>
        <w:tabs>
          <w:tab w:leader="none" w:pos="652"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e-mail, at the time of transmission recorded on the message if such time is within normal business hours on a working day at the place of receipt, otherwise at the commencement of normal business hours on the next such working day.</w:t>
      </w:r>
    </w:p>
    <w:p>
      <w:pPr>
        <w:spacing w:after="0" w:line="187" w:lineRule="exact"/>
        <w:rPr>
          <w:rFonts w:ascii="Times New Roman" w:cs="Times New Roman" w:eastAsia="Times New Roman" w:hAnsi="Times New Roman"/>
          <w:sz w:val="20"/>
          <w:szCs w:val="20"/>
          <w:color w:val="auto"/>
        </w:rPr>
      </w:pPr>
    </w:p>
    <w:p>
      <w:pPr>
        <w:jc w:val="both"/>
        <w:ind w:left="652" w:hanging="652"/>
        <w:spacing w:after="0" w:line="254" w:lineRule="auto"/>
        <w:tabs>
          <w:tab w:leader="none" w:pos="652"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letter, whether sent by registered mail or delivered by hand or by courier, at the date and time of its actual delivery if delivered within normal business hours on a working day at the place of receipt, otherwise at the commencement of normal business hours on the next such working day.</w:t>
      </w:r>
    </w:p>
    <w:p>
      <w:pPr>
        <w:spacing w:after="0" w:line="184" w:lineRule="exact"/>
        <w:rPr>
          <w:sz w:val="20"/>
          <w:szCs w:val="20"/>
          <w:color w:val="auto"/>
        </w:rPr>
      </w:pPr>
    </w:p>
    <w:p>
      <w:pPr>
        <w:ind w:left="652" w:hanging="652"/>
        <w:spacing w:after="0"/>
        <w:tabs>
          <w:tab w:leader="none" w:pos="652" w:val="left"/>
        </w:tabs>
        <w:numPr>
          <w:ilvl w:val="0"/>
          <w:numId w:val="4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p>
    <w:p>
      <w:pPr>
        <w:spacing w:after="0" w:line="233"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and all notices and communications in connection with this Contract shall be written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78" w:name="page379"/>
    <w:bookmarkEnd w:id="378"/>
    <w:p>
      <w:pPr>
        <w:jc w:val="center"/>
        <w:spacing w:after="0"/>
        <w:rPr>
          <w:sz w:val="20"/>
          <w:szCs w:val="20"/>
          <w:color w:val="auto"/>
        </w:rPr>
      </w:pPr>
      <w:r>
        <w:rPr>
          <w:rFonts w:ascii="Times New Roman" w:cs="Times New Roman" w:eastAsia="Times New Roman" w:hAnsi="Times New Roman"/>
          <w:sz w:val="20"/>
          <w:szCs w:val="20"/>
          <w:b w:val="1"/>
          <w:bCs w:val="1"/>
          <w:color w:val="auto"/>
        </w:rPr>
        <w:t>ARTICLE XXI - INTERPRETATION</w:t>
      </w:r>
    </w:p>
    <w:p>
      <w:pPr>
        <w:spacing w:after="0" w:line="229" w:lineRule="exact"/>
        <w:rPr>
          <w:sz w:val="20"/>
          <w:szCs w:val="20"/>
          <w:color w:val="auto"/>
        </w:rPr>
      </w:pPr>
    </w:p>
    <w:p>
      <w:pPr>
        <w:ind w:left="660" w:hanging="652"/>
        <w:spacing w:after="0"/>
        <w:tabs>
          <w:tab w:leader="none" w:pos="66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Laws Applicable: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hereto agree that the validity and interpretation of this Contract and of each Article and part thereof shall be governed by the laws of the State of New York applicable to a contract executed and performed in such State without giving effect to the conflicts of laws principles thereof.</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Discrepancies: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provisions of the Articles of this Contract and the Specification, then to the extent of such discrepancy, difference or conflict only, the Specification shall be ineffectual and the provisions of the Articles of this Contract shall prevail; but in all other aspects, the Specification shall be in full force and effect.</w:t>
      </w:r>
    </w:p>
    <w:p>
      <w:pPr>
        <w:spacing w:after="0" w:line="19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any discrepancy, difference or conflict between the plans of the Specification and the text of the Specification, then to the extent of such discrepancy, difference or conflict the text of the Specification shall prevail; provided, however, any work called for by the text of the Specification and not shown on the plans of the Specification and any work shown on the plans of the Specification but not called for in the text of the Specification shall be performed by the BUILDER as part of the Contract work.</w:t>
      </w:r>
    </w:p>
    <w:p>
      <w:pPr>
        <w:spacing w:after="0" w:line="198"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discrepancy, difference or conflict described hereabove discovered by one of the parties hereto shall be brought to the attention of the other party hereto promptly in writing.</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may be executed and delivered, including execution and delivery by facsimile or portable data format (PDF) transmission, in counterparts, each of which shall be deemed an original and together shall constitute one and the same instrument.</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Agreements: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Contract, including the Specification and Plans and Exhibits, which are incorporated herein and made part of this Contract, and the Guaranty constitute the entire agreement of the parties with respect to the subject matter hereof and thereof and shall supersede any and all prior negotiations, understandings and agreements between the parties, including, without limitation, the Right of First Refusal and Advance Design Agreement between the parties dated as of April 25, 2022.</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provision of this Contract may be amended or waived if, but only if, such amendment or waiver is in writing and is signed, in the case of any amendment, by each party to this Contract, or in the case of a waiver, by the party against whom the waiver is to be effective. No failure or delay by any party in exercising any right, power or privilege hereunder shall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79" w:name="page380"/>
    <w:bookmarkEnd w:id="379"/>
    <w:p>
      <w:pPr>
        <w:ind w:left="660"/>
        <w:spacing w:after="0" w:line="269" w:lineRule="auto"/>
        <w:rPr>
          <w:sz w:val="20"/>
          <w:szCs w:val="20"/>
          <w:color w:val="auto"/>
        </w:rPr>
      </w:pPr>
      <w:r>
        <w:rPr>
          <w:rFonts w:ascii="Times New Roman" w:cs="Times New Roman" w:eastAsia="Times New Roman" w:hAnsi="Times New Roman"/>
          <w:sz w:val="20"/>
          <w:szCs w:val="20"/>
          <w:color w:val="auto"/>
        </w:rPr>
        <w:t>operate as a waiver thereof nor shall any single or partial exercise thereof preclude any other or further exercise thereof or the exercise of any other right, power or privilege.</w:t>
      </w:r>
    </w:p>
    <w:p>
      <w:pPr>
        <w:spacing w:after="0" w:line="169" w:lineRule="exact"/>
        <w:rPr>
          <w:sz w:val="20"/>
          <w:szCs w:val="20"/>
          <w:color w:val="auto"/>
        </w:rPr>
      </w:pPr>
    </w:p>
    <w:p>
      <w:pPr>
        <w:ind w:left="660" w:hanging="652"/>
        <w:spacing w:after="0"/>
        <w:tabs>
          <w:tab w:leader="none" w:pos="660" w:val="left"/>
        </w:tabs>
        <w:numPr>
          <w:ilvl w:val="0"/>
          <w:numId w:val="4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Beneficiaries: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provision of this Contract is intended to confer upon any party other than the parties hereto any rights or remedies hereunder.</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Rules of Construction: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context otherwise requires:</w:t>
      </w:r>
    </w:p>
    <w:p>
      <w:pPr>
        <w:spacing w:after="0" w:line="17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spacing w:after="0" w:line="17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computation of periods of time hereunder, the word “days” means calendar days, “from” means “from and including” and the words “to” and “until” each mean “to but excluding”;</w:t>
      </w:r>
    </w:p>
    <w:p>
      <w:pPr>
        <w:spacing w:after="0" w:line="118"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Contract to Articles, Paragraphs, subparagraphs or Exhibits shall be to Articles, Paragraphs, subparagraphs or Exhibits of or to this Contract unless otherwise specifically provided;</w:t>
      </w:r>
    </w:p>
    <w:p>
      <w:pPr>
        <w:spacing w:after="0" w:line="11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the Articles, Paragraphs and other parts hereof are provided for convenience only and shall not in any way affect the meaning or construction of any provision of this Contract; and</w:t>
      </w:r>
    </w:p>
    <w:p>
      <w:pPr>
        <w:spacing w:after="0" w:line="11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“contractor” includes “subcontractor” and vice versa.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XXII – LIMITATION OF LIABILITY; INDEMNIFICATION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NO BROKERAGE; AND FEDERAL CONTRACTOR REQUIREMENTS</w:t>
      </w:r>
    </w:p>
    <w:p>
      <w:pPr>
        <w:spacing w:after="0" w:line="203" w:lineRule="exact"/>
        <w:rPr>
          <w:sz w:val="20"/>
          <w:szCs w:val="20"/>
          <w:color w:val="auto"/>
        </w:rPr>
      </w:pPr>
    </w:p>
    <w:p>
      <w:pPr>
        <w:ind w:left="660" w:hanging="652"/>
        <w:spacing w:after="0"/>
        <w:tabs>
          <w:tab w:leader="none" w:pos="660" w:val="left"/>
        </w:tabs>
        <w:numPr>
          <w:ilvl w:val="0"/>
          <w:numId w:val="4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confirm that the express remedies and measures of damages provided in this Contract satisfy the essential purposes hereof. For breach of any provision for which an express remedy or measure of damages is provided, such express remedy or measure of damages shall be the sole and exclusive remedy or measure of damages therefor. If no remedy or measure of damages is expressly herein provided, the obligor’s liability shall be limited to direct actual damages only; such direct actual damages shall be the sole and exclusive remedy. The parties confirm and agree that under this Contract, notwithstanding anything to the contrary set forth herein, no party shall be required to pay or be liable for special, consequential, incidental, punitive, exemplary or indirect damages, including, without limitation, lost profit, revenue or business interruption damages, by statute, in tort, contract or otherwise. For clarity, the foregoing limitation of liability does not limit the liability of any party for direct lost profit damages under this Contract. To the extent any damages required to be paid hereunder are liquidated damages, the parties acknowledge that the damages are difficult or impossible to determine, otherwise obtaining an adequate remedy is inconvenient and the liquidated damages constitute a reasonable approximation of the harm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80" w:name="page381"/>
    <w:bookmarkEnd w:id="380"/>
    <w:p>
      <w:pPr>
        <w:ind w:left="660" w:hanging="652"/>
        <w:spacing w:after="0"/>
        <w:tabs>
          <w:tab w:leader="none" w:pos="660" w:val="left"/>
        </w:tabs>
        <w:numPr>
          <w:ilvl w:val="0"/>
          <w:numId w:val="4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shall also be responsible for, and shall defend, indemnify and hold harmless the BUYER and its agents against and from any and all loss, expense, attorneys’ fees, claims, actions or liability for injuries to or death of any person or persons including employees of the BUILDER and damage to property occurring at or prior to delivery of the VESSEL in the course of or in connection with the BUILDER’s performance of this Contract caused in whole or in part, or alleged to be caused in whole or in part, by any act of the BUILDER, its agents, employees or subcontractors or their employees, but only as and to the extent the liability is alleged to be that of the BUILDER, its agents, employees or subcontractors. It is the intention of the parties hereto that the indemnity provisions herein pertaining to employees of the BUILDER shall be effective despite the provisions of 33 U.S.C. § 905(b) as and to the extent that in any claim or action liability is alleged to be that of the BUILDER, its agents, employees, or subcontractors, it being agreed that for purposes of said section the VESSEL being constructed shall not become a "vessel" until such time as the VESSEL is officially documented by the United States Coast Guard and the Classification Society and becomes a vessel capable of being legally used for transportation of goods on water. The BUILDER’s indemnity set forth hereinabove shall not apply to any injury or death of any person or to any damage to or loss of property of third parties occurring in connection with the VESSEL after the delivery and acceptance of the VESSEL by the BUYER, provided that this exclusion shall not apply to claims for injury or death of any person, or to any damage to or loss of property of third parties occurring prior to delivery but for which a claim is not instituted until after delivery and acceptance of the VESSEL by the BUYER.</w:t>
      </w:r>
    </w:p>
    <w:p>
      <w:pPr>
        <w:spacing w:after="0" w:line="20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Brokerage: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third party shall be entitled to receive any brokerage commissions, finder’s fees, fees for financial advisory services or similar compensation in connection with the transaction contemplated by this Contract based on any arrangement or agreement made by or on behalf of the BUYER or the BUILDER.</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Contractor Requirements: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BUILDER warrants that the BUILDER is not (a) a person or entity identified on any U.S. restricted party list, including those published by the Office of Foreign Assets Control, U.S. Department of the Treasury, such as the Specially Designated Nationals and Blocked Persons List, or otherwise required to be treated as such (“Restricted Party”); or (b) a department, agency or instrumentality of the government of, or is otherwise directly or indirectly controlled by or acting on behalf of, or is ordinarily resident in, a location subject to comprehensive U.S. economic sanctions administered by OFAC, currently Cuba, Iran, North Korea, Syria, and the Crimea, Donetsk, and Luhansk regions of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81" w:name="page382"/>
    <w:bookmarkEnd w:id="381"/>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ARTICLE XXIII – CONFIDENTIALITY; PUBLIC ANNOUNCEMENTS</w:t>
      </w:r>
    </w:p>
    <w:p>
      <w:pPr>
        <w:spacing w:after="0" w:line="229" w:lineRule="exact"/>
        <w:rPr>
          <w:sz w:val="20"/>
          <w:szCs w:val="20"/>
          <w:color w:val="auto"/>
        </w:rPr>
      </w:pPr>
    </w:p>
    <w:p>
      <w:pPr>
        <w:ind w:left="652" w:hanging="652"/>
        <w:spacing w:after="0"/>
        <w:tabs>
          <w:tab w:leader="none" w:pos="652" w:val="left"/>
        </w:tabs>
        <w:numPr>
          <w:ilvl w:val="0"/>
          <w:numId w:val="4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33" w:lineRule="exact"/>
        <w:rPr>
          <w:rFonts w:ascii="Times New Roman" w:cs="Times New Roman" w:eastAsia="Times New Roman" w:hAnsi="Times New Roman"/>
          <w:sz w:val="20"/>
          <w:szCs w:val="20"/>
          <w:b w:val="1"/>
          <w:bCs w:val="1"/>
          <w:color w:val="auto"/>
        </w:rPr>
      </w:pPr>
    </w:p>
    <w:p>
      <w:pPr>
        <w:jc w:val="both"/>
        <w:ind w:left="972" w:hanging="324"/>
        <w:spacing w:after="0" w:line="263" w:lineRule="auto"/>
        <w:tabs>
          <w:tab w:leader="none" w:pos="972" w:val="left"/>
        </w:tabs>
        <w:numPr>
          <w:ilvl w:val="1"/>
          <w:numId w:val="4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and data disclosed by either party to the other party pursuant to this Contract is the sole and exclusive property of the disclosing party and shall be deemed proprietary, secret, and confidential, regardless of the manner in which it is or was delivered, disclosed or furnished, and whether prepared by or on behalf of the disclosing party and whether delivered, disclosed or furnished prior to, on or after the date of this Contract (collectively, “Confidential Information”); provided that Confidential Information does not include information:</w:t>
      </w:r>
    </w:p>
    <w:p>
      <w:pPr>
        <w:spacing w:after="0" w:line="125" w:lineRule="exact"/>
        <w:rPr>
          <w:rFonts w:ascii="Times New Roman" w:cs="Times New Roman" w:eastAsia="Times New Roman" w:hAnsi="Times New Roman"/>
          <w:sz w:val="19"/>
          <w:szCs w:val="19"/>
          <w:color w:val="auto"/>
        </w:rPr>
      </w:pPr>
    </w:p>
    <w:p>
      <w:pPr>
        <w:ind w:left="1952" w:right="20" w:hanging="656"/>
        <w:spacing w:after="0" w:line="269" w:lineRule="auto"/>
        <w:tabs>
          <w:tab w:leader="none" w:pos="1952" w:val="left"/>
        </w:tabs>
        <w:numPr>
          <w:ilvl w:val="3"/>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public domain at the time of the disclosing party’s communication thereof to the other;</w:t>
      </w:r>
    </w:p>
    <w:p>
      <w:pPr>
        <w:spacing w:after="0" w:line="118" w:lineRule="exact"/>
        <w:rPr>
          <w:rFonts w:ascii="Times New Roman" w:cs="Times New Roman" w:eastAsia="Times New Roman" w:hAnsi="Times New Roman"/>
          <w:sz w:val="20"/>
          <w:szCs w:val="20"/>
          <w:color w:val="auto"/>
        </w:rPr>
      </w:pPr>
    </w:p>
    <w:p>
      <w:pPr>
        <w:ind w:left="1952" w:hanging="656"/>
        <w:spacing w:after="0" w:line="269" w:lineRule="auto"/>
        <w:tabs>
          <w:tab w:leader="none" w:pos="1952" w:val="left"/>
        </w:tabs>
        <w:numPr>
          <w:ilvl w:val="3"/>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becomes publicly available after the communication thereof other than through a breach of this Confidentiality provision;</w:t>
      </w:r>
    </w:p>
    <w:p>
      <w:pPr>
        <w:spacing w:after="0" w:line="118" w:lineRule="exact"/>
        <w:rPr>
          <w:rFonts w:ascii="Times New Roman" w:cs="Times New Roman" w:eastAsia="Times New Roman" w:hAnsi="Times New Roman"/>
          <w:sz w:val="20"/>
          <w:szCs w:val="20"/>
          <w:color w:val="auto"/>
        </w:rPr>
      </w:pPr>
    </w:p>
    <w:p>
      <w:pPr>
        <w:ind w:left="1952" w:hanging="656"/>
        <w:spacing w:after="0" w:line="269" w:lineRule="auto"/>
        <w:tabs>
          <w:tab w:leader="none" w:pos="1952" w:val="left"/>
        </w:tabs>
        <w:numPr>
          <w:ilvl w:val="3"/>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in the receiving party’s possession free of any obligation of confidentiality at the time of disclosure thereof; or</w:t>
      </w:r>
    </w:p>
    <w:p>
      <w:pPr>
        <w:spacing w:after="0" w:line="118" w:lineRule="exact"/>
        <w:rPr>
          <w:rFonts w:ascii="Times New Roman" w:cs="Times New Roman" w:eastAsia="Times New Roman" w:hAnsi="Times New Roman"/>
          <w:sz w:val="20"/>
          <w:szCs w:val="20"/>
          <w:color w:val="auto"/>
        </w:rPr>
      </w:pPr>
    </w:p>
    <w:p>
      <w:pPr>
        <w:jc w:val="both"/>
        <w:ind w:left="1952" w:hanging="656"/>
        <w:spacing w:after="0" w:line="254" w:lineRule="auto"/>
        <w:tabs>
          <w:tab w:leader="none" w:pos="1952" w:val="left"/>
        </w:tabs>
        <w:numPr>
          <w:ilvl w:val="3"/>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developed by the receiving party independently of and without reference to any Confidential Information or other proprietary information that the disclosing party has disclosed in confidence to the other.</w:t>
      </w:r>
    </w:p>
    <w:p>
      <w:pPr>
        <w:spacing w:after="0" w:line="187" w:lineRule="exact"/>
        <w:rPr>
          <w:rFonts w:ascii="Times New Roman" w:cs="Times New Roman" w:eastAsia="Times New Roman" w:hAnsi="Times New Roman"/>
          <w:sz w:val="20"/>
          <w:szCs w:val="20"/>
          <w:color w:val="auto"/>
        </w:rPr>
      </w:pPr>
    </w:p>
    <w:p>
      <w:pPr>
        <w:jc w:val="both"/>
        <w:ind w:left="972" w:hanging="324"/>
        <w:spacing w:after="0" w:line="242" w:lineRule="auto"/>
        <w:tabs>
          <w:tab w:leader="none" w:pos="972" w:val="left"/>
        </w:tabs>
        <w:numPr>
          <w:ilvl w:val="1"/>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all Confidential Information shall remain the property of the disclosing party, shall be kept in strictest confidence by the receiving party, its parent and its and their directors, officers, direct employees, contractors, attorneys and advisors, and other parties engaged to carry out a party’s obligations hereunder and who need to know such information for such purpose (collectively, the “Party’s Representatives”), and shall not be disclosed to any other party except as provided herein, without the express prior written consent of the disclosing party. Each party hereto hereby acknowledges (i) that a breach hereof by either party or its Party’s Representatives may endanger and damage the other irreparably, and that (ii) money damages may not be a sufficient remedy for any such breach and that the non-breaching party may be entitled to specific performance and injunctive or other equitable relief as a remedy for any such breach. Each party agrees to be responsible for any breach of this Contract by its respective Party’s Representatives.</w:t>
      </w:r>
    </w:p>
    <w:p>
      <w:pPr>
        <w:spacing w:after="0" w:line="205" w:lineRule="exact"/>
        <w:rPr>
          <w:rFonts w:ascii="Times New Roman" w:cs="Times New Roman" w:eastAsia="Times New Roman" w:hAnsi="Times New Roman"/>
          <w:sz w:val="20"/>
          <w:szCs w:val="20"/>
          <w:color w:val="auto"/>
        </w:rPr>
      </w:pPr>
    </w:p>
    <w:p>
      <w:pPr>
        <w:ind w:left="972" w:hanging="324"/>
        <w:spacing w:after="0"/>
        <w:tabs>
          <w:tab w:leader="none" w:pos="972" w:val="left"/>
        </w:tabs>
        <w:numPr>
          <w:ilvl w:val="1"/>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Confidential Information may be retained and disclosed as follows:</w:t>
      </w:r>
    </w:p>
    <w:p>
      <w:pPr>
        <w:spacing w:after="0" w:line="229" w:lineRule="exact"/>
        <w:rPr>
          <w:rFonts w:ascii="Times New Roman" w:cs="Times New Roman" w:eastAsia="Times New Roman" w:hAnsi="Times New Roman"/>
          <w:sz w:val="20"/>
          <w:szCs w:val="20"/>
          <w:color w:val="auto"/>
        </w:rPr>
      </w:pPr>
    </w:p>
    <w:p>
      <w:pPr>
        <w:jc w:val="both"/>
        <w:ind w:left="1612" w:hanging="640"/>
        <w:spacing w:after="0" w:line="244" w:lineRule="auto"/>
        <w:tabs>
          <w:tab w:leader="none" w:pos="1612" w:val="left"/>
        </w:tabs>
        <w:numPr>
          <w:ilvl w:val="2"/>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of the BUYER may be disclosed by the BUILDER to third parties as may be required for the design and construction of the VESSEL; and Confidential Information of the BUILDER may be retained and copied by the BUYER or any transferees of the VESSEL for the life of the VESSEL and may be disclosed by such parties to third parties as may be required in connection with the design, operation, repair, modification, chartering, insuring, financing, or sale of the VESSEL; provided that in each case the BUILDER or the BUYER or a transferee has entered into a confidentiality agreement having provisions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9" w:right="999" w:bottom="1440" w:gutter="0" w:footer="0" w:header="0"/>
        </w:sectPr>
      </w:pPr>
    </w:p>
    <w:bookmarkStart w:id="382" w:name="page383"/>
    <w:bookmarkEnd w:id="382"/>
    <w:p>
      <w:pPr>
        <w:ind w:left="1620"/>
        <w:spacing w:after="0"/>
        <w:rPr>
          <w:sz w:val="20"/>
          <w:szCs w:val="20"/>
          <w:color w:val="auto"/>
        </w:rPr>
      </w:pPr>
      <w:r>
        <w:rPr>
          <w:rFonts w:ascii="Times New Roman" w:cs="Times New Roman" w:eastAsia="Times New Roman" w:hAnsi="Times New Roman"/>
          <w:sz w:val="20"/>
          <w:szCs w:val="20"/>
          <w:color w:val="auto"/>
        </w:rPr>
        <w:t>providing substantially the same protections as in this Article XXIII, Paragraph 1.</w:t>
      </w:r>
    </w:p>
    <w:p>
      <w:pPr>
        <w:spacing w:after="0" w:line="175" w:lineRule="exact"/>
        <w:rPr>
          <w:sz w:val="20"/>
          <w:szCs w:val="20"/>
          <w:color w:val="auto"/>
        </w:rPr>
      </w:pPr>
    </w:p>
    <w:p>
      <w:pPr>
        <w:jc w:val="both"/>
        <w:ind w:left="1620" w:hanging="640"/>
        <w:spacing w:after="0" w:line="249" w:lineRule="auto"/>
        <w:tabs>
          <w:tab w:leader="none" w:pos="1620" w:val="left"/>
        </w:tabs>
        <w:numPr>
          <w:ilvl w:val="1"/>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by applicable law or by order of a court or governmental authority may be disclosed by either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receiving party will give notice to the disclosing party in sufficient time as to permit a protective order to be sought by the disclosing party thereon.</w:t>
      </w:r>
    </w:p>
    <w:p>
      <w:pPr>
        <w:spacing w:after="0" w:line="139" w:lineRule="exact"/>
        <w:rPr>
          <w:rFonts w:ascii="Times New Roman" w:cs="Times New Roman" w:eastAsia="Times New Roman" w:hAnsi="Times New Roman"/>
          <w:sz w:val="20"/>
          <w:szCs w:val="20"/>
          <w:color w:val="auto"/>
        </w:rPr>
      </w:pPr>
    </w:p>
    <w:p>
      <w:pPr>
        <w:jc w:val="both"/>
        <w:ind w:left="1620" w:hanging="640"/>
        <w:spacing w:after="0" w:line="245" w:lineRule="auto"/>
        <w:tabs>
          <w:tab w:leader="none" w:pos="1620" w:val="left"/>
        </w:tabs>
        <w:numPr>
          <w:ilvl w:val="1"/>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Confidential Information that is required to be disclosed to a regulatory body in furtherance of the purposes of this Contract, or that is required to be disclosed in a filing with the Securities and Exchange Commission or other government agency having jurisdiction over a party may be disclosed by such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such regulatory bodies or government agencies permit a party to assert a claim of confidentiality with respect to such filings, the party making the filings will assert the same.</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Public Announcements: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parties hereto will coordinate the issuance of any public announcement (including a press release or public filing) by them or their affiliates with respect to this Contract and the transactions contemplated hereby (an “Announcement”). Neither party hereto nor any of its affiliates may issue an Announcement unless that party has consulted with and received approval for such Announcement from the other party hereto with respect to the content and timing of such Announcement; provided that a party hereto or its affiliates may make an Announcement as may be required by applicable law or any listing agreement related to the trading of the shares of such party or its affiliates on any securities exchange without such approval upon advance written notice to each other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383" w:name="page384"/>
    <w:bookmarkEnd w:id="383"/>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caused this Shipbuilding Contract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PHILLY SHIPYARD, INC.</w:t>
            </w:r>
          </w:p>
        </w:tc>
        <w:tc>
          <w:tcPr>
            <w:tcW w:w="51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MATSON NAVIGATION COMPANY, INC.</w:t>
            </w:r>
          </w:p>
        </w:tc>
      </w:tr>
      <w:tr>
        <w:trPr>
          <w:trHeight w:val="453"/>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Steinar Nerbovik</w:t>
            </w:r>
          </w:p>
        </w:tc>
        <w:tc>
          <w:tcPr>
            <w:tcW w:w="51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By:  /s/ John W. Sullivan</w:t>
            </w:r>
          </w:p>
        </w:tc>
      </w:tr>
      <w:tr>
        <w:trPr>
          <w:trHeight w:val="200"/>
        </w:trPr>
        <w:tc>
          <w:tcPr>
            <w:tcW w:w="400" w:type="dxa"/>
            <w:vAlign w:val="bottom"/>
          </w:tcPr>
          <w:p>
            <w:pPr>
              <w:spacing w:after="0"/>
              <w:rPr>
                <w:sz w:val="17"/>
                <w:szCs w:val="17"/>
                <w:color w:val="auto"/>
              </w:rPr>
            </w:pPr>
          </w:p>
        </w:tc>
        <w:tc>
          <w:tcPr>
            <w:tcW w:w="44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Steinar Nerbovik</w:t>
            </w:r>
          </w:p>
        </w:tc>
        <w:tc>
          <w:tcPr>
            <w:tcW w:w="720" w:type="dxa"/>
            <w:vAlign w:val="bottom"/>
          </w:tcPr>
          <w:p>
            <w:pPr>
              <w:spacing w:after="0"/>
              <w:rPr>
                <w:sz w:val="17"/>
                <w:szCs w:val="17"/>
                <w:color w:val="auto"/>
              </w:rPr>
            </w:pPr>
          </w:p>
        </w:tc>
        <w:tc>
          <w:tcPr>
            <w:tcW w:w="44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John W. Sullivan</w:t>
            </w:r>
          </w:p>
        </w:tc>
      </w:tr>
      <w:tr>
        <w:trPr>
          <w:trHeight w:val="258"/>
        </w:trPr>
        <w:tc>
          <w:tcPr>
            <w:tcW w:w="40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72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Shipbuilding Contract – Hull No. 042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84" w:name="page385"/>
    <w:bookmarkEnd w:id="384"/>
    <w:p>
      <w:pPr>
        <w:ind w:left="838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MATSON, INC.</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gridSpan w:val="3"/>
          </w:tcPr>
          <w:p>
            <w:pPr>
              <w:jc w:val="center"/>
              <w:ind w:left="2394"/>
              <w:spacing w:after="0"/>
              <w:rPr>
                <w:sz w:val="20"/>
                <w:szCs w:val="20"/>
                <w:color w:val="auto"/>
              </w:rPr>
            </w:pPr>
            <w:r>
              <w:rPr>
                <w:rFonts w:ascii="Times New Roman" w:cs="Times New Roman" w:eastAsia="Times New Roman" w:hAnsi="Times New Roman"/>
                <w:sz w:val="18"/>
                <w:szCs w:val="18"/>
                <w:b w:val="1"/>
                <w:bCs w:val="1"/>
                <w:color w:val="auto"/>
                <w:w w:val="99"/>
              </w:rPr>
              <w:t>Subsidiaries as of December 31, 2022</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vMerge w:val="restart"/>
          </w:tcPr>
          <w:p>
            <w:pPr>
              <w:spacing w:after="0"/>
              <w:rPr>
                <w:sz w:val="24"/>
                <w:szCs w:val="24"/>
                <w:color w:val="auto"/>
              </w:rPr>
            </w:pP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ABHI-Crockett,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Matson Navigation Company,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Alaska,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Horizon Lines Holding Corp.</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of Puerto Rico,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HLPR Holding Corp.</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Logistics,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Services Group,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Aero Logistics,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Lines of Guam,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Horizon Lines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H-L Distribution Service,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Matson Navigation Company of Alaska,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240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Horizon Lines Merchant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220"/>
              <w:spacing w:after="0"/>
              <w:rPr>
                <w:sz w:val="20"/>
                <w:szCs w:val="20"/>
                <w:color w:val="auto"/>
              </w:rPr>
            </w:pPr>
            <w:r>
              <w:rPr>
                <w:rFonts w:ascii="Times New Roman" w:cs="Times New Roman" w:eastAsia="Times New Roman" w:hAnsi="Times New Roman"/>
                <w:sz w:val="17"/>
                <w:szCs w:val="17"/>
                <w:color w:val="auto"/>
              </w:rPr>
              <w:t>Horizon Lines Alaska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220"/>
              <w:spacing w:after="0"/>
              <w:rPr>
                <w:sz w:val="20"/>
                <w:szCs w:val="20"/>
                <w:color w:val="auto"/>
              </w:rPr>
            </w:pPr>
            <w:r>
              <w:rPr>
                <w:rFonts w:ascii="Times New Roman" w:cs="Times New Roman" w:eastAsia="Times New Roman" w:hAnsi="Times New Roman"/>
                <w:sz w:val="17"/>
                <w:szCs w:val="17"/>
                <w:color w:val="auto"/>
              </w:rPr>
              <w:t>Horizon Lines Alaska Terminals,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Matson Logistics Services,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Logistics Warehousing,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Span Intermediate,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Span Acquisition Co.,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Span-Alaska Transportation,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Alaska Freight Express,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Midnight Sun Transportation Services,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Alaska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Navigation Vessels,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Terminals,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Ventures,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Shipping (Hong Kong)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Logistics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Japan KK</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South Pacific Holdco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South Pacific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Tranz Pacific Ship Management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Island Chief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Liloa II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Olomana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Papa Mau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385" w:name="page386"/>
    <w:bookmarkEnd w:id="3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333-258289 and 333-212194 on Form S-8 of our report dated February 24, 2023, relating to the consolidated financial statements of Matson, Inc. and subsidiaries and the effectiveness of Matson, Inc. and subsidiaries’ internal control over financial reporting appearing in this Annual Report on Form 10-K for the year ended December 31, 2022.</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Honolulu, Hawaii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6" w:name="page387"/>
    <w:bookmarkEnd w:id="3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80" w:hanging="636"/>
        <w:spacing w:after="0"/>
        <w:tabs>
          <w:tab w:leader="none" w:pos="6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40" w:right="79" w:firstLine="4"/>
        <w:spacing w:after="0" w:line="266" w:lineRule="auto"/>
        <w:tabs>
          <w:tab w:leader="none" w:pos="67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0" w:right="239" w:firstLine="4"/>
        <w:spacing w:after="0" w:line="266" w:lineRule="auto"/>
        <w:tabs>
          <w:tab w:leader="none" w:pos="67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40" w:right="239" w:firstLine="4"/>
        <w:spacing w:after="0" w:line="258" w:lineRule="auto"/>
        <w:tabs>
          <w:tab w:leader="none" w:pos="6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0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40" w:right="519" w:firstLine="652"/>
        <w:spacing w:after="0" w:line="261" w:lineRule="auto"/>
        <w:tabs>
          <w:tab w:leader="none" w:pos="121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0" w:right="99" w:firstLine="652"/>
        <w:spacing w:after="0" w:line="266" w:lineRule="auto"/>
        <w:tabs>
          <w:tab w:leader="none" w:pos="120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1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40" w:right="99" w:firstLine="4"/>
        <w:spacing w:after="0" w:line="258" w:lineRule="auto"/>
        <w:tabs>
          <w:tab w:leader="none" w:pos="6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40" w:right="119" w:firstLine="652"/>
        <w:spacing w:after="0" w:line="266" w:lineRule="auto"/>
        <w:tabs>
          <w:tab w:leader="none" w:pos="119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40" w:right="239" w:firstLine="652"/>
        <w:spacing w:after="0" w:line="282" w:lineRule="auto"/>
        <w:tabs>
          <w:tab w:leader="none" w:pos="120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6314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7" w:name="page388"/>
    <w:bookmarkEnd w:id="38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80" w:hanging="630"/>
        <w:spacing w:after="0"/>
        <w:tabs>
          <w:tab w:leader="none" w:pos="68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60" w:right="79" w:hanging="10"/>
        <w:spacing w:after="0" w:line="266" w:lineRule="auto"/>
        <w:tabs>
          <w:tab w:leader="none" w:pos="69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39" w:hanging="10"/>
        <w:spacing w:after="0" w:line="266" w:lineRule="auto"/>
        <w:tabs>
          <w:tab w:leader="none" w:pos="69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239" w:hanging="10"/>
        <w:spacing w:after="0" w:line="258" w:lineRule="auto"/>
        <w:tabs>
          <w:tab w:leader="none" w:pos="68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60" w:right="79" w:firstLine="638"/>
        <w:spacing w:after="0" w:line="261" w:lineRule="auto"/>
        <w:tabs>
          <w:tab w:leader="none" w:pos="126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126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hanging="10"/>
        <w:spacing w:after="0" w:line="258" w:lineRule="auto"/>
        <w:tabs>
          <w:tab w:leader="none" w:pos="68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60" w:right="119" w:firstLine="638"/>
        <w:spacing w:after="0" w:line="266" w:lineRule="auto"/>
        <w:tabs>
          <w:tab w:leader="none" w:pos="125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0" w:right="179" w:firstLine="638"/>
        <w:spacing w:after="0" w:line="282" w:lineRule="auto"/>
        <w:tabs>
          <w:tab w:leader="none" w:pos="1268"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8889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Joel M. Wine, Executive Vice President</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8" w:name="page389"/>
    <w:bookmarkEnd w:id="38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of Matson, Inc. (the “Company”) on Form 10-K for the fiscal year ended December 31, 2022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spacing w:after="0" w:line="187" w:lineRule="exact"/>
        <w:rPr>
          <w:sz w:val="20"/>
          <w:szCs w:val="20"/>
          <w:color w:val="auto"/>
        </w:rPr>
      </w:pPr>
    </w:p>
    <w:p>
      <w:pPr>
        <w:ind w:left="1340" w:hanging="642"/>
        <w:spacing w:after="0"/>
        <w:tabs>
          <w:tab w:leader="none" w:pos="134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of 1934; and</w:t>
      </w:r>
    </w:p>
    <w:p>
      <w:pPr>
        <w:spacing w:after="0" w:line="206" w:lineRule="exact"/>
        <w:rPr>
          <w:rFonts w:ascii="Times New Roman" w:cs="Times New Roman" w:eastAsia="Times New Roman" w:hAnsi="Times New Roman"/>
          <w:sz w:val="18"/>
          <w:szCs w:val="18"/>
          <w:color w:val="auto"/>
        </w:rPr>
      </w:pPr>
    </w:p>
    <w:p>
      <w:pPr>
        <w:ind w:left="60" w:right="279" w:firstLine="638"/>
        <w:spacing w:after="0" w:line="282" w:lineRule="auto"/>
        <w:tabs>
          <w:tab w:leader="none" w:pos="135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A1B45E5"/>
    <w:multiLevelType w:val="hybridMultilevel"/>
    <w:lvl w:ilvl="0">
      <w:lvlJc w:val="left"/>
      <w:lvlText w:val="☒"/>
      <w:numFmt w:val="bullet"/>
      <w:start w:val="1"/>
    </w:lvl>
  </w:abstractNum>
  <w:abstractNum w:abstractNumId="1">
    <w:nsid w:val="567BD50A"/>
    <w:multiLevelType w:val="hybridMultilevel"/>
    <w:lvl w:ilvl="0">
      <w:lvlJc w:val="left"/>
      <w:lvlText w:val="☐"/>
      <w:numFmt w:val="bullet"/>
      <w:start w:val="1"/>
    </w:lvl>
  </w:abstractNum>
  <w:abstractNum w:abstractNumId="2">
    <w:nsid w:val="73BBD7F8"/>
    <w:multiLevelType w:val="hybridMultilevel"/>
    <w:lvl w:ilvl="0">
      <w:lvlJc w:val="left"/>
      <w:lvlText w:val="%1."/>
      <w:numFmt w:val="upperLetter"/>
      <w:start w:val="1"/>
    </w:lvl>
  </w:abstractNum>
  <w:abstractNum w:abstractNumId="3">
    <w:nsid w:val="1876589D"/>
    <w:multiLevelType w:val="hybridMultilevel"/>
    <w:lvl w:ilvl="0">
      <w:lvlJc w:val="left"/>
      <w:lvlText w:val=" "/>
      <w:numFmt w:val="bullet"/>
      <w:start w:val="1"/>
    </w:lvl>
  </w:abstractNum>
  <w:abstractNum w:abstractNumId="4">
    <w:nsid w:val="327FAC77"/>
    <w:multiLevelType w:val="hybridMultilevel"/>
    <w:lvl w:ilvl="0">
      <w:lvlJc w:val="left"/>
      <w:lvlText w:val="%1."/>
      <w:numFmt w:val="upperLetter"/>
      <w:start w:val="2"/>
    </w:lvl>
  </w:abstractNum>
  <w:abstractNum w:abstractNumId="5">
    <w:nsid w:val="5A606509"/>
    <w:multiLevelType w:val="hybridMultilevel"/>
    <w:lvl w:ilvl="0">
      <w:lvlJc w:val="left"/>
      <w:lvlText w:val="(%1)"/>
      <w:numFmt w:val="decimal"/>
      <w:start w:val="1"/>
    </w:lvl>
  </w:abstractNum>
  <w:abstractNum w:abstractNumId="6">
    <w:nsid w:val="6F38E6D1"/>
    <w:multiLevelType w:val="hybridMultilevel"/>
    <w:lvl w:ilvl="0">
      <w:lvlJc w:val="left"/>
      <w:lvlText w:val="(%1)"/>
      <w:numFmt w:val="decimal"/>
      <w:start w:val="1"/>
    </w:lvl>
  </w:abstractNum>
  <w:abstractNum w:abstractNumId="7">
    <w:nsid w:val="46111BA5"/>
    <w:multiLevelType w:val="hybridMultilevel"/>
    <w:lvl w:ilvl="0">
      <w:lvlJc w:val="left"/>
      <w:lvlText w:val="(%1)"/>
      <w:numFmt w:val="decimal"/>
      <w:start w:val="2"/>
    </w:lvl>
  </w:abstractNum>
  <w:abstractNum w:abstractNumId="8">
    <w:nsid w:val="5E963896"/>
    <w:multiLevelType w:val="hybridMultilevel"/>
    <w:lvl w:ilvl="0">
      <w:lvlJc w:val="left"/>
      <w:lvlText w:val="%1."/>
      <w:numFmt w:val="upperLetter"/>
      <w:start w:val="3"/>
    </w:lvl>
  </w:abstractNum>
  <w:abstractNum w:abstractNumId="9">
    <w:nsid w:val="775BA7C1"/>
    <w:multiLevelType w:val="hybridMultilevel"/>
    <w:lvl w:ilvl="0">
      <w:lvlJc w:val="left"/>
      <w:lvlText w:val="%1."/>
      <w:numFmt w:val="upperLetter"/>
      <w:start w:val="4"/>
    </w:lvl>
  </w:abstractNum>
  <w:abstractNum w:abstractNumId="10">
    <w:nsid w:val="1DD6D6F4"/>
    <w:multiLevelType w:val="hybridMultilevel"/>
    <w:lvl w:ilvl="0">
      <w:lvlJc w:val="left"/>
      <w:lvlText w:val="●"/>
      <w:numFmt w:val="bullet"/>
      <w:start w:val="1"/>
    </w:lvl>
  </w:abstractNum>
  <w:abstractNum w:abstractNumId="11">
    <w:nsid w:val="769A091F"/>
    <w:multiLevelType w:val="hybridMultilevel"/>
    <w:lvl w:ilvl="0">
      <w:lvlJc w:val="left"/>
      <w:lvlText w:val="●"/>
      <w:numFmt w:val="bullet"/>
      <w:start w:val="1"/>
    </w:lvl>
  </w:abstractNum>
  <w:abstractNum w:abstractNumId="12">
    <w:nsid w:val="4695AE95"/>
    <w:multiLevelType w:val="hybridMultilevel"/>
    <w:lvl w:ilvl="0">
      <w:lvlJc w:val="left"/>
      <w:lvlText w:val="*"/>
      <w:numFmt w:val="bullet"/>
      <w:start w:val="1"/>
    </w:lvl>
  </w:abstractNum>
  <w:abstractNum w:abstractNumId="13">
    <w:nsid w:val="777A4EAA"/>
    <w:multiLevelType w:val="hybridMultilevel"/>
    <w:lvl w:ilvl="0">
      <w:lvlJc w:val="left"/>
      <w:lvlText w:val="(%1)"/>
      <w:numFmt w:val="decimal"/>
      <w:start w:val="1"/>
    </w:lvl>
  </w:abstractNum>
  <w:abstractNum w:abstractNumId="14">
    <w:nsid w:val="3F48B982"/>
    <w:multiLevelType w:val="hybridMultilevel"/>
    <w:lvl w:ilvl="0">
      <w:lvlJc w:val="left"/>
      <w:lvlText w:val=" "/>
      <w:numFmt w:val="bullet"/>
      <w:start w:val="1"/>
    </w:lvl>
  </w:abstractNum>
  <w:abstractNum w:abstractNumId="15">
    <w:nsid w:val="46BA8FCA"/>
    <w:multiLevelType w:val="hybridMultilevel"/>
    <w:lvl w:ilvl="0">
      <w:lvlJc w:val="left"/>
      <w:lvlText w:val="(%1)"/>
      <w:numFmt w:val="decimal"/>
      <w:start w:val="1"/>
    </w:lvl>
  </w:abstractNum>
  <w:abstractNum w:abstractNumId="16">
    <w:nsid w:val="7835626C"/>
    <w:multiLevelType w:val="hybridMultilevel"/>
    <w:lvl w:ilvl="0">
      <w:lvlJc w:val="left"/>
      <w:lvlText w:val="(%1)"/>
      <w:numFmt w:val="decimal"/>
      <w:start w:val="1"/>
    </w:lvl>
  </w:abstractNum>
  <w:abstractNum w:abstractNumId="17">
    <w:nsid w:val="665ACA49"/>
    <w:multiLevelType w:val="hybridMultilevel"/>
    <w:lvl w:ilvl="0">
      <w:lvlJc w:val="left"/>
      <w:lvlText w:val="(%1)"/>
      <w:numFmt w:val="decimal"/>
      <w:start w:val="1"/>
    </w:lvl>
  </w:abstractNum>
  <w:abstractNum w:abstractNumId="18">
    <w:nsid w:val="6835B2AE"/>
    <w:multiLevelType w:val="hybridMultilevel"/>
    <w:lvl w:ilvl="0">
      <w:lvlJc w:val="left"/>
      <w:lvlText w:val="(%1)"/>
      <w:numFmt w:val="decimal"/>
      <w:start w:val="1"/>
    </w:lvl>
  </w:abstractNum>
  <w:abstractNum w:abstractNumId="19">
    <w:nsid w:val="4C187C90"/>
    <w:multiLevelType w:val="hybridMultilevel"/>
    <w:lvl w:ilvl="0">
      <w:lvlJc w:val="left"/>
      <w:lvlText w:val="(%1)"/>
      <w:numFmt w:val="decimal"/>
      <w:start w:val="2"/>
    </w:lvl>
  </w:abstractNum>
  <w:abstractNum w:abstractNumId="20">
    <w:nsid w:val="541F28CD"/>
    <w:multiLevelType w:val="hybridMultilevel"/>
    <w:lvl w:ilvl="0">
      <w:lvlJc w:val="left"/>
      <w:lvlText w:val="(%1)"/>
      <w:numFmt w:val="decimal"/>
      <w:start w:val="3"/>
    </w:lvl>
  </w:abstractNum>
  <w:abstractNum w:abstractNumId="21">
    <w:nsid w:val="7F65FD16"/>
    <w:multiLevelType w:val="hybridMultilevel"/>
    <w:lvl w:ilvl="0">
      <w:lvlJc w:val="left"/>
      <w:lvlText w:val="●"/>
      <w:numFmt w:val="bullet"/>
      <w:start w:val="1"/>
    </w:lvl>
  </w:abstractNum>
  <w:abstractNum w:abstractNumId="22">
    <w:nsid w:val="77C9FD68"/>
    <w:multiLevelType w:val="hybridMultilevel"/>
    <w:lvl w:ilvl="0">
      <w:lvlJc w:val="left"/>
      <w:lvlText w:val="(%1)"/>
      <w:numFmt w:val="decimal"/>
      <w:start w:val="1"/>
    </w:lvl>
  </w:abstractNum>
  <w:abstractNum w:abstractNumId="23">
    <w:nsid w:val="298A92BA"/>
    <w:multiLevelType w:val="hybridMultilevel"/>
    <w:lvl w:ilvl="0">
      <w:lvlJc w:val="left"/>
      <w:lvlText w:val="●"/>
      <w:numFmt w:val="bullet"/>
      <w:start w:val="1"/>
    </w:lvl>
  </w:abstractNum>
  <w:abstractNum w:abstractNumId="24">
    <w:nsid w:val="6FE95EAC"/>
    <w:multiLevelType w:val="hybridMultilevel"/>
    <w:lvl w:ilvl="0">
      <w:lvlJc w:val="left"/>
      <w:lvlText w:val="%1."/>
      <w:numFmt w:val="decimal"/>
      <w:start w:val="1"/>
    </w:lvl>
  </w:abstractNum>
  <w:abstractNum w:abstractNumId="25">
    <w:nsid w:val="4B697C7A"/>
    <w:multiLevelType w:val="hybridMultilevel"/>
    <w:lvl w:ilvl="0">
      <w:lvlJc w:val="left"/>
      <w:lvlText w:val="%1."/>
      <w:numFmt w:val="decimal"/>
      <w:start w:val="2"/>
    </w:lvl>
  </w:abstractNum>
  <w:abstractNum w:abstractNumId="26">
    <w:nsid w:val="51A27AA6"/>
    <w:multiLevelType w:val="hybridMultilevel"/>
    <w:lvl w:ilvl="0">
      <w:lvlJc w:val="left"/>
      <w:lvlText w:val="(%1)"/>
      <w:numFmt w:val="decimal"/>
      <w:start w:val="1"/>
    </w:lvl>
  </w:abstractNum>
  <w:abstractNum w:abstractNumId="27">
    <w:nsid w:val="613183F2"/>
    <w:multiLevelType w:val="hybridMultilevel"/>
    <w:lvl w:ilvl="0">
      <w:lvlJc w:val="left"/>
      <w:lvlText w:val="(%1)"/>
      <w:numFmt w:val="decimal"/>
      <w:start w:val="1"/>
    </w:lvl>
  </w:abstractNum>
  <w:abstractNum w:abstractNumId="28">
    <w:nsid w:val="634102B4"/>
    <w:multiLevelType w:val="hybridMultilevel"/>
    <w:lvl w:ilvl="0">
      <w:lvlJc w:val="left"/>
      <w:lvlText w:val=" "/>
      <w:numFmt w:val="bullet"/>
      <w:start w:val="1"/>
    </w:lvl>
  </w:abstractNum>
  <w:abstractNum w:abstractNumId="29">
    <w:nsid w:val="65BF9DA8"/>
    <w:multiLevelType w:val="hybridMultilevel"/>
    <w:lvl w:ilvl="0">
      <w:lvlJc w:val="left"/>
      <w:lvlText w:val="(%1)"/>
      <w:numFmt w:val="decimal"/>
      <w:start w:val="1"/>
    </w:lvl>
  </w:abstractNum>
  <w:abstractNum w:abstractNumId="30">
    <w:nsid w:val="21A2ECCA"/>
    <w:multiLevelType w:val="hybridMultilevel"/>
    <w:lvl w:ilvl="0">
      <w:lvlJc w:val="left"/>
      <w:lvlText w:val=" "/>
      <w:numFmt w:val="bullet"/>
      <w:start w:val="1"/>
    </w:lvl>
  </w:abstractNum>
  <w:abstractNum w:abstractNumId="31">
    <w:nsid w:val="4D5C4899"/>
    <w:multiLevelType w:val="hybridMultilevel"/>
    <w:lvl w:ilvl="0">
      <w:lvlJc w:val="left"/>
      <w:lvlText w:val="%1."/>
      <w:numFmt w:val="decimal"/>
      <w:start w:val="3"/>
    </w:lvl>
  </w:abstractNum>
  <w:abstractNum w:abstractNumId="32">
    <w:nsid w:val="3C3B72B2"/>
    <w:multiLevelType w:val="hybridMultilevel"/>
    <w:lvl w:ilvl="0">
      <w:lvlJc w:val="left"/>
      <w:lvlText w:val="(%1)"/>
      <w:numFmt w:val="decimal"/>
      <w:start w:val="1"/>
    </w:lvl>
  </w:abstractNum>
  <w:abstractNum w:abstractNumId="33">
    <w:nsid w:val="155EC4C2"/>
    <w:multiLevelType w:val="hybridMultilevel"/>
    <w:lvl w:ilvl="0">
      <w:lvlJc w:val="left"/>
      <w:lvlText w:val="(%1)"/>
      <w:numFmt w:val="decimal"/>
      <w:start w:val="1"/>
    </w:lvl>
  </w:abstractNum>
  <w:abstractNum w:abstractNumId="34">
    <w:nsid w:val="65D2A137"/>
    <w:multiLevelType w:val="hybridMultilevel"/>
    <w:lvl w:ilvl="0">
      <w:lvlJc w:val="left"/>
      <w:lvlText w:val="%1."/>
      <w:numFmt w:val="decimal"/>
      <w:start w:val="4"/>
    </w:lvl>
  </w:abstractNum>
  <w:abstractNum w:abstractNumId="35">
    <w:nsid w:val="6EBB1F2A"/>
    <w:multiLevelType w:val="hybridMultilevel"/>
    <w:lvl w:ilvl="0">
      <w:lvlJc w:val="left"/>
      <w:lvlText w:val="(%1)"/>
      <w:numFmt w:val="decimal"/>
      <w:start w:val="1"/>
    </w:lvl>
  </w:abstractNum>
  <w:abstractNum w:abstractNumId="36">
    <w:nsid w:val="6FBF29CB"/>
    <w:multiLevelType w:val="hybridMultilevel"/>
    <w:lvl w:ilvl="0">
      <w:lvlJc w:val="left"/>
      <w:lvlText w:val="%1."/>
      <w:numFmt w:val="decimal"/>
      <w:start w:val="5"/>
    </w:lvl>
  </w:abstractNum>
  <w:abstractNum w:abstractNumId="37">
    <w:nsid w:val="550B8808"/>
    <w:multiLevelType w:val="hybridMultilevel"/>
    <w:lvl w:ilvl="0">
      <w:lvlJc w:val="left"/>
      <w:lvlText w:val="%1."/>
      <w:numFmt w:val="decimal"/>
      <w:start w:val="7"/>
    </w:lvl>
  </w:abstractNum>
  <w:abstractNum w:abstractNumId="38">
    <w:nsid w:val="34CC3ACF"/>
    <w:multiLevelType w:val="hybridMultilevel"/>
    <w:lvl w:ilvl="0">
      <w:lvlJc w:val="left"/>
      <w:lvlText w:val="$"/>
      <w:numFmt w:val="bullet"/>
      <w:start w:val="1"/>
    </w:lvl>
  </w:abstractNum>
  <w:abstractNum w:abstractNumId="39">
    <w:nsid w:val="4E556261"/>
    <w:multiLevelType w:val="hybridMultilevel"/>
    <w:lvl w:ilvl="0">
      <w:lvlJc w:val="left"/>
      <w:lvlText w:val="$"/>
      <w:numFmt w:val="bullet"/>
      <w:start w:val="1"/>
    </w:lvl>
  </w:abstractNum>
  <w:abstractNum w:abstractNumId="40">
    <w:nsid w:val="4C672FC9"/>
    <w:multiLevelType w:val="hybridMultilevel"/>
    <w:lvl w:ilvl="0">
      <w:lvlJc w:val="left"/>
      <w:lvlText w:val="●"/>
      <w:numFmt w:val="bullet"/>
      <w:start w:val="1"/>
    </w:lvl>
  </w:abstractNum>
  <w:abstractNum w:abstractNumId="41">
    <w:nsid w:val="52A311C3"/>
    <w:multiLevelType w:val="hybridMultilevel"/>
    <w:lvl w:ilvl="0">
      <w:lvlJc w:val="left"/>
      <w:lvlText w:val="%1."/>
      <w:numFmt w:val="decimal"/>
      <w:start w:val="9"/>
    </w:lvl>
  </w:abstractNum>
  <w:abstractNum w:abstractNumId="42">
    <w:nsid w:val="44EF6B80"/>
    <w:multiLevelType w:val="hybridMultilevel"/>
    <w:lvl w:ilvl="0">
      <w:lvlJc w:val="left"/>
      <w:lvlText w:val="%1."/>
      <w:numFmt w:val="decimal"/>
      <w:start w:val="10"/>
    </w:lvl>
  </w:abstractNum>
  <w:abstractNum w:abstractNumId="43">
    <w:nsid w:val="12FCDE5E"/>
    <w:multiLevelType w:val="hybridMultilevel"/>
    <w:lvl w:ilvl="0">
      <w:lvlJc w:val="left"/>
      <w:lvlText w:val="(%1)"/>
      <w:numFmt w:val="decimal"/>
      <w:start w:val="1"/>
    </w:lvl>
  </w:abstractNum>
  <w:abstractNum w:abstractNumId="44">
    <w:nsid w:val="4A1D606E"/>
    <w:multiLevelType w:val="hybridMultilevel"/>
    <w:lvl w:ilvl="0">
      <w:lvlJc w:val="left"/>
      <w:lvlText w:val="%1."/>
      <w:numFmt w:val="decimal"/>
      <w:start w:val="11"/>
    </w:lvl>
  </w:abstractNum>
  <w:abstractNum w:abstractNumId="45">
    <w:nsid w:val="4382503"/>
    <w:multiLevelType w:val="hybridMultilevel"/>
    <w:lvl w:ilvl="0">
      <w:lvlJc w:val="left"/>
      <w:lvlText w:val="(%1)"/>
      <w:numFmt w:val="decimal"/>
      <w:start w:val="1"/>
    </w:lvl>
  </w:abstractNum>
  <w:abstractNum w:abstractNumId="46">
    <w:nsid w:val="59B76E28"/>
    <w:multiLevelType w:val="hybridMultilevel"/>
    <w:lvl w:ilvl="0">
      <w:lvlJc w:val="left"/>
      <w:lvlText w:val="(%1)"/>
      <w:numFmt w:val="decimal"/>
      <w:start w:val="1"/>
    </w:lvl>
  </w:abstractNum>
  <w:abstractNum w:abstractNumId="47">
    <w:nsid w:val="4252C2DA"/>
    <w:multiLevelType w:val="hybridMultilevel"/>
    <w:lvl w:ilvl="0">
      <w:lvlJc w:val="left"/>
      <w:lvlText w:val="(%1)"/>
      <w:numFmt w:val="decimal"/>
      <w:start w:val="1"/>
    </w:lvl>
  </w:abstractNum>
  <w:abstractNum w:abstractNumId="48">
    <w:nsid w:val="6A92EF4C"/>
    <w:multiLevelType w:val="hybridMultilevel"/>
    <w:lvl w:ilvl="0">
      <w:lvlJc w:val="left"/>
      <w:lvlText w:val="(%1)"/>
      <w:numFmt w:val="decimal"/>
      <w:start w:val="1"/>
    </w:lvl>
  </w:abstractNum>
  <w:abstractNum w:abstractNumId="49">
    <w:nsid w:val="41ED20D7"/>
    <w:multiLevelType w:val="hybridMultilevel"/>
    <w:lvl w:ilvl="0">
      <w:lvlJc w:val="left"/>
      <w:lvlText w:val="%1."/>
      <w:numFmt w:val="decimal"/>
      <w:start w:val="12"/>
    </w:lvl>
  </w:abstractNum>
  <w:abstractNum w:abstractNumId="50">
    <w:nsid w:val="E6B3F6A"/>
    <w:multiLevelType w:val="hybridMultilevel"/>
    <w:lvl w:ilvl="0">
      <w:lvlJc w:val="left"/>
      <w:lvlText w:val="%1."/>
      <w:numFmt w:val="decimal"/>
      <w:start w:val="13"/>
    </w:lvl>
  </w:abstractNum>
  <w:abstractNum w:abstractNumId="51">
    <w:nsid w:val="3EB21819"/>
    <w:multiLevelType w:val="hybridMultilevel"/>
    <w:lvl w:ilvl="0">
      <w:lvlJc w:val="left"/>
      <w:lvlText w:val="%1."/>
      <w:numFmt w:val="decimal"/>
      <w:start w:val="14"/>
    </w:lvl>
  </w:abstractNum>
  <w:abstractNum w:abstractNumId="52">
    <w:nsid w:val="41531DED"/>
    <w:multiLevelType w:val="hybridMultilevel"/>
    <w:lvl w:ilvl="0">
      <w:lvlJc w:val="left"/>
      <w:lvlText w:val="%1."/>
      <w:numFmt w:val="decimal"/>
      <w:start w:val="15"/>
    </w:lvl>
  </w:abstractNum>
  <w:abstractNum w:abstractNumId="53">
    <w:nsid w:val="6353CD2"/>
    <w:multiLevelType w:val="hybridMultilevel"/>
    <w:lvl w:ilvl="0">
      <w:lvlJc w:val="left"/>
      <w:lvlText w:val="(%1)"/>
      <w:numFmt w:val="decimal"/>
      <w:start w:val="1"/>
    </w:lvl>
  </w:abstractNum>
  <w:abstractNum w:abstractNumId="54">
    <w:nsid w:val="683CAAD3"/>
    <w:multiLevelType w:val="hybridMultilevel"/>
    <w:lvl w:ilvl="0">
      <w:lvlJc w:val="left"/>
      <w:lvlText w:val="%1."/>
      <w:numFmt w:val="decimal"/>
      <w:start w:val="16"/>
    </w:lvl>
  </w:abstractNum>
  <w:abstractNum w:abstractNumId="55">
    <w:nsid w:val="313C7C99"/>
    <w:multiLevelType w:val="hybridMultilevel"/>
    <w:lvl w:ilvl="0">
      <w:lvlJc w:val="left"/>
      <w:lvlText w:val="%1."/>
      <w:numFmt w:val="decimal"/>
      <w:start w:val="17"/>
    </w:lvl>
  </w:abstractNum>
  <w:abstractNum w:abstractNumId="56">
    <w:nsid w:val="519EB94C"/>
    <w:multiLevelType w:val="hybridMultilevel"/>
    <w:lvl w:ilvl="0">
      <w:lvlJc w:val="left"/>
      <w:lvlText w:val="(%1)"/>
      <w:numFmt w:val="decimal"/>
      <w:start w:val="1"/>
    </w:lvl>
  </w:abstractNum>
  <w:abstractNum w:abstractNumId="57">
    <w:nsid w:val="39DF2579"/>
    <w:multiLevelType w:val="hybridMultilevel"/>
    <w:lvl w:ilvl="0">
      <w:lvlJc w:val="left"/>
      <w:lvlText w:val="%1."/>
      <w:numFmt w:val="upperLetter"/>
      <w:start w:val="1"/>
    </w:lvl>
  </w:abstractNum>
  <w:abstractNum w:abstractNumId="58">
    <w:nsid w:val="126E008B"/>
    <w:multiLevelType w:val="hybridMultilevel"/>
    <w:lvl w:ilvl="0">
      <w:lvlJc w:val="left"/>
      <w:lvlText w:val="%1."/>
      <w:numFmt w:val="upperLetter"/>
      <w:start w:val="2"/>
    </w:lvl>
  </w:abstractNum>
  <w:abstractNum w:abstractNumId="59">
    <w:nsid w:val="34DFBC00"/>
    <w:multiLevelType w:val="hybridMultilevel"/>
    <w:lvl w:ilvl="0">
      <w:lvlJc w:val="left"/>
      <w:lvlText w:val="%1."/>
      <w:numFmt w:val="upperLetter"/>
      <w:start w:val="3"/>
    </w:lvl>
  </w:abstractNum>
  <w:abstractNum w:abstractNumId="60">
    <w:nsid w:val="1F9EC322"/>
    <w:multiLevelType w:val="hybridMultilevel"/>
    <w:lvl w:ilvl="0">
      <w:lvlJc w:val="left"/>
      <w:lvlText w:val="%1."/>
      <w:numFmt w:val="upperLetter"/>
      <w:start w:val="4"/>
    </w:lvl>
  </w:abstractNum>
  <w:abstractNum w:abstractNumId="61">
    <w:nsid w:val="3410ED56"/>
    <w:multiLevelType w:val="hybridMultilevel"/>
    <w:lvl w:ilvl="0">
      <w:lvlJc w:val="left"/>
      <w:lvlText w:val="(%1)"/>
      <w:numFmt w:val="decimal"/>
      <w:start w:val="1"/>
    </w:lvl>
  </w:abstractNum>
  <w:abstractNum w:abstractNumId="62">
    <w:nsid w:val="23C049A"/>
    <w:multiLevelType w:val="hybridMultilevel"/>
    <w:lvl w:ilvl="0">
      <w:lvlJc w:val="left"/>
      <w:lvlText w:val="%1."/>
      <w:numFmt w:val="upperLetter"/>
      <w:start w:val="1"/>
    </w:lvl>
  </w:abstractNum>
  <w:abstractNum w:abstractNumId="63">
    <w:nsid w:val="5BDA35D4"/>
    <w:multiLevelType w:val="hybridMultilevel"/>
    <w:lvl w:ilvl="0">
      <w:lvlJc w:val="left"/>
      <w:lvlText w:val="%1."/>
      <w:numFmt w:val="upperLetter"/>
      <w:start w:val="2"/>
    </w:lvl>
  </w:abstractNum>
  <w:abstractNum w:abstractNumId="64">
    <w:nsid w:val="496FB218"/>
    <w:multiLevelType w:val="hybridMultilevel"/>
    <w:lvl w:ilvl="0">
      <w:lvlJc w:val="left"/>
      <w:lvlText w:val="%1."/>
      <w:numFmt w:val="upperLetter"/>
      <w:start w:val="3"/>
    </w:lvl>
  </w:abstractNum>
  <w:abstractNum w:abstractNumId="65">
    <w:nsid w:val="680EA5D1"/>
    <w:multiLevelType w:val="hybridMultilevel"/>
    <w:lvl w:ilvl="0">
      <w:lvlJc w:val="left"/>
      <w:lvlText w:val="2"/>
      <w:numFmt w:val="bullet"/>
      <w:start w:val="1"/>
    </w:lvl>
  </w:abstractNum>
  <w:abstractNum w:abstractNumId="66">
    <w:nsid w:val="4A9554FE"/>
    <w:multiLevelType w:val="hybridMultilevel"/>
    <w:lvl w:ilvl="0">
      <w:lvlJc w:val="left"/>
      <w:lvlText w:val="3"/>
      <w:numFmt w:val="bullet"/>
      <w:start w:val="1"/>
    </w:lvl>
  </w:abstractNum>
  <w:abstractNum w:abstractNumId="67">
    <w:nsid w:val="392EDBE4"/>
    <w:multiLevelType w:val="hybridMultilevel"/>
    <w:lvl w:ilvl="0">
      <w:lvlJc w:val="left"/>
      <w:lvlText w:val="4"/>
      <w:numFmt w:val="bullet"/>
      <w:start w:val="1"/>
    </w:lvl>
  </w:abstractNum>
  <w:abstractNum w:abstractNumId="68">
    <w:nsid w:val="3D1A2DD9"/>
    <w:multiLevelType w:val="hybridMultilevel"/>
    <w:lvl w:ilvl="0">
      <w:lvlJc w:val="left"/>
      <w:lvlText w:val="*"/>
      <w:numFmt w:val="bullet"/>
      <w:start w:val="1"/>
    </w:lvl>
  </w:abstractNum>
  <w:abstractNum w:abstractNumId="69">
    <w:nsid w:val="7F618FCD"/>
    <w:multiLevelType w:val="hybridMultilevel"/>
    <w:lvl w:ilvl="0">
      <w:lvlJc w:val="left"/>
      <w:lvlText w:val="%1."/>
      <w:numFmt w:val="decimal"/>
      <w:start w:val="1"/>
    </w:lvl>
    <w:lvl w:ilvl="1">
      <w:lvlJc w:val="left"/>
      <w:lvlText w:val="(%2)"/>
      <w:numFmt w:val="lowerLetter"/>
      <w:start w:val="1"/>
    </w:lvl>
  </w:abstractNum>
  <w:abstractNum w:abstractNumId="70">
    <w:nsid w:val="7843E45"/>
    <w:multiLevelType w:val="hybridMultilevel"/>
    <w:lvl w:ilvl="0">
      <w:lvlJc w:val="left"/>
      <w:lvlText w:val="%1"/>
      <w:numFmt w:val="decimal"/>
      <w:start w:val="1"/>
    </w:lvl>
    <w:lvl w:ilvl="1">
      <w:lvlJc w:val="left"/>
      <w:lvlText w:val="(%2)"/>
      <w:numFmt w:val="lowerLetter"/>
      <w:start w:val="1"/>
    </w:lvl>
  </w:abstractNum>
  <w:abstractNum w:abstractNumId="71">
    <w:nsid w:val="9815DA3"/>
    <w:multiLevelType w:val="hybridMultilevel"/>
    <w:lvl w:ilvl="0">
      <w:lvlJc w:val="left"/>
      <w:lvlText w:val="%1."/>
      <w:numFmt w:val="decimal"/>
      <w:start w:val="3"/>
    </w:lvl>
    <w:lvl w:ilvl="1">
      <w:lvlJc w:val="left"/>
      <w:lvlText w:val="(%2)"/>
      <w:numFmt w:val="lowerLetter"/>
      <w:start w:val="1"/>
    </w:lvl>
  </w:abstractNum>
  <w:abstractNum w:abstractNumId="72">
    <w:nsid w:val="5204A191"/>
    <w:multiLevelType w:val="hybridMultilevel"/>
    <w:lvl w:ilvl="0">
      <w:lvlJc w:val="left"/>
      <w:lvlText w:val="%1."/>
      <w:numFmt w:val="decimal"/>
      <w:start w:val="8"/>
    </w:lvl>
  </w:abstractNum>
  <w:abstractNum w:abstractNumId="73">
    <w:nsid w:val="4C73A9C6"/>
    <w:multiLevelType w:val="hybridMultilevel"/>
    <w:lvl w:ilvl="0">
      <w:lvlJc w:val="left"/>
      <w:lvlText w:val="A"/>
      <w:numFmt w:val="bullet"/>
      <w:start w:val="1"/>
    </w:lvl>
  </w:abstractNum>
  <w:abstractNum w:abstractNumId="74">
    <w:nsid w:val="1C7E3C01"/>
    <w:multiLevelType w:val="hybridMultilevel"/>
    <w:lvl w:ilvl="0">
      <w:lvlJc w:val="left"/>
      <w:lvlText w:val="B"/>
      <w:numFmt w:val="bullet"/>
      <w:start w:val="1"/>
    </w:lvl>
  </w:abstractNum>
  <w:abstractNum w:abstractNumId="75">
    <w:nsid w:val="1C2201FF"/>
    <w:multiLevelType w:val="hybridMultilevel"/>
    <w:lvl w:ilvl="0">
      <w:lvlJc w:val="left"/>
      <w:lvlText w:val="C"/>
      <w:numFmt w:val="bullet"/>
      <w:start w:val="1"/>
    </w:lvl>
  </w:abstractNum>
  <w:abstractNum w:abstractNumId="76">
    <w:nsid w:val="50ABCEC9"/>
    <w:multiLevelType w:val="hybridMultilevel"/>
    <w:lvl w:ilvl="0">
      <w:lvlJc w:val="left"/>
      <w:lvlText w:val="D"/>
      <w:numFmt w:val="bullet"/>
      <w:start w:val="1"/>
    </w:lvl>
  </w:abstractNum>
  <w:abstractNum w:abstractNumId="77">
    <w:nsid w:val="7635AA2A"/>
    <w:multiLevelType w:val="hybridMultilevel"/>
    <w:lvl w:ilvl="0">
      <w:lvlJc w:val="left"/>
      <w:lvlText w:val="F"/>
      <w:numFmt w:val="bullet"/>
      <w:start w:val="1"/>
    </w:lvl>
  </w:abstractNum>
  <w:abstractNum w:abstractNumId="78">
    <w:nsid w:val="5E74C4D9"/>
    <w:multiLevelType w:val="hybridMultilevel"/>
    <w:lvl w:ilvl="0">
      <w:lvlJc w:val="left"/>
      <w:lvlText w:val="G"/>
      <w:numFmt w:val="bullet"/>
      <w:start w:val="1"/>
    </w:lvl>
  </w:abstractNum>
  <w:abstractNum w:abstractNumId="79">
    <w:nsid w:val="3B3EBE15"/>
    <w:multiLevelType w:val="hybridMultilevel"/>
    <w:lvl w:ilvl="0">
      <w:lvlJc w:val="left"/>
      <w:lvlText w:val="(%1)"/>
      <w:numFmt w:val="decimal"/>
      <w:start w:val="2"/>
    </w:lvl>
  </w:abstractNum>
  <w:abstractNum w:abstractNumId="80">
    <w:nsid w:val="3822CB01"/>
    <w:multiLevelType w:val="hybridMultilevel"/>
    <w:lvl w:ilvl="0">
      <w:lvlJc w:val="left"/>
      <w:lvlText w:val="(%1)"/>
      <w:numFmt w:val="lowerLetter"/>
      <w:start w:val="2"/>
    </w:lvl>
  </w:abstractNum>
  <w:abstractNum w:abstractNumId="81">
    <w:nsid w:val="6CE00443"/>
    <w:multiLevelType w:val="hybridMultilevel"/>
    <w:lvl w:ilvl="0">
      <w:lvlJc w:val="left"/>
      <w:lvlText w:val="(%1)"/>
      <w:numFmt w:val="lowerRoman"/>
      <w:start w:val="1"/>
    </w:lvl>
  </w:abstractNum>
  <w:abstractNum w:abstractNumId="82">
    <w:nsid w:val="79F0D62F"/>
    <w:multiLevelType w:val="hybridMultilevel"/>
    <w:lvl w:ilvl="0">
      <w:lvlJc w:val="left"/>
      <w:lvlText w:val="(%1)"/>
      <w:numFmt w:val="lowerLetter"/>
      <w:start w:val="3"/>
    </w:lvl>
  </w:abstractNum>
  <w:abstractNum w:abstractNumId="83">
    <w:nsid w:val="7975E8EE"/>
    <w:multiLevelType w:val="hybridMultilevel"/>
    <w:lvl w:ilvl="0">
      <w:lvlJc w:val="left"/>
      <w:lvlText w:val="(%1)"/>
      <w:numFmt w:val="lowerLetter"/>
      <w:start w:val="4"/>
    </w:lvl>
  </w:abstractNum>
  <w:abstractNum w:abstractNumId="84">
    <w:nsid w:val="73154115"/>
    <w:multiLevelType w:val="hybridMultilevel"/>
    <w:lvl w:ilvl="0">
      <w:lvlJc w:val="left"/>
      <w:lvlText w:val="(%1)"/>
      <w:numFmt w:val="lowerLetter"/>
      <w:start w:val="1"/>
    </w:lvl>
  </w:abstractNum>
  <w:abstractNum w:abstractNumId="85">
    <w:nsid w:val="622D8102"/>
    <w:multiLevelType w:val="hybridMultilevel"/>
    <w:lvl w:ilvl="0">
      <w:lvlJc w:val="left"/>
      <w:lvlText w:val="(%1)"/>
      <w:numFmt w:val="lowerRoman"/>
      <w:start w:val="1"/>
    </w:lvl>
  </w:abstractNum>
  <w:abstractNum w:abstractNumId="86">
    <w:nsid w:val="2AB26587"/>
    <w:multiLevelType w:val="hybridMultilevel"/>
    <w:lvl w:ilvl="0">
      <w:lvlJc w:val="left"/>
      <w:lvlText w:val="(%1)"/>
      <w:numFmt w:val="lowerLetter"/>
      <w:start w:val="1"/>
    </w:lvl>
  </w:abstractNum>
  <w:abstractNum w:abstractNumId="87">
    <w:nsid w:val="44B3FA61"/>
    <w:multiLevelType w:val="hybridMultilevel"/>
    <w:lvl w:ilvl="0">
      <w:lvlJc w:val="left"/>
      <w:lvlText w:val="%1"/>
      <w:numFmt w:val="lowerLetter"/>
      <w:start w:val="1"/>
    </w:lvl>
    <w:lvl w:ilvl="1">
      <w:lvlJc w:val="left"/>
      <w:lvlText w:val="(%2)"/>
      <w:numFmt w:val="lowerLetter"/>
      <w:start w:val="1"/>
    </w:lvl>
  </w:abstractNum>
  <w:abstractNum w:abstractNumId="88">
    <w:nsid w:val="1C0CA67C"/>
    <w:multiLevelType w:val="hybridMultilevel"/>
    <w:lvl w:ilvl="0">
      <w:lvlJc w:val="left"/>
      <w:lvlText w:val="(%1)"/>
      <w:numFmt w:val="lowerLetter"/>
      <w:start w:val="35"/>
    </w:lvl>
    <w:lvl w:ilvl="1">
      <w:lvlJc w:val="left"/>
      <w:lvlText w:val="%2"/>
      <w:numFmt w:val="lowerLetter"/>
      <w:start w:val="1"/>
    </w:lvl>
  </w:abstractNum>
  <w:abstractNum w:abstractNumId="89">
    <w:nsid w:val="3D206613"/>
    <w:multiLevelType w:val="hybridMultilevel"/>
    <w:lvl w:ilvl="0">
      <w:lvlJc w:val="left"/>
      <w:lvlText w:val="(%1)"/>
      <w:numFmt w:val="lowerLetter"/>
      <w:start w:val="5"/>
    </w:lvl>
  </w:abstractNum>
  <w:abstractNum w:abstractNumId="90">
    <w:nsid w:val="7993B662"/>
    <w:multiLevelType w:val="hybridMultilevel"/>
    <w:lvl w:ilvl="0">
      <w:lvlJc w:val="left"/>
      <w:lvlText w:val="(%1)"/>
      <w:numFmt w:val="lowerLetter"/>
      <w:start w:val="1"/>
    </w:lvl>
  </w:abstractNum>
  <w:abstractNum w:abstractNumId="91">
    <w:nsid w:val="3BAB699E"/>
    <w:multiLevelType w:val="hybridMultilevel"/>
    <w:lvl w:ilvl="0">
      <w:lvlJc w:val="left"/>
      <w:lvlText w:val="%1"/>
      <w:numFmt w:val="upperLetter"/>
      <w:start w:val="1"/>
    </w:lvl>
    <w:lvl w:ilvl="1">
      <w:lvlJc w:val="left"/>
      <w:lvlText w:val="(%2)"/>
      <w:numFmt w:val="lowerLetter"/>
      <w:start w:val="1"/>
    </w:lvl>
  </w:abstractNum>
  <w:abstractNum w:abstractNumId="92">
    <w:nsid w:val="71315369"/>
    <w:multiLevelType w:val="hybridMultilevel"/>
    <w:lvl w:ilvl="0">
      <w:lvlJc w:val="left"/>
      <w:lvlText w:val="(%1)"/>
      <w:numFmt w:val="upperLetter"/>
      <w:start w:val="1"/>
    </w:lvl>
    <w:lvl w:ilvl="1">
      <w:lvlJc w:val="left"/>
      <w:lvlText w:val="(%2)"/>
      <w:numFmt w:val="lowerLetter"/>
      <w:start w:val="2"/>
    </w:lvl>
  </w:abstractNum>
  <w:abstractNum w:abstractNumId="93">
    <w:nsid w:val="7BCFBAFC"/>
    <w:multiLevelType w:val="hybridMultilevel"/>
    <w:lvl w:ilvl="0">
      <w:lvlJc w:val="left"/>
      <w:lvlText w:val="(%1)"/>
      <w:numFmt w:val="lowerLetter"/>
      <w:start w:val="3"/>
    </w:lvl>
  </w:abstractNum>
  <w:abstractNum w:abstractNumId="94">
    <w:nsid w:val="17859F72"/>
    <w:multiLevelType w:val="hybridMultilevel"/>
    <w:lvl w:ilvl="0">
      <w:lvlJc w:val="left"/>
      <w:lvlText w:val="(%1)"/>
      <w:numFmt w:val="lowerLetter"/>
      <w:start w:val="1"/>
    </w:lvl>
    <w:lvl w:ilvl="1">
      <w:lvlJc w:val="left"/>
      <w:lvlText w:val="(%2)"/>
      <w:numFmt w:val="lowerLetter"/>
      <w:start w:val="9"/>
    </w:lvl>
  </w:abstractNum>
  <w:abstractNum w:abstractNumId="95">
    <w:nsid w:val="3AA10581"/>
    <w:multiLevelType w:val="hybridMultilevel"/>
    <w:lvl w:ilvl="0">
      <w:lvlJc w:val="left"/>
      <w:lvlText w:val="%1"/>
      <w:numFmt w:val="upperLetter"/>
      <w:start w:val="1"/>
    </w:lvl>
    <w:lvl w:ilvl="1">
      <w:lvlJc w:val="left"/>
      <w:lvlText w:val="(%2)"/>
      <w:numFmt w:val="lowerRoman"/>
      <w:start w:val="2"/>
    </w:lvl>
  </w:abstractNum>
  <w:abstractNum w:abstractNumId="96">
    <w:nsid w:val="63DE60CD"/>
    <w:multiLevelType w:val="hybridMultilevel"/>
    <w:lvl w:ilvl="0">
      <w:lvlJc w:val="left"/>
      <w:lvlText w:val="(%1)"/>
      <w:numFmt w:val="upperLetter"/>
      <w:start w:val="1"/>
    </w:lvl>
    <w:lvl w:ilvl="1">
      <w:lvlJc w:val="left"/>
      <w:lvlText w:val="(%2)"/>
      <w:numFmt w:val="lowerRoman"/>
      <w:start w:val="3"/>
    </w:lvl>
  </w:abstractNum>
  <w:abstractNum w:abstractNumId="97">
    <w:nsid w:val="621AF471"/>
    <w:multiLevelType w:val="hybridMultilevel"/>
    <w:lvl w:ilvl="0">
      <w:lvlJc w:val="left"/>
      <w:lvlText w:val="(%1)"/>
      <w:numFmt w:val="upperLetter"/>
      <w:start w:val="1"/>
    </w:lvl>
  </w:abstractNum>
  <w:abstractNum w:abstractNumId="98">
    <w:nsid w:val="73CFE165"/>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4"/>
    </w:lvl>
  </w:abstractNum>
  <w:abstractNum w:abstractNumId="99">
    <w:nsid w:val="20F88EA6"/>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00">
    <w:nsid w:val="617C843E"/>
    <w:multiLevelType w:val="hybridMultilevel"/>
    <w:lvl w:ilvl="0">
      <w:lvlJc w:val="left"/>
      <w:lvlText w:val="(%1)"/>
      <w:numFmt w:val="lowerRoman"/>
      <w:start w:val="2"/>
    </w:lvl>
  </w:abstractNum>
  <w:abstractNum w:abstractNumId="101">
    <w:nsid w:val="7B541FAB"/>
    <w:multiLevelType w:val="hybridMultilevel"/>
    <w:lvl w:ilvl="0">
      <w:lvlJc w:val="left"/>
      <w:lvlText w:val="(%1)"/>
      <w:numFmt w:val="decimal"/>
      <w:start w:val="2"/>
    </w:lvl>
    <w:lvl w:ilvl="1">
      <w:lvlJc w:val="left"/>
      <w:lvlText w:val="(%2)"/>
      <w:numFmt w:val="lowerRoman"/>
      <w:start w:val="4"/>
    </w:lvl>
  </w:abstractNum>
  <w:abstractNum w:abstractNumId="102">
    <w:nsid w:val="2A79EC49"/>
    <w:multiLevelType w:val="hybridMultilevel"/>
    <w:lvl w:ilvl="0">
      <w:lvlJc w:val="left"/>
      <w:lvlText w:val="%1"/>
      <w:numFmt w:val="lowerLetter"/>
      <w:start w:val="1"/>
    </w:lvl>
    <w:lvl w:ilvl="1">
      <w:lvlJc w:val="left"/>
      <w:lvlText w:val="(%2)"/>
      <w:numFmt w:val="lowerLetter"/>
      <w:start w:val="22"/>
    </w:lvl>
  </w:abstractNum>
  <w:abstractNum w:abstractNumId="103">
    <w:nsid w:val="338125CF"/>
    <w:multiLevelType w:val="hybridMultilevel"/>
    <w:lvl w:ilvl="0">
      <w:lvlJc w:val="left"/>
      <w:lvlText w:val="(%1)"/>
      <w:numFmt w:val="lowerLetter"/>
      <w:start w:val="3"/>
    </w:lvl>
    <w:lvl w:ilvl="1">
      <w:lvlJc w:val="left"/>
      <w:lvlText w:val="(%2)"/>
      <w:numFmt w:val="lowerLetter"/>
      <w:start w:val="9"/>
    </w:lvl>
  </w:abstractNum>
  <w:abstractNum w:abstractNumId="104">
    <w:nsid w:val="47C7C971"/>
    <w:multiLevelType w:val="hybridMultilevel"/>
    <w:lvl w:ilvl="0">
      <w:lvlJc w:val="left"/>
      <w:lvlText w:val="(%1)"/>
      <w:numFmt w:val="lowerRoman"/>
      <w:start w:val="2"/>
    </w:lvl>
  </w:abstractNum>
  <w:abstractNum w:abstractNumId="105">
    <w:nsid w:val="46F8284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106">
    <w:nsid w:val="4FA327CE"/>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07">
    <w:nsid w:val="1873983A"/>
    <w:multiLevelType w:val="hybridMultilevel"/>
    <w:lvl w:ilvl="0">
      <w:lvlJc w:val="left"/>
      <w:lvlText w:val="%1"/>
      <w:numFmt w:val="lowerLetter"/>
      <w:start w:val="1"/>
    </w:lvl>
    <w:lvl w:ilvl="1">
      <w:lvlJc w:val="left"/>
      <w:lvlText w:val="(%2)"/>
      <w:numFmt w:val="lowerLetter"/>
      <w:start w:val="35"/>
    </w:lvl>
  </w:abstractNum>
  <w:abstractNum w:abstractNumId="108">
    <w:nsid w:val="3D2DD275"/>
    <w:multiLevelType w:val="hybridMultilevel"/>
    <w:lvl w:ilvl="0">
      <w:lvlJc w:val="left"/>
      <w:lvlText w:val="(%1)"/>
      <w:numFmt w:val="lowerLetter"/>
      <w:start w:val="5"/>
    </w:lvl>
    <w:lvl w:ilvl="1">
      <w:lvlJc w:val="left"/>
      <w:lvlText w:val="(%2)"/>
      <w:numFmt w:val="lowerLetter"/>
      <w:start w:val="9"/>
    </w:lvl>
  </w:abstractNum>
  <w:abstractNum w:abstractNumId="109">
    <w:nsid w:val="2E17ECA7"/>
    <w:multiLevelType w:val="hybridMultilevel"/>
    <w:lvl w:ilvl="0">
      <w:lvlJc w:val="left"/>
      <w:lvlText w:val="(%1)"/>
      <w:numFmt w:val="lowerRoman"/>
      <w:start w:val="2"/>
    </w:lvl>
  </w:abstractNum>
  <w:abstractNum w:abstractNumId="110">
    <w:nsid w:val="53B2564F"/>
    <w:multiLevelType w:val="hybridMultilevel"/>
    <w:lvl w:ilvl="0">
      <w:lvlJc w:val="left"/>
      <w:lvlText w:val="(%1)"/>
      <w:numFmt w:val="lowerRoman"/>
      <w:start w:val="6"/>
    </w:lvl>
  </w:abstractNum>
  <w:abstractNum w:abstractNumId="111">
    <w:nsid w:val="75509D76"/>
    <w:multiLevelType w:val="hybridMultilevel"/>
    <w:lvl w:ilvl="0">
      <w:lvlJc w:val="left"/>
      <w:lvlText w:val="(%1)"/>
      <w:numFmt w:val="lowerLetter"/>
      <w:start w:val="6"/>
    </w:lvl>
  </w:abstractNum>
  <w:abstractNum w:abstractNumId="112">
    <w:nsid w:val="1AF7F0EA"/>
    <w:multiLevelType w:val="hybridMultilevel"/>
    <w:lvl w:ilvl="0">
      <w:lvlJc w:val="left"/>
      <w:lvlText w:val="%1"/>
      <w:numFmt w:val="lowerLetter"/>
      <w:start w:val="1"/>
    </w:lvl>
    <w:lvl w:ilvl="1">
      <w:lvlJc w:val="left"/>
      <w:lvlText w:val="(%2)"/>
      <w:numFmt w:val="lowerLetter"/>
      <w:start w:val="7"/>
    </w:lvl>
  </w:abstractNum>
  <w:abstractNum w:abstractNumId="113">
    <w:nsid w:val="4DA32C7E"/>
    <w:multiLevelType w:val="hybridMultilevel"/>
    <w:lvl w:ilvl="0">
      <w:lvlJc w:val="left"/>
      <w:lvlText w:val="(%1)"/>
      <w:numFmt w:val="lowerLetter"/>
      <w:start w:val="9"/>
    </w:lvl>
    <w:lvl w:ilvl="1">
      <w:lvlJc w:val="left"/>
      <w:lvlText w:val="(%2)"/>
      <w:numFmt w:val="lowerLetter"/>
      <w:start w:val="10"/>
    </w:lvl>
  </w:abstractNum>
  <w:abstractNum w:abstractNumId="114">
    <w:nsid w:val="6EC68664"/>
    <w:multiLevelType w:val="hybridMultilevel"/>
    <w:lvl w:ilvl="0">
      <w:lvlJc w:val="left"/>
      <w:lvlText w:val="(%1)"/>
      <w:numFmt w:val="lowerLetter"/>
      <w:start w:val="11"/>
    </w:lvl>
    <w:lvl w:ilvl="1">
      <w:lvlJc w:val="left"/>
      <w:lvlText w:val="(%2)"/>
      <w:numFmt w:val="decimal"/>
    </w:lvl>
    <w:lvl w:ilvl="2">
      <w:lvlJc w:val="left"/>
      <w:lvlText w:val="(%3)"/>
      <w:numFmt w:val="lowerRoman"/>
      <w:start w:val="1"/>
    </w:lvl>
  </w:abstractNum>
  <w:abstractNum w:abstractNumId="115">
    <w:nsid w:val="E0D31FF"/>
    <w:multiLevelType w:val="hybridMultilevel"/>
    <w:lvl w:ilvl="0">
      <w:lvlJc w:val="left"/>
      <w:lvlText w:val="(%1)"/>
      <w:numFmt w:val="lowerLetter"/>
      <w:start w:val="1"/>
    </w:lvl>
  </w:abstractNum>
  <w:abstractNum w:abstractNumId="116">
    <w:nsid w:val="2FD0AD81"/>
    <w:multiLevelType w:val="hybridMultilevel"/>
    <w:lvl w:ilvl="0">
      <w:lvlJc w:val="left"/>
      <w:lvlText w:val="(%1)"/>
      <w:numFmt w:val="lowerLetter"/>
      <w:start w:val="3"/>
    </w:lvl>
    <w:lvl w:ilvl="1">
      <w:lvlJc w:val="left"/>
      <w:lvlText w:val="(%2)"/>
      <w:numFmt w:val="lowerLetter"/>
      <w:start w:val="9"/>
    </w:lvl>
  </w:abstractNum>
  <w:abstractNum w:abstractNumId="117">
    <w:nsid w:val="1978EBEB"/>
    <w:multiLevelType w:val="hybridMultilevel"/>
    <w:lvl w:ilvl="0">
      <w:lvlJc w:val="left"/>
      <w:lvlText w:val="%1"/>
      <w:numFmt w:val="lowerLetter"/>
      <w:start w:val="1"/>
    </w:lvl>
    <w:lvl w:ilvl="1">
      <w:lvlJc w:val="left"/>
      <w:lvlText w:val="(%2)"/>
      <w:numFmt w:val="lowerRoman"/>
      <w:start w:val="2"/>
    </w:lvl>
  </w:abstractNum>
  <w:abstractNum w:abstractNumId="118">
    <w:nsid w:val="52C12C61"/>
    <w:multiLevelType w:val="hybridMultilevel"/>
    <w:lvl w:ilvl="0">
      <w:lvlJc w:val="left"/>
      <w:lvlText w:val="(%1)"/>
      <w:numFmt w:val="lowerLetter"/>
      <w:start w:val="4"/>
    </w:lvl>
    <w:lvl w:ilvl="1">
      <w:lvlJc w:val="left"/>
      <w:lvlText w:val="%2"/>
      <w:numFmt w:val="lowerRoman"/>
      <w:start w:val="1"/>
    </w:lvl>
  </w:abstractNum>
  <w:abstractNum w:abstractNumId="119">
    <w:nsid w:val="4BDD53FD"/>
    <w:multiLevelType w:val="hybridMultilevel"/>
    <w:lvl w:ilvl="0">
      <w:lvlJc w:val="left"/>
      <w:lvlText w:val="%1"/>
      <w:numFmt w:val="lowerLetter"/>
      <w:start w:val="1"/>
    </w:lvl>
    <w:lvl w:ilvl="1">
      <w:lvlJc w:val="left"/>
      <w:lvlText w:val="(%2)"/>
      <w:numFmt w:val="lowerRoman"/>
      <w:start w:val="1"/>
    </w:lvl>
  </w:abstractNum>
  <w:abstractNum w:abstractNumId="120">
    <w:nsid w:val="569951FE"/>
    <w:multiLevelType w:val="hybridMultilevel"/>
    <w:lvl w:ilvl="0">
      <w:lvlJc w:val="left"/>
      <w:lvlText w:val="(%1)"/>
      <w:numFmt w:val="lowerLetter"/>
      <w:start w:val="5"/>
    </w:lvl>
    <w:lvl w:ilvl="1">
      <w:lvlJc w:val="left"/>
      <w:lvlText w:val="%2"/>
      <w:numFmt w:val="lowerRoman"/>
      <w:start w:val="1"/>
    </w:lvl>
  </w:abstractNum>
  <w:abstractNum w:abstractNumId="121">
    <w:nsid w:val="4C54E2C3"/>
    <w:multiLevelType w:val="hybridMultilevel"/>
    <w:lvl w:ilvl="0">
      <w:lvlJc w:val="left"/>
      <w:lvlText w:val="(%1)"/>
      <w:numFmt w:val="lowerLetter"/>
      <w:start w:val="1"/>
    </w:lvl>
  </w:abstractNum>
  <w:abstractNum w:abstractNumId="122">
    <w:nsid w:val="788BD9B"/>
    <w:multiLevelType w:val="hybridMultilevel"/>
    <w:lvl w:ilvl="0">
      <w:lvlJc w:val="left"/>
      <w:lvlText w:val="(%1)"/>
      <w:numFmt w:val="lowerLetter"/>
      <w:start w:val="2"/>
    </w:lvl>
  </w:abstractNum>
  <w:abstractNum w:abstractNumId="123">
    <w:nsid w:val="47CAA567"/>
    <w:multiLevelType w:val="hybridMultilevel"/>
    <w:lvl w:ilvl="0">
      <w:lvlJc w:val="left"/>
      <w:lvlText w:val="(%1)"/>
      <w:numFmt w:val="lowerLetter"/>
      <w:start w:val="1"/>
    </w:lvl>
  </w:abstractNum>
  <w:abstractNum w:abstractNumId="124">
    <w:nsid w:val="48249DBF"/>
    <w:multiLevelType w:val="hybridMultilevel"/>
    <w:lvl w:ilvl="0">
      <w:lvlJc w:val="left"/>
      <w:lvlText w:val="(%1)"/>
      <w:numFmt w:val="lowerLetter"/>
      <w:start w:val="1"/>
    </w:lvl>
    <w:lvl w:ilvl="1">
      <w:lvlJc w:val="left"/>
      <w:lvlText w:val="(%2)"/>
      <w:numFmt w:val="lowerRoman"/>
      <w:start w:val="2"/>
    </w:lvl>
  </w:abstractNum>
  <w:abstractNum w:abstractNumId="125">
    <w:nsid w:val="1F0E5D0D"/>
    <w:multiLevelType w:val="hybridMultilevel"/>
    <w:lvl w:ilvl="0">
      <w:lvlJc w:val="left"/>
      <w:lvlText w:val="(%1)"/>
      <w:numFmt w:val="lowerLetter"/>
      <w:start w:val="1"/>
    </w:lvl>
  </w:abstractNum>
  <w:abstractNum w:abstractNumId="126">
    <w:nsid w:val="26BAAE9"/>
    <w:multiLevelType w:val="hybridMultilevel"/>
    <w:lvl w:ilvl="0">
      <w:lvlJc w:val="left"/>
      <w:lvlText w:val="(%1)"/>
      <w:numFmt w:val="lowerLetter"/>
      <w:start w:val="2"/>
    </w:lvl>
  </w:abstractNum>
  <w:abstractNum w:abstractNumId="127">
    <w:nsid w:val="2C02FE8C"/>
    <w:multiLevelType w:val="hybridMultilevel"/>
    <w:lvl w:ilvl="0">
      <w:lvlJc w:val="left"/>
      <w:lvlText w:val="(%1)"/>
      <w:numFmt w:val="lowerRoman"/>
      <w:start w:val="1"/>
    </w:lvl>
  </w:abstractNum>
  <w:abstractNum w:abstractNumId="128">
    <w:nsid w:val="129517E"/>
    <w:multiLevelType w:val="hybridMultilevel"/>
    <w:lvl w:ilvl="0">
      <w:lvlJc w:val="left"/>
      <w:lvlText w:val="(%1)"/>
      <w:numFmt w:val="lowerLetter"/>
      <w:start w:val="1"/>
    </w:lvl>
  </w:abstractNum>
  <w:abstractNum w:abstractNumId="129">
    <w:nsid w:val="763B8C4E"/>
    <w:multiLevelType w:val="hybridMultilevel"/>
    <w:lvl w:ilvl="0">
      <w:lvlJc w:val="left"/>
      <w:lvlText w:val="(%1)"/>
      <w:numFmt w:val="lowerLetter"/>
      <w:start w:val="1"/>
    </w:lvl>
  </w:abstractNum>
  <w:abstractNum w:abstractNumId="130">
    <w:nsid w:val="4CFB8D32"/>
    <w:multiLevelType w:val="hybridMultilevel"/>
    <w:lvl w:ilvl="0">
      <w:lvlJc w:val="left"/>
      <w:lvlText w:val="(%1)"/>
      <w:numFmt w:val="lowerLetter"/>
      <w:start w:val="1"/>
    </w:lvl>
  </w:abstractNum>
  <w:abstractNum w:abstractNumId="131">
    <w:nsid w:val="62A5D5BD"/>
    <w:multiLevelType w:val="hybridMultilevel"/>
    <w:lvl w:ilvl="0">
      <w:lvlJc w:val="left"/>
      <w:lvlText w:val="%1"/>
      <w:numFmt w:val="decimal"/>
      <w:start w:val="1"/>
    </w:lvl>
    <w:lvl w:ilvl="1">
      <w:lvlJc w:val="left"/>
      <w:lvlText w:val="(%2)"/>
      <w:numFmt w:val="lowerRoman"/>
      <w:start w:val="2"/>
    </w:lvl>
  </w:abstractNum>
  <w:abstractNum w:abstractNumId="132">
    <w:nsid w:val="718FABF9"/>
    <w:multiLevelType w:val="hybridMultilevel"/>
    <w:lvl w:ilvl="0">
      <w:lvlJc w:val="left"/>
      <w:lvlText w:val="(%1)"/>
      <w:numFmt w:val="decimal"/>
      <w:start w:val="1"/>
    </w:lvl>
    <w:lvl w:ilvl="1">
      <w:lvlJc w:val="left"/>
      <w:lvlText w:val="%2"/>
      <w:numFmt w:val="lowerRoman"/>
      <w:start w:val="1"/>
    </w:lvl>
  </w:abstractNum>
  <w:abstractNum w:abstractNumId="133">
    <w:nsid w:val="7775797C"/>
    <w:multiLevelType w:val="hybridMultilevel"/>
    <w:lvl w:ilvl="0">
      <w:lvlJc w:val="left"/>
      <w:lvlText w:val="(%1)"/>
      <w:numFmt w:val="lowerLetter"/>
      <w:start w:val="3"/>
    </w:lvl>
  </w:abstractNum>
  <w:abstractNum w:abstractNumId="134">
    <w:nsid w:val="1626FB8C"/>
    <w:multiLevelType w:val="hybridMultilevel"/>
    <w:lvl w:ilvl="0">
      <w:lvlJc w:val="left"/>
      <w:lvlText w:val="(%1)"/>
      <w:numFmt w:val="lowerLetter"/>
      <w:start w:val="4"/>
    </w:lvl>
  </w:abstractNum>
  <w:abstractNum w:abstractNumId="135">
    <w:nsid w:val="3957756A"/>
    <w:multiLevelType w:val="hybridMultilevel"/>
    <w:lvl w:ilvl="0">
      <w:lvlJc w:val="left"/>
      <w:lvlText w:val="(%1)"/>
      <w:numFmt w:val="lowerRoman"/>
      <w:start w:val="1"/>
    </w:lvl>
  </w:abstractNum>
  <w:abstractNum w:abstractNumId="136">
    <w:nsid w:val="3E6DA1C7"/>
    <w:multiLevelType w:val="hybridMultilevel"/>
    <w:lvl w:ilvl="0">
      <w:lvlJc w:val="left"/>
      <w:lvlText w:val="(%1)"/>
      <w:numFmt w:val="lowerLetter"/>
      <w:start w:val="1"/>
    </w:lvl>
  </w:abstractNum>
  <w:abstractNum w:abstractNumId="137">
    <w:nsid w:val="65CA235B"/>
    <w:multiLevelType w:val="hybridMultilevel"/>
    <w:lvl w:ilvl="0">
      <w:lvlJc w:val="left"/>
      <w:lvlText w:val="(%1)"/>
      <w:numFmt w:val="lowerLetter"/>
      <w:start w:val="1"/>
    </w:lvl>
  </w:abstractNum>
  <w:abstractNum w:abstractNumId="138">
    <w:nsid w:val="51CB0DA4"/>
    <w:multiLevelType w:val="hybridMultilevel"/>
    <w:lvl w:ilvl="0">
      <w:lvlJc w:val="left"/>
      <w:lvlText w:val="(%1)"/>
      <w:numFmt w:val="lowerRoman"/>
      <w:start w:val="4"/>
    </w:lvl>
    <w:lvl w:ilvl="1">
      <w:lvlJc w:val="left"/>
      <w:lvlText w:val="(%2)"/>
      <w:numFmt w:val="lowerLetter"/>
      <w:start w:val="2"/>
    </w:lvl>
  </w:abstractNum>
  <w:abstractNum w:abstractNumId="139">
    <w:nsid w:val="7B9B743C"/>
    <w:multiLevelType w:val="hybridMultilevel"/>
    <w:lvl w:ilvl="0">
      <w:lvlJc w:val="left"/>
      <w:lvlText w:val="(%1)"/>
      <w:numFmt w:val="lowerLetter"/>
      <w:start w:val="1"/>
    </w:lvl>
    <w:lvl w:ilvl="1">
      <w:lvlJc w:val="left"/>
      <w:lvlText w:val="(%2)"/>
      <w:numFmt w:val="lowerRoman"/>
      <w:start w:val="1"/>
    </w:lvl>
  </w:abstractNum>
  <w:abstractNum w:abstractNumId="140">
    <w:nsid w:val="13E21002"/>
    <w:multiLevelType w:val="hybridMultilevel"/>
    <w:lvl w:ilvl="0">
      <w:lvlJc w:val="left"/>
      <w:lvlText w:val="%1"/>
      <w:numFmt w:val="upperLetter"/>
      <w:start w:val="1"/>
    </w:lvl>
    <w:lvl w:ilvl="1">
      <w:lvlJc w:val="left"/>
      <w:lvlText w:val="(%2)"/>
      <w:numFmt w:val="lowerRoman"/>
      <w:start w:val="3"/>
    </w:lvl>
  </w:abstractNum>
  <w:abstractNum w:abstractNumId="141">
    <w:nsid w:val="257D63F4"/>
    <w:multiLevelType w:val="hybridMultilevel"/>
    <w:lvl w:ilvl="0">
      <w:lvlJc w:val="left"/>
      <w:lvlText w:val="(%1)"/>
      <w:numFmt w:val="upperLetter"/>
      <w:start w:val="1"/>
    </w:lvl>
    <w:lvl w:ilvl="1">
      <w:lvlJc w:val="left"/>
      <w:lvlText w:val="(%2)"/>
      <w:numFmt w:val="lowerRoman"/>
      <w:start w:val="4"/>
    </w:lvl>
  </w:abstractNum>
  <w:abstractNum w:abstractNumId="142">
    <w:nsid w:val="70EC11B2"/>
    <w:multiLevelType w:val="hybridMultilevel"/>
    <w:lvl w:ilvl="0">
      <w:lvlJc w:val="left"/>
      <w:lvlText w:val="%1"/>
      <w:numFmt w:val="lowerLetter"/>
      <w:start w:val="1"/>
    </w:lvl>
    <w:lvl w:ilvl="1">
      <w:lvlJc w:val="left"/>
      <w:lvlText w:val="(%2)"/>
      <w:numFmt w:val="lowerLetter"/>
      <w:start w:val="22"/>
    </w:lvl>
  </w:abstractNum>
  <w:abstractNum w:abstractNumId="143">
    <w:nsid w:val="2EDA00ED"/>
    <w:multiLevelType w:val="hybridMultilevel"/>
    <w:lvl w:ilvl="0">
      <w:lvlJc w:val="left"/>
      <w:lvlText w:val="(%1)"/>
      <w:numFmt w:val="lowerLetter"/>
      <w:start w:val="2"/>
    </w:lvl>
    <w:lvl w:ilvl="1">
      <w:lvlJc w:val="left"/>
      <w:lvlText w:val="%2"/>
      <w:numFmt w:val="lowerLetter"/>
      <w:start w:val="1"/>
    </w:lvl>
  </w:abstractNum>
  <w:abstractNum w:abstractNumId="144">
    <w:nsid w:val="73209072"/>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45">
    <w:nsid w:val="5FB29816"/>
    <w:multiLevelType w:val="hybridMultilevel"/>
    <w:lvl w:ilvl="0">
      <w:lvlJc w:val="left"/>
      <w:lvlText w:val="%1"/>
      <w:numFmt w:val="lowerLetter"/>
      <w:start w:val="1"/>
    </w:lvl>
    <w:lvl w:ilvl="1">
      <w:lvlJc w:val="left"/>
      <w:lvlText w:val="(%2)"/>
      <w:numFmt w:val="lowerLetter"/>
      <w:start w:val="61"/>
    </w:lvl>
  </w:abstractNum>
  <w:abstractNum w:abstractNumId="146">
    <w:nsid w:val="3CE732EC"/>
    <w:multiLevelType w:val="hybridMultilevel"/>
    <w:lvl w:ilvl="0">
      <w:lvlJc w:val="left"/>
      <w:lvlText w:val="(%1)"/>
      <w:numFmt w:val="lowerLetter"/>
      <w:start w:val="2"/>
    </w:lvl>
    <w:lvl w:ilvl="1">
      <w:lvlJc w:val="left"/>
      <w:lvlText w:val="(%2)"/>
      <w:numFmt w:val="lowerLetter"/>
      <w:start w:val="9"/>
    </w:lvl>
  </w:abstractNum>
  <w:abstractNum w:abstractNumId="147">
    <w:nsid w:val="22F13DF3"/>
    <w:multiLevelType w:val="hybridMultilevel"/>
    <w:lvl w:ilvl="0">
      <w:lvlJc w:val="left"/>
      <w:lvlText w:val="%1"/>
      <w:numFmt w:val="lowerLetter"/>
      <w:start w:val="1"/>
    </w:lvl>
    <w:lvl w:ilvl="1">
      <w:lvlJc w:val="left"/>
      <w:lvlText w:val="(%2)"/>
      <w:numFmt w:val="lowerLetter"/>
      <w:start w:val="35"/>
    </w:lvl>
  </w:abstractNum>
  <w:abstractNum w:abstractNumId="148">
    <w:nsid w:val="792B8401"/>
    <w:multiLevelType w:val="hybridMultilevel"/>
    <w:lvl w:ilvl="0">
      <w:lvlJc w:val="left"/>
      <w:lvlText w:val="(%1)"/>
      <w:numFmt w:val="lowerLetter"/>
      <w:start w:val="4"/>
    </w:lvl>
    <w:lvl w:ilvl="1">
      <w:lvlJc w:val="left"/>
      <w:lvlText w:val="(%2)"/>
      <w:numFmt w:val="lowerLetter"/>
      <w:start w:val="9"/>
    </w:lvl>
  </w:abstractNum>
  <w:abstractNum w:abstractNumId="149">
    <w:nsid w:val="FA85F4D"/>
    <w:multiLevelType w:val="hybridMultilevel"/>
    <w:lvl w:ilvl="0">
      <w:lvlJc w:val="left"/>
      <w:lvlText w:val="(%1)"/>
      <w:numFmt w:val="lowerRoman"/>
      <w:start w:val="2"/>
    </w:lvl>
  </w:abstractNum>
  <w:abstractNum w:abstractNumId="150">
    <w:nsid w:val="6ECE91F0"/>
    <w:multiLevelType w:val="hybridMultilevel"/>
    <w:lvl w:ilvl="0">
      <w:lvlJc w:val="left"/>
      <w:lvlText w:val="(%1)"/>
      <w:numFmt w:val="upperLetter"/>
      <w:start w:val="1"/>
    </w:lvl>
    <w:lvl w:ilvl="1">
      <w:lvlJc w:val="left"/>
      <w:lvlText w:val="(%2)"/>
      <w:numFmt w:val="upperLetter"/>
      <w:start w:val="9"/>
    </w:lvl>
  </w:abstractNum>
  <w:abstractNum w:abstractNumId="151">
    <w:nsid w:val="4FC4D600"/>
    <w:multiLevelType w:val="hybridMultilevel"/>
    <w:lvl w:ilvl="0">
      <w:lvlJc w:val="left"/>
      <w:lvlText w:val="(%1)"/>
      <w:numFmt w:val="upperLetter"/>
      <w:start w:val="61"/>
    </w:lvl>
  </w:abstractNum>
  <w:abstractNum w:abstractNumId="152">
    <w:nsid w:val="5BFD4210"/>
    <w:multiLevelType w:val="hybridMultilevel"/>
    <w:lvl w:ilvl="0">
      <w:lvlJc w:val="left"/>
      <w:lvlText w:val="(%1)"/>
      <w:numFmt w:val="upperLetter"/>
      <w:start w:val="3"/>
    </w:lvl>
  </w:abstractNum>
  <w:abstractNum w:abstractNumId="153">
    <w:nsid w:val="76574F8B"/>
    <w:multiLevelType w:val="hybridMultilevel"/>
    <w:lvl w:ilvl="0">
      <w:lvlJc w:val="left"/>
      <w:lvlText w:val="(%1)"/>
      <w:numFmt w:val="upperLetter"/>
      <w:start w:val="4"/>
    </w:lvl>
  </w:abstractNum>
  <w:abstractNum w:abstractNumId="154">
    <w:nsid w:val="178F7B67"/>
    <w:multiLevelType w:val="hybridMultilevel"/>
    <w:lvl w:ilvl="0">
      <w:lvlJc w:val="left"/>
      <w:lvlText w:val="%1"/>
      <w:numFmt w:val="lowerLetter"/>
      <w:start w:val="1"/>
    </w:lvl>
    <w:lvl w:ilvl="1">
      <w:lvlJc w:val="left"/>
      <w:lvlText w:val="(%2)"/>
      <w:numFmt w:val="lowerRoman"/>
      <w:start w:val="4"/>
    </w:lvl>
  </w:abstractNum>
  <w:abstractNum w:abstractNumId="155">
    <w:nsid w:val="2421DFCF"/>
    <w:multiLevelType w:val="hybridMultilevel"/>
    <w:lvl w:ilvl="0">
      <w:lvlJc w:val="left"/>
      <w:lvlText w:val="(%1)"/>
      <w:numFmt w:val="lowerLetter"/>
      <w:start w:val="6"/>
    </w:lvl>
    <w:lvl w:ilvl="1">
      <w:lvlJc w:val="left"/>
      <w:lvlText w:val="%2"/>
      <w:numFmt w:val="lowerRoman"/>
      <w:start w:val="1"/>
    </w:lvl>
  </w:abstractNum>
  <w:abstractNum w:abstractNumId="156">
    <w:nsid w:val="1565AC99"/>
    <w:multiLevelType w:val="hybridMultilevel"/>
    <w:lvl w:ilvl="0">
      <w:lvlJc w:val="left"/>
      <w:lvlText w:val="(%1)"/>
      <w:numFmt w:val="lowerLetter"/>
      <w:start w:val="7"/>
    </w:lvl>
  </w:abstractNum>
  <w:abstractNum w:abstractNumId="157">
    <w:nsid w:val="19FB2650"/>
    <w:multiLevelType w:val="hybridMultilevel"/>
    <w:lvl w:ilvl="0">
      <w:lvlJc w:val="left"/>
      <w:lvlText w:val="(%1)"/>
      <w:numFmt w:val="lowerLetter"/>
      <w:start w:val="1"/>
    </w:lvl>
  </w:abstractNum>
  <w:abstractNum w:abstractNumId="158">
    <w:nsid w:val="5024DE5B"/>
    <w:multiLevelType w:val="hybridMultilevel"/>
    <w:lvl w:ilvl="0">
      <w:lvlJc w:val="left"/>
      <w:lvlText w:val="(%1)"/>
      <w:numFmt w:val="lowerLetter"/>
      <w:start w:val="2"/>
    </w:lvl>
    <w:lvl w:ilvl="1">
      <w:lvlJc w:val="left"/>
      <w:lvlText w:val="(%2)"/>
      <w:numFmt w:val="lowerRoman"/>
      <w:start w:val="1"/>
    </w:lvl>
  </w:abstractNum>
  <w:abstractNum w:abstractNumId="159">
    <w:nsid w:val="168EFE17"/>
    <w:multiLevelType w:val="hybridMultilevel"/>
    <w:lvl w:ilvl="0">
      <w:lvlJc w:val="left"/>
      <w:lvlText w:val="(%1)"/>
      <w:numFmt w:val="lowerLetter"/>
      <w:start w:val="1"/>
    </w:lvl>
    <w:lvl w:ilvl="1">
      <w:lvlJc w:val="left"/>
      <w:lvlText w:val="(%2)"/>
      <w:numFmt w:val="lowerRoman"/>
      <w:start w:val="1"/>
    </w:lvl>
  </w:abstractNum>
  <w:abstractNum w:abstractNumId="160">
    <w:nsid w:val="1036B29F"/>
    <w:multiLevelType w:val="hybridMultilevel"/>
    <w:lvl w:ilvl="0">
      <w:lvlJc w:val="left"/>
      <w:lvlText w:val="(%1)"/>
      <w:numFmt w:val="lowerLetter"/>
      <w:start w:val="2"/>
    </w:lvl>
  </w:abstractNum>
  <w:abstractNum w:abstractNumId="161">
    <w:nsid w:val="1D206B8E"/>
    <w:multiLevelType w:val="hybridMultilevel"/>
    <w:lvl w:ilvl="0">
      <w:lvlJc w:val="left"/>
      <w:lvlText w:val="(%1)"/>
      <w:numFmt w:val="lowerLetter"/>
      <w:start w:val="4"/>
    </w:lvl>
  </w:abstractNum>
  <w:abstractNum w:abstractNumId="162">
    <w:nsid w:val="7934D3D4"/>
    <w:multiLevelType w:val="hybridMultilevel"/>
    <w:lvl w:ilvl="0">
      <w:lvlJc w:val="left"/>
      <w:lvlText w:val="(%1)"/>
      <w:numFmt w:val="lowerLetter"/>
      <w:start w:val="1"/>
    </w:lvl>
  </w:abstractNum>
  <w:abstractNum w:abstractNumId="163">
    <w:nsid w:val="1C65E98"/>
    <w:multiLevelType w:val="hybridMultilevel"/>
    <w:lvl w:ilvl="0">
      <w:lvlJc w:val="left"/>
      <w:lvlText w:val="(%1)"/>
      <w:numFmt w:val="lowerLetter"/>
      <w:start w:val="1"/>
    </w:lvl>
  </w:abstractNum>
  <w:abstractNum w:abstractNumId="164">
    <w:nsid w:val="1495E50A"/>
    <w:multiLevelType w:val="hybridMultilevel"/>
    <w:lvl w:ilvl="0">
      <w:lvlJc w:val="left"/>
      <w:lvlText w:val="(%1)"/>
      <w:numFmt w:val="lowerLetter"/>
      <w:start w:val="2"/>
    </w:lvl>
  </w:abstractNum>
  <w:abstractNum w:abstractNumId="165">
    <w:nsid w:val="F5BCF61"/>
    <w:multiLevelType w:val="hybridMultilevel"/>
    <w:lvl w:ilvl="0">
      <w:lvlJc w:val="left"/>
      <w:lvlText w:val="(%1)"/>
      <w:numFmt w:val="lowerLetter"/>
      <w:start w:val="1"/>
    </w:lvl>
    <w:lvl w:ilvl="1">
      <w:lvlJc w:val="left"/>
      <w:lvlText w:val="(%2)"/>
      <w:numFmt w:val="lowerRoman"/>
      <w:start w:val="1"/>
    </w:lvl>
  </w:abstractNum>
  <w:abstractNum w:abstractNumId="166">
    <w:nsid w:val="3B1DD403"/>
    <w:multiLevelType w:val="hybridMultilevel"/>
    <w:lvl w:ilvl="0">
      <w:lvlJc w:val="left"/>
      <w:lvlText w:val="(%1)"/>
      <w:numFmt w:val="lowerLetter"/>
      <w:start w:val="2"/>
    </w:lvl>
  </w:abstractNum>
  <w:abstractNum w:abstractNumId="167">
    <w:nsid w:val="530386D1"/>
    <w:multiLevelType w:val="hybridMultilevel"/>
    <w:lvl w:ilvl="0">
      <w:lvlJc w:val="left"/>
      <w:lvlText w:val="(%1)"/>
      <w:numFmt w:val="lowerLetter"/>
      <w:start w:val="1"/>
    </w:lvl>
  </w:abstractNum>
  <w:abstractNum w:abstractNumId="168">
    <w:nsid w:val="7525F2BC"/>
    <w:multiLevelType w:val="hybridMultilevel"/>
    <w:lvl w:ilvl="0">
      <w:lvlJc w:val="left"/>
      <w:lvlText w:val="(%1)"/>
      <w:numFmt w:val="lowerLetter"/>
      <w:start w:val="2"/>
    </w:lvl>
  </w:abstractNum>
  <w:abstractNum w:abstractNumId="169">
    <w:nsid w:val="CE8E1A7"/>
    <w:multiLevelType w:val="hybridMultilevel"/>
    <w:lvl w:ilvl="0">
      <w:lvlJc w:val="left"/>
      <w:lvlText w:val="(%1)"/>
      <w:numFmt w:val="lowerLetter"/>
      <w:start w:val="1"/>
    </w:lvl>
  </w:abstractNum>
  <w:abstractNum w:abstractNumId="170">
    <w:nsid w:val="4E9EFB0D"/>
    <w:multiLevelType w:val="hybridMultilevel"/>
    <w:lvl w:ilvl="0">
      <w:lvlJc w:val="left"/>
      <w:lvlText w:val="(%1)"/>
      <w:numFmt w:val="lowerLetter"/>
      <w:start w:val="3"/>
    </w:lvl>
  </w:abstractNum>
  <w:abstractNum w:abstractNumId="171">
    <w:nsid w:val="90802BE"/>
    <w:multiLevelType w:val="hybridMultilevel"/>
    <w:lvl w:ilvl="0">
      <w:lvlJc w:val="left"/>
      <w:lvlText w:val="(%1)"/>
      <w:numFmt w:val="lowerLetter"/>
      <w:start w:val="2"/>
    </w:lvl>
  </w:abstractNum>
  <w:abstractNum w:abstractNumId="172">
    <w:nsid w:val="3266459B"/>
    <w:multiLevelType w:val="hybridMultilevel"/>
    <w:lvl w:ilvl="0">
      <w:lvlJc w:val="left"/>
      <w:lvlText w:val="(%1)"/>
      <w:numFmt w:val="lowerLetter"/>
      <w:start w:val="1"/>
    </w:lvl>
  </w:abstractNum>
  <w:abstractNum w:abstractNumId="173">
    <w:nsid w:val="3F8B0CBF"/>
    <w:multiLevelType w:val="hybridMultilevel"/>
    <w:lvl w:ilvl="0">
      <w:lvlJc w:val="left"/>
      <w:lvlText w:val="%1"/>
      <w:numFmt w:val="lowerLetter"/>
      <w:start w:val="1"/>
    </w:lvl>
    <w:lvl w:ilvl="1">
      <w:lvlJc w:val="left"/>
      <w:lvlText w:val="(%2)"/>
      <w:numFmt w:val="lowerLetter"/>
      <w:start w:val="1"/>
    </w:lvl>
  </w:abstractNum>
  <w:abstractNum w:abstractNumId="174">
    <w:nsid w:val="37E203AB"/>
    <w:multiLevelType w:val="hybridMultilevel"/>
    <w:lvl w:ilvl="0">
      <w:lvlJc w:val="left"/>
      <w:lvlText w:val="(%1)"/>
      <w:numFmt w:val="lowerLetter"/>
      <w:start w:val="24"/>
    </w:lvl>
    <w:lvl w:ilvl="1">
      <w:lvlJc w:val="left"/>
      <w:lvlText w:val="%2"/>
      <w:numFmt w:val="lowerLetter"/>
      <w:start w:val="1"/>
    </w:lvl>
  </w:abstractNum>
  <w:abstractNum w:abstractNumId="175">
    <w:nsid w:val="2586D60E"/>
    <w:multiLevelType w:val="hybridMultilevel"/>
    <w:lvl w:ilvl="0">
      <w:lvlJc w:val="left"/>
      <w:lvlText w:val="(%1)"/>
      <w:numFmt w:val="lowerLetter"/>
      <w:start w:val="4"/>
    </w:lvl>
  </w:abstractNum>
  <w:abstractNum w:abstractNumId="176">
    <w:nsid w:val="1F3DA4D5"/>
    <w:multiLevelType w:val="hybridMultilevel"/>
    <w:lvl w:ilvl="0">
      <w:lvlJc w:val="left"/>
      <w:lvlText w:val="(%1)"/>
      <w:numFmt w:val="lowerLetter"/>
      <w:start w:val="1"/>
    </w:lvl>
  </w:abstractNum>
  <w:abstractNum w:abstractNumId="177">
    <w:nsid w:val="74C93698"/>
    <w:multiLevelType w:val="hybridMultilevel"/>
    <w:lvl w:ilvl="0">
      <w:lvlJc w:val="left"/>
      <w:lvlText w:val="(%1)"/>
      <w:numFmt w:val="lowerLetter"/>
      <w:start w:val="2"/>
    </w:lvl>
  </w:abstractNum>
  <w:abstractNum w:abstractNumId="178">
    <w:nsid w:val="48781401"/>
    <w:multiLevelType w:val="hybridMultilevel"/>
    <w:lvl w:ilvl="0">
      <w:lvlJc w:val="left"/>
      <w:lvlText w:val="(%1)"/>
      <w:numFmt w:val="lowerLetter"/>
      <w:start w:val="1"/>
    </w:lvl>
  </w:abstractNum>
  <w:abstractNum w:abstractNumId="179">
    <w:nsid w:val="186928D6"/>
    <w:multiLevelType w:val="hybridMultilevel"/>
    <w:lvl w:ilvl="0">
      <w:lvlJc w:val="left"/>
      <w:lvlText w:val="(%1)"/>
      <w:numFmt w:val="lowerLetter"/>
      <w:start w:val="4"/>
    </w:lvl>
  </w:abstractNum>
  <w:abstractNum w:abstractNumId="180">
    <w:nsid w:val="47195E5"/>
    <w:multiLevelType w:val="hybridMultilevel"/>
    <w:lvl w:ilvl="0">
      <w:lvlJc w:val="left"/>
      <w:lvlText w:val="(%1)"/>
      <w:numFmt w:val="lowerLetter"/>
      <w:start w:val="2"/>
    </w:lvl>
  </w:abstractNum>
  <w:abstractNum w:abstractNumId="181">
    <w:nsid w:val="3746A5F2"/>
    <w:multiLevelType w:val="hybridMultilevel"/>
    <w:lvl w:ilvl="0">
      <w:lvlJc w:val="left"/>
      <w:lvlText w:val="(%1)"/>
      <w:numFmt w:val="lowerLetter"/>
      <w:start w:val="2"/>
    </w:lvl>
  </w:abstractNum>
  <w:abstractNum w:abstractNumId="182">
    <w:nsid w:val="682DFED6"/>
    <w:multiLevelType w:val="hybridMultilevel"/>
    <w:lvl w:ilvl="0">
      <w:lvlJc w:val="left"/>
      <w:lvlText w:val="%1"/>
      <w:numFmt w:val="lowerRoman"/>
      <w:start w:val="1"/>
    </w:lvl>
    <w:lvl w:ilvl="1">
      <w:lvlJc w:val="left"/>
      <w:lvlText w:val="(%2)"/>
      <w:numFmt w:val="lowerLetter"/>
      <w:start w:val="1"/>
    </w:lvl>
  </w:abstractNum>
  <w:abstractNum w:abstractNumId="183">
    <w:nsid w:val="606ED7F6"/>
    <w:multiLevelType w:val="hybridMultilevel"/>
    <w:lvl w:ilvl="0">
      <w:lvlJc w:val="left"/>
      <w:lvlText w:val="(%1)"/>
      <w:numFmt w:val="lowerRoman"/>
      <w:start w:val="4"/>
    </w:lvl>
    <w:lvl w:ilvl="1">
      <w:lvlJc w:val="left"/>
      <w:lvlText w:val="(%2)"/>
      <w:numFmt w:val="lowerLetter"/>
      <w:start w:val="3"/>
    </w:lvl>
  </w:abstractNum>
  <w:abstractNum w:abstractNumId="184">
    <w:nsid w:val="2D9DF57D"/>
    <w:multiLevelType w:val="hybridMultilevel"/>
    <w:lvl w:ilvl="0">
      <w:lvlJc w:val="left"/>
      <w:lvlText w:val="(%1)"/>
      <w:numFmt w:val="lowerLetter"/>
      <w:start w:val="6"/>
    </w:lvl>
  </w:abstractNum>
  <w:abstractNum w:abstractNumId="185">
    <w:nsid w:val="7FBD7A3E"/>
    <w:multiLevelType w:val="hybridMultilevel"/>
    <w:lvl w:ilvl="0">
      <w:lvlJc w:val="left"/>
      <w:lvlText w:val="(%1)"/>
      <w:numFmt w:val="lowerLetter"/>
      <w:start w:val="1"/>
    </w:lvl>
  </w:abstractNum>
  <w:abstractNum w:abstractNumId="186">
    <w:nsid w:val="490B7C5"/>
    <w:multiLevelType w:val="hybridMultilevel"/>
    <w:lvl w:ilvl="0">
      <w:lvlJc w:val="left"/>
      <w:lvlText w:val="(%1)"/>
      <w:numFmt w:val="lowerLetter"/>
      <w:start w:val="5"/>
    </w:lvl>
  </w:abstractNum>
  <w:abstractNum w:abstractNumId="187">
    <w:nsid w:val="4303A216"/>
    <w:multiLevelType w:val="hybridMultilevel"/>
    <w:lvl w:ilvl="0">
      <w:lvlJc w:val="left"/>
      <w:lvlText w:val="(%1)"/>
      <w:numFmt w:val="lowerLetter"/>
      <w:start w:val="1"/>
    </w:lvl>
  </w:abstractNum>
  <w:abstractNum w:abstractNumId="188">
    <w:nsid w:val="19B8A08E"/>
    <w:multiLevelType w:val="hybridMultilevel"/>
    <w:lvl w:ilvl="0">
      <w:lvlJc w:val="left"/>
      <w:lvlText w:val="(%1)"/>
      <w:numFmt w:val="lowerRoman"/>
      <w:start w:val="3"/>
    </w:lvl>
  </w:abstractNum>
  <w:abstractNum w:abstractNumId="189">
    <w:nsid w:val="54B59621"/>
    <w:multiLevelType w:val="hybridMultilevel"/>
    <w:lvl w:ilvl="0">
      <w:lvlJc w:val="left"/>
      <w:lvlText w:val="(%1)"/>
      <w:numFmt w:val="lowerLetter"/>
      <w:start w:val="1"/>
    </w:lvl>
  </w:abstractNum>
  <w:abstractNum w:abstractNumId="190">
    <w:nsid w:val="5992A02E"/>
    <w:multiLevelType w:val="hybridMultilevel"/>
    <w:lvl w:ilvl="0">
      <w:lvlJc w:val="left"/>
      <w:lvlText w:val="(%1)"/>
      <w:numFmt w:val="lowerLetter"/>
      <w:start w:val="3"/>
    </w:lvl>
    <w:lvl w:ilvl="1">
      <w:lvlJc w:val="left"/>
      <w:lvlText w:val="(%2)"/>
      <w:numFmt w:val="lowerRoman"/>
      <w:start w:val="1"/>
    </w:lvl>
  </w:abstractNum>
  <w:abstractNum w:abstractNumId="191">
    <w:nsid w:val="29EF532D"/>
    <w:multiLevelType w:val="hybridMultilevel"/>
    <w:lvl w:ilvl="0">
      <w:lvlJc w:val="left"/>
      <w:lvlText w:val="%1"/>
      <w:numFmt w:val="lowerLetter"/>
      <w:start w:val="1"/>
    </w:lvl>
    <w:lvl w:ilvl="1">
      <w:lvlJc w:val="left"/>
      <w:lvlText w:val="(%2)"/>
      <w:numFmt w:val="lowerLetter"/>
      <w:start w:val="7"/>
    </w:lvl>
  </w:abstractNum>
  <w:abstractNum w:abstractNumId="192">
    <w:nsid w:val="71D601AF"/>
    <w:multiLevelType w:val="hybridMultilevel"/>
    <w:lvl w:ilvl="0">
      <w:lvlJc w:val="left"/>
      <w:lvlText w:val="(%1)"/>
      <w:numFmt w:val="lowerLetter"/>
      <w:start w:val="2"/>
    </w:lvl>
    <w:lvl w:ilvl="1">
      <w:lvlJc w:val="left"/>
      <w:lvlText w:val="(%2)"/>
      <w:numFmt w:val="lowerLetter"/>
      <w:start w:val="9"/>
    </w:lvl>
  </w:abstractNum>
  <w:abstractNum w:abstractNumId="193">
    <w:nsid w:val="52C77402"/>
    <w:multiLevelType w:val="hybridMultilevel"/>
    <w:lvl w:ilvl="0">
      <w:lvlJc w:val="left"/>
      <w:lvlText w:val="(%1)"/>
      <w:numFmt w:val="lowerLetter"/>
      <w:start w:val="1"/>
    </w:lvl>
  </w:abstractNum>
  <w:abstractNum w:abstractNumId="194">
    <w:nsid w:val="2BB5B1C6"/>
    <w:multiLevelType w:val="hybridMultilevel"/>
    <w:lvl w:ilvl="0">
      <w:lvlJc w:val="left"/>
      <w:lvlText w:val="(%1)"/>
      <w:numFmt w:val="lowerLetter"/>
      <w:start w:val="2"/>
    </w:lvl>
  </w:abstractNum>
  <w:abstractNum w:abstractNumId="195">
    <w:nsid w:val="66BE6B9"/>
    <w:multiLevelType w:val="hybridMultilevel"/>
    <w:lvl w:ilvl="0">
      <w:lvlJc w:val="left"/>
      <w:lvlText w:val="(%1)"/>
      <w:numFmt w:val="lowerLetter"/>
      <w:start w:val="1"/>
    </w:lvl>
  </w:abstractNum>
  <w:abstractNum w:abstractNumId="196">
    <w:nsid w:val="62234363"/>
    <w:multiLevelType w:val="hybridMultilevel"/>
    <w:lvl w:ilvl="0">
      <w:lvlJc w:val="left"/>
      <w:lvlText w:val="(%1)"/>
      <w:numFmt w:val="lowerLetter"/>
      <w:start w:val="3"/>
    </w:lvl>
  </w:abstractNum>
  <w:abstractNum w:abstractNumId="197">
    <w:nsid w:val="66D385C9"/>
    <w:multiLevelType w:val="hybridMultilevel"/>
    <w:lvl w:ilvl="0">
      <w:lvlJc w:val="left"/>
      <w:lvlText w:val="(%1)"/>
      <w:numFmt w:val="lowerLetter"/>
      <w:start w:val="1"/>
    </w:lvl>
  </w:abstractNum>
  <w:abstractNum w:abstractNumId="198">
    <w:nsid w:val="596F6D8A"/>
    <w:multiLevelType w:val="hybridMultilevel"/>
    <w:lvl w:ilvl="0">
      <w:lvlJc w:val="left"/>
      <w:lvlText w:val="(%1)"/>
      <w:numFmt w:val="lowerLetter"/>
      <w:start w:val="4"/>
    </w:lvl>
  </w:abstractNum>
  <w:abstractNum w:abstractNumId="199">
    <w:nsid w:val="5749361F"/>
    <w:multiLevelType w:val="hybridMultilevel"/>
    <w:lvl w:ilvl="0">
      <w:lvlJc w:val="left"/>
      <w:lvlText w:val="(%1)"/>
      <w:numFmt w:val="lowerLetter"/>
      <w:start w:val="1"/>
    </w:lvl>
    <w:lvl w:ilvl="1">
      <w:lvlJc w:val="left"/>
      <w:lvlText w:val="(%2)"/>
      <w:numFmt w:val="lowerRoman"/>
      <w:start w:val="1"/>
    </w:lvl>
  </w:abstractNum>
  <w:abstractNum w:abstractNumId="200">
    <w:nsid w:val="73BC67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01">
    <w:nsid w:val="280E689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2">
    <w:nsid w:val="605138D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3">
    <w:nsid w:val="2622AD0C"/>
    <w:multiLevelType w:val="hybridMultilevel"/>
    <w:lvl w:ilvl="0">
      <w:lvlJc w:val="left"/>
      <w:lvlText w:val="(%1)"/>
      <w:numFmt w:val="lowerLetter"/>
      <w:start w:val="1"/>
    </w:lvl>
  </w:abstractNum>
  <w:abstractNum w:abstractNumId="204">
    <w:nsid w:val="67997556"/>
    <w:multiLevelType w:val="hybridMultilevel"/>
    <w:lvl w:ilvl="0">
      <w:lvlJc w:val="left"/>
      <w:lvlText w:val="(%1)"/>
      <w:numFmt w:val="lowerLetter"/>
      <w:start w:val="2"/>
    </w:lvl>
  </w:abstractNum>
  <w:abstractNum w:abstractNumId="205">
    <w:nsid w:val="18333C89"/>
    <w:multiLevelType w:val="hybridMultilevel"/>
    <w:lvl w:ilvl="0">
      <w:lvlJc w:val="left"/>
      <w:lvlText w:val="(%1)"/>
      <w:numFmt w:val="lowerRoman"/>
      <w:start w:val="7"/>
    </w:lvl>
  </w:abstractNum>
  <w:abstractNum w:abstractNumId="206">
    <w:nsid w:val="4BA9831A"/>
    <w:multiLevelType w:val="hybridMultilevel"/>
    <w:lvl w:ilvl="0">
      <w:lvlJc w:val="left"/>
      <w:lvlText w:val="(%1)"/>
      <w:numFmt w:val="lowerLetter"/>
      <w:start w:val="1"/>
    </w:lvl>
  </w:abstractNum>
  <w:abstractNum w:abstractNumId="207">
    <w:nsid w:val="6D71A2B"/>
    <w:multiLevelType w:val="hybridMultilevel"/>
    <w:lvl w:ilvl="0">
      <w:lvlJc w:val="left"/>
      <w:lvlText w:val="(%1)"/>
      <w:numFmt w:val="lowerRoman"/>
      <w:start w:val="1"/>
    </w:lvl>
  </w:abstractNum>
  <w:abstractNum w:abstractNumId="208">
    <w:nsid w:val="CFC7321"/>
    <w:multiLevelType w:val="hybridMultilevel"/>
    <w:lvl w:ilvl="0">
      <w:lvlJc w:val="left"/>
      <w:lvlText w:val="(%1)"/>
      <w:numFmt w:val="lowerRoman"/>
      <w:start w:val="2"/>
    </w:lvl>
  </w:abstractNum>
  <w:abstractNum w:abstractNumId="209">
    <w:nsid w:val="1421971B"/>
    <w:multiLevelType w:val="hybridMultilevel"/>
    <w:lvl w:ilvl="0">
      <w:lvlJc w:val="left"/>
      <w:lvlText w:val="(%1)"/>
      <w:numFmt w:val="lowerLetter"/>
      <w:start w:val="2"/>
    </w:lvl>
  </w:abstractNum>
  <w:abstractNum w:abstractNumId="210">
    <w:nsid w:val="1F404301"/>
    <w:multiLevelType w:val="hybridMultilevel"/>
    <w:lvl w:ilvl="0">
      <w:lvlJc w:val="left"/>
      <w:lvlText w:val="(%1)"/>
      <w:numFmt w:val="lowerLetter"/>
      <w:start w:val="3"/>
    </w:lvl>
  </w:abstractNum>
  <w:abstractNum w:abstractNumId="211">
    <w:nsid w:val="116E0907"/>
    <w:multiLevelType w:val="hybridMultilevel"/>
    <w:lvl w:ilvl="0">
      <w:lvlJc w:val="left"/>
      <w:lvlText w:val="(%1)"/>
      <w:numFmt w:val="lowerLetter"/>
      <w:start w:val="4"/>
    </w:lvl>
  </w:abstractNum>
  <w:abstractNum w:abstractNumId="212">
    <w:nsid w:val="4B683D0D"/>
    <w:multiLevelType w:val="hybridMultilevel"/>
    <w:lvl w:ilvl="0">
      <w:lvlJc w:val="left"/>
      <w:lvlText w:val="(%1)"/>
      <w:numFmt w:val="lowerLetter"/>
      <w:start w:val="1"/>
    </w:lvl>
  </w:abstractNum>
  <w:abstractNum w:abstractNumId="213">
    <w:nsid w:val="76E41D8"/>
    <w:multiLevelType w:val="hybridMultilevel"/>
    <w:lvl w:ilvl="0">
      <w:lvlJc w:val="left"/>
      <w:lvlText w:val="(%1)"/>
      <w:numFmt w:val="lowerLetter"/>
      <w:start w:val="3"/>
    </w:lvl>
  </w:abstractNum>
  <w:abstractNum w:abstractNumId="214">
    <w:nsid w:val="71DCE0FD"/>
    <w:multiLevelType w:val="hybridMultilevel"/>
    <w:lvl w:ilvl="0">
      <w:lvlJc w:val="left"/>
      <w:lvlText w:val="(%1)"/>
      <w:numFmt w:val="lowerLetter"/>
      <w:start w:val="5"/>
    </w:lvl>
  </w:abstractNum>
  <w:abstractNum w:abstractNumId="215">
    <w:nsid w:val="7906328B"/>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216">
    <w:nsid w:val="72BBC16"/>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217">
    <w:nsid w:val="766D98C2"/>
    <w:multiLevelType w:val="hybridMultilevel"/>
    <w:lvl w:ilvl="0">
      <w:lvlJc w:val="left"/>
      <w:lvlText w:val="(%1)"/>
      <w:numFmt w:val="lowerRoman"/>
      <w:start w:val="4"/>
    </w:lvl>
  </w:abstractNum>
  <w:abstractNum w:abstractNumId="218">
    <w:nsid w:val="3C09D4A1"/>
    <w:multiLevelType w:val="hybridMultilevel"/>
    <w:lvl w:ilvl="0">
      <w:lvlJc w:val="left"/>
      <w:lvlText w:val="(%1)"/>
      <w:numFmt w:val="lowerRoman"/>
      <w:start w:val="5"/>
    </w:lvl>
  </w:abstractNum>
  <w:abstractNum w:abstractNumId="219">
    <w:nsid w:val="20E45CA4"/>
    <w:multiLevelType w:val="hybridMultilevel"/>
    <w:lvl w:ilvl="0">
      <w:lvlJc w:val="left"/>
      <w:lvlText w:val="(%1)"/>
      <w:numFmt w:val="lowerLetter"/>
      <w:start w:val="3"/>
    </w:lvl>
  </w:abstractNum>
  <w:abstractNum w:abstractNumId="220">
    <w:nsid w:val="4B232EE3"/>
    <w:multiLevelType w:val="hybridMultilevel"/>
    <w:lvl w:ilvl="0">
      <w:lvlJc w:val="left"/>
      <w:lvlText w:val="(%1)"/>
      <w:numFmt w:val="lowerLetter"/>
      <w:start w:val="5"/>
    </w:lvl>
  </w:abstractNum>
  <w:abstractNum w:abstractNumId="221">
    <w:nsid w:val="159C74CF"/>
    <w:multiLevelType w:val="hybridMultilevel"/>
    <w:lvl w:ilvl="0">
      <w:lvlJc w:val="left"/>
      <w:lvlText w:val="(%1)"/>
      <w:numFmt w:val="lowerLetter"/>
      <w:start w:val="2"/>
    </w:lvl>
  </w:abstractNum>
  <w:abstractNum w:abstractNumId="222">
    <w:nsid w:val="4AD3AFD2"/>
    <w:multiLevelType w:val="hybridMultilevel"/>
    <w:lvl w:ilvl="0">
      <w:lvlJc w:val="left"/>
      <w:lvlText w:val="(%1)"/>
      <w:numFmt w:val="lowerLetter"/>
      <w:start w:val="1"/>
    </w:lvl>
  </w:abstractNum>
  <w:abstractNum w:abstractNumId="223">
    <w:nsid w:val="3CF93092"/>
    <w:multiLevelType w:val="hybridMultilevel"/>
    <w:lvl w:ilvl="0">
      <w:lvlJc w:val="left"/>
      <w:lvlText w:val="(%1)"/>
      <w:numFmt w:val="lowerLetter"/>
      <w:start w:val="1"/>
    </w:lvl>
  </w:abstractNum>
  <w:abstractNum w:abstractNumId="224">
    <w:nsid w:val="6863E8D2"/>
    <w:multiLevelType w:val="hybridMultilevel"/>
    <w:lvl w:ilvl="0">
      <w:lvlJc w:val="left"/>
      <w:lvlText w:val="(%1)"/>
      <w:numFmt w:val="lowerLetter"/>
      <w:start w:val="2"/>
    </w:lvl>
  </w:abstractNum>
  <w:abstractNum w:abstractNumId="225">
    <w:nsid w:val="76896198"/>
    <w:multiLevelType w:val="hybridMultilevel"/>
    <w:lvl w:ilvl="0">
      <w:lvlJc w:val="left"/>
      <w:lvlText w:val="(%1)"/>
      <w:numFmt w:val="upperLetter"/>
      <w:start w:val="2"/>
    </w:lvl>
  </w:abstractNum>
  <w:abstractNum w:abstractNumId="226">
    <w:nsid w:val="4365174B"/>
    <w:multiLevelType w:val="hybridMultilevel"/>
    <w:lvl w:ilvl="0">
      <w:lvlJc w:val="left"/>
      <w:lvlText w:val="(%1)"/>
      <w:numFmt w:val="lowerLetter"/>
      <w:start w:val="1"/>
    </w:lvl>
    <w:lvl w:ilvl="1">
      <w:lvlJc w:val="left"/>
      <w:lvlText w:val="(%2)"/>
      <w:numFmt w:val="lowerRoman"/>
      <w:start w:val="1"/>
    </w:lvl>
  </w:abstractNum>
  <w:abstractNum w:abstractNumId="227">
    <w:nsid w:val="4A872C35"/>
    <w:multiLevelType w:val="hybridMultilevel"/>
    <w:lvl w:ilvl="0">
      <w:lvlJc w:val="left"/>
      <w:lvlText w:val="(%1)"/>
      <w:numFmt w:val="lowerLetter"/>
      <w:start w:val="1"/>
    </w:lvl>
  </w:abstractNum>
  <w:abstractNum w:abstractNumId="228">
    <w:nsid w:val="5D5CE761"/>
    <w:multiLevelType w:val="hybridMultilevel"/>
    <w:lvl w:ilvl="0">
      <w:lvlJc w:val="left"/>
      <w:lvlText w:val="%1."/>
      <w:numFmt w:val="decimal"/>
      <w:start w:val="1"/>
    </w:lvl>
  </w:abstractNum>
  <w:abstractNum w:abstractNumId="229">
    <w:nsid w:val="1CD484D5"/>
    <w:multiLevelType w:val="hybridMultilevel"/>
    <w:lvl w:ilvl="0">
      <w:lvlJc w:val="left"/>
      <w:lvlText w:val="%1."/>
      <w:numFmt w:val="decimal"/>
      <w:start w:val="2"/>
    </w:lvl>
  </w:abstractNum>
  <w:abstractNum w:abstractNumId="230">
    <w:nsid w:val="21D06255"/>
    <w:multiLevelType w:val="hybridMultilevel"/>
    <w:lvl w:ilvl="0">
      <w:lvlJc w:val="left"/>
      <w:lvlText w:val="%1."/>
      <w:numFmt w:val="decimal"/>
      <w:start w:val="1"/>
    </w:lvl>
  </w:abstractNum>
  <w:abstractNum w:abstractNumId="231">
    <w:nsid w:val="51194ED1"/>
    <w:multiLevelType w:val="hybridMultilevel"/>
    <w:lvl w:ilvl="0">
      <w:lvlJc w:val="left"/>
      <w:lvlText w:val="%1."/>
      <w:numFmt w:val="decimal"/>
      <w:start w:val="3"/>
    </w:lvl>
  </w:abstractNum>
  <w:abstractNum w:abstractNumId="232">
    <w:nsid w:val="44E2ED6C"/>
    <w:multiLevelType w:val="hybridMultilevel"/>
    <w:lvl w:ilvl="0">
      <w:lvlJc w:val="left"/>
      <w:lvlText w:val="%1."/>
      <w:numFmt w:val="decimal"/>
      <w:start w:val="5"/>
    </w:lvl>
  </w:abstractNum>
  <w:abstractNum w:abstractNumId="233">
    <w:nsid w:val="2219B33"/>
    <w:multiLevelType w:val="hybridMultilevel"/>
    <w:lvl w:ilvl="0">
      <w:lvlJc w:val="left"/>
      <w:lvlText w:val="%1."/>
      <w:numFmt w:val="decimal"/>
      <w:start w:val="1"/>
    </w:lvl>
  </w:abstractNum>
  <w:abstractNum w:abstractNumId="234">
    <w:nsid w:val="773BFBDD"/>
    <w:multiLevelType w:val="hybridMultilevel"/>
    <w:lvl w:ilvl="0">
      <w:lvlJc w:val="left"/>
      <w:lvlText w:val="%1."/>
      <w:numFmt w:val="decimal"/>
      <w:start w:val="2"/>
    </w:lvl>
    <w:lvl w:ilvl="1">
      <w:lvlJc w:val="left"/>
      <w:lvlText w:val="%2."/>
      <w:numFmt w:val="lowerLetter"/>
      <w:start w:val="1"/>
    </w:lvl>
  </w:abstractNum>
  <w:abstractNum w:abstractNumId="235">
    <w:nsid w:val="2C7C62C2"/>
    <w:multiLevelType w:val="hybridMultilevel"/>
    <w:lvl w:ilvl="0">
      <w:lvlJc w:val="left"/>
      <w:lvlText w:val="%1."/>
      <w:numFmt w:val="decimal"/>
      <w:start w:val="3"/>
    </w:lvl>
  </w:abstractNum>
  <w:abstractNum w:abstractNumId="236">
    <w:nsid w:val="1A54D7B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7">
    <w:nsid w:val="42E57E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238">
    <w:nsid w:val="33537CE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39">
    <w:nsid w:val="27514ADE"/>
    <w:multiLevelType w:val="hybridMultilevel"/>
    <w:lvl w:ilvl="0">
      <w:lvlJc w:val="left"/>
      <w:lvlText w:val="%1."/>
      <w:numFmt w:val="decimal"/>
      <w:start w:val="1"/>
    </w:lvl>
  </w:abstractNum>
  <w:abstractNum w:abstractNumId="240">
    <w:nsid w:val="57071613"/>
    <w:multiLevelType w:val="hybridMultilevel"/>
    <w:lvl w:ilvl="0">
      <w:lvlJc w:val="left"/>
      <w:lvlText w:val="%1."/>
      <w:numFmt w:val="decimal"/>
      <w:start w:val="2"/>
    </w:lvl>
  </w:abstractNum>
  <w:abstractNum w:abstractNumId="241">
    <w:nsid w:val="5293BFEF"/>
    <w:multiLevelType w:val="hybridMultilevel"/>
    <w:lvl w:ilvl="0">
      <w:lvlJc w:val="left"/>
      <w:lvlText w:val="%1."/>
      <w:numFmt w:val="decimal"/>
      <w:start w:val="4"/>
    </w:lvl>
    <w:lvl w:ilvl="1">
      <w:lvlJc w:val="left"/>
      <w:lvlText w:val="%2."/>
      <w:numFmt w:val="lowerLetter"/>
      <w:start w:val="1"/>
    </w:lvl>
  </w:abstractNum>
  <w:abstractNum w:abstractNumId="242">
    <w:nsid w:val="38BF53E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243">
    <w:nsid w:val="226F532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4">
    <w:nsid w:val="5A0201C7"/>
    <w:multiLevelType w:val="hybridMultilevel"/>
    <w:lvl w:ilvl="0">
      <w:lvlJc w:val="left"/>
      <w:lvlText w:val="%1."/>
      <w:numFmt w:val="decimal"/>
      <w:start w:val="7"/>
    </w:lvl>
  </w:abstractNum>
  <w:abstractNum w:abstractNumId="245">
    <w:nsid w:val="2A9C34E2"/>
    <w:multiLevelType w:val="hybridMultilevel"/>
    <w:lvl w:ilvl="0">
      <w:lvlJc w:val="left"/>
      <w:lvlText w:val="%1."/>
      <w:numFmt w:val="decimal"/>
      <w:start w:val="10"/>
    </w:lvl>
  </w:abstractNum>
  <w:abstractNum w:abstractNumId="246">
    <w:nsid w:val="1B7585AB"/>
    <w:multiLevelType w:val="hybridMultilevel"/>
    <w:lvl w:ilvl="0">
      <w:lvlJc w:val="left"/>
      <w:lvlText w:val="%1."/>
      <w:numFmt w:val="decimal"/>
      <w:start w:val="1"/>
    </w:lvl>
    <w:lvl w:ilvl="1">
      <w:lvlJc w:val="left"/>
      <w:lvlText w:val="%2."/>
      <w:numFmt w:val="lowerLetter"/>
      <w:start w:val="1"/>
    </w:lvl>
  </w:abstractNum>
  <w:abstractNum w:abstractNumId="247">
    <w:nsid w:val="612DBDDD"/>
    <w:multiLevelType w:val="hybridMultilevel"/>
    <w:lvl w:ilvl="0">
      <w:lvlJc w:val="left"/>
      <w:lvlText w:val="%1."/>
      <w:numFmt w:val="decimal"/>
      <w:start w:val="3"/>
    </w:lvl>
  </w:abstractNum>
  <w:abstractNum w:abstractNumId="248">
    <w:nsid w:val="2109CDA4"/>
    <w:multiLevelType w:val="hybridMultilevel"/>
    <w:lvl w:ilvl="0">
      <w:lvlJc w:val="left"/>
      <w:lvlText w:val="%1."/>
      <w:numFmt w:val="decimal"/>
      <w:start w:val="1"/>
    </w:lvl>
  </w:abstractNum>
  <w:abstractNum w:abstractNumId="249">
    <w:nsid w:val="577F5A4D"/>
    <w:multiLevelType w:val="hybridMultilevel"/>
    <w:lvl w:ilvl="0">
      <w:lvlJc w:val="left"/>
      <w:lvlText w:val="%1."/>
      <w:numFmt w:val="decimal"/>
      <w:start w:val="3"/>
    </w:lvl>
    <w:lvl w:ilvl="1">
      <w:lvlJc w:val="left"/>
      <w:lvlText w:val="%2."/>
      <w:numFmt w:val="lowerLetter"/>
      <w:start w:val="1"/>
    </w:lvl>
  </w:abstractNum>
  <w:abstractNum w:abstractNumId="250">
    <w:nsid w:val="2121A81"/>
    <w:multiLevelType w:val="hybridMultilevel"/>
    <w:lvl w:ilvl="0">
      <w:lvlJc w:val="left"/>
      <w:lvlText w:val="%1"/>
      <w:numFmt w:val="decimal"/>
      <w:start w:val="1"/>
    </w:lvl>
    <w:lvl w:ilvl="1">
      <w:lvlJc w:val="left"/>
      <w:lvlText w:val="%2."/>
      <w:numFmt w:val="lowerLetter"/>
      <w:start w:val="3"/>
    </w:lvl>
  </w:abstractNum>
  <w:abstractNum w:abstractNumId="251">
    <w:nsid w:val="6C2CFC88"/>
    <w:multiLevelType w:val="hybridMultilevel"/>
    <w:lvl w:ilvl="0">
      <w:lvlJc w:val="left"/>
      <w:lvlText w:val="%1."/>
      <w:numFmt w:val="decimal"/>
      <w:start w:val="5"/>
    </w:lvl>
    <w:lvl w:ilvl="1">
      <w:lvlJc w:val="left"/>
      <w:lvlText w:val="%2."/>
      <w:numFmt w:val="lowerLetter"/>
      <w:start w:val="1"/>
    </w:lvl>
  </w:abstractNum>
  <w:abstractNum w:abstractNumId="252">
    <w:nsid w:val="6D1BCF1C"/>
    <w:multiLevelType w:val="hybridMultilevel"/>
    <w:lvl w:ilvl="0">
      <w:lvlJc w:val="left"/>
      <w:lvlText w:val="%1."/>
      <w:numFmt w:val="decimal"/>
      <w:start w:val="1"/>
    </w:lvl>
    <w:lvl w:ilvl="1">
      <w:lvlJc w:val="left"/>
      <w:lvlText w:val="%2."/>
      <w:numFmt w:val="lowerLetter"/>
      <w:start w:val="1"/>
    </w:lvl>
  </w:abstractNum>
  <w:abstractNum w:abstractNumId="253">
    <w:nsid w:val="4CE5CA53"/>
    <w:multiLevelType w:val="hybridMultilevel"/>
    <w:lvl w:ilvl="0">
      <w:lvlJc w:val="left"/>
      <w:lvlText w:val="%1"/>
      <w:numFmt w:val="decimal"/>
      <w:start w:val="1"/>
    </w:lvl>
    <w:lvl w:ilvl="1">
      <w:lvlJc w:val="left"/>
      <w:lvlText w:val="%2."/>
      <w:numFmt w:val="lowerLetter"/>
      <w:start w:val="2"/>
    </w:lvl>
  </w:abstractNum>
  <w:abstractNum w:abstractNumId="254">
    <w:nsid w:val="29262D1A"/>
    <w:multiLevelType w:val="hybridMultilevel"/>
    <w:lvl w:ilvl="0">
      <w:lvlJc w:val="left"/>
      <w:lvlText w:val="%1."/>
      <w:numFmt w:val="decimal"/>
      <w:start w:val="2"/>
    </w:lvl>
    <w:lvl w:ilvl="1">
      <w:lvlJc w:val="left"/>
      <w:lvlText w:val="%2."/>
      <w:numFmt w:val="lowerLetter"/>
      <w:start w:val="1"/>
    </w:lvl>
  </w:abstractNum>
  <w:abstractNum w:abstractNumId="255">
    <w:nsid w:val="557FB7EE"/>
    <w:multiLevelType w:val="hybridMultilevel"/>
    <w:lvl w:ilvl="0">
      <w:lvlJc w:val="left"/>
      <w:lvlText w:val="%1"/>
      <w:numFmt w:val="decimal"/>
      <w:start w:val="1"/>
    </w:lvl>
    <w:lvl w:ilvl="1">
      <w:lvlJc w:val="left"/>
      <w:lvlText w:val="%2."/>
      <w:numFmt w:val="lowerLetter"/>
      <w:start w:val="2"/>
    </w:lvl>
  </w:abstractNum>
  <w:abstractNum w:abstractNumId="256">
    <w:nsid w:val="436F2BEB"/>
    <w:multiLevelType w:val="hybridMultilevel"/>
    <w:lvl w:ilvl="0">
      <w:lvlJc w:val="left"/>
      <w:lvlText w:val="%1."/>
      <w:numFmt w:val="decimal"/>
      <w:start w:val="3"/>
    </w:lvl>
    <w:lvl w:ilvl="1">
      <w:lvlJc w:val="left"/>
      <w:lvlText w:val="%2"/>
      <w:numFmt w:val="lowerLetter"/>
      <w:start w:val="1"/>
    </w:lvl>
  </w:abstractNum>
  <w:abstractNum w:abstractNumId="257">
    <w:nsid w:val="6C8B4466"/>
    <w:multiLevelType w:val="hybridMultilevel"/>
    <w:lvl w:ilvl="0">
      <w:lvlJc w:val="left"/>
      <w:lvlText w:val="%1."/>
      <w:numFmt w:val="lowerLetter"/>
      <w:start w:val="1"/>
    </w:lvl>
  </w:abstractNum>
  <w:abstractNum w:abstractNumId="258">
    <w:nsid w:val="2006E424"/>
    <w:multiLevelType w:val="hybridMultilevel"/>
    <w:lvl w:ilvl="0">
      <w:lvlJc w:val="left"/>
      <w:lvlText w:val="%1."/>
      <w:numFmt w:val="decimal"/>
      <w:start w:val="4"/>
    </w:lvl>
  </w:abstractNum>
  <w:abstractNum w:abstractNumId="259">
    <w:nsid w:val="20CC134C"/>
    <w:multiLevelType w:val="hybridMultilevel"/>
    <w:lvl w:ilvl="0">
      <w:lvlJc w:val="left"/>
      <w:lvlText w:val="%1."/>
      <w:numFmt w:val="decimal"/>
      <w:start w:val="5"/>
    </w:lvl>
    <w:lvl w:ilvl="1">
      <w:lvlJc w:val="left"/>
      <w:lvlText w:val="(%2)"/>
      <w:numFmt w:val="decimal"/>
      <w:start w:val="10"/>
    </w:lvl>
  </w:abstractNum>
  <w:abstractNum w:abstractNumId="260">
    <w:nsid w:val="95FC93B"/>
    <w:multiLevelType w:val="hybridMultilevel"/>
    <w:lvl w:ilvl="0">
      <w:lvlJc w:val="left"/>
      <w:lvlText w:val="%1."/>
      <w:numFmt w:val="decimal"/>
      <w:start w:val="1"/>
    </w:lvl>
  </w:abstractNum>
  <w:abstractNum w:abstractNumId="261">
    <w:nsid w:val="41D74679"/>
    <w:multiLevelType w:val="hybridMultilevel"/>
    <w:lvl w:ilvl="0">
      <w:lvlJc w:val="left"/>
      <w:lvlText w:val="%1."/>
      <w:numFmt w:val="decimal"/>
      <w:start w:val="2"/>
    </w:lvl>
  </w:abstractNum>
  <w:abstractNum w:abstractNumId="262">
    <w:nsid w:val="71E5621E"/>
    <w:multiLevelType w:val="hybridMultilevel"/>
    <w:lvl w:ilvl="0">
      <w:lvlJc w:val="left"/>
      <w:lvlText w:val="%1."/>
      <w:numFmt w:val="decimal"/>
      <w:start w:val="3"/>
    </w:lvl>
  </w:abstractNum>
  <w:abstractNum w:abstractNumId="263">
    <w:nsid w:val="4E42B6A8"/>
    <w:multiLevelType w:val="hybridMultilevel"/>
    <w:lvl w:ilvl="0">
      <w:lvlJc w:val="left"/>
      <w:lvlText w:val="%1."/>
      <w:numFmt w:val="decimal"/>
      <w:start w:val="1"/>
    </w:lvl>
    <w:lvl w:ilvl="1">
      <w:lvlJc w:val="left"/>
      <w:lvlText w:val="%2."/>
      <w:numFmt w:val="lowerLetter"/>
      <w:start w:val="1"/>
    </w:lvl>
  </w:abstractNum>
  <w:abstractNum w:abstractNumId="264">
    <w:nsid w:val="43F8E1AC"/>
    <w:multiLevelType w:val="hybridMultilevel"/>
    <w:lvl w:ilvl="0">
      <w:lvlJc w:val="left"/>
      <w:lvlText w:val="%1"/>
      <w:numFmt w:val="decimal"/>
      <w:start w:val="1"/>
    </w:lvl>
    <w:lvl w:ilvl="1">
      <w:lvlJc w:val="left"/>
      <w:lvlText w:val="%2."/>
      <w:numFmt w:val="lowerLetter"/>
      <w:start w:val="2"/>
    </w:lvl>
  </w:abstractNum>
  <w:abstractNum w:abstractNumId="265">
    <w:nsid w:val="69215DFB"/>
    <w:multiLevelType w:val="hybridMultilevel"/>
    <w:lvl w:ilvl="0">
      <w:lvlJc w:val="left"/>
      <w:lvlText w:val="%1."/>
      <w:numFmt w:val="decimal"/>
      <w:start w:val="3"/>
    </w:lvl>
    <w:lvl w:ilvl="1">
      <w:lvlJc w:val="left"/>
      <w:lvlText w:val="%2."/>
      <w:numFmt w:val="lowerLetter"/>
      <w:start w:val="1"/>
    </w:lvl>
  </w:abstractNum>
  <w:abstractNum w:abstractNumId="266">
    <w:nsid w:val="7ABF196A"/>
    <w:multiLevelType w:val="hybridMultilevel"/>
    <w:lvl w:ilvl="0">
      <w:lvlJc w:val="left"/>
      <w:lvlText w:val="%1"/>
      <w:numFmt w:val="decimal"/>
      <w:start w:val="1"/>
    </w:lvl>
    <w:lvl w:ilvl="1">
      <w:lvlJc w:val="left"/>
      <w:lvlText w:val="%2."/>
      <w:numFmt w:val="lowerLetter"/>
      <w:start w:val="3"/>
    </w:lvl>
  </w:abstractNum>
  <w:abstractNum w:abstractNumId="267">
    <w:nsid w:val="5E4DB968"/>
    <w:multiLevelType w:val="hybridMultilevel"/>
    <w:lvl w:ilvl="0">
      <w:lvlJc w:val="left"/>
      <w:lvlText w:val="%1."/>
      <w:numFmt w:val="decimal"/>
      <w:start w:val="5"/>
    </w:lvl>
    <w:lvl w:ilvl="1">
      <w:lvlJc w:val="left"/>
      <w:lvlText w:val="%2."/>
      <w:numFmt w:val="lowerLetter"/>
      <w:start w:val="1"/>
    </w:lvl>
  </w:abstractNum>
  <w:abstractNum w:abstractNumId="268">
    <w:nsid w:val="2C06DCF3"/>
    <w:multiLevelType w:val="hybridMultilevel"/>
    <w:lvl w:ilvl="0">
      <w:lvlJc w:val="left"/>
      <w:lvlText w:val="%1."/>
      <w:numFmt w:val="lowerLetter"/>
      <w:start w:val="2"/>
    </w:lvl>
  </w:abstractNum>
  <w:abstractNum w:abstractNumId="269">
    <w:nsid w:val="2E129658"/>
    <w:multiLevelType w:val="hybridMultilevel"/>
    <w:lvl w:ilvl="0">
      <w:lvlJc w:val="left"/>
      <w:lvlText w:val="%1"/>
      <w:numFmt w:val="decimal"/>
      <w:start w:val="1"/>
    </w:lvl>
    <w:lvl w:ilvl="1">
      <w:lvlJc w:val="left"/>
      <w:lvlText w:val="%2."/>
      <w:numFmt w:val="lowerLetter"/>
      <w:start w:val="6"/>
    </w:lvl>
  </w:abstractNum>
  <w:abstractNum w:abstractNumId="270">
    <w:nsid w:val="59F0446"/>
    <w:multiLevelType w:val="hybridMultilevel"/>
    <w:lvl w:ilvl="0">
      <w:lvlJc w:val="left"/>
      <w:lvlText w:val="%1."/>
      <w:numFmt w:val="decimal"/>
      <w:start w:val="6"/>
    </w:lvl>
    <w:lvl w:ilvl="1">
      <w:lvlJc w:val="left"/>
      <w:lvlText w:val="%2"/>
      <w:numFmt w:val="lowerLetter"/>
      <w:start w:val="1"/>
    </w:lvl>
  </w:abstractNum>
  <w:abstractNum w:abstractNumId="271">
    <w:nsid w:val="30DF306"/>
    <w:multiLevelType w:val="hybridMultilevel"/>
    <w:lvl w:ilvl="0">
      <w:lvlJc w:val="left"/>
      <w:lvlText w:val="%1."/>
      <w:numFmt w:val="decimal"/>
      <w:start w:val="1"/>
    </w:lvl>
    <w:lvl w:ilvl="1">
      <w:lvlJc w:val="left"/>
      <w:lvlText w:val="%2."/>
      <w:numFmt w:val="lowerLetter"/>
      <w:start w:val="1"/>
    </w:lvl>
  </w:abstractNum>
  <w:abstractNum w:abstractNumId="272">
    <w:nsid w:val="A65647"/>
    <w:multiLevelType w:val="hybridMultilevel"/>
    <w:lvl w:ilvl="0">
      <w:lvlJc w:val="left"/>
      <w:lvlText w:val="%1."/>
      <w:numFmt w:val="lowerLetter"/>
      <w:start w:val="2"/>
    </w:lvl>
  </w:abstractNum>
  <w:abstractNum w:abstractNumId="273">
    <w:nsid w:val="3E5E582B"/>
    <w:multiLevelType w:val="hybridMultilevel"/>
    <w:lvl w:ilvl="0">
      <w:lvlJc w:val="left"/>
      <w:lvlText w:val="%1"/>
      <w:numFmt w:val="decimal"/>
      <w:start w:val="1"/>
    </w:lvl>
    <w:lvl w:ilvl="1">
      <w:lvlJc w:val="left"/>
      <w:lvlText w:val="%2."/>
      <w:numFmt w:val="lowerLetter"/>
      <w:start w:val="6"/>
    </w:lvl>
  </w:abstractNum>
  <w:abstractNum w:abstractNumId="274">
    <w:nsid w:val="257D4626"/>
    <w:multiLevelType w:val="hybridMultilevel"/>
    <w:lvl w:ilvl="0">
      <w:lvlJc w:val="left"/>
      <w:lvlText w:val="%1."/>
      <w:numFmt w:val="decimal"/>
      <w:start w:val="2"/>
    </w:lvl>
    <w:lvl w:ilvl="1">
      <w:lvlJc w:val="left"/>
      <w:lvlText w:val="%2."/>
      <w:numFmt w:val="lowerLetter"/>
      <w:start w:val="1"/>
    </w:lvl>
  </w:abstractNum>
  <w:abstractNum w:abstractNumId="275">
    <w:nsid w:val="5AA8580E"/>
    <w:multiLevelType w:val="hybridMultilevel"/>
    <w:lvl w:ilvl="0">
      <w:lvlJc w:val="left"/>
      <w:lvlText w:val="%1."/>
      <w:numFmt w:val="lowerLetter"/>
      <w:start w:val="3"/>
    </w:lvl>
  </w:abstractNum>
  <w:abstractNum w:abstractNumId="276">
    <w:nsid w:val="68FA8D0D"/>
    <w:multiLevelType w:val="hybridMultilevel"/>
    <w:lvl w:ilvl="0">
      <w:lvlJc w:val="left"/>
      <w:lvlText w:val="%1."/>
      <w:numFmt w:val="decimal"/>
      <w:start w:val="1"/>
    </w:lvl>
    <w:lvl w:ilvl="1">
      <w:lvlJc w:val="left"/>
      <w:lvlText w:val="%2."/>
      <w:numFmt w:val="lowerLetter"/>
      <w:start w:val="1"/>
    </w:lvl>
  </w:abstractNum>
  <w:abstractNum w:abstractNumId="277">
    <w:nsid w:val="40F2CBD2"/>
    <w:multiLevelType w:val="hybridMultilevel"/>
    <w:lvl w:ilvl="0">
      <w:lvlJc w:val="left"/>
      <w:lvlText w:val="%1"/>
      <w:numFmt w:val="decimal"/>
      <w:start w:val="1"/>
    </w:lvl>
    <w:lvl w:ilvl="1">
      <w:lvlJc w:val="left"/>
      <w:lvlText w:val="%2."/>
      <w:numFmt w:val="lowerLetter"/>
      <w:start w:val="2"/>
    </w:lvl>
  </w:abstractNum>
  <w:abstractNum w:abstractNumId="278">
    <w:nsid w:val="3BD615EB"/>
    <w:multiLevelType w:val="hybridMultilevel"/>
    <w:lvl w:ilvl="0">
      <w:lvlJc w:val="left"/>
      <w:lvlText w:val="%1."/>
      <w:numFmt w:val="decimal"/>
      <w:start w:val="4"/>
    </w:lvl>
    <w:lvl w:ilvl="1">
      <w:lvlJc w:val="left"/>
      <w:lvlText w:val="%2."/>
      <w:numFmt w:val="lowerLetter"/>
      <w:start w:val="1"/>
    </w:lvl>
  </w:abstractNum>
  <w:abstractNum w:abstractNumId="279">
    <w:nsid w:val="A045AB2"/>
    <w:multiLevelType w:val="hybridMultilevel"/>
    <w:lvl w:ilvl="0">
      <w:lvlJc w:val="left"/>
      <w:lvlText w:val="%1."/>
      <w:numFmt w:val="decimal"/>
      <w:start w:val="1"/>
    </w:lvl>
  </w:abstractNum>
  <w:abstractNum w:abstractNumId="280">
    <w:nsid w:val="1872261F"/>
    <w:multiLevelType w:val="hybridMultilevel"/>
    <w:lvl w:ilvl="0">
      <w:lvlJc w:val="left"/>
      <w:lvlText w:val="%1."/>
      <w:numFmt w:val="lowerLetter"/>
      <w:start w:val="1"/>
    </w:lvl>
  </w:abstractNum>
  <w:abstractNum w:abstractNumId="281">
    <w:nsid w:val="3DE8306C"/>
    <w:multiLevelType w:val="hybridMultilevel"/>
    <w:lvl w:ilvl="0">
      <w:lvlJc w:val="left"/>
      <w:lvlText w:val="%1"/>
      <w:numFmt w:val="decimal"/>
      <w:start w:val="1"/>
    </w:lvl>
    <w:lvl w:ilvl="1">
      <w:lvlJc w:val="left"/>
      <w:lvlText w:val="%2."/>
      <w:numFmt w:val="lowerLetter"/>
      <w:start w:val="5"/>
    </w:lvl>
  </w:abstractNum>
  <w:abstractNum w:abstractNumId="282">
    <w:nsid w:val="7631573A"/>
    <w:multiLevelType w:val="hybridMultilevel"/>
    <w:lvl w:ilvl="0">
      <w:lvlJc w:val="left"/>
      <w:lvlText w:val="%1."/>
      <w:numFmt w:val="decimal"/>
      <w:start w:val="2"/>
    </w:lvl>
    <w:lvl w:ilvl="1">
      <w:lvlJc w:val="left"/>
      <w:lvlText w:val="%2"/>
      <w:numFmt w:val="lowerLetter"/>
      <w:start w:val="1"/>
    </w:lvl>
  </w:abstractNum>
  <w:abstractNum w:abstractNumId="283">
    <w:nsid w:val="58DF53B"/>
    <w:multiLevelType w:val="hybridMultilevel"/>
    <w:lvl w:ilvl="0">
      <w:lvlJc w:val="left"/>
      <w:lvlText w:val="%1."/>
      <w:numFmt w:val="decimal"/>
      <w:start w:val="1"/>
    </w:lvl>
  </w:abstractNum>
  <w:abstractNum w:abstractNumId="284">
    <w:nsid w:val="ACDFAC0"/>
    <w:multiLevelType w:val="hybridMultilevel"/>
    <w:lvl w:ilvl="0">
      <w:lvlJc w:val="left"/>
      <w:lvlText w:val="%1."/>
      <w:numFmt w:val="lowerLetter"/>
      <w:start w:val="1"/>
    </w:lvl>
    <w:lvl w:ilvl="1">
      <w:lvlJc w:val="left"/>
      <w:lvlText w:val="(%2)"/>
      <w:numFmt w:val="decimal"/>
    </w:lvl>
    <w:lvl w:ilvl="2">
      <w:lvlJc w:val="left"/>
      <w:lvlText w:val="(%3)"/>
      <w:numFmt w:val="lowerRoman"/>
      <w:start w:val="1"/>
    </w:lvl>
    <w:lvl w:ilvl="3">
      <w:lvlJc w:val="left"/>
      <w:lvlText w:val="(%4)"/>
      <w:numFmt w:val="lowerRoman"/>
      <w:start w:val="1"/>
    </w:lvl>
  </w:abstractNum>
  <w:abstractNum w:abstractNumId="285">
    <w:nsid w:val="1F578454"/>
    <w:multiLevelType w:val="hybridMultilevel"/>
    <w:lvl w:ilvl="0">
      <w:lvlJc w:val="left"/>
      <w:lvlText w:val="(%1)"/>
      <w:numFmt w:val="lowerRoman"/>
      <w:start w:val="2"/>
    </w:lvl>
  </w:abstractNum>
  <w:abstractNum w:abstractNumId="286">
    <w:nsid w:val="5B0DAD2A"/>
    <w:multiLevelType w:val="hybridMultilevel"/>
    <w:lvl w:ilvl="0">
      <w:lvlJc w:val="left"/>
      <w:lvlText w:val="%1"/>
      <w:numFmt w:val="decimal"/>
      <w:start w:val="1"/>
    </w:lvl>
    <w:lvl w:ilvl="1">
      <w:lvlJc w:val="left"/>
      <w:lvlText w:val="(%2)"/>
      <w:numFmt w:val="lowerRoman"/>
      <w:start w:val="1"/>
    </w:lvl>
  </w:abstractNum>
  <w:abstractNum w:abstractNumId="287">
    <w:nsid w:val="4E3D26AB"/>
    <w:multiLevelType w:val="hybridMultilevel"/>
    <w:lvl w:ilvl="0">
      <w:lvlJc w:val="left"/>
      <w:lvlText w:val="(%1)"/>
      <w:numFmt w:val="decimal"/>
      <w:start w:val="3"/>
    </w:lvl>
    <w:lvl w:ilvl="1">
      <w:lvlJc w:val="left"/>
      <w:lvlText w:val="%2"/>
      <w:numFmt w:val="lowerRoman"/>
      <w:start w:val="1"/>
    </w:lvl>
  </w:abstractNum>
  <w:abstractNum w:abstractNumId="288">
    <w:nsid w:val="BE2C8BA"/>
    <w:multiLevelType w:val="hybridMultilevel"/>
    <w:lvl w:ilvl="0">
      <w:lvlJc w:val="left"/>
      <w:lvlText w:val="%1."/>
      <w:numFmt w:val="lowerLetter"/>
      <w:start w:val="2"/>
    </w:lvl>
  </w:abstractNum>
  <w:abstractNum w:abstractNumId="289">
    <w:nsid w:val="7B14914E"/>
    <w:multiLevelType w:val="hybridMultilevel"/>
    <w:lvl w:ilvl="0">
      <w:lvlJc w:val="left"/>
      <w:lvlText w:val="(%1)"/>
      <w:numFmt w:val="decimal"/>
      <w:start w:val="1"/>
    </w:lvl>
  </w:abstractNum>
  <w:abstractNum w:abstractNumId="290">
    <w:nsid w:val="6F0939F8"/>
    <w:multiLevelType w:val="hybridMultilevel"/>
    <w:lvl w:ilvl="0">
      <w:lvlJc w:val="left"/>
      <w:lvlText w:val="%1."/>
      <w:numFmt w:val="lowerLetter"/>
      <w:start w:val="3"/>
    </w:lvl>
    <w:lvl w:ilvl="1">
      <w:lvlJc w:val="left"/>
      <w:lvlText w:val="(%2)"/>
      <w:numFmt w:val="decimal"/>
      <w:start w:val="1"/>
    </w:lvl>
  </w:abstractNum>
  <w:abstractNum w:abstractNumId="291">
    <w:nsid w:val="154291F6"/>
    <w:multiLevelType w:val="hybridMultilevel"/>
    <w:lvl w:ilvl="0">
      <w:lvlJc w:val="left"/>
      <w:lvlText w:val="%1"/>
      <w:numFmt w:val="lowerLetter"/>
      <w:start w:val="1"/>
    </w:lvl>
    <w:lvl w:ilvl="1">
      <w:lvlJc w:val="left"/>
      <w:lvlText w:val="(%2)"/>
      <w:numFmt w:val="decimal"/>
      <w:start w:val="5"/>
    </w:lvl>
  </w:abstractNum>
  <w:abstractNum w:abstractNumId="292">
    <w:nsid w:val="3CEBD7C7"/>
    <w:multiLevelType w:val="hybridMultilevel"/>
    <w:lvl w:ilvl="0">
      <w:lvlJc w:val="left"/>
      <w:lvlText w:val="%1."/>
      <w:numFmt w:val="lowerLetter"/>
      <w:start w:val="4"/>
    </w:lvl>
    <w:lvl w:ilvl="1">
      <w:lvlJc w:val="left"/>
      <w:lvlText w:val="%2"/>
      <w:numFmt w:val="decimal"/>
      <w:start w:val="1"/>
    </w:lvl>
  </w:abstractNum>
  <w:abstractNum w:abstractNumId="293">
    <w:nsid w:val="60EE9C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4">
    <w:nsid w:val="6385489E"/>
    <w:multiLevelType w:val="hybridMultilevel"/>
    <w:lvl w:ilvl="0">
      <w:lvlJc w:val="left"/>
      <w:lvlText w:val="%1."/>
      <w:numFmt w:val="decimal"/>
      <w:start w:val="1"/>
    </w:lvl>
  </w:abstractNum>
  <w:abstractNum w:abstractNumId="295">
    <w:nsid w:val="E4B973"/>
    <w:multiLevelType w:val="hybridMultilevel"/>
    <w:lvl w:ilvl="0">
      <w:lvlJc w:val="left"/>
      <w:lvlText w:val="%1."/>
      <w:numFmt w:val="decimal"/>
      <w:start w:val="4"/>
    </w:lvl>
  </w:abstractNum>
  <w:abstractNum w:abstractNumId="296">
    <w:nsid w:val="4A0FFA11"/>
    <w:multiLevelType w:val="hybridMultilevel"/>
    <w:lvl w:ilvl="0">
      <w:lvlJc w:val="left"/>
      <w:lvlText w:val="%1."/>
      <w:numFmt w:val="decimal"/>
      <w:start w:val="1"/>
    </w:lvl>
    <w:lvl w:ilvl="1">
      <w:lvlJc w:val="left"/>
      <w:lvlText w:val="%2."/>
      <w:numFmt w:val="lowerLetter"/>
      <w:start w:val="1"/>
    </w:lvl>
  </w:abstractNum>
  <w:abstractNum w:abstractNumId="297">
    <w:nsid w:val="5E446208"/>
    <w:multiLevelType w:val="hybridMultilevel"/>
    <w:lvl w:ilvl="0">
      <w:lvlJc w:val="left"/>
      <w:lvlText w:val="%1."/>
      <w:numFmt w:val="lowerLetter"/>
      <w:start w:val="4"/>
    </w:lvl>
  </w:abstractNum>
  <w:abstractNum w:abstractNumId="298">
    <w:nsid w:val="5F3272DB"/>
    <w:multiLevelType w:val="hybridMultilevel"/>
    <w:lvl w:ilvl="0">
      <w:lvlJc w:val="left"/>
      <w:lvlText w:val="%1."/>
      <w:numFmt w:val="decimal"/>
      <w:start w:val="1"/>
    </w:lvl>
  </w:abstractNum>
  <w:abstractNum w:abstractNumId="299">
    <w:nsid w:val="7616D704"/>
    <w:multiLevelType w:val="hybridMultilevel"/>
    <w:lvl w:ilvl="0">
      <w:lvlJc w:val="left"/>
      <w:lvlText w:val="%1."/>
      <w:numFmt w:val="decimal"/>
      <w:start w:val="3"/>
    </w:lvl>
  </w:abstractNum>
  <w:abstractNum w:abstractNumId="300">
    <w:nsid w:val="C56F860"/>
    <w:multiLevelType w:val="hybridMultilevel"/>
    <w:lvl w:ilvl="0">
      <w:lvlJc w:val="left"/>
      <w:lvlText w:val="%1."/>
      <w:numFmt w:val="decimal"/>
      <w:start w:val="1"/>
    </w:lvl>
    <w:lvl w:ilvl="1">
      <w:lvlJc w:val="left"/>
      <w:lvlText w:val="%2."/>
      <w:numFmt w:val="lowerLetter"/>
      <w:start w:val="1"/>
    </w:lvl>
  </w:abstractNum>
  <w:abstractNum w:abstractNumId="301">
    <w:nsid w:val="64D17722"/>
    <w:multiLevelType w:val="hybridMultilevel"/>
    <w:lvl w:ilvl="0">
      <w:lvlJc w:val="left"/>
      <w:lvlText w:val="%1."/>
      <w:numFmt w:val="decimal"/>
      <w:start w:val="2"/>
    </w:lvl>
    <w:lvl w:ilvl="1">
      <w:lvlJc w:val="left"/>
      <w:lvlText w:val="%2."/>
      <w:numFmt w:val="lowerLetter"/>
      <w:start w:val="1"/>
    </w:lvl>
  </w:abstractNum>
  <w:abstractNum w:abstractNumId="302">
    <w:nsid w:val="7924CA0A"/>
    <w:multiLevelType w:val="hybridMultilevel"/>
    <w:lvl w:ilvl="0">
      <w:lvlJc w:val="left"/>
      <w:lvlText w:val="%1."/>
      <w:numFmt w:val="lowerLetter"/>
      <w:start w:val="1"/>
    </w:lvl>
  </w:abstractNum>
  <w:abstractNum w:abstractNumId="303">
    <w:nsid w:val="CFD4EA7"/>
    <w:multiLevelType w:val="hybridMultilevel"/>
    <w:lvl w:ilvl="0">
      <w:lvlJc w:val="left"/>
      <w:lvlText w:val="%1."/>
      <w:numFmt w:val="lowerLetter"/>
      <w:start w:val="4"/>
    </w:lvl>
  </w:abstractNum>
  <w:abstractNum w:abstractNumId="304">
    <w:nsid w:val="232FCF4D"/>
    <w:multiLevelType w:val="hybridMultilevel"/>
    <w:lvl w:ilvl="0">
      <w:lvlJc w:val="left"/>
      <w:lvlText w:val="%1."/>
      <w:numFmt w:val="decimal"/>
      <w:start w:val="1"/>
    </w:lvl>
  </w:abstractNum>
  <w:abstractNum w:abstractNumId="305">
    <w:nsid w:val="1EA21031"/>
    <w:multiLevelType w:val="hybridMultilevel"/>
    <w:lvl w:ilvl="0">
      <w:lvlJc w:val="left"/>
      <w:lvlText w:val="%1"/>
      <w:numFmt w:val="decimal"/>
      <w:start w:val="1"/>
    </w:lvl>
    <w:lvl w:ilvl="1">
      <w:lvlJc w:val="left"/>
      <w:lvlText w:val="%2."/>
      <w:numFmt w:val="lowerLetter"/>
      <w:start w:val="1"/>
    </w:lvl>
  </w:abstractNum>
  <w:abstractNum w:abstractNumId="306">
    <w:nsid w:val="67A5A6B5"/>
    <w:multiLevelType w:val="hybridMultilevel"/>
    <w:lvl w:ilvl="0">
      <w:lvlJc w:val="left"/>
      <w:lvlText w:val="%1."/>
      <w:numFmt w:val="decimal"/>
      <w:start w:val="2"/>
    </w:lvl>
    <w:lvl w:ilvl="1">
      <w:lvlJc w:val="left"/>
      <w:lvlText w:val="%2"/>
      <w:numFmt w:val="lowerLetter"/>
      <w:start w:val="1"/>
    </w:lvl>
  </w:abstractNum>
  <w:abstractNum w:abstractNumId="307">
    <w:nsid w:val="C2A5C5B"/>
    <w:multiLevelType w:val="hybridMultilevel"/>
    <w:lvl w:ilvl="0">
      <w:lvlJc w:val="left"/>
      <w:lvlText w:val="%1."/>
      <w:numFmt w:val="decimal"/>
      <w:start w:val="1"/>
    </w:lvl>
  </w:abstractNum>
  <w:abstractNum w:abstractNumId="308">
    <w:nsid w:val="5F94DC03"/>
    <w:multiLevelType w:val="hybridMultilevel"/>
    <w:lvl w:ilvl="0">
      <w:lvlJc w:val="left"/>
      <w:lvlText w:val="%1."/>
      <w:numFmt w:val="decimal"/>
      <w:start w:val="6"/>
    </w:lvl>
    <w:lvl w:ilvl="1">
      <w:lvlJc w:val="left"/>
      <w:lvlText w:val="%2)"/>
      <w:numFmt w:val="lowerLetter"/>
      <w:start w:val="1"/>
    </w:lvl>
  </w:abstractNum>
  <w:abstractNum w:abstractNumId="309">
    <w:nsid w:val="237BBCA0"/>
    <w:multiLevelType w:val="hybridMultilevel"/>
    <w:lvl w:ilvl="0">
      <w:lvlJc w:val="left"/>
      <w:lvlText w:val="%1."/>
      <w:numFmt w:val="decimal"/>
      <w:start w:val="1"/>
    </w:lvl>
  </w:abstractNum>
  <w:abstractNum w:abstractNumId="310">
    <w:nsid w:val="162EB70D"/>
    <w:multiLevelType w:val="hybridMultilevel"/>
    <w:lvl w:ilvl="0">
      <w:lvlJc w:val="left"/>
      <w:lvlText w:val="%1."/>
      <w:numFmt w:val="decimal"/>
      <w:start w:val="2"/>
    </w:lvl>
  </w:abstractNum>
  <w:abstractNum w:abstractNumId="311">
    <w:nsid w:val="780702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2">
    <w:nsid w:val="6163ED0D"/>
    <w:multiLevelType w:val="hybridMultilevel"/>
    <w:lvl w:ilvl="0">
      <w:lvlJc w:val="left"/>
      <w:lvlText w:val="%1"/>
      <w:numFmt w:val="decimal"/>
      <w:start w:val="1"/>
    </w:lvl>
    <w:lvl w:ilvl="1">
      <w:lvlJc w:val="left"/>
      <w:lvlText w:val="(%2)"/>
      <w:numFmt w:val="lowerRoman"/>
      <w:start w:val="2"/>
    </w:lvl>
  </w:abstractNum>
  <w:abstractNum w:abstractNumId="313">
    <w:nsid w:val="C600E47"/>
    <w:multiLevelType w:val="hybridMultilevel"/>
    <w:lvl w:ilvl="0">
      <w:lvlJc w:val="left"/>
      <w:lvlText w:val="%1."/>
      <w:numFmt w:val="decimal"/>
      <w:start w:val="2"/>
    </w:lvl>
    <w:lvl w:ilvl="1">
      <w:lvlJc w:val="left"/>
      <w:lvlText w:val="%2"/>
      <w:numFmt w:val="lowerRoman"/>
      <w:start w:val="1"/>
    </w:lvl>
  </w:abstractNum>
  <w:abstractNum w:abstractNumId="314">
    <w:nsid w:val="7D94F75D"/>
    <w:multiLevelType w:val="hybridMultilevel"/>
    <w:lvl w:ilvl="0">
      <w:lvlJc w:val="left"/>
      <w:lvlText w:val="%1."/>
      <w:numFmt w:val="decimal"/>
      <w:start w:val="1"/>
    </w:lvl>
  </w:abstractNum>
  <w:abstractNum w:abstractNumId="315">
    <w:nsid w:val="6C31E7CD"/>
    <w:multiLevelType w:val="hybridMultilevel"/>
    <w:lvl w:ilvl="0">
      <w:lvlJc w:val="left"/>
      <w:lvlText w:val="%1."/>
      <w:numFmt w:val="decimal"/>
      <w:start w:val="2"/>
    </w:lvl>
  </w:abstractNum>
  <w:abstractNum w:abstractNumId="316">
    <w:nsid w:val="2BB7929B"/>
    <w:multiLevelType w:val="hybridMultilevel"/>
    <w:lvl w:ilvl="0">
      <w:lvlJc w:val="left"/>
      <w:lvlText w:val="%1."/>
      <w:numFmt w:val="decimal"/>
      <w:start w:val="1"/>
    </w:lvl>
  </w:abstractNum>
  <w:abstractNum w:abstractNumId="317">
    <w:nsid w:val="58A2A487"/>
    <w:multiLevelType w:val="hybridMultilevel"/>
    <w:lvl w:ilvl="0">
      <w:lvlJc w:val="left"/>
      <w:lvlText w:val="%1."/>
      <w:numFmt w:val="decimal"/>
      <w:start w:val="3"/>
    </w:lvl>
  </w:abstractNum>
  <w:abstractNum w:abstractNumId="318">
    <w:nsid w:val="3A6F0E78"/>
    <w:multiLevelType w:val="hybridMultilevel"/>
    <w:lvl w:ilvl="0">
      <w:lvlJc w:val="left"/>
      <w:lvlText w:val="%1."/>
      <w:numFmt w:val="decimal"/>
      <w:start w:val="5"/>
    </w:lvl>
  </w:abstractNum>
  <w:abstractNum w:abstractNumId="319">
    <w:nsid w:val="379A5B56"/>
    <w:multiLevelType w:val="hybridMultilevel"/>
    <w:lvl w:ilvl="0">
      <w:lvlJc w:val="left"/>
      <w:lvlText w:val="%1."/>
      <w:numFmt w:val="decimal"/>
      <w:start w:val="1"/>
    </w:lvl>
  </w:abstractNum>
  <w:abstractNum w:abstractNumId="320">
    <w:nsid w:val="53B735D5"/>
    <w:multiLevelType w:val="hybridMultilevel"/>
    <w:lvl w:ilvl="0">
      <w:lvlJc w:val="left"/>
      <w:lvlText w:val="%1."/>
      <w:numFmt w:val="decimal"/>
      <w:start w:val="2"/>
    </w:lvl>
    <w:lvl w:ilvl="1">
      <w:lvlJc w:val="left"/>
      <w:lvlText w:val="%2."/>
      <w:numFmt w:val="lowerLetter"/>
      <w:start w:val="1"/>
    </w:lvl>
  </w:abstractNum>
  <w:abstractNum w:abstractNumId="321">
    <w:nsid w:val="29784870"/>
    <w:multiLevelType w:val="hybridMultilevel"/>
    <w:lvl w:ilvl="0">
      <w:lvlJc w:val="left"/>
      <w:lvlText w:val="%1."/>
      <w:numFmt w:val="decimal"/>
      <w:start w:val="3"/>
    </w:lvl>
  </w:abstractNum>
  <w:abstractNum w:abstractNumId="322">
    <w:nsid w:val="4CDCED4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1"/>
    </w:lvl>
    <w:lvl w:ilvl="5">
      <w:lvlJc w:val="left"/>
      <w:lvlText w:val="%6"/>
      <w:numFmt w:val="decimal"/>
      <w:start w:val="1"/>
    </w:lvl>
  </w:abstractNum>
  <w:abstractNum w:abstractNumId="323">
    <w:nsid w:val="10A30D9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1"/>
    </w:lvl>
    <w:lvl w:ilvl="5">
      <w:lvlJc w:val="left"/>
      <w:lvlText w:val="%6."/>
      <w:numFmt w:val="decimal"/>
      <w:start w:val="1"/>
    </w:lvl>
  </w:abstractNum>
  <w:abstractNum w:abstractNumId="324">
    <w:nsid w:val="A66E48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25">
    <w:nsid w:val="306235E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26">
    <w:nsid w:val="1187C70F"/>
    <w:multiLevelType w:val="hybridMultilevel"/>
    <w:lvl w:ilvl="0">
      <w:lvlJc w:val="left"/>
      <w:lvlText w:val="%1."/>
      <w:numFmt w:val="decimal"/>
      <w:start w:val="1"/>
    </w:lvl>
  </w:abstractNum>
  <w:abstractNum w:abstractNumId="327">
    <w:nsid w:val="5476DE98"/>
    <w:multiLevelType w:val="hybridMultilevel"/>
    <w:lvl w:ilvl="0">
      <w:lvlJc w:val="left"/>
      <w:lvlText w:val="%1."/>
      <w:numFmt w:val="decimal"/>
      <w:start w:val="2"/>
    </w:lvl>
  </w:abstractNum>
  <w:abstractNum w:abstractNumId="328">
    <w:nsid w:val="EA697F2"/>
    <w:multiLevelType w:val="hybridMultilevel"/>
    <w:lvl w:ilvl="0">
      <w:lvlJc w:val="left"/>
      <w:lvlText w:val="%1."/>
      <w:numFmt w:val="decimal"/>
      <w:start w:val="4"/>
    </w:lvl>
    <w:lvl w:ilvl="1">
      <w:lvlJc w:val="left"/>
      <w:lvlText w:val="%2."/>
      <w:numFmt w:val="lowerLetter"/>
      <w:start w:val="1"/>
    </w:lvl>
  </w:abstractNum>
  <w:abstractNum w:abstractNumId="329">
    <w:nsid w:val="70BA39E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30">
    <w:nsid w:val="4A8DB59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1">
    <w:nsid w:val="1AFD9053"/>
    <w:multiLevelType w:val="hybridMultilevel"/>
    <w:lvl w:ilvl="0">
      <w:lvlJc w:val="left"/>
      <w:lvlText w:val="%1."/>
      <w:numFmt w:val="decimal"/>
      <w:start w:val="7"/>
    </w:lvl>
  </w:abstractNum>
  <w:abstractNum w:abstractNumId="332">
    <w:nsid w:val="558BB10D"/>
    <w:multiLevelType w:val="hybridMultilevel"/>
    <w:lvl w:ilvl="0">
      <w:lvlJc w:val="left"/>
      <w:lvlText w:val="%1."/>
      <w:numFmt w:val="decimal"/>
      <w:start w:val="10"/>
    </w:lvl>
  </w:abstractNum>
  <w:abstractNum w:abstractNumId="333">
    <w:nsid w:val="43B27FA7"/>
    <w:multiLevelType w:val="hybridMultilevel"/>
    <w:lvl w:ilvl="0">
      <w:lvlJc w:val="left"/>
      <w:lvlText w:val="%1."/>
      <w:numFmt w:val="decimal"/>
      <w:start w:val="1"/>
    </w:lvl>
    <w:lvl w:ilvl="1">
      <w:lvlJc w:val="left"/>
      <w:lvlText w:val="%2."/>
      <w:numFmt w:val="lowerLetter"/>
      <w:start w:val="1"/>
    </w:lvl>
  </w:abstractNum>
  <w:abstractNum w:abstractNumId="334">
    <w:nsid w:val="27FADEFA"/>
    <w:multiLevelType w:val="hybridMultilevel"/>
    <w:lvl w:ilvl="0">
      <w:lvlJc w:val="left"/>
      <w:lvlText w:val="%1."/>
      <w:numFmt w:val="decimal"/>
      <w:start w:val="3"/>
    </w:lvl>
  </w:abstractNum>
  <w:abstractNum w:abstractNumId="335">
    <w:nsid w:val="78BB805A"/>
    <w:multiLevelType w:val="hybridMultilevel"/>
    <w:lvl w:ilvl="0">
      <w:lvlJc w:val="left"/>
      <w:lvlText w:val="%1."/>
      <w:numFmt w:val="decimal"/>
      <w:start w:val="1"/>
    </w:lvl>
  </w:abstractNum>
  <w:abstractNum w:abstractNumId="336">
    <w:nsid w:val="62548FD8"/>
    <w:multiLevelType w:val="hybridMultilevel"/>
    <w:lvl w:ilvl="0">
      <w:lvlJc w:val="left"/>
      <w:lvlText w:val="%1."/>
      <w:numFmt w:val="decimal"/>
      <w:start w:val="3"/>
    </w:lvl>
    <w:lvl w:ilvl="1">
      <w:lvlJc w:val="left"/>
      <w:lvlText w:val="%2."/>
      <w:numFmt w:val="lowerLetter"/>
      <w:start w:val="1"/>
    </w:lvl>
  </w:abstractNum>
  <w:abstractNum w:abstractNumId="337">
    <w:nsid w:val="FA085B0"/>
    <w:multiLevelType w:val="hybridMultilevel"/>
    <w:lvl w:ilvl="0">
      <w:lvlJc w:val="left"/>
      <w:lvlText w:val="%1"/>
      <w:numFmt w:val="decimal"/>
      <w:start w:val="1"/>
    </w:lvl>
    <w:lvl w:ilvl="1">
      <w:lvlJc w:val="left"/>
      <w:lvlText w:val="%2."/>
      <w:numFmt w:val="lowerLetter"/>
      <w:start w:val="3"/>
    </w:lvl>
  </w:abstractNum>
  <w:abstractNum w:abstractNumId="338">
    <w:nsid w:val="4E5DCB5"/>
    <w:multiLevelType w:val="hybridMultilevel"/>
    <w:lvl w:ilvl="0">
      <w:lvlJc w:val="left"/>
      <w:lvlText w:val="%1."/>
      <w:numFmt w:val="decimal"/>
      <w:start w:val="5"/>
    </w:lvl>
    <w:lvl w:ilvl="1">
      <w:lvlJc w:val="left"/>
      <w:lvlText w:val="%2."/>
      <w:numFmt w:val="lowerLetter"/>
      <w:start w:val="1"/>
    </w:lvl>
  </w:abstractNum>
  <w:abstractNum w:abstractNumId="339">
    <w:nsid w:val="41E96BDB"/>
    <w:multiLevelType w:val="hybridMultilevel"/>
    <w:lvl w:ilvl="0">
      <w:lvlJc w:val="left"/>
      <w:lvlText w:val="%1."/>
      <w:numFmt w:val="decimal"/>
      <w:start w:val="1"/>
    </w:lvl>
    <w:lvl w:ilvl="1">
      <w:lvlJc w:val="left"/>
      <w:lvlText w:val="%2."/>
      <w:numFmt w:val="lowerLetter"/>
      <w:start w:val="1"/>
    </w:lvl>
  </w:abstractNum>
  <w:abstractNum w:abstractNumId="340">
    <w:nsid w:val="331C4250"/>
    <w:multiLevelType w:val="hybridMultilevel"/>
    <w:lvl w:ilvl="0">
      <w:lvlJc w:val="left"/>
      <w:lvlText w:val="%1"/>
      <w:numFmt w:val="decimal"/>
      <w:start w:val="1"/>
    </w:lvl>
    <w:lvl w:ilvl="1">
      <w:lvlJc w:val="left"/>
      <w:lvlText w:val="%2."/>
      <w:numFmt w:val="lowerLetter"/>
      <w:start w:val="2"/>
    </w:lvl>
  </w:abstractNum>
  <w:abstractNum w:abstractNumId="341">
    <w:nsid w:val="1B1493C2"/>
    <w:multiLevelType w:val="hybridMultilevel"/>
    <w:lvl w:ilvl="0">
      <w:lvlJc w:val="left"/>
      <w:lvlText w:val="%1."/>
      <w:numFmt w:val="decimal"/>
      <w:start w:val="2"/>
    </w:lvl>
    <w:lvl w:ilvl="1">
      <w:lvlJc w:val="left"/>
      <w:lvlText w:val="%2."/>
      <w:numFmt w:val="lowerLetter"/>
      <w:start w:val="1"/>
    </w:lvl>
  </w:abstractNum>
  <w:abstractNum w:abstractNumId="342">
    <w:nsid w:val="39F06DFD"/>
    <w:multiLevelType w:val="hybridMultilevel"/>
    <w:lvl w:ilvl="0">
      <w:lvlJc w:val="left"/>
      <w:lvlText w:val="%1"/>
      <w:numFmt w:val="decimal"/>
      <w:start w:val="1"/>
    </w:lvl>
    <w:lvl w:ilvl="1">
      <w:lvlJc w:val="left"/>
      <w:lvlText w:val="%2."/>
      <w:numFmt w:val="lowerLetter"/>
      <w:start w:val="2"/>
    </w:lvl>
  </w:abstractNum>
  <w:abstractNum w:abstractNumId="343">
    <w:nsid w:val="14802F5D"/>
    <w:multiLevelType w:val="hybridMultilevel"/>
    <w:lvl w:ilvl="0">
      <w:lvlJc w:val="left"/>
      <w:lvlText w:val="%1."/>
      <w:numFmt w:val="decimal"/>
      <w:start w:val="3"/>
    </w:lvl>
    <w:lvl w:ilvl="1">
      <w:lvlJc w:val="left"/>
      <w:lvlText w:val="%2"/>
      <w:numFmt w:val="lowerLetter"/>
      <w:start w:val="1"/>
    </w:lvl>
  </w:abstractNum>
  <w:abstractNum w:abstractNumId="344">
    <w:nsid w:val="2774A209"/>
    <w:multiLevelType w:val="hybridMultilevel"/>
    <w:lvl w:ilvl="0">
      <w:lvlJc w:val="left"/>
      <w:lvlText w:val="%1."/>
      <w:numFmt w:val="lowerLetter"/>
      <w:start w:val="1"/>
    </w:lvl>
  </w:abstractNum>
  <w:abstractNum w:abstractNumId="345">
    <w:nsid w:val="3785655A"/>
    <w:multiLevelType w:val="hybridMultilevel"/>
    <w:lvl w:ilvl="0">
      <w:lvlJc w:val="left"/>
      <w:lvlText w:val="%1."/>
      <w:numFmt w:val="decimal"/>
      <w:start w:val="4"/>
    </w:lvl>
  </w:abstractNum>
  <w:abstractNum w:abstractNumId="346">
    <w:nsid w:val="B2172A"/>
    <w:multiLevelType w:val="hybridMultilevel"/>
    <w:lvl w:ilvl="0">
      <w:lvlJc w:val="left"/>
      <w:lvlText w:val="%1."/>
      <w:numFmt w:val="decimal"/>
      <w:start w:val="5"/>
    </w:lvl>
    <w:lvl w:ilvl="1">
      <w:lvlJc w:val="left"/>
      <w:lvlText w:val="(%2)"/>
      <w:numFmt w:val="decimal"/>
      <w:start w:val="10"/>
    </w:lvl>
  </w:abstractNum>
  <w:abstractNum w:abstractNumId="347">
    <w:nsid w:val="532C34A5"/>
    <w:multiLevelType w:val="hybridMultilevel"/>
    <w:lvl w:ilvl="0">
      <w:lvlJc w:val="left"/>
      <w:lvlText w:val="%1."/>
      <w:numFmt w:val="decimal"/>
      <w:start w:val="1"/>
    </w:lvl>
  </w:abstractNum>
  <w:abstractNum w:abstractNumId="348">
    <w:nsid w:val="102809E2"/>
    <w:multiLevelType w:val="hybridMultilevel"/>
    <w:lvl w:ilvl="0">
      <w:lvlJc w:val="left"/>
      <w:lvlText w:val="%1."/>
      <w:numFmt w:val="decimal"/>
      <w:start w:val="2"/>
    </w:lvl>
  </w:abstractNum>
  <w:abstractNum w:abstractNumId="349">
    <w:nsid w:val="3B2125A3"/>
    <w:multiLevelType w:val="hybridMultilevel"/>
    <w:lvl w:ilvl="0">
      <w:lvlJc w:val="left"/>
      <w:lvlText w:val="%1."/>
      <w:numFmt w:val="decimal"/>
      <w:start w:val="3"/>
    </w:lvl>
  </w:abstractNum>
  <w:abstractNum w:abstractNumId="350">
    <w:nsid w:val="AC68FFB"/>
    <w:multiLevelType w:val="hybridMultilevel"/>
    <w:lvl w:ilvl="0">
      <w:lvlJc w:val="left"/>
      <w:lvlText w:val="%1."/>
      <w:numFmt w:val="decimal"/>
      <w:start w:val="1"/>
    </w:lvl>
    <w:lvl w:ilvl="1">
      <w:lvlJc w:val="left"/>
      <w:lvlText w:val="%2."/>
      <w:numFmt w:val="lowerLetter"/>
      <w:start w:val="1"/>
    </w:lvl>
  </w:abstractNum>
  <w:abstractNum w:abstractNumId="351">
    <w:nsid w:val="63DF3FB7"/>
    <w:multiLevelType w:val="hybridMultilevel"/>
    <w:lvl w:ilvl="0">
      <w:lvlJc w:val="left"/>
      <w:lvlText w:val="%1"/>
      <w:numFmt w:val="decimal"/>
      <w:start w:val="1"/>
    </w:lvl>
    <w:lvl w:ilvl="1">
      <w:lvlJc w:val="left"/>
      <w:lvlText w:val="%2."/>
      <w:numFmt w:val="lowerLetter"/>
      <w:start w:val="2"/>
    </w:lvl>
  </w:abstractNum>
  <w:abstractNum w:abstractNumId="352">
    <w:nsid w:val="64996E13"/>
    <w:multiLevelType w:val="hybridMultilevel"/>
    <w:lvl w:ilvl="0">
      <w:lvlJc w:val="left"/>
      <w:lvlText w:val="%1."/>
      <w:numFmt w:val="decimal"/>
      <w:start w:val="3"/>
    </w:lvl>
    <w:lvl w:ilvl="1">
      <w:lvlJc w:val="left"/>
      <w:lvlText w:val="%2."/>
      <w:numFmt w:val="lowerLetter"/>
      <w:start w:val="1"/>
    </w:lvl>
  </w:abstractNum>
  <w:abstractNum w:abstractNumId="353">
    <w:nsid w:val="57A37D47"/>
    <w:multiLevelType w:val="hybridMultilevel"/>
    <w:lvl w:ilvl="0">
      <w:lvlJc w:val="left"/>
      <w:lvlText w:val="%1"/>
      <w:numFmt w:val="decimal"/>
      <w:start w:val="1"/>
    </w:lvl>
    <w:lvl w:ilvl="1">
      <w:lvlJc w:val="left"/>
      <w:lvlText w:val="%2."/>
      <w:numFmt w:val="lowerLetter"/>
      <w:start w:val="3"/>
    </w:lvl>
  </w:abstractNum>
  <w:abstractNum w:abstractNumId="354">
    <w:nsid w:val="74824D54"/>
    <w:multiLevelType w:val="hybridMultilevel"/>
    <w:lvl w:ilvl="0">
      <w:lvlJc w:val="left"/>
      <w:lvlText w:val="%1."/>
      <w:numFmt w:val="decimal"/>
      <w:start w:val="5"/>
    </w:lvl>
    <w:lvl w:ilvl="1">
      <w:lvlJc w:val="left"/>
      <w:lvlText w:val="%2."/>
      <w:numFmt w:val="lowerLetter"/>
      <w:start w:val="1"/>
    </w:lvl>
  </w:abstractNum>
  <w:abstractNum w:abstractNumId="355">
    <w:nsid w:val="6F00529A"/>
    <w:multiLevelType w:val="hybridMultilevel"/>
    <w:lvl w:ilvl="0">
      <w:lvlJc w:val="left"/>
      <w:lvlText w:val="%1."/>
      <w:numFmt w:val="lowerLetter"/>
      <w:start w:val="2"/>
    </w:lvl>
  </w:abstractNum>
  <w:abstractNum w:abstractNumId="356">
    <w:nsid w:val="805B331"/>
    <w:multiLevelType w:val="hybridMultilevel"/>
    <w:lvl w:ilvl="0">
      <w:lvlJc w:val="left"/>
      <w:lvlText w:val="%1"/>
      <w:numFmt w:val="decimal"/>
      <w:start w:val="1"/>
    </w:lvl>
    <w:lvl w:ilvl="1">
      <w:lvlJc w:val="left"/>
      <w:lvlText w:val="%2."/>
      <w:numFmt w:val="lowerLetter"/>
      <w:start w:val="6"/>
    </w:lvl>
  </w:abstractNum>
  <w:abstractNum w:abstractNumId="357">
    <w:nsid w:val="60A1463"/>
    <w:multiLevelType w:val="hybridMultilevel"/>
    <w:lvl w:ilvl="0">
      <w:lvlJc w:val="left"/>
      <w:lvlText w:val="%1."/>
      <w:numFmt w:val="decimal"/>
      <w:start w:val="6"/>
    </w:lvl>
    <w:lvl w:ilvl="1">
      <w:lvlJc w:val="left"/>
      <w:lvlText w:val="%2"/>
      <w:numFmt w:val="lowerLetter"/>
      <w:start w:val="1"/>
    </w:lvl>
  </w:abstractNum>
  <w:abstractNum w:abstractNumId="358">
    <w:nsid w:val="43773132"/>
    <w:multiLevelType w:val="hybridMultilevel"/>
    <w:lvl w:ilvl="0">
      <w:lvlJc w:val="left"/>
      <w:lvlText w:val="%1."/>
      <w:numFmt w:val="decimal"/>
      <w:start w:val="1"/>
    </w:lvl>
    <w:lvl w:ilvl="1">
      <w:lvlJc w:val="left"/>
      <w:lvlText w:val="%2."/>
      <w:numFmt w:val="lowerLetter"/>
      <w:start w:val="1"/>
    </w:lvl>
  </w:abstractNum>
  <w:abstractNum w:abstractNumId="359">
    <w:nsid w:val="16AC4B23"/>
    <w:multiLevelType w:val="hybridMultilevel"/>
    <w:lvl w:ilvl="0">
      <w:lvlJc w:val="left"/>
      <w:lvlText w:val="%1."/>
      <w:numFmt w:val="lowerLetter"/>
      <w:start w:val="2"/>
    </w:lvl>
  </w:abstractNum>
  <w:abstractNum w:abstractNumId="360">
    <w:nsid w:val="76C44E4E"/>
    <w:multiLevelType w:val="hybridMultilevel"/>
    <w:lvl w:ilvl="0">
      <w:lvlJc w:val="left"/>
      <w:lvlText w:val="%1"/>
      <w:numFmt w:val="decimal"/>
      <w:start w:val="1"/>
    </w:lvl>
    <w:lvl w:ilvl="1">
      <w:lvlJc w:val="left"/>
      <w:lvlText w:val="%2."/>
      <w:numFmt w:val="lowerLetter"/>
      <w:start w:val="6"/>
    </w:lvl>
  </w:abstractNum>
  <w:abstractNum w:abstractNumId="361">
    <w:nsid w:val="E04E6CE"/>
    <w:multiLevelType w:val="hybridMultilevel"/>
    <w:lvl w:ilvl="0">
      <w:lvlJc w:val="left"/>
      <w:lvlText w:val="%1."/>
      <w:numFmt w:val="decimal"/>
      <w:start w:val="2"/>
    </w:lvl>
    <w:lvl w:ilvl="1">
      <w:lvlJc w:val="left"/>
      <w:lvlText w:val="%2."/>
      <w:numFmt w:val="lowerLetter"/>
      <w:start w:val="1"/>
    </w:lvl>
  </w:abstractNum>
  <w:abstractNum w:abstractNumId="362">
    <w:nsid w:val="31A9DB76"/>
    <w:multiLevelType w:val="hybridMultilevel"/>
    <w:lvl w:ilvl="0">
      <w:lvlJc w:val="left"/>
      <w:lvlText w:val="%1."/>
      <w:numFmt w:val="lowerLetter"/>
      <w:start w:val="3"/>
    </w:lvl>
  </w:abstractNum>
  <w:abstractNum w:abstractNumId="363">
    <w:nsid w:val="4C4FFF5B"/>
    <w:multiLevelType w:val="hybridMultilevel"/>
    <w:lvl w:ilvl="0">
      <w:lvlJc w:val="left"/>
      <w:lvlText w:val="%1."/>
      <w:numFmt w:val="decimal"/>
      <w:start w:val="1"/>
    </w:lvl>
    <w:lvl w:ilvl="1">
      <w:lvlJc w:val="left"/>
      <w:lvlText w:val="%2."/>
      <w:numFmt w:val="lowerLetter"/>
      <w:start w:val="1"/>
    </w:lvl>
  </w:abstractNum>
  <w:abstractNum w:abstractNumId="364">
    <w:nsid w:val="51B76675"/>
    <w:multiLevelType w:val="hybridMultilevel"/>
    <w:lvl w:ilvl="0">
      <w:lvlJc w:val="left"/>
      <w:lvlText w:val="%1"/>
      <w:numFmt w:val="decimal"/>
      <w:start w:val="1"/>
    </w:lvl>
    <w:lvl w:ilvl="1">
      <w:lvlJc w:val="left"/>
      <w:lvlText w:val="%2."/>
      <w:numFmt w:val="lowerLetter"/>
      <w:start w:val="2"/>
    </w:lvl>
  </w:abstractNum>
  <w:abstractNum w:abstractNumId="365">
    <w:nsid w:val="59A4BA71"/>
    <w:multiLevelType w:val="hybridMultilevel"/>
    <w:lvl w:ilvl="0">
      <w:lvlJc w:val="left"/>
      <w:lvlText w:val="%1."/>
      <w:numFmt w:val="decimal"/>
      <w:start w:val="4"/>
    </w:lvl>
    <w:lvl w:ilvl="1">
      <w:lvlJc w:val="left"/>
      <w:lvlText w:val="%2."/>
      <w:numFmt w:val="lowerLetter"/>
      <w:start w:val="1"/>
    </w:lvl>
  </w:abstractNum>
  <w:abstractNum w:abstractNumId="366">
    <w:nsid w:val="450B7FB6"/>
    <w:multiLevelType w:val="hybridMultilevel"/>
    <w:lvl w:ilvl="0">
      <w:lvlJc w:val="left"/>
      <w:lvlText w:val="%1."/>
      <w:numFmt w:val="decimal"/>
      <w:start w:val="1"/>
    </w:lvl>
  </w:abstractNum>
  <w:abstractNum w:abstractNumId="367">
    <w:nsid w:val="340BF64D"/>
    <w:multiLevelType w:val="hybridMultilevel"/>
    <w:lvl w:ilvl="0">
      <w:lvlJc w:val="left"/>
      <w:lvlText w:val="%1."/>
      <w:numFmt w:val="lowerLetter"/>
      <w:start w:val="1"/>
    </w:lvl>
  </w:abstractNum>
  <w:abstractNum w:abstractNumId="368">
    <w:nsid w:val="69454021"/>
    <w:multiLevelType w:val="hybridMultilevel"/>
    <w:lvl w:ilvl="0">
      <w:lvlJc w:val="left"/>
      <w:lvlText w:val="%1"/>
      <w:numFmt w:val="decimal"/>
      <w:start w:val="1"/>
    </w:lvl>
    <w:lvl w:ilvl="1">
      <w:lvlJc w:val="left"/>
      <w:lvlText w:val="%2."/>
      <w:numFmt w:val="lowerLetter"/>
      <w:start w:val="5"/>
    </w:lvl>
  </w:abstractNum>
  <w:abstractNum w:abstractNumId="369">
    <w:nsid w:val="49F15C6B"/>
    <w:multiLevelType w:val="hybridMultilevel"/>
    <w:lvl w:ilvl="0">
      <w:lvlJc w:val="left"/>
      <w:lvlText w:val="%1."/>
      <w:numFmt w:val="decimal"/>
      <w:start w:val="2"/>
    </w:lvl>
    <w:lvl w:ilvl="1">
      <w:lvlJc w:val="left"/>
      <w:lvlText w:val="%2"/>
      <w:numFmt w:val="lowerLetter"/>
      <w:start w:val="1"/>
    </w:lvl>
  </w:abstractNum>
  <w:abstractNum w:abstractNumId="370">
    <w:nsid w:val="75F56228"/>
    <w:multiLevelType w:val="hybridMultilevel"/>
    <w:lvl w:ilvl="0">
      <w:lvlJc w:val="left"/>
      <w:lvlText w:val="%1."/>
      <w:numFmt w:val="decimal"/>
      <w:start w:val="1"/>
    </w:lvl>
  </w:abstractNum>
  <w:abstractNum w:abstractNumId="371">
    <w:nsid w:val="1C618271"/>
    <w:multiLevelType w:val="hybridMultilevel"/>
    <w:lvl w:ilvl="0">
      <w:lvlJc w:val="left"/>
      <w:lvlText w:val="%1."/>
      <w:numFmt w:val="lowerLetter"/>
      <w:start w:val="1"/>
    </w:lvl>
    <w:lvl w:ilvl="1">
      <w:lvlJc w:val="left"/>
      <w:lvlText w:val="(%2)"/>
      <w:numFmt w:val="lowerLetter"/>
      <w:start w:val="60"/>
    </w:lvl>
    <w:lvl w:ilvl="2">
      <w:lvlJc w:val="left"/>
      <w:lvlText w:val="(%3)"/>
      <w:numFmt w:val="decimal"/>
      <w:start w:val="1"/>
    </w:lvl>
    <w:lvl w:ilvl="3">
      <w:lvlJc w:val="left"/>
      <w:lvlText w:val="(%4)"/>
      <w:numFmt w:val="lowerRoman"/>
      <w:start w:val="1"/>
    </w:lvl>
    <w:lvl w:ilvl="4">
      <w:lvlJc w:val="left"/>
      <w:lvlText w:val="(%5)"/>
      <w:numFmt w:val="lowerLetter"/>
      <w:start w:val="9"/>
    </w:lvl>
  </w:abstractNum>
  <w:abstractNum w:abstractNumId="372">
    <w:nsid w:val="6505F02E"/>
    <w:multiLevelType w:val="hybridMultilevel"/>
    <w:lvl w:ilvl="0">
      <w:lvlJc w:val="left"/>
      <w:lvlText w:val="(%1)"/>
      <w:numFmt w:val="lowerRoman"/>
      <w:start w:val="2"/>
    </w:lvl>
  </w:abstractNum>
  <w:abstractNum w:abstractNumId="373">
    <w:nsid w:val="2FE5D025"/>
    <w:multiLevelType w:val="hybridMultilevel"/>
    <w:lvl w:ilvl="0">
      <w:lvlJc w:val="left"/>
      <w:lvlText w:val="%1"/>
      <w:numFmt w:val="decimal"/>
      <w:start w:val="1"/>
    </w:lvl>
    <w:lvl w:ilvl="1">
      <w:lvlJc w:val="left"/>
      <w:lvlText w:val="(%2)"/>
      <w:numFmt w:val="lowerRoman"/>
      <w:start w:val="1"/>
    </w:lvl>
  </w:abstractNum>
  <w:abstractNum w:abstractNumId="374">
    <w:nsid w:val="30E1B1CF"/>
    <w:multiLevelType w:val="hybridMultilevel"/>
    <w:lvl w:ilvl="0">
      <w:lvlJc w:val="left"/>
      <w:lvlText w:val="(%1)"/>
      <w:numFmt w:val="decimal"/>
      <w:start w:val="3"/>
    </w:lvl>
    <w:lvl w:ilvl="1">
      <w:lvlJc w:val="left"/>
      <w:lvlText w:val="%2"/>
      <w:numFmt w:val="lowerRoman"/>
      <w:start w:val="1"/>
    </w:lvl>
  </w:abstractNum>
  <w:abstractNum w:abstractNumId="375">
    <w:nsid w:val="C7A9237"/>
    <w:multiLevelType w:val="hybridMultilevel"/>
    <w:lvl w:ilvl="0">
      <w:lvlJc w:val="left"/>
      <w:lvlText w:val="%1."/>
      <w:numFmt w:val="lowerLetter"/>
      <w:start w:val="2"/>
    </w:lvl>
  </w:abstractNum>
  <w:abstractNum w:abstractNumId="376">
    <w:nsid w:val="676B3580"/>
    <w:multiLevelType w:val="hybridMultilevel"/>
    <w:lvl w:ilvl="0">
      <w:lvlJc w:val="left"/>
      <w:lvlText w:val="(%1)"/>
      <w:numFmt w:val="decimal"/>
      <w:start w:val="1"/>
    </w:lvl>
  </w:abstractNum>
  <w:abstractNum w:abstractNumId="377">
    <w:nsid w:val="3193C8F9"/>
    <w:multiLevelType w:val="hybridMultilevel"/>
    <w:lvl w:ilvl="0">
      <w:lvlJc w:val="left"/>
      <w:lvlText w:val="%1."/>
      <w:numFmt w:val="lowerLetter"/>
      <w:start w:val="3"/>
    </w:lvl>
    <w:lvl w:ilvl="1">
      <w:lvlJc w:val="left"/>
      <w:lvlText w:val="(%2)"/>
      <w:numFmt w:val="decimal"/>
      <w:start w:val="1"/>
    </w:lvl>
  </w:abstractNum>
  <w:abstractNum w:abstractNumId="378">
    <w:nsid w:val="5FA6C6DC"/>
    <w:multiLevelType w:val="hybridMultilevel"/>
    <w:lvl w:ilvl="0">
      <w:lvlJc w:val="left"/>
      <w:lvlText w:val="%1"/>
      <w:numFmt w:val="lowerLetter"/>
      <w:start w:val="1"/>
    </w:lvl>
    <w:lvl w:ilvl="1">
      <w:lvlJc w:val="left"/>
      <w:lvlText w:val="(%2)"/>
      <w:numFmt w:val="decimal"/>
      <w:start w:val="5"/>
    </w:lvl>
  </w:abstractNum>
  <w:abstractNum w:abstractNumId="379">
    <w:nsid w:val="77933F62"/>
    <w:multiLevelType w:val="hybridMultilevel"/>
    <w:lvl w:ilvl="0">
      <w:lvlJc w:val="left"/>
      <w:lvlText w:val="%1."/>
      <w:numFmt w:val="lowerLetter"/>
      <w:start w:val="4"/>
    </w:lvl>
    <w:lvl w:ilvl="1">
      <w:lvlJc w:val="left"/>
      <w:lvlText w:val="%2"/>
      <w:numFmt w:val="decimal"/>
      <w:start w:val="1"/>
    </w:lvl>
  </w:abstractNum>
  <w:abstractNum w:abstractNumId="380">
    <w:nsid w:val="6CB4EE9C"/>
    <w:multiLevelType w:val="hybridMultilevel"/>
    <w:lvl w:ilvl="0">
      <w:lvlJc w:val="left"/>
      <w:lvlText w:val="%1."/>
      <w:numFmt w:val="decimal"/>
      <w:start w:val="2"/>
    </w:lvl>
  </w:abstractNum>
  <w:abstractNum w:abstractNumId="381">
    <w:nsid w:val="6A6D56D7"/>
    <w:multiLevelType w:val="hybridMultilevel"/>
    <w:lvl w:ilvl="0">
      <w:lvlJc w:val="left"/>
      <w:lvlText w:val="%1."/>
      <w:numFmt w:val="lowerRoman"/>
      <w:start w:val="1"/>
    </w:lvl>
  </w:abstractNum>
  <w:abstractNum w:abstractNumId="382">
    <w:nsid w:val="5B727F19"/>
    <w:multiLevelType w:val="hybridMultilevel"/>
    <w:lvl w:ilvl="0">
      <w:lvlJc w:val="left"/>
      <w:lvlText w:val="%1."/>
      <w:numFmt w:val="decimal"/>
      <w:start w:val="1"/>
    </w:lvl>
  </w:abstractNum>
  <w:abstractNum w:abstractNumId="383">
    <w:nsid w:val="514E5CB0"/>
    <w:multiLevelType w:val="hybridMultilevel"/>
    <w:lvl w:ilvl="0">
      <w:lvlJc w:val="left"/>
      <w:lvlText w:val="%1."/>
      <w:numFmt w:val="decimal"/>
      <w:start w:val="4"/>
    </w:lvl>
  </w:abstractNum>
  <w:abstractNum w:abstractNumId="384">
    <w:nsid w:val="4210D41E"/>
    <w:multiLevelType w:val="hybridMultilevel"/>
    <w:lvl w:ilvl="0">
      <w:lvlJc w:val="left"/>
      <w:lvlText w:val="%1."/>
      <w:numFmt w:val="decimal"/>
      <w:start w:val="1"/>
    </w:lvl>
    <w:lvl w:ilvl="1">
      <w:lvlJc w:val="left"/>
      <w:lvlText w:val="%2."/>
      <w:numFmt w:val="lowerLetter"/>
      <w:start w:val="1"/>
    </w:lvl>
  </w:abstractNum>
  <w:abstractNum w:abstractNumId="385">
    <w:nsid w:val="4FF4CC6D"/>
    <w:multiLevelType w:val="hybridMultilevel"/>
    <w:lvl w:ilvl="0">
      <w:lvlJc w:val="left"/>
      <w:lvlText w:val="%1."/>
      <w:numFmt w:val="lowerLetter"/>
      <w:start w:val="4"/>
    </w:lvl>
  </w:abstractNum>
  <w:abstractNum w:abstractNumId="386">
    <w:nsid w:val="404EAF4A"/>
    <w:multiLevelType w:val="hybridMultilevel"/>
    <w:lvl w:ilvl="0">
      <w:lvlJc w:val="left"/>
      <w:lvlText w:val="%1."/>
      <w:numFmt w:val="decimal"/>
      <w:start w:val="1"/>
    </w:lvl>
  </w:abstractNum>
  <w:abstractNum w:abstractNumId="387">
    <w:nsid w:val="4A16874F"/>
    <w:multiLevelType w:val="hybridMultilevel"/>
    <w:lvl w:ilvl="0">
      <w:lvlJc w:val="left"/>
      <w:lvlText w:val="%1."/>
      <w:numFmt w:val="decimal"/>
      <w:start w:val="3"/>
    </w:lvl>
  </w:abstractNum>
  <w:abstractNum w:abstractNumId="388">
    <w:nsid w:val="55FEE0D1"/>
    <w:multiLevelType w:val="hybridMultilevel"/>
    <w:lvl w:ilvl="0">
      <w:lvlJc w:val="left"/>
      <w:lvlText w:val="%1."/>
      <w:numFmt w:val="decimal"/>
      <w:start w:val="1"/>
    </w:lvl>
    <w:lvl w:ilvl="1">
      <w:lvlJc w:val="left"/>
      <w:lvlText w:val="%2."/>
      <w:numFmt w:val="lowerLetter"/>
      <w:start w:val="1"/>
    </w:lvl>
  </w:abstractNum>
  <w:abstractNum w:abstractNumId="389">
    <w:nsid w:val="3C5E07C"/>
    <w:multiLevelType w:val="hybridMultilevel"/>
    <w:lvl w:ilvl="0">
      <w:lvlJc w:val="left"/>
      <w:lvlText w:val="%1."/>
      <w:numFmt w:val="decimal"/>
      <w:start w:val="2"/>
    </w:lvl>
    <w:lvl w:ilvl="1">
      <w:lvlJc w:val="left"/>
      <w:lvlText w:val="%2."/>
      <w:numFmt w:val="lowerLetter"/>
      <w:start w:val="1"/>
    </w:lvl>
  </w:abstractNum>
  <w:abstractNum w:abstractNumId="390">
    <w:nsid w:val="60C2D273"/>
    <w:multiLevelType w:val="hybridMultilevel"/>
    <w:lvl w:ilvl="0">
      <w:lvlJc w:val="left"/>
      <w:lvlText w:val="%1."/>
      <w:numFmt w:val="lowerLetter"/>
      <w:start w:val="1"/>
    </w:lvl>
  </w:abstractNum>
  <w:abstractNum w:abstractNumId="391">
    <w:nsid w:val="4CC32F1F"/>
    <w:multiLevelType w:val="hybridMultilevel"/>
    <w:lvl w:ilvl="0">
      <w:lvlJc w:val="left"/>
      <w:lvlText w:val="%1."/>
      <w:numFmt w:val="lowerLetter"/>
      <w:start w:val="4"/>
    </w:lvl>
  </w:abstractNum>
  <w:abstractNum w:abstractNumId="392">
    <w:nsid w:val="11CAC74A"/>
    <w:multiLevelType w:val="hybridMultilevel"/>
    <w:lvl w:ilvl="0">
      <w:lvlJc w:val="left"/>
      <w:lvlText w:val="%1."/>
      <w:numFmt w:val="decimal"/>
      <w:start w:val="1"/>
    </w:lvl>
  </w:abstractNum>
  <w:abstractNum w:abstractNumId="393">
    <w:nsid w:val="126CADE9"/>
    <w:multiLevelType w:val="hybridMultilevel"/>
    <w:lvl w:ilvl="0">
      <w:lvlJc w:val="left"/>
      <w:lvlText w:val="%1"/>
      <w:numFmt w:val="decimal"/>
      <w:start w:val="1"/>
    </w:lvl>
    <w:lvl w:ilvl="1">
      <w:lvlJc w:val="left"/>
      <w:lvlText w:val="%2."/>
      <w:numFmt w:val="lowerLetter"/>
      <w:start w:val="1"/>
    </w:lvl>
  </w:abstractNum>
  <w:abstractNum w:abstractNumId="394">
    <w:nsid w:val="19132E7B"/>
    <w:multiLevelType w:val="hybridMultilevel"/>
    <w:lvl w:ilvl="0">
      <w:lvlJc w:val="left"/>
      <w:lvlText w:val="%1."/>
      <w:numFmt w:val="decimal"/>
      <w:start w:val="2"/>
    </w:lvl>
    <w:lvl w:ilvl="1">
      <w:lvlJc w:val="left"/>
      <w:lvlText w:val="%2"/>
      <w:numFmt w:val="lowerLetter"/>
      <w:start w:val="1"/>
    </w:lvl>
  </w:abstractNum>
  <w:abstractNum w:abstractNumId="395">
    <w:nsid w:val="63822DC0"/>
    <w:multiLevelType w:val="hybridMultilevel"/>
    <w:lvl w:ilvl="0">
      <w:lvlJc w:val="left"/>
      <w:lvlText w:val="%1."/>
      <w:numFmt w:val="decimal"/>
      <w:start w:val="1"/>
    </w:lvl>
  </w:abstractNum>
  <w:abstractNum w:abstractNumId="396">
    <w:nsid w:val="6C11685A"/>
    <w:multiLevelType w:val="hybridMultilevel"/>
    <w:lvl w:ilvl="0">
      <w:lvlJc w:val="left"/>
      <w:lvlText w:val="%1."/>
      <w:numFmt w:val="decimal"/>
      <w:start w:val="6"/>
    </w:lvl>
    <w:lvl w:ilvl="1">
      <w:lvlJc w:val="left"/>
      <w:lvlText w:val="%2)"/>
      <w:numFmt w:val="lowerLetter"/>
      <w:start w:val="1"/>
    </w:lvl>
  </w:abstractNum>
  <w:abstractNum w:abstractNumId="397">
    <w:nsid w:val="5E1EAE31"/>
    <w:multiLevelType w:val="hybridMultilevel"/>
    <w:lvl w:ilvl="0">
      <w:lvlJc w:val="left"/>
      <w:lvlText w:val="%1."/>
      <w:numFmt w:val="decimal"/>
      <w:start w:val="1"/>
    </w:lvl>
  </w:abstractNum>
  <w:abstractNum w:abstractNumId="398">
    <w:nsid w:val="178E240D"/>
    <w:multiLevelType w:val="hybridMultilevel"/>
    <w:lvl w:ilvl="0">
      <w:lvlJc w:val="left"/>
      <w:lvlText w:val="%1."/>
      <w:numFmt w:val="decimal"/>
      <w:start w:val="2"/>
    </w:lvl>
  </w:abstractNum>
  <w:abstractNum w:abstractNumId="399">
    <w:nsid w:val="5556A8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0">
    <w:nsid w:val="28100A9C"/>
    <w:multiLevelType w:val="hybridMultilevel"/>
    <w:lvl w:ilvl="0">
      <w:lvlJc w:val="left"/>
      <w:lvlText w:val="%1"/>
      <w:numFmt w:val="decimal"/>
      <w:start w:val="1"/>
    </w:lvl>
    <w:lvl w:ilvl="1">
      <w:lvlJc w:val="left"/>
      <w:lvlText w:val="(%2)"/>
      <w:numFmt w:val="lowerRoman"/>
      <w:start w:val="2"/>
    </w:lvl>
  </w:abstractNum>
  <w:abstractNum w:abstractNumId="401">
    <w:nsid w:val="D838636"/>
    <w:multiLevelType w:val="hybridMultilevel"/>
    <w:lvl w:ilvl="0">
      <w:lvlJc w:val="left"/>
      <w:lvlText w:val="%1."/>
      <w:numFmt w:val="decimal"/>
      <w:start w:val="2"/>
    </w:lvl>
    <w:lvl w:ilvl="1">
      <w:lvlJc w:val="left"/>
      <w:lvlText w:val="%2"/>
      <w:numFmt w:val="lowerRoman"/>
      <w:start w:val="1"/>
    </w:lvl>
  </w:abstractNum>
  <w:abstractNum w:abstractNumId="402">
    <w:nsid w:val="71B82AED"/>
    <w:multiLevelType w:val="hybridMultilevel"/>
    <w:lvl w:ilvl="0">
      <w:lvlJc w:val="left"/>
      <w:lvlText w:val="%1."/>
      <w:numFmt w:val="decimal"/>
      <w:start w:val="1"/>
    </w:lvl>
  </w:abstractNum>
  <w:abstractNum w:abstractNumId="403">
    <w:nsid w:val="D15FACA"/>
    <w:multiLevelType w:val="hybridMultilevel"/>
    <w:lvl w:ilvl="0">
      <w:lvlJc w:val="left"/>
      <w:lvlText w:val="%1."/>
      <w:numFmt w:val="decimal"/>
      <w:start w:val="2"/>
    </w:lvl>
  </w:abstractNum>
  <w:abstractNum w:abstractNumId="404">
    <w:nsid w:val="3D69565B"/>
    <w:multiLevelType w:val="hybridMultilevel"/>
    <w:lvl w:ilvl="0">
      <w:lvlJc w:val="left"/>
      <w:lvlText w:val="%1."/>
      <w:numFmt w:val="decimal"/>
      <w:start w:val="1"/>
    </w:lvl>
  </w:abstractNum>
  <w:abstractNum w:abstractNumId="405">
    <w:nsid w:val="2299DCBC"/>
    <w:multiLevelType w:val="hybridMultilevel"/>
    <w:lvl w:ilvl="0">
      <w:lvlJc w:val="left"/>
      <w:lvlText w:val="%1."/>
      <w:numFmt w:val="decimal"/>
      <w:start w:val="3"/>
    </w:lvl>
  </w:abstractNum>
  <w:abstractNum w:abstractNumId="406">
    <w:nsid w:val="19908D02"/>
    <w:multiLevelType w:val="hybridMultilevel"/>
    <w:lvl w:ilvl="0">
      <w:lvlJc w:val="left"/>
      <w:lvlText w:val="%1."/>
      <w:numFmt w:val="decimal"/>
      <w:start w:val="5"/>
    </w:lvl>
  </w:abstractNum>
  <w:abstractNum w:abstractNumId="407">
    <w:nsid w:val="24D48BDB"/>
    <w:multiLevelType w:val="hybridMultilevel"/>
    <w:lvl w:ilvl="0">
      <w:lvlJc w:val="left"/>
      <w:lvlText w:val="%1."/>
      <w:numFmt w:val="decimal"/>
      <w:start w:val="1"/>
    </w:lvl>
  </w:abstractNum>
  <w:abstractNum w:abstractNumId="408">
    <w:nsid w:val="542DA5B5"/>
    <w:multiLevelType w:val="hybridMultilevel"/>
    <w:lvl w:ilvl="0">
      <w:lvlJc w:val="left"/>
      <w:lvlText w:val="%1."/>
      <w:numFmt w:val="decimal"/>
      <w:start w:val="2"/>
    </w:lvl>
    <w:lvl w:ilvl="1">
      <w:lvlJc w:val="left"/>
      <w:lvlText w:val="%2."/>
      <w:numFmt w:val="lowerLetter"/>
      <w:start w:val="1"/>
    </w:lvl>
  </w:abstractNum>
  <w:abstractNum w:abstractNumId="409">
    <w:nsid w:val="793753DE"/>
    <w:multiLevelType w:val="hybridMultilevel"/>
    <w:lvl w:ilvl="0">
      <w:lvlJc w:val="left"/>
      <w:lvlText w:val="%1."/>
      <w:numFmt w:val="decimal"/>
      <w:start w:val="3"/>
    </w:lvl>
  </w:abstractNum>
  <w:abstractNum w:abstractNumId="410">
    <w:nsid w:val="1C67CB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11">
    <w:nsid w:val="40E2945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12">
    <w:nsid w:val="63A4AAB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13">
    <w:nsid w:val="77DA4A57"/>
    <w:multiLevelType w:val="hybridMultilevel"/>
    <w:lvl w:ilvl="0">
      <w:lvlJc w:val="left"/>
      <w:lvlText w:val="%1"/>
      <w:numFmt w:val="decimal"/>
      <w:start w:val="1"/>
    </w:lvl>
    <w:lvl w:ilvl="1">
      <w:lvlJc w:val="left"/>
      <w:lvlText w:val="%2."/>
      <w:numFmt w:val="lowerLetter"/>
      <w:start w:val="2"/>
    </w:lvl>
  </w:abstractNum>
  <w:abstractNum w:abstractNumId="414">
    <w:nsid w:val="1230F102"/>
    <w:multiLevelType w:val="hybridMultilevel"/>
    <w:lvl w:ilvl="0">
      <w:lvlJc w:val="left"/>
      <w:lvlText w:val="%1."/>
      <w:numFmt w:val="decimal"/>
      <w:start w:val="5"/>
    </w:lvl>
    <w:lvl w:ilvl="1">
      <w:lvlJc w:val="left"/>
      <w:lvlText w:val="%2"/>
      <w:numFmt w:val="lowerLetter"/>
      <w:start w:val="1"/>
    </w:lvl>
  </w:abstractNum>
  <w:abstractNum w:abstractNumId="415">
    <w:nsid w:val="25B57ED4"/>
    <w:multiLevelType w:val="hybridMultilevel"/>
    <w:lvl w:ilvl="0">
      <w:lvlJc w:val="left"/>
      <w:lvlText w:val="%1."/>
      <w:numFmt w:val="decimal"/>
      <w:start w:val="1"/>
    </w:lvl>
  </w:abstractNum>
  <w:abstractNum w:abstractNumId="416">
    <w:nsid w:val="47CF16C4"/>
    <w:multiLevelType w:val="hybridMultilevel"/>
    <w:lvl w:ilvl="0">
      <w:lvlJc w:val="left"/>
      <w:lvlText w:val="%1."/>
      <w:numFmt w:val="decimal"/>
      <w:start w:val="2"/>
    </w:lvl>
  </w:abstractNum>
  <w:abstractNum w:abstractNumId="417">
    <w:nsid w:val="527FA04C"/>
    <w:multiLevelType w:val="hybridMultilevel"/>
    <w:lvl w:ilvl="0">
      <w:lvlJc w:val="left"/>
      <w:lvlText w:val="%1."/>
      <w:numFmt w:val="decimal"/>
      <w:start w:val="4"/>
    </w:lvl>
    <w:lvl w:ilvl="1">
      <w:lvlJc w:val="left"/>
      <w:lvlText w:val="%2."/>
      <w:numFmt w:val="lowerLetter"/>
      <w:start w:val="1"/>
    </w:lvl>
  </w:abstractNum>
  <w:abstractNum w:abstractNumId="418">
    <w:nsid w:val="6FCC062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19">
    <w:nsid w:val="1DCDF79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0">
    <w:nsid w:val="564580C8"/>
    <w:multiLevelType w:val="hybridMultilevel"/>
    <w:lvl w:ilvl="0">
      <w:lvlJc w:val="left"/>
      <w:lvlText w:val="%1."/>
      <w:numFmt w:val="decimal"/>
      <w:start w:val="7"/>
    </w:lvl>
  </w:abstractNum>
  <w:abstractNum w:abstractNumId="421">
    <w:nsid w:val="508ED897"/>
    <w:multiLevelType w:val="hybridMultilevel"/>
    <w:lvl w:ilvl="0">
      <w:lvlJc w:val="left"/>
      <w:lvlText w:val="%1."/>
      <w:numFmt w:val="decimal"/>
      <w:start w:val="10"/>
    </w:lvl>
  </w:abstractNum>
  <w:abstractNum w:abstractNumId="422">
    <w:nsid w:val="6A9126B5"/>
    <w:multiLevelType w:val="hybridMultilevel"/>
    <w:lvl w:ilvl="0">
      <w:lvlJc w:val="left"/>
      <w:lvlText w:val="%1."/>
      <w:numFmt w:val="decimal"/>
      <w:start w:val="1"/>
    </w:lvl>
  </w:abstractNum>
  <w:abstractNum w:abstractNumId="423">
    <w:nsid w:val="68104812"/>
    <w:multiLevelType w:val="hybridMultilevel"/>
    <w:lvl w:ilvl="0">
      <w:lvlJc w:val="left"/>
      <w:lvlText w:val="%1."/>
      <w:numFmt w:val="decimal"/>
      <w:start w:val="2"/>
    </w:lvl>
    <w:lvl w:ilvl="1">
      <w:lvlJc w:val="left"/>
      <w:lvlText w:val="%2."/>
      <w:numFmt w:val="lowerLetter"/>
      <w:start w:val="1"/>
    </w:lvl>
  </w:abstractNum>
  <w:abstractNum w:abstractNumId="424">
    <w:nsid w:val="62FB8680"/>
    <w:multiLevelType w:val="hybridMultilevel"/>
    <w:lvl w:ilvl="0">
      <w:lvlJc w:val="left"/>
      <w:lvlText w:val="%1."/>
      <w:numFmt w:val="decimal"/>
      <w:start w:val="3"/>
    </w:lvl>
  </w:abstractNum>
  <w:abstractNum w:abstractNumId="425">
    <w:nsid w:val="3A45530"/>
    <w:multiLevelType w:val="hybridMultilevel"/>
    <w:lvl w:ilvl="0">
      <w:lvlJc w:val="left"/>
      <w:lvlText w:val="%1."/>
      <w:numFmt w:val="decimal"/>
      <w:start w:val="1"/>
    </w:lvl>
  </w:abstractNum>
  <w:abstractNum w:abstractNumId="426">
    <w:nsid w:val="4B9275D2"/>
    <w:multiLevelType w:val="hybridMultilevel"/>
    <w:lvl w:ilvl="0">
      <w:lvlJc w:val="left"/>
      <w:lvlText w:val="%1."/>
      <w:numFmt w:val="decimal"/>
      <w:start w:val="3"/>
    </w:lvl>
    <w:lvl w:ilvl="1">
      <w:lvlJc w:val="left"/>
      <w:lvlText w:val="%2."/>
      <w:numFmt w:val="lowerLetter"/>
      <w:start w:val="1"/>
    </w:lvl>
  </w:abstractNum>
  <w:abstractNum w:abstractNumId="427">
    <w:nsid w:val="4F0CEEDB"/>
    <w:multiLevelType w:val="hybridMultilevel"/>
    <w:lvl w:ilvl="0">
      <w:lvlJc w:val="left"/>
      <w:lvlText w:val="%1."/>
      <w:numFmt w:val="lowerLetter"/>
      <w:start w:val="1"/>
    </w:lvl>
  </w:abstractNum>
  <w:abstractNum w:abstractNumId="428">
    <w:nsid w:val="61C30361"/>
    <w:multiLevelType w:val="hybridMultilevel"/>
    <w:lvl w:ilvl="0">
      <w:lvlJc w:val="left"/>
      <w:lvlText w:val="%1."/>
      <w:numFmt w:val="lowerLetter"/>
      <w:start w:val="3"/>
    </w:lvl>
  </w:abstractNum>
  <w:abstractNum w:abstractNumId="429">
    <w:nsid w:val="632099E0"/>
    <w:multiLevelType w:val="hybridMultilevel"/>
    <w:lvl w:ilvl="0">
      <w:lvlJc w:val="left"/>
      <w:lvlText w:val="%1."/>
      <w:numFmt w:val="decimal"/>
      <w:start w:val="5"/>
    </w:lvl>
  </w:abstractNum>
  <w:abstractNum w:abstractNumId="430">
    <w:nsid w:val="24639756"/>
    <w:multiLevelType w:val="hybridMultilevel"/>
    <w:lvl w:ilvl="0">
      <w:lvlJc w:val="left"/>
      <w:lvlText w:val="%1."/>
      <w:numFmt w:val="lowerLetter"/>
      <w:start w:val="1"/>
    </w:lvl>
  </w:abstractNum>
  <w:abstractNum w:abstractNumId="431">
    <w:nsid w:val="9D30DFD"/>
    <w:multiLevelType w:val="hybridMultilevel"/>
    <w:lvl w:ilvl="0">
      <w:lvlJc w:val="left"/>
      <w:lvlText w:val="%1."/>
      <w:numFmt w:val="decimal"/>
      <w:start w:val="1"/>
    </w:lvl>
  </w:abstractNum>
  <w:abstractNum w:abstractNumId="432">
    <w:nsid w:val="70A42016"/>
    <w:multiLevelType w:val="hybridMultilevel"/>
    <w:lvl w:ilvl="0">
      <w:lvlJc w:val="left"/>
      <w:lvlText w:val="%1."/>
      <w:numFmt w:val="lowerLetter"/>
      <w:start w:val="1"/>
    </w:lvl>
  </w:abstractNum>
  <w:abstractNum w:abstractNumId="433">
    <w:nsid w:val="161BC243"/>
    <w:multiLevelType w:val="hybridMultilevel"/>
    <w:lvl w:ilvl="0">
      <w:lvlJc w:val="left"/>
      <w:lvlText w:val="%1."/>
      <w:numFmt w:val="lowerLetter"/>
      <w:start w:val="2"/>
    </w:lvl>
  </w:abstractNum>
  <w:abstractNum w:abstractNumId="434">
    <w:nsid w:val="16E908C8"/>
    <w:multiLevelType w:val="hybridMultilevel"/>
    <w:lvl w:ilvl="0">
      <w:lvlJc w:val="left"/>
      <w:lvlText w:val="%1."/>
      <w:numFmt w:val="decimal"/>
      <w:start w:val="2"/>
    </w:lvl>
  </w:abstractNum>
  <w:abstractNum w:abstractNumId="435">
    <w:nsid w:val="2E0D7671"/>
    <w:multiLevelType w:val="hybridMultilevel"/>
    <w:lvl w:ilvl="0">
      <w:lvlJc w:val="left"/>
      <w:lvlText w:val="%1."/>
      <w:numFmt w:val="lowerLetter"/>
      <w:start w:val="1"/>
    </w:lvl>
  </w:abstractNum>
  <w:abstractNum w:abstractNumId="436">
    <w:nsid w:val="38B59EFF"/>
    <w:multiLevelType w:val="hybridMultilevel"/>
    <w:lvl w:ilvl="0">
      <w:lvlJc w:val="left"/>
      <w:lvlText w:val="%1."/>
      <w:numFmt w:val="lowerLetter"/>
      <w:start w:val="2"/>
    </w:lvl>
  </w:abstractNum>
  <w:abstractNum w:abstractNumId="437">
    <w:nsid w:val="307995CA"/>
    <w:multiLevelType w:val="hybridMultilevel"/>
    <w:lvl w:ilvl="0">
      <w:lvlJc w:val="left"/>
      <w:lvlText w:val="%1."/>
      <w:numFmt w:val="decimal"/>
      <w:start w:val="3"/>
    </w:lvl>
  </w:abstractNum>
  <w:abstractNum w:abstractNumId="438">
    <w:nsid w:val="52E2024D"/>
    <w:multiLevelType w:val="hybridMultilevel"/>
    <w:lvl w:ilvl="0">
      <w:lvlJc w:val="left"/>
      <w:lvlText w:val="%1."/>
      <w:numFmt w:val="lowerLetter"/>
      <w:start w:val="1"/>
    </w:lvl>
  </w:abstractNum>
  <w:abstractNum w:abstractNumId="439">
    <w:nsid w:val="CE344B5"/>
    <w:multiLevelType w:val="hybridMultilevel"/>
    <w:lvl w:ilvl="0">
      <w:lvlJc w:val="left"/>
      <w:lvlText w:val="%1."/>
      <w:numFmt w:val="decimal"/>
      <w:start w:val="4"/>
    </w:lvl>
  </w:abstractNum>
  <w:abstractNum w:abstractNumId="440">
    <w:nsid w:val="29B0E9A8"/>
    <w:multiLevelType w:val="hybridMultilevel"/>
    <w:lvl w:ilvl="0">
      <w:lvlJc w:val="left"/>
      <w:lvlText w:val="%1."/>
      <w:numFmt w:val="decimal"/>
      <w:start w:val="5"/>
    </w:lvl>
    <w:lvl w:ilvl="1">
      <w:lvlJc w:val="left"/>
      <w:lvlText w:val="(%2)"/>
      <w:numFmt w:val="decimal"/>
      <w:start w:val="10"/>
    </w:lvl>
  </w:abstractNum>
  <w:abstractNum w:abstractNumId="441">
    <w:nsid w:val="6F49CD8A"/>
    <w:multiLevelType w:val="hybridMultilevel"/>
    <w:lvl w:ilvl="0">
      <w:lvlJc w:val="left"/>
      <w:lvlText w:val="%1."/>
      <w:numFmt w:val="decimal"/>
      <w:start w:val="1"/>
    </w:lvl>
  </w:abstractNum>
  <w:abstractNum w:abstractNumId="442">
    <w:nsid w:val="4DC5D907"/>
    <w:multiLevelType w:val="hybridMultilevel"/>
    <w:lvl w:ilvl="0">
      <w:lvlJc w:val="left"/>
      <w:lvlText w:val="%1."/>
      <w:numFmt w:val="decimal"/>
      <w:start w:val="2"/>
    </w:lvl>
  </w:abstractNum>
  <w:abstractNum w:abstractNumId="443">
    <w:nsid w:val="D55945E"/>
    <w:multiLevelType w:val="hybridMultilevel"/>
    <w:lvl w:ilvl="0">
      <w:lvlJc w:val="left"/>
      <w:lvlText w:val="%1."/>
      <w:numFmt w:val="decimal"/>
      <w:start w:val="3"/>
    </w:lvl>
  </w:abstractNum>
  <w:abstractNum w:abstractNumId="444">
    <w:nsid w:val="672417E1"/>
    <w:multiLevelType w:val="hybridMultilevel"/>
    <w:lvl w:ilvl="0">
      <w:lvlJc w:val="left"/>
      <w:lvlText w:val="%1."/>
      <w:numFmt w:val="decimal"/>
      <w:start w:val="1"/>
    </w:lvl>
    <w:lvl w:ilvl="1">
      <w:lvlJc w:val="left"/>
      <w:lvlText w:val="%2."/>
      <w:numFmt w:val="lowerLetter"/>
      <w:start w:val="1"/>
    </w:lvl>
  </w:abstractNum>
  <w:abstractNum w:abstractNumId="445">
    <w:nsid w:val="5FF6CA09"/>
    <w:multiLevelType w:val="hybridMultilevel"/>
    <w:lvl w:ilvl="0">
      <w:lvlJc w:val="left"/>
      <w:lvlText w:val="%1"/>
      <w:numFmt w:val="decimal"/>
      <w:start w:val="1"/>
    </w:lvl>
    <w:lvl w:ilvl="1">
      <w:lvlJc w:val="left"/>
      <w:lvlText w:val="%2."/>
      <w:numFmt w:val="lowerLetter"/>
      <w:start w:val="2"/>
    </w:lvl>
  </w:abstractNum>
  <w:abstractNum w:abstractNumId="446">
    <w:nsid w:val="330B1333"/>
    <w:multiLevelType w:val="hybridMultilevel"/>
    <w:lvl w:ilvl="0">
      <w:lvlJc w:val="left"/>
      <w:lvlText w:val="%1."/>
      <w:numFmt w:val="decimal"/>
      <w:start w:val="3"/>
    </w:lvl>
    <w:lvl w:ilvl="1">
      <w:lvlJc w:val="left"/>
      <w:lvlText w:val="%2."/>
      <w:numFmt w:val="lowerLetter"/>
      <w:start w:val="1"/>
    </w:lvl>
  </w:abstractNum>
  <w:abstractNum w:abstractNumId="447">
    <w:nsid w:val="2EF32EA6"/>
    <w:multiLevelType w:val="hybridMultilevel"/>
    <w:lvl w:ilvl="0">
      <w:lvlJc w:val="left"/>
      <w:lvlText w:val="%1"/>
      <w:numFmt w:val="decimal"/>
      <w:start w:val="1"/>
    </w:lvl>
    <w:lvl w:ilvl="1">
      <w:lvlJc w:val="left"/>
      <w:lvlText w:val="%2."/>
      <w:numFmt w:val="lowerLetter"/>
      <w:start w:val="3"/>
    </w:lvl>
  </w:abstractNum>
  <w:abstractNum w:abstractNumId="448">
    <w:nsid w:val="32766A55"/>
    <w:multiLevelType w:val="hybridMultilevel"/>
    <w:lvl w:ilvl="0">
      <w:lvlJc w:val="left"/>
      <w:lvlText w:val="%1."/>
      <w:numFmt w:val="decimal"/>
      <w:start w:val="5"/>
    </w:lvl>
    <w:lvl w:ilvl="1">
      <w:lvlJc w:val="left"/>
      <w:lvlText w:val="%2."/>
      <w:numFmt w:val="lowerLetter"/>
      <w:start w:val="1"/>
    </w:lvl>
  </w:abstractNum>
  <w:abstractNum w:abstractNumId="449">
    <w:nsid w:val="22D71957"/>
    <w:multiLevelType w:val="hybridMultilevel"/>
    <w:lvl w:ilvl="0">
      <w:lvlJc w:val="left"/>
      <w:lvlText w:val="%1."/>
      <w:numFmt w:val="lowerLetter"/>
      <w:start w:val="2"/>
    </w:lvl>
  </w:abstractNum>
  <w:abstractNum w:abstractNumId="450">
    <w:nsid w:val="4CC1263B"/>
    <w:multiLevelType w:val="hybridMultilevel"/>
    <w:lvl w:ilvl="0">
      <w:lvlJc w:val="left"/>
      <w:lvlText w:val="%1"/>
      <w:numFmt w:val="decimal"/>
      <w:start w:val="1"/>
    </w:lvl>
    <w:lvl w:ilvl="1">
      <w:lvlJc w:val="left"/>
      <w:lvlText w:val="%2."/>
      <w:numFmt w:val="lowerLetter"/>
      <w:start w:val="6"/>
    </w:lvl>
  </w:abstractNum>
  <w:abstractNum w:abstractNumId="451">
    <w:nsid w:val="8BBEB1D"/>
    <w:multiLevelType w:val="hybridMultilevel"/>
    <w:lvl w:ilvl="0">
      <w:lvlJc w:val="left"/>
      <w:lvlText w:val="%1."/>
      <w:numFmt w:val="decimal"/>
      <w:start w:val="6"/>
    </w:lvl>
    <w:lvl w:ilvl="1">
      <w:lvlJc w:val="left"/>
      <w:lvlText w:val="%2"/>
      <w:numFmt w:val="lowerLetter"/>
      <w:start w:val="1"/>
    </w:lvl>
  </w:abstractNum>
  <w:abstractNum w:abstractNumId="452">
    <w:nsid w:val="7365F1EE"/>
    <w:multiLevelType w:val="hybridMultilevel"/>
    <w:lvl w:ilvl="0">
      <w:lvlJc w:val="left"/>
      <w:lvlText w:val="%1."/>
      <w:numFmt w:val="decimal"/>
      <w:start w:val="1"/>
    </w:lvl>
    <w:lvl w:ilvl="1">
      <w:lvlJc w:val="left"/>
      <w:lvlText w:val="%2."/>
      <w:numFmt w:val="lowerLetter"/>
      <w:start w:val="1"/>
    </w:lvl>
  </w:abstractNum>
  <w:abstractNum w:abstractNumId="453">
    <w:nsid w:val="37524CF0"/>
    <w:multiLevelType w:val="hybridMultilevel"/>
    <w:lvl w:ilvl="0">
      <w:lvlJc w:val="left"/>
      <w:lvlText w:val="%1."/>
      <w:numFmt w:val="lowerLetter"/>
      <w:start w:val="2"/>
    </w:lvl>
  </w:abstractNum>
  <w:abstractNum w:abstractNumId="454">
    <w:nsid w:val="70CC332F"/>
    <w:multiLevelType w:val="hybridMultilevel"/>
    <w:lvl w:ilvl="0">
      <w:lvlJc w:val="left"/>
      <w:lvlText w:val="%1"/>
      <w:numFmt w:val="decimal"/>
      <w:start w:val="1"/>
    </w:lvl>
    <w:lvl w:ilvl="1">
      <w:lvlJc w:val="left"/>
      <w:lvlText w:val="%2."/>
      <w:numFmt w:val="lowerLetter"/>
      <w:start w:val="6"/>
    </w:lvl>
  </w:abstractNum>
  <w:abstractNum w:abstractNumId="455">
    <w:nsid w:val="5661786E"/>
    <w:multiLevelType w:val="hybridMultilevel"/>
    <w:lvl w:ilvl="0">
      <w:lvlJc w:val="left"/>
      <w:lvlText w:val="%1."/>
      <w:numFmt w:val="decimal"/>
      <w:start w:val="2"/>
    </w:lvl>
    <w:lvl w:ilvl="1">
      <w:lvlJc w:val="left"/>
      <w:lvlText w:val="%2."/>
      <w:numFmt w:val="lowerLetter"/>
      <w:start w:val="1"/>
    </w:lvl>
  </w:abstractNum>
  <w:abstractNum w:abstractNumId="456">
    <w:nsid w:val="3AF6A220"/>
    <w:multiLevelType w:val="hybridMultilevel"/>
    <w:lvl w:ilvl="0">
      <w:lvlJc w:val="left"/>
      <w:lvlText w:val="%1."/>
      <w:numFmt w:val="lowerLetter"/>
      <w:start w:val="3"/>
    </w:lvl>
  </w:abstractNum>
  <w:abstractNum w:abstractNumId="457">
    <w:nsid w:val="3C5EA902"/>
    <w:multiLevelType w:val="hybridMultilevel"/>
    <w:lvl w:ilvl="0">
      <w:lvlJc w:val="left"/>
      <w:lvlText w:val="%1."/>
      <w:numFmt w:val="decimal"/>
      <w:start w:val="1"/>
    </w:lvl>
    <w:lvl w:ilvl="1">
      <w:lvlJc w:val="left"/>
      <w:lvlText w:val="%2."/>
      <w:numFmt w:val="lowerLetter"/>
      <w:start w:val="1"/>
    </w:lvl>
  </w:abstractNum>
  <w:abstractNum w:abstractNumId="458">
    <w:nsid w:val="256E6749"/>
    <w:multiLevelType w:val="hybridMultilevel"/>
    <w:lvl w:ilvl="0">
      <w:lvlJc w:val="left"/>
      <w:lvlText w:val="%1"/>
      <w:numFmt w:val="decimal"/>
      <w:start w:val="1"/>
    </w:lvl>
    <w:lvl w:ilvl="1">
      <w:lvlJc w:val="left"/>
      <w:lvlText w:val="%2."/>
      <w:numFmt w:val="lowerLetter"/>
      <w:start w:val="2"/>
    </w:lvl>
  </w:abstractNum>
  <w:abstractNum w:abstractNumId="459">
    <w:nsid w:val="1CB9A581"/>
    <w:multiLevelType w:val="hybridMultilevel"/>
    <w:lvl w:ilvl="0">
      <w:lvlJc w:val="left"/>
      <w:lvlText w:val="%1."/>
      <w:numFmt w:val="decimal"/>
      <w:start w:val="4"/>
    </w:lvl>
    <w:lvl w:ilvl="1">
      <w:lvlJc w:val="left"/>
      <w:lvlText w:val="%2."/>
      <w:numFmt w:val="lowerLetter"/>
      <w:start w:val="1"/>
    </w:lvl>
  </w:abstractNum>
  <w:abstractNum w:abstractNumId="460">
    <w:nsid w:val="1F7F42E2"/>
    <w:multiLevelType w:val="hybridMultilevel"/>
    <w:lvl w:ilvl="0">
      <w:lvlJc w:val="left"/>
      <w:lvlText w:val="%1."/>
      <w:numFmt w:val="decimal"/>
      <w:start w:val="1"/>
    </w:lvl>
  </w:abstractNum>
  <w:abstractNum w:abstractNumId="461">
    <w:nsid w:val="49D1FEA0"/>
    <w:multiLevelType w:val="hybridMultilevel"/>
    <w:lvl w:ilvl="0">
      <w:lvlJc w:val="left"/>
      <w:lvlText w:val="%1."/>
      <w:numFmt w:val="lowerLetter"/>
      <w:start w:val="1"/>
    </w:lvl>
  </w:abstractNum>
  <w:abstractNum w:abstractNumId="462">
    <w:nsid w:val="268CB37F"/>
    <w:multiLevelType w:val="hybridMultilevel"/>
    <w:lvl w:ilvl="0">
      <w:lvlJc w:val="left"/>
      <w:lvlText w:val="%1"/>
      <w:numFmt w:val="decimal"/>
      <w:start w:val="1"/>
    </w:lvl>
    <w:lvl w:ilvl="1">
      <w:lvlJc w:val="left"/>
      <w:lvlText w:val="%2."/>
      <w:numFmt w:val="lowerLetter"/>
      <w:start w:val="5"/>
    </w:lvl>
  </w:abstractNum>
  <w:abstractNum w:abstractNumId="463">
    <w:nsid w:val="102362F8"/>
    <w:multiLevelType w:val="hybridMultilevel"/>
    <w:lvl w:ilvl="0">
      <w:lvlJc w:val="left"/>
      <w:lvlText w:val="%1."/>
      <w:numFmt w:val="decimal"/>
      <w:start w:val="2"/>
    </w:lvl>
    <w:lvl w:ilvl="1">
      <w:lvlJc w:val="left"/>
      <w:lvlText w:val="%2"/>
      <w:numFmt w:val="lowerLetter"/>
      <w:start w:val="1"/>
    </w:lvl>
  </w:abstractNum>
  <w:abstractNum w:abstractNumId="464">
    <w:nsid w:val="5FEDC0E3"/>
    <w:multiLevelType w:val="hybridMultilevel"/>
    <w:lvl w:ilvl="0">
      <w:lvlJc w:val="left"/>
      <w:lvlText w:val="%1."/>
      <w:numFmt w:val="decimal"/>
      <w:start w:val="1"/>
    </w:lvl>
  </w:abstractNum>
  <w:abstractNum w:abstractNumId="465">
    <w:nsid w:val="3D75BC47"/>
    <w:multiLevelType w:val="hybridMultilevel"/>
    <w:lvl w:ilvl="0">
      <w:lvlJc w:val="left"/>
      <w:lvlText w:val="%1."/>
      <w:numFmt w:val="lowerLetter"/>
      <w:start w:val="1"/>
    </w:lvl>
    <w:lvl w:ilvl="1">
      <w:lvlJc w:val="left"/>
      <w:lvlText w:val="(%2)"/>
      <w:numFmt w:val="lowerRoman"/>
      <w:start w:val="1"/>
    </w:lvl>
  </w:abstractNum>
  <w:abstractNum w:abstractNumId="466">
    <w:nsid w:val="3E30D969"/>
    <w:multiLevelType w:val="hybridMultilevel"/>
    <w:lvl w:ilvl="0">
      <w:lvlJc w:val="left"/>
      <w:lvlText w:val="(%1)"/>
      <w:numFmt w:val="decimal"/>
      <w:start w:val="1"/>
    </w:lvl>
    <w:lvl w:ilvl="1">
      <w:lvlJc w:val="left"/>
      <w:lvlText w:val="(%2)"/>
      <w:numFmt w:val="lowerRoman"/>
      <w:start w:val="1"/>
    </w:lvl>
  </w:abstractNum>
  <w:abstractNum w:abstractNumId="467">
    <w:nsid w:val="18A35FE3"/>
    <w:multiLevelType w:val="hybridMultilevel"/>
    <w:lvl w:ilvl="0">
      <w:lvlJc w:val="left"/>
      <w:lvlText w:val="(%1)"/>
      <w:numFmt w:val="lowerRoman"/>
      <w:start w:val="2"/>
    </w:lvl>
  </w:abstractNum>
  <w:abstractNum w:abstractNumId="468">
    <w:nsid w:val="6DEF5211"/>
    <w:multiLevelType w:val="hybridMultilevel"/>
    <w:lvl w:ilvl="0">
      <w:lvlJc w:val="left"/>
      <w:lvlText w:val="%1"/>
      <w:numFmt w:val="decimal"/>
      <w:start w:val="1"/>
    </w:lvl>
    <w:lvl w:ilvl="1">
      <w:lvlJc w:val="left"/>
      <w:lvlText w:val="(%2)"/>
      <w:numFmt w:val="lowerRoman"/>
      <w:start w:val="1"/>
    </w:lvl>
  </w:abstractNum>
  <w:abstractNum w:abstractNumId="469">
    <w:nsid w:val="1112DBB6"/>
    <w:multiLevelType w:val="hybridMultilevel"/>
    <w:lvl w:ilvl="0">
      <w:lvlJc w:val="left"/>
      <w:lvlText w:val="(%1)"/>
      <w:numFmt w:val="decimal"/>
      <w:start w:val="3"/>
    </w:lvl>
    <w:lvl w:ilvl="1">
      <w:lvlJc w:val="left"/>
      <w:lvlText w:val="%2"/>
      <w:numFmt w:val="lowerRoman"/>
      <w:start w:val="1"/>
    </w:lvl>
  </w:abstractNum>
  <w:abstractNum w:abstractNumId="470">
    <w:nsid w:val="2586A498"/>
    <w:multiLevelType w:val="hybridMultilevel"/>
    <w:lvl w:ilvl="0">
      <w:lvlJc w:val="left"/>
      <w:lvlText w:val="%1."/>
      <w:numFmt w:val="lowerLetter"/>
      <w:start w:val="2"/>
    </w:lvl>
  </w:abstractNum>
  <w:abstractNum w:abstractNumId="471">
    <w:nsid w:val="17A03BB9"/>
    <w:multiLevelType w:val="hybridMultilevel"/>
    <w:lvl w:ilvl="0">
      <w:lvlJc w:val="left"/>
      <w:lvlText w:val="(%1)"/>
      <w:numFmt w:val="decimal"/>
      <w:start w:val="1"/>
    </w:lvl>
  </w:abstractNum>
  <w:abstractNum w:abstractNumId="472">
    <w:nsid w:val="5CA941"/>
    <w:multiLevelType w:val="hybridMultilevel"/>
    <w:lvl w:ilvl="0">
      <w:lvlJc w:val="left"/>
      <w:lvlText w:val="%1."/>
      <w:numFmt w:val="lowerLetter"/>
      <w:start w:val="3"/>
    </w:lvl>
    <w:lvl w:ilvl="1">
      <w:lvlJc w:val="left"/>
      <w:lvlText w:val="(%2)"/>
      <w:numFmt w:val="decimal"/>
      <w:start w:val="1"/>
    </w:lvl>
  </w:abstractNum>
  <w:abstractNum w:abstractNumId="473">
    <w:nsid w:val="734C7D9F"/>
    <w:multiLevelType w:val="hybridMultilevel"/>
    <w:lvl w:ilvl="0">
      <w:lvlJc w:val="left"/>
      <w:lvlText w:val="%1"/>
      <w:numFmt w:val="lowerLetter"/>
      <w:start w:val="1"/>
    </w:lvl>
    <w:lvl w:ilvl="1">
      <w:lvlJc w:val="left"/>
      <w:lvlText w:val="(%2)"/>
      <w:numFmt w:val="decimal"/>
      <w:start w:val="5"/>
    </w:lvl>
  </w:abstractNum>
  <w:abstractNum w:abstractNumId="474">
    <w:nsid w:val="24F5D018"/>
    <w:multiLevelType w:val="hybridMultilevel"/>
    <w:lvl w:ilvl="0">
      <w:lvlJc w:val="left"/>
      <w:lvlText w:val="%1."/>
      <w:numFmt w:val="lowerLetter"/>
      <w:start w:val="4"/>
    </w:lvl>
    <w:lvl w:ilvl="1">
      <w:lvlJc w:val="left"/>
      <w:lvlText w:val="%2"/>
      <w:numFmt w:val="decimal"/>
      <w:start w:val="1"/>
    </w:lvl>
  </w:abstractNum>
  <w:abstractNum w:abstractNumId="475">
    <w:nsid w:val="6780C12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6">
    <w:nsid w:val="534347A8"/>
    <w:multiLevelType w:val="hybridMultilevel"/>
    <w:lvl w:ilvl="0">
      <w:lvlJc w:val="left"/>
      <w:lvlText w:val="%1."/>
      <w:numFmt w:val="lowerLetter"/>
      <w:start w:val="3"/>
    </w:lvl>
  </w:abstractNum>
  <w:abstractNum w:abstractNumId="477">
    <w:nsid w:val="5800E34B"/>
    <w:multiLevelType w:val="hybridMultilevel"/>
    <w:lvl w:ilvl="0">
      <w:lvlJc w:val="left"/>
      <w:lvlText w:val="%1."/>
      <w:numFmt w:val="decimal"/>
      <w:start w:val="1"/>
    </w:lvl>
  </w:abstractNum>
  <w:abstractNum w:abstractNumId="478">
    <w:nsid w:val="1673EFC8"/>
    <w:multiLevelType w:val="hybridMultilevel"/>
    <w:lvl w:ilvl="0">
      <w:lvlJc w:val="left"/>
      <w:lvlText w:val="%1."/>
      <w:numFmt w:val="decimal"/>
      <w:start w:val="4"/>
    </w:lvl>
  </w:abstractNum>
  <w:abstractNum w:abstractNumId="479">
    <w:nsid w:val="5B9B1FD"/>
    <w:multiLevelType w:val="hybridMultilevel"/>
    <w:lvl w:ilvl="0">
      <w:lvlJc w:val="left"/>
      <w:lvlText w:val="%1."/>
      <w:numFmt w:val="decimal"/>
      <w:start w:val="1"/>
    </w:lvl>
    <w:lvl w:ilvl="1">
      <w:lvlJc w:val="left"/>
      <w:lvlText w:val="%2."/>
      <w:numFmt w:val="lowerLetter"/>
      <w:start w:val="1"/>
    </w:lvl>
  </w:abstractNum>
  <w:abstractNum w:abstractNumId="480">
    <w:nsid w:val="7AD7FCA2"/>
    <w:multiLevelType w:val="hybridMultilevel"/>
    <w:lvl w:ilvl="0">
      <w:lvlJc w:val="left"/>
      <w:lvlText w:val="%1."/>
      <w:numFmt w:val="lowerLetter"/>
      <w:start w:val="4"/>
    </w:lvl>
  </w:abstractNum>
  <w:abstractNum w:abstractNumId="481">
    <w:nsid w:val="63351604"/>
    <w:multiLevelType w:val="hybridMultilevel"/>
    <w:lvl w:ilvl="0">
      <w:lvlJc w:val="left"/>
      <w:lvlText w:val="%1."/>
      <w:numFmt w:val="decimal"/>
      <w:start w:val="1"/>
    </w:lvl>
  </w:abstractNum>
  <w:abstractNum w:abstractNumId="482">
    <w:nsid w:val="E759D1A"/>
    <w:multiLevelType w:val="hybridMultilevel"/>
    <w:lvl w:ilvl="0">
      <w:lvlJc w:val="left"/>
      <w:lvlText w:val="%1."/>
      <w:numFmt w:val="decimal"/>
      <w:start w:val="3"/>
    </w:lvl>
  </w:abstractNum>
  <w:abstractNum w:abstractNumId="483">
    <w:nsid w:val="6E3DEE90"/>
    <w:multiLevelType w:val="hybridMultilevel"/>
    <w:lvl w:ilvl="0">
      <w:lvlJc w:val="left"/>
      <w:lvlText w:val="%1."/>
      <w:numFmt w:val="decimal"/>
      <w:start w:val="1"/>
    </w:lvl>
    <w:lvl w:ilvl="1">
      <w:lvlJc w:val="left"/>
      <w:lvlText w:val="%2."/>
      <w:numFmt w:val="lowerLetter"/>
      <w:start w:val="1"/>
    </w:lvl>
  </w:abstractNum>
  <w:abstractNum w:abstractNumId="484">
    <w:nsid w:val="1A8762F4"/>
    <w:multiLevelType w:val="hybridMultilevel"/>
    <w:lvl w:ilvl="0">
      <w:lvlJc w:val="left"/>
      <w:lvlText w:val="%1."/>
      <w:numFmt w:val="decimal"/>
      <w:start w:val="2"/>
    </w:lvl>
    <w:lvl w:ilvl="1">
      <w:lvlJc w:val="left"/>
      <w:lvlText w:val="%2."/>
      <w:numFmt w:val="lowerLetter"/>
      <w:start w:val="1"/>
    </w:lvl>
  </w:abstractNum>
  <w:abstractNum w:abstractNumId="485">
    <w:nsid w:val="7F41D049"/>
    <w:multiLevelType w:val="hybridMultilevel"/>
    <w:lvl w:ilvl="0">
      <w:lvlJc w:val="left"/>
      <w:lvlText w:val="%1."/>
      <w:numFmt w:val="lowerLetter"/>
      <w:start w:val="1"/>
    </w:lvl>
  </w:abstractNum>
  <w:abstractNum w:abstractNumId="486">
    <w:nsid w:val="449F66FE"/>
    <w:multiLevelType w:val="hybridMultilevel"/>
    <w:lvl w:ilvl="0">
      <w:lvlJc w:val="left"/>
      <w:lvlText w:val="%1."/>
      <w:numFmt w:val="lowerLetter"/>
      <w:start w:val="4"/>
    </w:lvl>
  </w:abstractNum>
  <w:abstractNum w:abstractNumId="487">
    <w:nsid w:val="557E0515"/>
    <w:multiLevelType w:val="hybridMultilevel"/>
    <w:lvl w:ilvl="0">
      <w:lvlJc w:val="left"/>
      <w:lvlText w:val="%1."/>
      <w:numFmt w:val="decimal"/>
      <w:start w:val="1"/>
    </w:lvl>
  </w:abstractNum>
  <w:abstractNum w:abstractNumId="488">
    <w:nsid w:val="3BA0794B"/>
    <w:multiLevelType w:val="hybridMultilevel"/>
    <w:lvl w:ilvl="0">
      <w:lvlJc w:val="left"/>
      <w:lvlText w:val="%1."/>
      <w:numFmt w:val="lowerLetter"/>
      <w:start w:val="1"/>
    </w:lvl>
  </w:abstractNum>
  <w:abstractNum w:abstractNumId="489">
    <w:nsid w:val="6A0DCE48"/>
    <w:multiLevelType w:val="hybridMultilevel"/>
    <w:lvl w:ilvl="0">
      <w:lvlJc w:val="left"/>
      <w:lvlText w:val="%1."/>
      <w:numFmt w:val="decimal"/>
      <w:start w:val="2"/>
    </w:lvl>
  </w:abstractNum>
  <w:abstractNum w:abstractNumId="490">
    <w:nsid w:val="7237AA96"/>
    <w:multiLevelType w:val="hybridMultilevel"/>
    <w:lvl w:ilvl="0">
      <w:lvlJc w:val="left"/>
      <w:lvlText w:val="%1."/>
      <w:numFmt w:val="decimal"/>
      <w:start w:val="1"/>
    </w:lvl>
  </w:abstractNum>
  <w:abstractNum w:abstractNumId="491">
    <w:nsid w:val="5B1FBC2D"/>
    <w:multiLevelType w:val="hybridMultilevel"/>
    <w:lvl w:ilvl="0">
      <w:lvlJc w:val="left"/>
      <w:lvlText w:val="%1."/>
      <w:numFmt w:val="decimal"/>
      <w:start w:val="6"/>
    </w:lvl>
    <w:lvl w:ilvl="1">
      <w:lvlJc w:val="left"/>
      <w:lvlText w:val="%2)"/>
      <w:numFmt w:val="lowerLetter"/>
      <w:start w:val="1"/>
    </w:lvl>
  </w:abstractNum>
  <w:abstractNum w:abstractNumId="492">
    <w:nsid w:val="33DFCCE8"/>
    <w:multiLevelType w:val="hybridMultilevel"/>
    <w:lvl w:ilvl="0">
      <w:lvlJc w:val="left"/>
      <w:lvlText w:val="%1."/>
      <w:numFmt w:val="decimal"/>
      <w:start w:val="1"/>
    </w:lvl>
  </w:abstractNum>
  <w:abstractNum w:abstractNumId="493">
    <w:nsid w:val="18C45E15"/>
    <w:multiLevelType w:val="hybridMultilevel"/>
    <w:lvl w:ilvl="0">
      <w:lvlJc w:val="left"/>
      <w:lvlText w:val="%1."/>
      <w:numFmt w:val="decimal"/>
      <w:start w:val="2"/>
    </w:lvl>
  </w:abstractNum>
  <w:abstractNum w:abstractNumId="494">
    <w:nsid w:val="6B431F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95">
    <w:nsid w:val="13CD8DCB"/>
    <w:multiLevelType w:val="hybridMultilevel"/>
    <w:lvl w:ilvl="0">
      <w:lvlJc w:val="left"/>
      <w:lvlText w:val="%1"/>
      <w:numFmt w:val="decimal"/>
      <w:start w:val="1"/>
    </w:lvl>
    <w:lvl w:ilvl="1">
      <w:lvlJc w:val="left"/>
      <w:lvlText w:val="(%2)"/>
      <w:numFmt w:val="lowerRoman"/>
      <w:start w:val="2"/>
    </w:lvl>
  </w:abstractNum>
  <w:abstractNum w:abstractNumId="496">
    <w:nsid w:val="563A1A5C"/>
    <w:multiLevelType w:val="hybridMultilevel"/>
    <w:lvl w:ilvl="0">
      <w:lvlJc w:val="left"/>
      <w:lvlText w:val="%1."/>
      <w:numFmt w:val="decimal"/>
      <w:start w:val="2"/>
    </w:lvl>
    <w:lvl w:ilvl="1">
      <w:lvlJc w:val="left"/>
      <w:lvlText w:val="%2"/>
      <w:numFmt w:val="lowerRoman"/>
      <w:start w:val="1"/>
    </w:lvl>
  </w:abstractNum>
  <w:abstractNum w:abstractNumId="497">
    <w:nsid w:val="2973F88F"/>
    <w:multiLevelType w:val="hybridMultilevel"/>
    <w:lvl w:ilvl="0">
      <w:lvlJc w:val="left"/>
      <w:lvlText w:val="%1."/>
      <w:numFmt w:val="decimal"/>
      <w:start w:val="1"/>
    </w:lvl>
    <w:lvl w:ilvl="1">
      <w:lvlJc w:val="left"/>
      <w:lvlText w:val="(%2)"/>
      <w:numFmt w:val="lowerLetter"/>
      <w:start w:val="1"/>
    </w:lvl>
  </w:abstractNum>
  <w:abstractNum w:abstractNumId="498">
    <w:nsid w:val="2C70EDAE"/>
    <w:multiLevelType w:val="hybridMultilevel"/>
    <w:lvl w:ilvl="0">
      <w:lvlJc w:val="left"/>
      <w:lvlText w:val="%1."/>
      <w:numFmt w:val="decimal"/>
      <w:start w:val="1"/>
    </w:lvl>
    <w:lvl w:ilvl="1">
      <w:lvlJc w:val="left"/>
      <w:lvlText w:val="(%2)"/>
      <w:numFmt w:val="lowerLetter"/>
      <w:start w:val="1"/>
    </w:lvl>
  </w:abstractNum>
  <w:abstractNum w:abstractNumId="499">
    <w:nsid w:val="44296C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15" Type="http://schemas.openxmlformats.org/officeDocument/2006/relationships/image" Target="media/image99.png"/><Relationship Id="rId129" Type="http://schemas.openxmlformats.org/officeDocument/2006/relationships/image" Target="media/image100.png"/><Relationship Id="rId145"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2" Type="http://schemas.openxmlformats.org/officeDocument/2006/relationships/image" Target="media/image241.png"/><Relationship Id="rId303" Type="http://schemas.openxmlformats.org/officeDocument/2006/relationships/image" Target="media/image242.png"/><Relationship Id="rId304" Type="http://schemas.openxmlformats.org/officeDocument/2006/relationships/image" Target="media/image243.png"/><Relationship Id="rId305" Type="http://schemas.openxmlformats.org/officeDocument/2006/relationships/image" Target="media/image244.png"/><Relationship Id="rId306" Type="http://schemas.openxmlformats.org/officeDocument/2006/relationships/image" Target="media/image245.png"/><Relationship Id="rId307"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444" Type="http://schemas.openxmlformats.org/officeDocument/2006/relationships/image" Target="media/image383.png"/><Relationship Id="rId445" Type="http://schemas.openxmlformats.org/officeDocument/2006/relationships/image" Target="media/image384.png"/><Relationship Id="rId446" Type="http://schemas.openxmlformats.org/officeDocument/2006/relationships/image" Target="media/image385.png"/><Relationship Id="rId447" Type="http://schemas.openxmlformats.org/officeDocument/2006/relationships/image" Target="media/image386.png"/><Relationship Id="rId448" Type="http://schemas.openxmlformats.org/officeDocument/2006/relationships/image" Target="media/image387.png"/><Relationship Id="rId449" Type="http://schemas.openxmlformats.org/officeDocument/2006/relationships/image" Target="media/image388.png"/><Relationship Id="rId450" Type="http://schemas.openxmlformats.org/officeDocument/2006/relationships/image" Target="media/image389.png"/><Relationship Id="rId451" Type="http://schemas.openxmlformats.org/officeDocument/2006/relationships/image" Target="media/image390.png"/><Relationship Id="rId452" Type="http://schemas.openxmlformats.org/officeDocument/2006/relationships/image" Target="media/image391.png"/><Relationship Id="rId453" Type="http://schemas.openxmlformats.org/officeDocument/2006/relationships/image" Target="media/image392.png"/><Relationship Id="rId454" Type="http://schemas.openxmlformats.org/officeDocument/2006/relationships/image" Target="media/image393.png"/><Relationship Id="rId455" Type="http://schemas.openxmlformats.org/officeDocument/2006/relationships/image" Target="media/image394.png"/><Relationship Id="rId456" Type="http://schemas.openxmlformats.org/officeDocument/2006/relationships/image" Target="media/image395.png"/><Relationship Id="rId457" Type="http://schemas.openxmlformats.org/officeDocument/2006/relationships/image" Target="media/image396.png"/><Relationship Id="rId458" Type="http://schemas.openxmlformats.org/officeDocument/2006/relationships/image" Target="media/image397.png"/><Relationship Id="rId459" Type="http://schemas.openxmlformats.org/officeDocument/2006/relationships/image" Target="media/image398.png"/><Relationship Id="rId460" Type="http://schemas.openxmlformats.org/officeDocument/2006/relationships/image" Target="media/image399.png"/><Relationship Id="rId461" Type="http://schemas.openxmlformats.org/officeDocument/2006/relationships/image" Target="media/image400.png"/><Relationship Id="rId462" Type="http://schemas.openxmlformats.org/officeDocument/2006/relationships/image" Target="media/image401.png"/><Relationship Id="rId463" Type="http://schemas.openxmlformats.org/officeDocument/2006/relationships/image" Target="media/image402.png"/><Relationship Id="rId464" Type="http://schemas.openxmlformats.org/officeDocument/2006/relationships/image" Target="media/image403.png"/><Relationship Id="rId465" Type="http://schemas.openxmlformats.org/officeDocument/2006/relationships/image" Target="media/image404.png"/><Relationship Id="rId466" Type="http://schemas.openxmlformats.org/officeDocument/2006/relationships/image" Target="media/image405.png"/><Relationship Id="rId467" Type="http://schemas.openxmlformats.org/officeDocument/2006/relationships/image" Target="media/image406.png"/><Relationship Id="rId468" Type="http://schemas.openxmlformats.org/officeDocument/2006/relationships/image" Target="media/image407.png"/><Relationship Id="rId469" Type="http://schemas.openxmlformats.org/officeDocument/2006/relationships/image" Target="media/image408.png"/><Relationship Id="rId470" Type="http://schemas.openxmlformats.org/officeDocument/2006/relationships/image" Target="media/image409.png"/><Relationship Id="rId471" Type="http://schemas.openxmlformats.org/officeDocument/2006/relationships/image" Target="media/image410.png"/><Relationship Id="rId472" Type="http://schemas.openxmlformats.org/officeDocument/2006/relationships/image" Target="media/image411.png"/><Relationship Id="rId473" Type="http://schemas.openxmlformats.org/officeDocument/2006/relationships/image" Target="media/image412.png"/><Relationship Id="rId474" Type="http://schemas.openxmlformats.org/officeDocument/2006/relationships/image" Target="media/image413.png"/><Relationship Id="rId475" Type="http://schemas.openxmlformats.org/officeDocument/2006/relationships/image" Target="media/image414.png"/><Relationship Id="rId476" Type="http://schemas.openxmlformats.org/officeDocument/2006/relationships/image" Target="media/image415.png"/><Relationship Id="rId477" Type="http://schemas.openxmlformats.org/officeDocument/2006/relationships/image" Target="media/image416.png"/><Relationship Id="rId478" Type="http://schemas.openxmlformats.org/officeDocument/2006/relationships/image" Target="media/image417.png"/><Relationship Id="rId479" Type="http://schemas.openxmlformats.org/officeDocument/2006/relationships/image" Target="media/image418.png"/><Relationship Id="rId480" Type="http://schemas.openxmlformats.org/officeDocument/2006/relationships/image" Target="media/image419.png"/><Relationship Id="rId481" Type="http://schemas.openxmlformats.org/officeDocument/2006/relationships/image" Target="media/image420.png"/><Relationship Id="rId482" Type="http://schemas.openxmlformats.org/officeDocument/2006/relationships/image" Target="media/image421.png"/><Relationship Id="rId483" Type="http://schemas.openxmlformats.org/officeDocument/2006/relationships/image" Target="media/image422.png"/><Relationship Id="rId484" Type="http://schemas.openxmlformats.org/officeDocument/2006/relationships/image" Target="media/image423.png"/><Relationship Id="rId485" Type="http://schemas.openxmlformats.org/officeDocument/2006/relationships/image" Target="media/image424.png"/><Relationship Id="rId486" Type="http://schemas.openxmlformats.org/officeDocument/2006/relationships/image" Target="media/image425.png"/><Relationship Id="rId487" Type="http://schemas.openxmlformats.org/officeDocument/2006/relationships/image" Target="media/image426.png"/><Relationship Id="rId488" Type="http://schemas.openxmlformats.org/officeDocument/2006/relationships/image" Target="media/image427.png"/><Relationship Id="rId489" Type="http://schemas.openxmlformats.org/officeDocument/2006/relationships/image" Target="media/image428.png"/><Relationship Id="rId490" Type="http://schemas.openxmlformats.org/officeDocument/2006/relationships/image" Target="media/image429.png"/><Relationship Id="rId491" Type="http://schemas.openxmlformats.org/officeDocument/2006/relationships/image" Target="media/image430.png"/><Relationship Id="rId492" Type="http://schemas.openxmlformats.org/officeDocument/2006/relationships/image" Target="media/image431.png"/><Relationship Id="rId493" Type="http://schemas.openxmlformats.org/officeDocument/2006/relationships/image" Target="media/image432.png"/><Relationship Id="rId494" Type="http://schemas.openxmlformats.org/officeDocument/2006/relationships/image" Target="media/image433.png"/><Relationship Id="rId495" Type="http://schemas.openxmlformats.org/officeDocument/2006/relationships/image" Target="media/image434.png"/><Relationship Id="rId496" Type="http://schemas.openxmlformats.org/officeDocument/2006/relationships/image" Target="media/image435.png"/><Relationship Id="rId497" Type="http://schemas.openxmlformats.org/officeDocument/2006/relationships/image" Target="media/image436.png"/><Relationship Id="rId498" Type="http://schemas.openxmlformats.org/officeDocument/2006/relationships/image" Target="media/image437.png"/><Relationship Id="rId499" Type="http://schemas.openxmlformats.org/officeDocument/2006/relationships/image" Target="media/image438.png"/><Relationship Id="rId500" Type="http://schemas.openxmlformats.org/officeDocument/2006/relationships/image" Target="media/image439.png"/><Relationship Id="rId501" Type="http://schemas.openxmlformats.org/officeDocument/2006/relationships/image" Target="media/image440.png"/><Relationship Id="rId502" Type="http://schemas.openxmlformats.org/officeDocument/2006/relationships/image" Target="media/image441.png"/><Relationship Id="rId503" Type="http://schemas.openxmlformats.org/officeDocument/2006/relationships/image" Target="media/image442.png"/><Relationship Id="rId504" Type="http://schemas.openxmlformats.org/officeDocument/2006/relationships/image" Target="media/image443.png"/><Relationship Id="rId505" Type="http://schemas.openxmlformats.org/officeDocument/2006/relationships/image" Target="media/image444.png"/><Relationship Id="rId506" Type="http://schemas.openxmlformats.org/officeDocument/2006/relationships/image" Target="media/image445.png"/><Relationship Id="rId47" Type="http://schemas.openxmlformats.org/officeDocument/2006/relationships/hyperlink" Target="https://www.sec.gov/ix?doc=/Archives/edgar/data/3453/000155837022002040/matx-20211231x10k.htm" TargetMode="External"/><Relationship Id="rId107" Type="http://schemas.openxmlformats.org/officeDocument/2006/relationships/hyperlink" Target="http://www.sec.gov/Archives/edgar/data/3453/000110465914079225/a14-24264_1ex2d1.htm" TargetMode="External"/><Relationship Id="rId108" Type="http://schemas.openxmlformats.org/officeDocument/2006/relationships/hyperlink" Target="http://www.sec.gov/Archives/edgar/data/3453/000110465915011288/a15-4783_1ex2d1.htm" TargetMode="External"/><Relationship Id="rId109" Type="http://schemas.openxmlformats.org/officeDocument/2006/relationships/hyperlink" Target="http://www.sec.gov/Archives/edgar/data/1302707/000119312514411216/d820290dex22.htm" TargetMode="External"/><Relationship Id="rId110" Type="http://schemas.openxmlformats.org/officeDocument/2006/relationships/hyperlink" Target="http://www.sec.gov/Archives/edgar/data/3453/000110465915056414/a15-12015_1ex2d2.htm" TargetMode="External"/><Relationship Id="rId111" Type="http://schemas.openxmlformats.org/officeDocument/2006/relationships/hyperlink" Target="http://www.sec.gov/Archives/edgar/data/3453/000110465912056234/a12-16487_1ex3d1.htm" TargetMode="External"/><Relationship Id="rId112" Type="http://schemas.openxmlformats.org/officeDocument/2006/relationships/hyperlink" Target="http://www.sec.gov/Archives/edgar/data/3453/000110465912071639/a12-24769_1ex4d2.htm" TargetMode="External"/><Relationship Id="rId113" Type="http://schemas.openxmlformats.org/officeDocument/2006/relationships/hyperlink" Target="http://www.sec.gov/Archives/edgar/data/3453/000110465913082371/a13-19562_1ex3d1.htm" TargetMode="External"/><Relationship Id="rId114" Type="http://schemas.openxmlformats.org/officeDocument/2006/relationships/hyperlink" Target="https://www.sec.gov/Archives/edgar/data/3453/000155837020001757/ex-4.htm" TargetMode="External"/><Relationship Id="rId116" Type="http://schemas.openxmlformats.org/officeDocument/2006/relationships/hyperlink" Target="http://www.sec.gov/Archives/edgar/data/3453/000110465917043034/a17-15994_1ex10d4.htm" TargetMode="External"/><Relationship Id="rId117" Type="http://schemas.openxmlformats.org/officeDocument/2006/relationships/hyperlink" Target="http://www.sec.gov/Archives/edgar/data/3453/000110465917043034/a17-15994_1ex10d5.htm" TargetMode="External"/><Relationship Id="rId118" Type="http://schemas.openxmlformats.org/officeDocument/2006/relationships/hyperlink" Target="http://www.sec.gov/Archives/edgar/data/3453/000110465916163397/a16-23408_1ex10d1.htm" TargetMode="External"/><Relationship Id="rId119" Type="http://schemas.openxmlformats.org/officeDocument/2006/relationships/hyperlink" Target="http://www.sec.gov/Archives/edgar/data/3453/000110465916144681/a16-18469_1ex10d1.htm" TargetMode="External"/><Relationship Id="rId120" Type="http://schemas.openxmlformats.org/officeDocument/2006/relationships/hyperlink" Target="https://www.sec.gov/Archives/edgar/data/3453/000155837020003631/ex-10d4.htm" TargetMode="External"/><Relationship Id="rId121" Type="http://schemas.openxmlformats.org/officeDocument/2006/relationships/hyperlink" Target="https://www.sec.gov/Archives/edgar/data/3453/000155837020003631/ex-10d5.htm" TargetMode="External"/><Relationship Id="rId122" Type="http://schemas.openxmlformats.org/officeDocument/2006/relationships/hyperlink" Target="http://www.sec.gov/Archives/edgar/data/3453/000110465912056234/a12-16487_1ex10d1.htm" TargetMode="External"/><Relationship Id="rId123" Type="http://schemas.openxmlformats.org/officeDocument/2006/relationships/hyperlink" Target="http://www.sec.gov/Archives/edgar/data/3453/000110465912056234/a12-16487_1ex10d2.htm" TargetMode="External"/><Relationship Id="rId124" Type="http://schemas.openxmlformats.org/officeDocument/2006/relationships/hyperlink" Target="http://www.sec.gov/Archives/edgar/data/3453/000000345304000034/title_xi.txt" TargetMode="External"/><Relationship Id="rId125" Type="http://schemas.openxmlformats.org/officeDocument/2006/relationships/hyperlink" Target="http://www.sec.gov/Archives/edgar/data/3453/000000345307000059/exh10.htm" TargetMode="External"/><Relationship Id="rId126" Type="http://schemas.openxmlformats.org/officeDocument/2006/relationships/hyperlink" Target="http://www.sec.gov/Archives/edgar/data/3453/000110465913016637/a12-29099_1ex10d34.htm" TargetMode="External"/><Relationship Id="rId127" Type="http://schemas.openxmlformats.org/officeDocument/2006/relationships/hyperlink" Target="https://www.sec.gov/Archives/edgar/data/3453/000155837020004825/matx-20200427xex10d1.htm" TargetMode="External"/><Relationship Id="rId128" Type="http://schemas.openxmlformats.org/officeDocument/2006/relationships/hyperlink" Target="https://www.sec.gov/Archives/edgar/data/3453/000155837020004825/matx-20200427xex10d2.htm" TargetMode="External"/><Relationship Id="rId130" Type="http://schemas.openxmlformats.org/officeDocument/2006/relationships/hyperlink" Target="https://www.sec.gov/Archives/edgar/data/3453/000155837020004825/matx-20200427xex10d3.htm" TargetMode="External"/><Relationship Id="rId131" Type="http://schemas.openxmlformats.org/officeDocument/2006/relationships/hyperlink" Target="https://www.sec.gov/Archives/edgar/data/3453/000155837020007781/matx-20200622xex10d1.htm" TargetMode="External"/><Relationship Id="rId132" Type="http://schemas.openxmlformats.org/officeDocument/2006/relationships/hyperlink" Target="https://www.sec.gov/Archives/edgar/data/3453/000155837020007781/matx-20200622xex10d2.htm" TargetMode="External"/><Relationship Id="rId133" Type="http://schemas.openxmlformats.org/officeDocument/2006/relationships/hyperlink" Target="https://www.sec.gov/Archives/edgar/data/3453/000155837020007781/matx-20200622xex10d3.htm" TargetMode="External"/><Relationship Id="rId134" Type="http://schemas.openxmlformats.org/officeDocument/2006/relationships/hyperlink" Target="http://www.sec.gov/Archives/edgar/data/3453/000110465914063623/a14-20075_1ex10d1.htm" TargetMode="External"/><Relationship Id="rId135" Type="http://schemas.openxmlformats.org/officeDocument/2006/relationships/hyperlink" Target="http://www.sec.gov/Archives/edgar/data/3453/000110465913016637/a12-29099_1ex10d45.htm" TargetMode="External"/><Relationship Id="rId136" Type="http://schemas.openxmlformats.org/officeDocument/2006/relationships/hyperlink" Target="http://www.sec.gov/Archives/edgar/data/3453/000110465915014988/a14-26312_1ex10d42.htm" TargetMode="External"/><Relationship Id="rId137" Type="http://schemas.openxmlformats.org/officeDocument/2006/relationships/hyperlink" Target="http://www.sec.gov/Archives/edgar/data/3453/000110465914073470/a14-22649_1ex10d1.htm" TargetMode="External"/><Relationship Id="rId138" Type="http://schemas.openxmlformats.org/officeDocument/2006/relationships/hyperlink" Target="https://www.sec.gov/Archives/edgar/data/3453/000155837021001909/matx-20201231xex10d28.htm" TargetMode="External"/><Relationship Id="rId139" Type="http://schemas.openxmlformats.org/officeDocument/2006/relationships/hyperlink" Target="http://www.sec.gov/Archives/edgar/data/3453/000110465913016637/a12-29099_1ex10d51.htm" TargetMode="External"/><Relationship Id="rId140" Type="http://schemas.openxmlformats.org/officeDocument/2006/relationships/hyperlink" Target="https://www.sec.gov/Archives/edgar/data/3453/000155837021001909/matx-20201231xex10d30.htm" TargetMode="External"/><Relationship Id="rId141" Type="http://schemas.openxmlformats.org/officeDocument/2006/relationships/hyperlink" Target="http://www.sec.gov/Archives/edgar/data/3453/000155837016009602/matx-20160930ex10159fc02.htm" TargetMode="External"/><Relationship Id="rId142" Type="http://schemas.openxmlformats.org/officeDocument/2006/relationships/hyperlink" Target="http://www.sec.gov/Archives/edgar/data/3453/000155837016009602/matx-20160930ex1025f5188.htm" TargetMode="External"/><Relationship Id="rId143" Type="http://schemas.openxmlformats.org/officeDocument/2006/relationships/hyperlink" Target="http://www.sec.gov/Archives/edgar/data/3453/000155837016009602/matx-20160930ex10396752a.htm" TargetMode="External"/><Relationship Id="rId144" Type="http://schemas.openxmlformats.org/officeDocument/2006/relationships/hyperlink" Target="https://www.sec.gov/Archives/edgar/data/3453/000155837022002040/matx-20211231xex10d35.htm" TargetMode="External"/><Relationship Id="rId146" Type="http://schemas.openxmlformats.org/officeDocument/2006/relationships/hyperlink" Target="http://www.sec.gov/Archives/edgar/data/3453/000110465914079225/a14-24264_1ex10d1.htm" TargetMode="External"/><Relationship Id="rId147" Type="http://schemas.openxmlformats.org/officeDocument/2006/relationships/hyperlink" Target="https://www.sec.gov/Archives/edgar/data/3453/000155837021009648/tmb-20210730xex99d1.htm" TargetMode="External"/><Relationship Id="rId148" Type="http://schemas.openxmlformats.org/officeDocument/2006/relationships/hyperlink" Target="http://www.sec.gov/Archives/edgar/data/3453/000155837017000947/matx-20161231ex1063a7bab.htm" TargetMode="External"/><Relationship Id="rId149" Type="http://schemas.openxmlformats.org/officeDocument/2006/relationships/hyperlink" Target="http://www.sec.gov/Archives/edgar/data/3453/000155837017000947/matx-20161231ex1065f8a3a.htm" TargetMode="External"/><Relationship Id="rId150" Type="http://schemas.openxmlformats.org/officeDocument/2006/relationships/hyperlink" Target="http://www.sec.gov/Archives/edgar/data/3453/000155837018001004/matx-20171231ex1060d61df.htm" TargetMode="External"/><Relationship Id="rId151" Type="http://schemas.openxmlformats.org/officeDocument/2006/relationships/hyperlink" Target="http://www.sec.gov/Archives/edgar/data/3453/000155837018001004/matx-20171231ex1061a3715.htm" TargetMode="External"/><Relationship Id="rId152" Type="http://schemas.openxmlformats.org/officeDocument/2006/relationships/hyperlink" Target="http://www.sec.gov/Archives/edgar/data/3453/000155837018001004/matx-20171231ex10620ee80.htm" TargetMode="External"/><Relationship Id="rId153" Type="http://schemas.openxmlformats.org/officeDocument/2006/relationships/hyperlink" Target="http://www.sec.gov/Archives/edgar/data/3453/000155837018001004/matx-20171231ex1063ec9ca.htm" TargetMode="External"/><Relationship Id="rId154" Type="http://schemas.openxmlformats.org/officeDocument/2006/relationships/hyperlink" Target="https://www.sec.gov/Archives/edgar/data/3453/000155837021001909/matx-20201231xex10d47.htm" TargetMode="External"/><Relationship Id="rId155" Type="http://schemas.openxmlformats.org/officeDocument/2006/relationships/hyperlink" Target="https://www.sec.gov/Archives/edgar/data/3453/000155837021001909/matx-20201231xex10d48.htm" TargetMode="External"/><Relationship Id="rId156" Type="http://schemas.openxmlformats.org/officeDocument/2006/relationships/hyperlink" Target="https://www.sec.gov/Archives/edgar/data/3453/000155837021001909/matx-20201231xex10d49.htm" TargetMode="External"/><Relationship Id="rId157" Type="http://schemas.openxmlformats.org/officeDocument/2006/relationships/hyperlink" Target="https://www.sec.gov/Archives/edgar/data/3453/000155837021001909/matx-20201231xex10d50.htm" TargetMode="External"/><Relationship Id="rId158" Type="http://schemas.openxmlformats.org/officeDocument/2006/relationships/hyperlink" Target="https://www.sec.gov/Archives/edgar/data/3453/000155837021001909/matx-20201231xex10d51.htm" TargetMode="External"/><Relationship Id="rId159" Type="http://schemas.openxmlformats.org/officeDocument/2006/relationships/hyperlink" Target="https://www.sec.gov/Archives/edgar/data/3453/000155837021001909/matx-20201231xex10d52.htm" TargetMode="External"/><Relationship Id="rId160" Type="http://schemas.openxmlformats.org/officeDocument/2006/relationships/hyperlink" Target="https://www.sec.gov/Archives/edgar/data/3453/000155837021001909/matx-20201231xex10d53.htm" TargetMode="External"/><Relationship Id="rId161" Type="http://schemas.openxmlformats.org/officeDocument/2006/relationships/hyperlink" Target="https://www.sec.gov/Archives/edgar/data/3453/000155837021003980/matx-20210331xex10d2.htm" TargetMode="External"/><Relationship Id="rId162" Type="http://schemas.openxmlformats.org/officeDocument/2006/relationships/hyperlink" Target="https://www.sec.gov/Archives/edgar/data/3453/000155837021003980/matx-20210331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2023-02-24T06:24:54Z</dcterms:created>
  <dcterms:modified xsi:type="dcterms:W3CDTF">2023-02-24T06:24:54Z</dcterms:modified>
</cp:coreProperties>
</file>