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452120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520700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20" w:right="1280" w:hanging="306"/>
        <w:spacing w:after="0" w:line="256" w:lineRule="auto"/>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wp:posOffset>
            </wp:positionH>
            <wp:positionV relativeFrom="paragraph">
              <wp:posOffset>-301625</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7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960" w:type="dxa"/>
            <w:vAlign w:val="bottom"/>
          </w:tcPr>
          <w:p>
            <w:pPr>
              <w:ind w:left="1820"/>
              <w:spacing w:after="0"/>
              <w:rPr>
                <w:sz w:val="20"/>
                <w:szCs w:val="20"/>
                <w:color w:val="auto"/>
              </w:rPr>
            </w:pPr>
            <w:r>
              <w:rPr>
                <w:rFonts w:ascii="Arial" w:cs="Arial" w:eastAsia="Arial" w:hAnsi="Arial"/>
                <w:sz w:val="18"/>
                <w:szCs w:val="18"/>
                <w:b w:val="1"/>
                <w:bCs w:val="1"/>
                <w:color w:val="auto"/>
              </w:rPr>
              <w:t>For the transition period from</w:t>
            </w:r>
          </w:p>
        </w:tc>
        <w:tc>
          <w:tcPr>
            <w:tcW w:w="2220" w:type="dxa"/>
            <w:vAlign w:val="bottom"/>
          </w:tcPr>
          <w:p>
            <w:pPr>
              <w:ind w:left="140"/>
              <w:spacing w:after="0"/>
              <w:rPr>
                <w:sz w:val="20"/>
                <w:szCs w:val="20"/>
                <w:color w:val="auto"/>
              </w:rPr>
            </w:pPr>
            <w:r>
              <w:rPr>
                <w:rFonts w:ascii="Arial" w:cs="Arial" w:eastAsia="Arial" w:hAnsi="Arial"/>
                <w:sz w:val="18"/>
                <w:szCs w:val="18"/>
                <w:b w:val="1"/>
                <w:bCs w:val="1"/>
                <w:color w:val="auto"/>
              </w:rPr>
              <w:t>to</w:t>
            </w:r>
          </w:p>
        </w:tc>
      </w:tr>
      <w:tr>
        <w:trPr>
          <w:trHeight w:val="351"/>
        </w:trPr>
        <w:tc>
          <w:tcPr>
            <w:tcW w:w="718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4960" w:type="dxa"/>
            <w:vAlign w:val="bottom"/>
          </w:tcPr>
          <w:p>
            <w:pPr>
              <w:jc w:val="center"/>
              <w:ind w:left="2883"/>
              <w:spacing w:after="0"/>
              <w:rPr>
                <w:sz w:val="20"/>
                <w:szCs w:val="20"/>
                <w:color w:val="auto"/>
              </w:rPr>
            </w:pPr>
            <w:r>
              <w:rPr>
                <w:rFonts w:ascii="Arial" w:cs="Arial" w:eastAsia="Arial" w:hAnsi="Arial"/>
                <w:sz w:val="32"/>
                <w:szCs w:val="32"/>
                <w:b w:val="1"/>
                <w:bCs w:val="1"/>
                <w:color w:val="auto"/>
                <w:w w:val="94"/>
              </w:rPr>
              <w:t>Matson, Inc.</w:t>
            </w:r>
          </w:p>
        </w:tc>
        <w:tc>
          <w:tcPr>
            <w:tcW w:w="2220" w:type="dxa"/>
            <w:vAlign w:val="bottom"/>
          </w:tcPr>
          <w:p>
            <w:pPr>
              <w:spacing w:after="0"/>
              <w:rPr>
                <w:sz w:val="24"/>
                <w:szCs w:val="24"/>
                <w:color w:val="auto"/>
              </w:rPr>
            </w:pPr>
          </w:p>
        </w:tc>
      </w:tr>
      <w:tr>
        <w:trPr>
          <w:trHeight w:val="230"/>
        </w:trPr>
        <w:tc>
          <w:tcPr>
            <w:tcW w:w="718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4960" w:type="dxa"/>
            <w:vAlign w:val="bottom"/>
          </w:tcPr>
          <w:p>
            <w:pPr>
              <w:jc w:val="center"/>
              <w:ind w:right="2043"/>
              <w:spacing w:after="0"/>
              <w:rPr>
                <w:sz w:val="20"/>
                <w:szCs w:val="20"/>
                <w:color w:val="auto"/>
              </w:rPr>
            </w:pPr>
            <w:r>
              <w:rPr>
                <w:rFonts w:ascii="Arial" w:cs="Arial" w:eastAsia="Arial" w:hAnsi="Arial"/>
                <w:sz w:val="18"/>
                <w:szCs w:val="18"/>
                <w:b w:val="1"/>
                <w:bCs w:val="1"/>
                <w:color w:val="auto"/>
                <w:w w:val="94"/>
              </w:rPr>
              <w:t>Hawaii</w:t>
            </w:r>
          </w:p>
        </w:tc>
        <w:tc>
          <w:tcPr>
            <w:tcW w:w="222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4960" w:type="dxa"/>
            <w:vAlign w:val="bottom"/>
          </w:tcPr>
          <w:p>
            <w:pPr>
              <w:jc w:val="center"/>
              <w:ind w:right="2043"/>
              <w:spacing w:after="0" w:line="189" w:lineRule="exact"/>
              <w:rPr>
                <w:sz w:val="20"/>
                <w:szCs w:val="20"/>
                <w:color w:val="auto"/>
              </w:rPr>
            </w:pPr>
            <w:r>
              <w:rPr>
                <w:rFonts w:ascii="Arial" w:cs="Arial" w:eastAsia="Arial" w:hAnsi="Arial"/>
                <w:sz w:val="18"/>
                <w:szCs w:val="18"/>
                <w:color w:val="auto"/>
                <w:w w:val="93"/>
              </w:rPr>
              <w:t>(State or other jurisdiction of</w:t>
            </w:r>
          </w:p>
        </w:tc>
        <w:tc>
          <w:tcPr>
            <w:tcW w:w="2220" w:type="dxa"/>
            <w:vAlign w:val="bottom"/>
          </w:tcPr>
          <w:p>
            <w:pPr>
              <w:jc w:val="center"/>
              <w:ind w:left="8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4960" w:type="dxa"/>
            <w:vAlign w:val="bottom"/>
          </w:tcPr>
          <w:p>
            <w:pPr>
              <w:jc w:val="center"/>
              <w:ind w:right="2063"/>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4960" w:type="dxa"/>
            <w:vAlign w:val="bottom"/>
          </w:tcPr>
          <w:p>
            <w:pPr>
              <w:jc w:val="center"/>
              <w:ind w:right="2063"/>
              <w:spacing w:after="0"/>
              <w:rPr>
                <w:sz w:val="20"/>
                <w:szCs w:val="20"/>
                <w:color w:val="auto"/>
              </w:rPr>
            </w:pPr>
            <w:r>
              <w:rPr>
                <w:rFonts w:ascii="Arial" w:cs="Arial" w:eastAsia="Arial" w:hAnsi="Arial"/>
                <w:sz w:val="18"/>
                <w:szCs w:val="18"/>
                <w:b w:val="1"/>
                <w:bCs w:val="1"/>
                <w:color w:val="auto"/>
                <w:w w:val="91"/>
              </w:rPr>
              <w:t>1411 Sand Island Parkway</w:t>
            </w:r>
          </w:p>
        </w:tc>
        <w:tc>
          <w:tcPr>
            <w:tcW w:w="2220" w:type="dxa"/>
            <w:vAlign w:val="bottom"/>
          </w:tcPr>
          <w:p>
            <w:pPr>
              <w:spacing w:after="0"/>
              <w:rPr>
                <w:sz w:val="24"/>
                <w:szCs w:val="24"/>
                <w:color w:val="auto"/>
              </w:rPr>
            </w:pPr>
          </w:p>
        </w:tc>
      </w:tr>
      <w:tr>
        <w:trPr>
          <w:trHeight w:val="193"/>
        </w:trPr>
        <w:tc>
          <w:tcPr>
            <w:tcW w:w="4960" w:type="dxa"/>
            <w:vAlign w:val="bottom"/>
          </w:tcPr>
          <w:p>
            <w:pPr>
              <w:jc w:val="center"/>
              <w:ind w:right="204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2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4960" w:type="dxa"/>
            <w:vAlign w:val="bottom"/>
          </w:tcPr>
          <w:p>
            <w:pPr>
              <w:jc w:val="center"/>
              <w:ind w:right="2003"/>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83" w:lineRule="exact"/>
        <w:rPr>
          <w:sz w:val="24"/>
          <w:szCs w:val="24"/>
          <w:color w:val="auto"/>
        </w:rPr>
      </w:pPr>
    </w:p>
    <w:p>
      <w:pPr>
        <w:ind w:left="166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83" w:lineRule="exact"/>
        <w:rPr>
          <w:sz w:val="24"/>
          <w:szCs w:val="24"/>
          <w:color w:val="auto"/>
        </w:rPr>
      </w:pPr>
    </w:p>
    <w:p>
      <w:pPr>
        <w:sectPr>
          <w:pgSz w:w="11900" w:h="16838" w:orient="portrait"/>
          <w:cols w:equalWidth="0" w:num="2">
            <w:col w:w="6260" w:space="720"/>
            <w:col w:w="3260"/>
          </w:cols>
          <w:pgMar w:left="840" w:top="665" w:right="819" w:bottom="1440" w:gutter="0" w:footer="0" w:header="0"/>
          <w:type w:val="continuous"/>
        </w:sectPr>
      </w:pPr>
    </w:p>
    <w:p>
      <w:pPr>
        <w:ind w:left="170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96" w:lineRule="exact"/>
        <w:rPr>
          <w:sz w:val="24"/>
          <w:szCs w:val="24"/>
          <w:color w:val="auto"/>
        </w:rPr>
      </w:pPr>
    </w:p>
    <w:p>
      <w:pPr>
        <w:sectPr>
          <w:pgSz w:w="11900" w:h="16838" w:orient="portrait"/>
          <w:cols w:equalWidth="0" w:num="2">
            <w:col w:w="5860" w:space="720"/>
            <w:col w:w="3660"/>
          </w:cols>
          <w:pgMar w:left="840" w:top="665" w:right="819" w:bottom="1440" w:gutter="0" w:footer="0" w:header="0"/>
          <w:type w:val="continuous"/>
        </w:sectPr>
      </w:pPr>
    </w:p>
    <w:p>
      <w:pPr>
        <w:ind w:left="65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40"/>
          </w:cols>
          <w:pgMar w:left="840" w:top="665" w:right="819" w:bottom="1440" w:gutter="0" w:footer="0" w:header="0"/>
          <w:type w:val="continuous"/>
        </w:sectPr>
      </w:pPr>
    </w:p>
    <w:p>
      <w:pPr>
        <w:spacing w:after="0" w:line="102"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0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June 30, 2020: 43,075,643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920" w:type="dxa"/>
            <w:vAlign w:val="bottom"/>
          </w:tcPr>
          <w:p>
            <w:pPr>
              <w:ind w:left="2020"/>
              <w:spacing w:after="0"/>
              <w:rPr>
                <w:sz w:val="20"/>
                <w:szCs w:val="20"/>
                <w:color w:val="auto"/>
              </w:rPr>
            </w:pPr>
            <w:r>
              <w:rPr>
                <w:rFonts w:ascii="Arial" w:cs="Arial" w:eastAsia="Arial" w:hAnsi="Arial"/>
                <w:sz w:val="18"/>
                <w:szCs w:val="18"/>
                <w:b w:val="1"/>
                <w:bCs w:val="1"/>
                <w:color w:val="auto"/>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6920" w:type="dxa"/>
            <w:vAlign w:val="bottom"/>
          </w:tcPr>
          <w:p>
            <w:pPr>
              <w:ind w:left="2560"/>
              <w:spacing w:after="0"/>
              <w:rPr>
                <w:sz w:val="20"/>
                <w:szCs w:val="20"/>
                <w:color w:val="auto"/>
              </w:rPr>
            </w:pPr>
            <w:r>
              <w:rPr>
                <w:rFonts w:ascii="Arial" w:cs="Arial" w:eastAsia="Arial" w:hAnsi="Arial"/>
                <w:sz w:val="18"/>
                <w:szCs w:val="18"/>
                <w:b w:val="1"/>
                <w:bCs w:val="1"/>
                <w:color w:val="auto"/>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7860" w:type="dxa"/>
            <w:vAlign w:val="bottom"/>
            <w:gridSpan w:val="2"/>
            <w:vMerge w:val="restart"/>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7860" w:type="dxa"/>
            <w:vAlign w:val="bottom"/>
            <w:gridSpan w:val="2"/>
            <w:vMerge w:val="continue"/>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403"/>
        </w:trPr>
        <w:tc>
          <w:tcPr>
            <w:tcW w:w="94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69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Income and Comprehensive Income</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Shareholders’ Equity</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w:t>
              </w:r>
            </w:hyperlink>
          </w:p>
        </w:tc>
        <w:tc>
          <w:tcPr>
            <w:tcW w:w="6920" w:type="dxa"/>
            <w:vAlign w:val="bottom"/>
          </w:tcPr>
          <w:p>
            <w:pPr>
              <w:ind w:left="80"/>
              <w:spacing w:after="0"/>
              <w:rPr>
                <w:rFonts w:ascii="Arial" w:cs="Arial" w:eastAsia="Arial" w:hAnsi="Arial"/>
                <w:sz w:val="18"/>
                <w:szCs w:val="18"/>
                <w:u w:val="single" w:color="auto"/>
                <w:color w:val="0000EE"/>
                <w:w w:val="96"/>
              </w:rPr>
            </w:pPr>
            <w:hyperlink w:anchor="page18">
              <w:r>
                <w:rPr>
                  <w:rFonts w:ascii="Arial" w:cs="Arial" w:eastAsia="Arial" w:hAnsi="Arial"/>
                  <w:sz w:val="18"/>
                  <w:szCs w:val="18"/>
                  <w:u w:val="single" w:color="auto"/>
                  <w:color w:val="0000EE"/>
                  <w:w w:val="96"/>
                </w:rPr>
                <w:t>Management’s Discussion and Analysis of Financial Condition and Results of Operations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w:t>
              </w:r>
            </w:hyperlink>
          </w:p>
        </w:tc>
        <w:tc>
          <w:tcPr>
            <w:tcW w:w="692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30"/>
        </w:trPr>
        <w:tc>
          <w:tcPr>
            <w:tcW w:w="940" w:type="dxa"/>
            <w:vAlign w:val="bottom"/>
          </w:tcPr>
          <w:p>
            <w:pPr>
              <w:ind w:left="2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w:t>
              </w:r>
            </w:hyperlink>
          </w:p>
        </w:tc>
        <w:tc>
          <w:tcPr>
            <w:tcW w:w="6920" w:type="dxa"/>
            <w:vAlign w:val="bottom"/>
          </w:tcPr>
          <w:p>
            <w:pPr>
              <w:ind w:left="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32"/>
        </w:trPr>
        <w:tc>
          <w:tcPr>
            <w:tcW w:w="7860" w:type="dxa"/>
            <w:vAlign w:val="bottom"/>
            <w:gridSpan w:val="2"/>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Part II—OTHER INFORMATION</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18"/>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1A.</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3.</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4.</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5.</w:t>
              </w:r>
            </w:hyperlink>
          </w:p>
        </w:tc>
        <w:tc>
          <w:tcPr>
            <w:tcW w:w="692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940" w:type="dxa"/>
            <w:vAlign w:val="bottom"/>
          </w:tcPr>
          <w:p>
            <w:pPr>
              <w:ind w:left="2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6.</w:t>
              </w:r>
            </w:hyperlink>
          </w:p>
        </w:tc>
        <w:tc>
          <w:tcPr>
            <w:tcW w:w="6920" w:type="dxa"/>
            <w:vAlign w:val="bottom"/>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6920" w:type="dxa"/>
            <w:vAlign w:val="bottom"/>
          </w:tcPr>
          <w:p>
            <w:pPr>
              <w:ind w:left="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Signatures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424"/>
        </w:trPr>
        <w:tc>
          <w:tcPr>
            <w:tcW w:w="9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5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1,090.3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Income from SSAT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(526.9)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(1,041.8)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0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adjustments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r>
              <w:rPr>
                <w:rFonts w:ascii="Arial" w:cs="Arial" w:eastAsia="Arial" w:hAnsi="Arial"/>
                <w:sz w:val="18"/>
                <w:szCs w:val="18"/>
                <w:u w:val="single" w:color="auto"/>
                <w:color w:val="auto"/>
              </w:rPr>
              <w:t>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ind w:left="200"/>
              <w:spacing w:after="0" w:line="201" w:lineRule="exact"/>
              <w:rPr>
                <w:sz w:val="20"/>
                <w:szCs w:val="20"/>
                <w:color w:val="auto"/>
              </w:rPr>
            </w:pPr>
            <w:r>
              <w:rPr>
                <w:rFonts w:ascii="Arial" w:cs="Arial" w:eastAsia="Arial" w:hAnsi="Arial"/>
                <w:sz w:val="18"/>
                <w:szCs w:val="18"/>
                <w:color w:val="auto"/>
                <w:w w:val="92"/>
              </w:rPr>
              <w:t>Accounts receivable, net of allowance for credit loss of $5.9 million and $4.3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million, respectively</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Investment in SSAT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 net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assets</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2,777.6</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accruals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Long-term debt, net of deferred loan fees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 liabilities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shareholders’ equity</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67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36.6</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operating lease right of use 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340"/>
              <w:spacing w:after="0"/>
              <w:rPr>
                <w:sz w:val="20"/>
                <w:szCs w:val="20"/>
                <w:color w:val="auto"/>
              </w:rPr>
            </w:pPr>
            <w:r>
              <w:rPr>
                <w:rFonts w:ascii="Arial" w:cs="Arial" w:eastAsia="Arial" w:hAnsi="Arial"/>
                <w:sz w:val="16"/>
                <w:szCs w:val="16"/>
                <w:color w:val="auto"/>
              </w:rPr>
              <w:t>Income from SSAT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 from SSAT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(9.3)</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3"/>
        </w:trPr>
        <w:tc>
          <w:tcPr>
            <w:tcW w:w="678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3"/>
        </w:trPr>
        <w:tc>
          <w:tcPr>
            <w:tcW w:w="678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(16.5)</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(34.0)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03"/>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Proceeds from issuance of debt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debt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(192.8)</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3"/>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411.5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(612.6)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(212.8)</w:t>
            </w:r>
          </w:p>
        </w:tc>
        <w:tc>
          <w:tcPr>
            <w:tcW w:w="0" w:type="dxa"/>
            <w:vAlign w:val="bottom"/>
          </w:tcPr>
          <w:p>
            <w:pPr>
              <w:spacing w:after="0"/>
              <w:rPr>
                <w:sz w:val="1"/>
                <w:szCs w:val="1"/>
                <w:color w:val="auto"/>
              </w:rPr>
            </w:pPr>
          </w:p>
        </w:tc>
      </w:tr>
      <w:tr>
        <w:trPr>
          <w:trHeight w:val="202"/>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Payment of financing costs</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(18.5)</w:t>
            </w:r>
          </w:p>
        </w:tc>
        <w:tc>
          <w:tcPr>
            <w:tcW w:w="20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(19.1)</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Reconciliation of Cash, Cash Equivalents and Restricted Cash, End of the Period: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Restricted Cash</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17.9</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(refunds) and payments,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Information: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dividends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149"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149"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7"/>
              </w:rPr>
              <w:t>Common Stock</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5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$ 32.2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$ 504.2</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$ 805.7</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Equity interest in SSAT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($0.22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March 31, 2020</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304.7</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500.7</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800.2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($0.22 per share and $0.23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June 30, 2020</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$ 32.3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306.7</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$ 513.9</w:t>
            </w:r>
          </w:p>
        </w:tc>
        <w:tc>
          <w:tcPr>
            <w:tcW w:w="16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$ 815.5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7"/>
              </w:rPr>
              <w:t>Common Stock</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Retained</w:t>
            </w:r>
          </w:p>
        </w:tc>
        <w:tc>
          <w:tcPr>
            <w:tcW w:w="5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$ 32.0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$ 460.0</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$ 755.3</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Adoption of new lease accounting standard</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($0.21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March 31, 2019</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297.8</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(34.7)</w:t>
            </w:r>
          </w:p>
        </w:tc>
        <w:tc>
          <w:tcPr>
            <w:tcW w:w="14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467.8</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763.0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loss, net of tax</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(0.5)</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2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($0.21 per share and $0.22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96"/>
        </w:trPr>
        <w:tc>
          <w:tcPr>
            <w:tcW w:w="4440" w:type="dxa"/>
            <w:vAlign w:val="bottom"/>
            <w:gridSpan w:val="2"/>
          </w:tcPr>
          <w:p>
            <w:pPr>
              <w:ind w:left="20"/>
              <w:spacing w:after="0"/>
              <w:rPr>
                <w:sz w:val="20"/>
                <w:szCs w:val="20"/>
                <w:color w:val="auto"/>
              </w:rPr>
            </w:pPr>
            <w:r>
              <w:rPr>
                <w:rFonts w:ascii="Arial" w:cs="Arial" w:eastAsia="Arial" w:hAnsi="Arial"/>
                <w:sz w:val="17"/>
                <w:szCs w:val="17"/>
                <w:color w:val="auto"/>
              </w:rPr>
              <w:t>Balance at June 30, 2019</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w:t>
            </w:r>
          </w:p>
        </w:tc>
        <w:tc>
          <w:tcPr>
            <w:tcW w:w="14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$ 32.1</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300.7</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$ 467.6</w:t>
            </w:r>
          </w:p>
        </w:tc>
        <w:tc>
          <w:tcPr>
            <w:tcW w:w="16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$ 765.2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40" w:hanging="59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78"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provides terminal and stevedoring services to various carriers at eight terminal facilities on the U.S. West Coast, including four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390" w:lineRule="exact"/>
        <w:rPr>
          <w:sz w:val="20"/>
          <w:szCs w:val="20"/>
          <w:color w:val="auto"/>
        </w:rPr>
      </w:pPr>
    </w:p>
    <w:p>
      <w:pPr>
        <w:ind w:left="640" w:hanging="59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Consolidated Financial Statements and notes thereto included in the Company’s Annual Report on Form 10-K for the year ended December 31, 2019, filed with the Securities and Exchange Commission (“SEC”) on February 28, 2020.</w:t>
      </w:r>
    </w:p>
    <w:p>
      <w:pPr>
        <w:spacing w:after="0" w:line="165"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covered by this report is June 30, 2020. The period end for MatNav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covered by this report occurred on the last Friday in June, or June 26,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2019.</w:t>
      </w:r>
    </w:p>
    <w:p>
      <w:pPr>
        <w:spacing w:after="0" w:line="184"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the interim condensed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legal contingencies; uninsured risks and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77"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b w:val="1"/>
          <w:bCs w:val="1"/>
          <w:i w:val="1"/>
          <w:iCs w:val="1"/>
          <w:color w:val="auto"/>
        </w:rPr>
        <w:t xml:space="preserve">Allowance for Doubtful Accounts Receivable: </w:t>
      </w:r>
      <w:r>
        <w:rPr>
          <w:rFonts w:ascii="Arial" w:cs="Arial" w:eastAsia="Arial" w:hAnsi="Arial"/>
          <w:sz w:val="17"/>
          <w:szCs w:val="17"/>
          <w:color w:val="auto"/>
        </w:rPr>
        <w:t>Allowance for doubtful accounts receivable is established by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estimates of collectability. Estimates of collectability are principally based on an evaluation of the current financial condition of the customer and the potential risks to collection, the customers’ payment history, expected future credit losses and other factors which are regularly monitored by the Company.</w:t>
      </w:r>
    </w:p>
    <w:p>
      <w:pPr>
        <w:spacing w:after="0" w:line="17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b w:val="1"/>
          <w:bCs w:val="1"/>
          <w:i w:val="1"/>
          <w:iCs w:val="1"/>
          <w:color w:val="auto"/>
        </w:rPr>
        <w:t xml:space="preserve">Recognition of Revenues and Related Expenses: </w:t>
      </w:r>
      <w:r>
        <w:rPr>
          <w:rFonts w:ascii="Arial" w:cs="Arial" w:eastAsia="Arial" w:hAnsi="Arial"/>
          <w:sz w:val="18"/>
          <w:szCs w:val="18"/>
          <w:color w:val="auto"/>
        </w:rPr>
        <w:t>Revenue in the Company’s Condensed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is 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15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r>
      <w:tr>
        <w:trPr>
          <w:trHeight w:val="196"/>
        </w:trPr>
        <w:tc>
          <w:tcPr>
            <w:tcW w:w="5480" w:type="dxa"/>
            <w:vAlign w:val="bottom"/>
            <w:gridSpan w:val="3"/>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140" w:type="dxa"/>
            <w:vAlign w:val="bottom"/>
          </w:tcPr>
          <w:p>
            <w:pPr>
              <w:spacing w:after="0"/>
              <w:rPr>
                <w:sz w:val="17"/>
                <w:szCs w:val="17"/>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2019</w:t>
            </w: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4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5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r>
              <w:rPr>
                <w:rFonts w:ascii="Arial" w:cs="Arial" w:eastAsia="Arial" w:hAnsi="Arial"/>
                <w:sz w:val="18"/>
                <w:szCs w:val="18"/>
                <w:u w:val="single" w:color="auto"/>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62" w:lineRule="exact"/>
        <w:rPr>
          <w:sz w:val="20"/>
          <w:szCs w:val="20"/>
          <w:color w:val="auto"/>
        </w:rPr>
      </w:pPr>
    </w:p>
    <w:p>
      <w:pPr>
        <w:ind w:left="380" w:right="59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revenues and fuel sales revenue categories which are denominated in foreign currencies.</w:t>
      </w:r>
    </w:p>
    <w:p>
      <w:pPr>
        <w:spacing w:after="0" w:line="78" w:lineRule="exact"/>
        <w:rPr>
          <w:sz w:val="20"/>
          <w:szCs w:val="20"/>
          <w:color w:val="auto"/>
        </w:rPr>
      </w:pPr>
    </w:p>
    <w:p>
      <w:pPr>
        <w:ind w:left="380" w:right="119"/>
        <w:spacing w:after="0" w:line="302" w:lineRule="auto"/>
        <w:rPr>
          <w:sz w:val="20"/>
          <w:szCs w:val="20"/>
          <w:color w:val="auto"/>
        </w:rPr>
      </w:pPr>
      <w:r>
        <w:rPr>
          <w:rFonts w:ascii="Arial" w:cs="Arial" w:eastAsia="Arial" w:hAnsi="Arial"/>
          <w:sz w:val="16"/>
          <w:szCs w:val="16"/>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5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140" w:type="dxa"/>
            <w:vAlign w:val="bottom"/>
          </w:tcPr>
          <w:p>
            <w:pPr>
              <w:spacing w:after="0"/>
              <w:rPr>
                <w:sz w:val="14"/>
                <w:szCs w:val="14"/>
                <w:color w:val="auto"/>
              </w:rPr>
            </w:pPr>
          </w:p>
        </w:tc>
        <w:tc>
          <w:tcPr>
            <w:tcW w:w="16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5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5"/>
              </w:rPr>
              <w:t>2019 (2)</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5"/>
              </w:rPr>
              <w:t>2019 (2)</w:t>
            </w:r>
          </w:p>
        </w:tc>
        <w:tc>
          <w:tcPr>
            <w:tcW w:w="0" w:type="dxa"/>
            <w:vAlign w:val="bottom"/>
          </w:tcPr>
          <w:p>
            <w:pPr>
              <w:spacing w:after="0"/>
              <w:rPr>
                <w:sz w:val="1"/>
                <w:szCs w:val="1"/>
                <w:color w:val="auto"/>
              </w:rPr>
            </w:pP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Warehouse and distribution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54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79" w:hanging="330"/>
        <w:spacing w:after="0" w:line="268"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ind w:left="380" w:right="139" w:hanging="330"/>
        <w:spacing w:after="0" w:line="232"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has reclassified $3.0 million and $6.1 million from transportation brokerage and freight forwarding services to warehouse and distribution services for the three and six months ended June 30, 2019, respectively, to be consistent with its current period presentation. There was no change in total Logistics revenue for the three and six months ended June 30,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0" w:right="99"/>
        <w:spacing w:after="0" w:line="254" w:lineRule="auto"/>
        <w:rPr>
          <w:sz w:val="20"/>
          <w:szCs w:val="20"/>
          <w:color w:val="auto"/>
        </w:rPr>
      </w:pPr>
      <w:r>
        <w:rPr>
          <w:rFonts w:ascii="Arial" w:cs="Arial" w:eastAsia="Arial" w:hAnsi="Arial"/>
          <w:sz w:val="18"/>
          <w:szCs w:val="18"/>
          <w:color w:val="auto"/>
        </w:rPr>
        <w:t>Transportation Brokerage and Freight Forwarding services revenue consists of amounts billed to customers for services provided. The primary costs include third-party purchased transportation services, labor and equipment.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25" w:lineRule="exact"/>
        <w:rPr>
          <w:sz w:val="20"/>
          <w:szCs w:val="20"/>
          <w:color w:val="auto"/>
        </w:rPr>
      </w:pPr>
    </w:p>
    <w:p>
      <w:pPr>
        <w:ind w:left="380" w:right="99"/>
        <w:spacing w:after="0" w:line="265"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w:t>
      </w:r>
    </w:p>
    <w:p>
      <w:pPr>
        <w:spacing w:after="0" w:line="178"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b w:val="1"/>
          <w:bCs w:val="1"/>
          <w:i w:val="1"/>
          <w:iCs w:val="1"/>
          <w:color w:val="auto"/>
        </w:rPr>
        <w:t xml:space="preserve">Capital Construction Fund: </w:t>
      </w:r>
      <w:r>
        <w:rPr>
          <w:rFonts w:ascii="Arial" w:cs="Arial" w:eastAsia="Arial" w:hAnsi="Arial"/>
          <w:sz w:val="16"/>
          <w:szCs w:val="16"/>
          <w:color w:val="auto"/>
        </w:rPr>
        <w:t>The Company’s Capital Construction Fund (“CCF”) is described in Note 7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Financial Statements included in Part II, Item 8 of the Company’s Annual Report on Form 10-K for the year ended December 31, 2019. As of June 30, 2020 and December 31, 2019, $1.7 million of eligible accounts receivable was assigned to the CCF.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three and six months ended June 30, 2020, the Company deposited $26.7 million and $97.1 million into the CCF, and made qualifying cash withdrawals of $26.7 million and $97.1 million from the CCF, respectively. The balance of cash on deposit at June 30, 2020 and December 31, 2019 was nominal.</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 xml:space="preserve">Investment in SSAT: </w:t>
      </w:r>
      <w:r>
        <w:rPr>
          <w:rFonts w:ascii="Arial" w:cs="Arial" w:eastAsia="Arial" w:hAnsi="Arial"/>
          <w:sz w:val="16"/>
          <w:szCs w:val="16"/>
          <w:color w:val="auto"/>
        </w:rPr>
        <w:t>Condensed income statement information (unaudited) for SSAT for the three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and 2019 consisted of the following:</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(265.0)</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(495.3)</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(509.2)</w:t>
            </w: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8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80" w:right="759" w:hanging="330"/>
        <w:spacing w:after="0" w:line="237"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20" w:lineRule="exact"/>
        <w:rPr>
          <w:sz w:val="20"/>
          <w:szCs w:val="20"/>
          <w:color w:val="auto"/>
        </w:rPr>
      </w:pPr>
    </w:p>
    <w:p>
      <w:pPr>
        <w:ind w:left="60" w:right="539"/>
        <w:spacing w:after="0" w:line="259" w:lineRule="auto"/>
        <w:rPr>
          <w:sz w:val="20"/>
          <w:szCs w:val="20"/>
          <w:color w:val="auto"/>
        </w:rPr>
      </w:pPr>
      <w:r>
        <w:rPr>
          <w:rFonts w:ascii="Arial" w:cs="Arial" w:eastAsia="Arial" w:hAnsi="Arial"/>
          <w:sz w:val="18"/>
          <w:szCs w:val="18"/>
          <w:color w:val="auto"/>
        </w:rPr>
        <w:t>The Company’s investment in SSAT was $77.5 million and $76.2 million at June 30, 2020 and December 31, 2019, respectively. During the six months ended June 30, 2020, the Company recorded an increase of $2.2 million in its investment in SSAT and a corresponding increase in retained earnings related to the formation of a new subsidiary of SSAT, whose controlling interest is retained by SSAT.</w:t>
      </w:r>
    </w:p>
    <w:p>
      <w:pPr>
        <w:spacing w:after="0" w:line="187"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b w:val="1"/>
          <w:bCs w:val="1"/>
          <w:i w:val="1"/>
          <w:iCs w:val="1"/>
          <w:color w:val="auto"/>
        </w:rPr>
        <w:t xml:space="preserve">Deferred Loan Fees: </w:t>
      </w:r>
      <w:r>
        <w:rPr>
          <w:rFonts w:ascii="Arial" w:cs="Arial" w:eastAsia="Arial" w:hAnsi="Arial"/>
          <w:sz w:val="18"/>
          <w:szCs w:val="18"/>
          <w:color w:val="auto"/>
        </w:rPr>
        <w:t>The Company records deferred loan fees, excluding those related to the revolving credit facility,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reduction to Total Debt in the Company’s Condensed Consolidated Balance Sheets in accordance with Accounting Standards Update (“ASU”) 2015-03, </w:t>
      </w:r>
      <w:r>
        <w:rPr>
          <w:rFonts w:ascii="Arial" w:cs="Arial" w:eastAsia="Arial" w:hAnsi="Arial"/>
          <w:sz w:val="18"/>
          <w:szCs w:val="18"/>
          <w:i w:val="1"/>
          <w:iCs w:val="1"/>
          <w:color w:val="auto"/>
        </w:rPr>
        <w:t>Interest-Imputation of Interest (Subtopic 835-30): Simplifying the Presentation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(“ASU 2015-03”). These costs are being amortized over the life of the related debt using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method (see Note 6).</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Deferred loan fees related to the Company’s revolving credit facility are recorded in other long-term assets in the Company’s Condensed Consolidated Balance Sheets. These deferred loan fees are being amortized using the straight-line method as the difference between that and the use of the effective interest method is not material. These deferred loan fees were $2.8 million and $1.3 million at June 30, 2020 and December 31, 2019, respectively.</w:t>
      </w:r>
    </w:p>
    <w:p>
      <w:pPr>
        <w:spacing w:after="0" w:line="171"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Environmental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Ocean Transportation business has certain risks that could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4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The Company’s second quarter 2020 cash dividend of $0.22 per share was paid on June 4, 2020. On June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the Company’s Board of Directors declared a cash dividend of $0.23 per share payable on September 3,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(“ASU 2016-13”): In June 2016,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(“FASB”) issued ASU 2016-13 which amends the current approach to estimate credit losses on certain financial assets, including trade and other receivables, available-for-sale securities and other financial instruments. ASU 2016-13 requires entities to establish a valuation allowance for the expected lifetime losses of certain financial instruments. Subsequent changes in the valuation allowance are recorded in current earnings and reversal of previous losses is permitted. The new standard is effective for interim and annual periods beginning on or after December 15, 2019.</w:t>
      </w:r>
    </w:p>
    <w:p>
      <w:pPr>
        <w:spacing w:after="0" w:line="164"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Company adopted ASU 2016-13 effective January 1, 2020 using the modified retrospective approach. Upon adoption, the Company included an evaluation of expected future credit losses as part of its estimate for determining the allowance for doubtful accounts. The impact of this change was not material to the Company’s allowance for doubtful accounts receivable in the Condensed Consolidated Financial Statements. The Company will continue to monitor the impact of the recent COVID-19 pandemic on expected future credit losses. The Company’s accounting policy related to allowance for doubtful accounts receivable is described above.</w:t>
      </w:r>
    </w:p>
    <w:p>
      <w:pPr>
        <w:spacing w:after="0" w:line="178"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i w:val="1"/>
          <w:iCs w:val="1"/>
          <w:color w:val="auto"/>
        </w:rPr>
        <w:t xml:space="preserve">Customer’s Accounting for Implementation Costs Incurred in a Cloud Computing Arrangement That is a Service Contract </w:t>
      </w:r>
      <w:r>
        <w:rPr>
          <w:rFonts w:ascii="Arial" w:cs="Arial" w:eastAsia="Arial" w:hAnsi="Arial"/>
          <w:sz w:val="17"/>
          <w:szCs w:val="17"/>
          <w:color w:val="auto"/>
        </w:rPr>
        <w:t>(“ASU 2018-15”): In August 2018, FASB issued ASU 2018-15 which aligns the requirements for capitalizing implementation costs incurred in a hosting arrangement that is a service contract with the requirements for capitalizing costs incurred to develop or obtain internal-use software. The Company adopted ASU 2018-15 on a prospective basis effective January 1, 2020. During the six months ended June 30, 2020, the Company capitalized costs of $1.3 million related to cloud computing arrangements and which were included in other long-term assets on the Company’s Condensed Consolidated Balance Sheets as of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7"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consists of two reportable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78" w:lineRule="exact"/>
        <w:rPr>
          <w:sz w:val="20"/>
          <w:szCs w:val="20"/>
          <w:color w:val="auto"/>
        </w:rPr>
      </w:pPr>
    </w:p>
    <w:p>
      <w:pPr>
        <w:jc w:val="both"/>
        <w:ind w:left="60" w:right="339"/>
        <w:spacing w:after="0" w:line="287" w:lineRule="auto"/>
        <w:rPr>
          <w:sz w:val="20"/>
          <w:szCs w:val="20"/>
          <w:color w:val="auto"/>
        </w:rPr>
      </w:pPr>
      <w:r>
        <w:rPr>
          <w:rFonts w:ascii="Arial" w:cs="Arial" w:eastAsia="Arial" w:hAnsi="Arial"/>
          <w:sz w:val="16"/>
          <w:szCs w:val="16"/>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$24.2 million and $25.3 million for the three months ended June 30, 2020 and 2019, and</w:t>
      </w:r>
    </w:p>
    <w:p>
      <w:pPr>
        <w:spacing w:after="0" w:line="2"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$43.6 million and $47.1 million for the six months ended June 30, 2020 and 2019, respectively, have been eliminated from operating revenues in the table below.</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Reportable segment financial information for the three and six months ended June 30, 2020 and 2019 are as follows: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415.4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524.1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557.9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1,038.0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1,090.3</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220"/>
              <w:spacing w:after="0"/>
              <w:rPr>
                <w:sz w:val="20"/>
                <w:szCs w:val="20"/>
                <w:color w:val="auto"/>
              </w:rPr>
            </w:pPr>
            <w:r>
              <w:rPr>
                <w:rFonts w:ascii="Arial" w:cs="Arial" w:eastAsia="Arial" w:hAnsi="Arial"/>
                <w:sz w:val="18"/>
                <w:szCs w:val="18"/>
                <w:color w:val="auto"/>
              </w:rPr>
              <w:t>Ocean Transportation (3)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tcPr>
          <w:p>
            <w:pPr>
              <w:ind w:left="420"/>
              <w:spacing w:after="0"/>
              <w:rPr>
                <w:sz w:val="20"/>
                <w:szCs w:val="20"/>
                <w:color w:val="auto"/>
              </w:rPr>
            </w:pPr>
            <w:r>
              <w:rPr>
                <w:rFonts w:ascii="Arial" w:cs="Arial" w:eastAsia="Arial" w:hAnsi="Arial"/>
                <w:sz w:val="18"/>
                <w:szCs w:val="18"/>
                <w:color w:val="auto"/>
              </w:rPr>
              <w:t>Total Operating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59" w:hanging="330"/>
        <w:spacing w:after="0" w:line="230"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Ocean Transportation operating revenue excludes inter-segment revenue of $11.9 million and $13.8 million for the three months ended June 30, 2020 and 2019, and $21.3 million and $25.2 million for the six months ended June 30, 2020 and 2019, respectively.</w:t>
      </w:r>
    </w:p>
    <w:p>
      <w:pPr>
        <w:ind w:left="380" w:right="159" w:hanging="330"/>
        <w:spacing w:after="0" w:line="221"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$12.3 million and $11.5 million for the three months ended June 30, 2020 and 2019, and $22.3 million and $21.9 million for the six months ended June 30, 2020 and 2019, respectively.</w:t>
      </w:r>
    </w:p>
    <w:p>
      <w:pPr>
        <w:ind w:left="380" w:right="339" w:hanging="330"/>
        <w:spacing w:after="0" w:line="232" w:lineRule="auto"/>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$3.7 million and $0.9 million of equity in income from the Company’s equity investment in SSAT for the three months ended June 30, 2020 and 2019, and $7.7 million and $9.4 million for the six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June 30, 2020 and December 31, 2019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1,898.2</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construction in progress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(1,177.7)</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96" w:lineRule="auto"/>
        <w:rPr>
          <w:sz w:val="20"/>
          <w:szCs w:val="20"/>
          <w:color w:val="auto"/>
        </w:rPr>
      </w:pPr>
      <w:r>
        <w:rPr>
          <w:rFonts w:ascii="Arial" w:cs="Arial" w:eastAsia="Arial" w:hAnsi="Arial"/>
          <w:sz w:val="16"/>
          <w:szCs w:val="16"/>
          <w:color w:val="auto"/>
        </w:rPr>
        <w:t xml:space="preserve">Vessel construction in progress relates to progress payments for the construction of new vessels, capitalized owner’s items and capitalized interest. During the six months ended June 30, 2020, the newly constructed vessel </w:t>
      </w:r>
      <w:r>
        <w:rPr>
          <w:rFonts w:ascii="Arial" w:cs="Arial" w:eastAsia="Arial" w:hAnsi="Arial"/>
          <w:sz w:val="16"/>
          <w:szCs w:val="16"/>
          <w:i w:val="1"/>
          <w:iCs w:val="1"/>
          <w:color w:val="auto"/>
        </w:rPr>
        <w:t>Lurline</w:t>
      </w:r>
      <w:r>
        <w:rPr>
          <w:rFonts w:ascii="Arial" w:cs="Arial" w:eastAsia="Arial" w:hAnsi="Arial"/>
          <w:sz w:val="16"/>
          <w:szCs w:val="16"/>
          <w:color w:val="auto"/>
        </w:rPr>
        <w:t xml:space="preserve"> was placed into service resulting in $308.2 million, including $16.5 million of capitalized interest, being transferred from the Vessel construction in progress category to the Vessels category within Property and Equipment. Capitalized interest included in Vessel construction in progress was $9.1 million and $22.0 million at June 30, 2020 and December 31, 2019, respectively.</w:t>
      </w:r>
    </w:p>
    <w:p>
      <w:pPr>
        <w:spacing w:after="0" w:line="373" w:lineRule="exact"/>
        <w:rPr>
          <w:sz w:val="20"/>
          <w:szCs w:val="20"/>
          <w:color w:val="auto"/>
        </w:rPr>
      </w:pPr>
    </w:p>
    <w:p>
      <w:pPr>
        <w:ind w:left="640" w:hanging="59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by segment as of June 30, 2020 and December 31, 2019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68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w w:val="93"/>
              </w:rPr>
              <w:t>Ocean</w:t>
            </w:r>
          </w:p>
        </w:tc>
        <w:tc>
          <w:tcPr>
            <w:tcW w:w="180" w:type="dxa"/>
            <w:vAlign w:val="bottom"/>
          </w:tcPr>
          <w:p>
            <w:pPr>
              <w:spacing w:after="0"/>
              <w:rPr>
                <w:sz w:val="14"/>
                <w:szCs w:val="14"/>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Logistics</w:t>
            </w:r>
          </w:p>
        </w:tc>
        <w:tc>
          <w:tcPr>
            <w:tcW w:w="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1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3"/>
          </w:tcPr>
          <w:p>
            <w:pPr>
              <w:ind w:left="20"/>
              <w:spacing w:after="0"/>
              <w:rPr>
                <w:sz w:val="20"/>
                <w:szCs w:val="20"/>
                <w:color w:val="auto"/>
              </w:rPr>
            </w:pPr>
            <w:r>
              <w:rPr>
                <w:rFonts w:ascii="Arial" w:cs="Arial" w:eastAsia="Arial" w:hAnsi="Arial"/>
                <w:sz w:val="18"/>
                <w:szCs w:val="18"/>
                <w:color w:val="auto"/>
                <w:w w:val="89"/>
              </w:rPr>
              <w:t>Intangible assets as of June 30, 2020 and December 31, 2019 consisted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20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5"/>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Ocean Transportation</w:t>
            </w:r>
          </w:p>
        </w:tc>
        <w:tc>
          <w:tcPr>
            <w:tcW w:w="260" w:type="dxa"/>
            <w:vAlign w:val="bottom"/>
          </w:tcPr>
          <w:p>
            <w:pPr>
              <w:spacing w:after="0"/>
              <w:rPr>
                <w:sz w:val="18"/>
                <w:szCs w:val="18"/>
                <w:color w:val="auto"/>
              </w:rPr>
            </w:pPr>
          </w:p>
        </w:tc>
        <w:tc>
          <w:tcPr>
            <w:tcW w:w="68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Customer Relationships,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170.2</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 – Logistics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Intangible Assets,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197.5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deterioration in general economic and market conditions due to the COVID-19 pandemic and its impact on the performance of each of the Company’s reporting units. Based on the Company’s assessment of its market capitalization, future forecasts and the amount of excess of fair value over the carrying value of the reporting units in the 2019 annual impairment tests, the Company concluded that an impairment triggering event did not occur during the quarter ended June 30, 2020.</w:t>
      </w:r>
    </w:p>
    <w:p>
      <w:pPr>
        <w:spacing w:after="0" w:line="192"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a more prolonged and/or severe COVID-19 pandemic,</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or future changes in the assumptions and estimates used in assessing the fair value of the reporting unit, could require the Company to record a non-cash impairment charge.</w:t>
      </w:r>
    </w:p>
    <w:p>
      <w:pPr>
        <w:spacing w:after="0" w:line="342" w:lineRule="exact"/>
        <w:rPr>
          <w:sz w:val="20"/>
          <w:szCs w:val="20"/>
          <w:color w:val="auto"/>
        </w:rPr>
      </w:pPr>
    </w:p>
    <w:p>
      <w:pPr>
        <w:ind w:left="640" w:hanging="59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2020 and December 31, 2019, the Company’s debt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June 30,</w:t>
            </w: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Placement Term Loans: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5.79 %, payable through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3.66 %, payable through 2023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4.16 %, payable through 2027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3.37 %, payable through 2027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3.14 %, payable through 2031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4.31 %, payable through 2032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4.35 %, payable through 2044</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3.92 %, payable through 2045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Title XI Debt: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5.34 %, payable through 2028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5.27 %, payable through 2029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1.22 %, payable through 2043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1.35 %, payable through 2044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maturity date of June 29, 2022</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9"/>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loan fees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Total Long-term Debt, net of deferred loan fees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Except as described below, the Company’s debt is described in Note 6 to the Condensed Consolidated Financial Statements included in the Company’s Quarterly Report on Form 10-Q for the three months ended March 31, 2020.</w:t>
      </w:r>
    </w:p>
    <w:p>
      <w:pPr>
        <w:spacing w:after="0" w:line="146" w:lineRule="exact"/>
        <w:rPr>
          <w:sz w:val="20"/>
          <w:szCs w:val="20"/>
          <w:color w:val="auto"/>
        </w:rPr>
      </w:pPr>
    </w:p>
    <w:p>
      <w:pPr>
        <w:ind w:left="100" w:right="739" w:hanging="44"/>
        <w:spacing w:after="0" w:line="277" w:lineRule="auto"/>
        <w:rPr>
          <w:sz w:val="20"/>
          <w:szCs w:val="20"/>
          <w:color w:val="auto"/>
        </w:rPr>
      </w:pPr>
      <w:r>
        <w:rPr>
          <w:rFonts w:ascii="Arial" w:cs="Arial" w:eastAsia="Arial" w:hAnsi="Arial"/>
          <w:sz w:val="18"/>
          <w:szCs w:val="18"/>
          <w:b w:val="1"/>
          <w:bCs w:val="1"/>
          <w:i w:val="1"/>
          <w:iCs w:val="1"/>
          <w:color w:val="auto"/>
        </w:rPr>
        <w:t xml:space="preserve">Private Placement Term Loans: </w:t>
      </w:r>
      <w:r>
        <w:rPr>
          <w:rFonts w:ascii="Arial" w:cs="Arial" w:eastAsia="Arial" w:hAnsi="Arial"/>
          <w:sz w:val="18"/>
          <w:szCs w:val="18"/>
          <w:color w:val="auto"/>
        </w:rPr>
        <w:t>On May 12, 2020, the Company redeemed private placement term loans totaling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$169.5 million at par out of proceeds from the Company’s revolving credit facility.</w:t>
      </w:r>
    </w:p>
    <w:p>
      <w:pPr>
        <w:spacing w:after="0" w:line="170"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b w:val="1"/>
          <w:bCs w:val="1"/>
          <w:i w:val="1"/>
          <w:iCs w:val="1"/>
          <w:color w:val="auto"/>
        </w:rPr>
        <w:t xml:space="preserve">2020 Title XI Debt: </w:t>
      </w:r>
      <w:r>
        <w:rPr>
          <w:rFonts w:ascii="Arial" w:cs="Arial" w:eastAsia="Arial" w:hAnsi="Arial"/>
          <w:sz w:val="18"/>
          <w:szCs w:val="18"/>
          <w:color w:val="auto"/>
        </w:rPr>
        <w:t>On April 27, 2020, MatNav issued $185.9 million in U.S. Government guaranteed vessel financing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bonds (Title XI) to partially refinance debt incurred in connection with the construction of </w:t>
      </w:r>
      <w:r>
        <w:rPr>
          <w:rFonts w:ascii="Arial" w:cs="Arial" w:eastAsia="Arial" w:hAnsi="Arial"/>
          <w:sz w:val="18"/>
          <w:szCs w:val="18"/>
          <w:i w:val="1"/>
          <w:iCs w:val="1"/>
          <w:color w:val="auto"/>
        </w:rPr>
        <w:t>Daniel K. Inouye</w:t>
      </w:r>
      <w:r>
        <w:rPr>
          <w:rFonts w:ascii="Arial" w:cs="Arial" w:eastAsia="Arial" w:hAnsi="Arial"/>
          <w:sz w:val="18"/>
          <w:szCs w:val="18"/>
          <w:color w:val="auto"/>
        </w:rPr>
        <w:t xml:space="preserve"> (the “DKI Title XI Debt”). A fee of approximately $8.7 million was paid to the United States Maritime Administration (“MARAD”) out of the proceeds at closing. The net proceeds of approximately $177 million were used to reduce outstanding debt. The secured bonds mature on October 15, 2043 and have a cash interest rate of 1.22 percent, payable semi-annually in arrears on April 15 and October 15, commencing on October 15, 2020, together with a principal payment of approximately $4.0 million.</w:t>
      </w:r>
    </w:p>
    <w:p>
      <w:pPr>
        <w:spacing w:after="0" w:line="195"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 xml:space="preserve">On June 22, 2020, MatNav issued $139.6 million in U.S. Government guaranteed vessel financing bonds (Title XI) to partially refinance debt incurred in connection with the construction of </w:t>
      </w:r>
      <w:r>
        <w:rPr>
          <w:rFonts w:ascii="Arial" w:cs="Arial" w:eastAsia="Arial" w:hAnsi="Arial"/>
          <w:sz w:val="17"/>
          <w:szCs w:val="17"/>
          <w:i w:val="1"/>
          <w:iCs w:val="1"/>
          <w:color w:val="auto"/>
        </w:rPr>
        <w:t>Kaimana Hila</w:t>
      </w:r>
      <w:r>
        <w:rPr>
          <w:rFonts w:ascii="Arial" w:cs="Arial" w:eastAsia="Arial" w:hAnsi="Arial"/>
          <w:sz w:val="17"/>
          <w:szCs w:val="17"/>
          <w:color w:val="auto"/>
        </w:rPr>
        <w:t xml:space="preserve"> (together with the DKI Title XI Debt, the “2020 Title XI Debt”). A fee of approximately $6.7 million was paid to MARAD out of the proceeds at closing. The net proceeds of approximately $132.9 million were used to reduce outstanding debt. The secured bonds mature on March 15, 2044 and have a cash interest rate of 1.35 percent, payable semi-annually in arrears on March 15 and September 15, commencing on September 15, 2020, together with a principal payment of approximately $3.0 million.</w:t>
      </w:r>
    </w:p>
    <w:p>
      <w:pPr>
        <w:spacing w:after="0" w:line="178"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Under the 2020 Title XI Debt agreements, MARAD has guaranteed the obligation of MatNav. MatNav has agreed to reimburse MARAD for any payments it makes under the MARAD guarantees and MatNav’s obligations to MARAD are secured by mortgages on the vessels and certain other related assets. The 2020 Title XI Debt is subject to the debt covenants as described in Note 6 to the Condensed Consolidated Financial Statements included in the Company’s Quarterly Report on Form 10-Q for the three months ended March 31, 2020.</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39"/>
        <w:spacing w:after="0" w:line="273" w:lineRule="auto"/>
        <w:rPr>
          <w:sz w:val="20"/>
          <w:szCs w:val="20"/>
          <w:color w:val="auto"/>
        </w:rPr>
      </w:pPr>
      <w:r>
        <w:rPr>
          <w:rFonts w:ascii="Arial" w:cs="Arial" w:eastAsia="Arial" w:hAnsi="Arial"/>
          <w:sz w:val="17"/>
          <w:szCs w:val="17"/>
          <w:b w:val="1"/>
          <w:bCs w:val="1"/>
          <w:i w:val="1"/>
          <w:iCs w:val="1"/>
          <w:color w:val="auto"/>
        </w:rPr>
        <w:t xml:space="preserve">Revolving Credit Facility: </w:t>
      </w:r>
      <w:r>
        <w:rPr>
          <w:rFonts w:ascii="Arial" w:cs="Arial" w:eastAsia="Arial" w:hAnsi="Arial"/>
          <w:sz w:val="17"/>
          <w:szCs w:val="17"/>
          <w:color w:val="auto"/>
        </w:rPr>
        <w:t>As of June 30, 2020, the Company had $433.2 million of remaining borrowing availability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revolving credit facility. The Company used $8.1 million of the sublimit for letters of credit outstanding as of June 30, 2020. Based on the Company’s consolidated net leverage ratio, which stipulates borrowing margins, the interest rate applicable to revolving credit facility was approximately 3.25 percent at June 30, 2020. Borrowings under the revolving credit facility are classified as long-term debt in the Condensed Consolidated Balance Sheets, as principal payments are not required until the maturity date of June 29, 2022.</w:t>
      </w:r>
    </w:p>
    <w:p>
      <w:pPr>
        <w:spacing w:after="0" w:line="178"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was unsecured, except for the 2020 Title XI Debt and other Title XI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Maturities: </w:t>
      </w:r>
      <w:r>
        <w:rPr>
          <w:rFonts w:ascii="Arial" w:cs="Arial" w:eastAsia="Arial" w:hAnsi="Arial"/>
          <w:sz w:val="18"/>
          <w:szCs w:val="18"/>
          <w:color w:val="auto"/>
        </w:rPr>
        <w:t>As of June 30, 2020, debt maturities during the next five years and thereafter are as follows:</w:t>
      </w:r>
    </w:p>
    <w:p>
      <w:pPr>
        <w:sectPr>
          <w:pgSz w:w="11900" w:h="16838" w:orient="portrait"/>
          <w:cols w:equalWidth="0" w:num="1">
            <w:col w:w="9019"/>
          </w:cols>
          <w:pgMar w:left="1440" w:top="517" w:right="1440" w:bottom="1440" w:gutter="0" w:footer="0" w:header="0"/>
        </w:sect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Year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Remainder of 2020</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2024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June 30, 2020</w:t>
      </w:r>
    </w:p>
    <w:p>
      <w:pPr>
        <w:spacing w:after="0" w:line="9" w:lineRule="exact"/>
        <w:rPr>
          <w:sz w:val="20"/>
          <w:szCs w:val="20"/>
          <w:color w:val="auto"/>
        </w:rPr>
      </w:pPr>
    </w:p>
    <w:p>
      <w:pPr>
        <w:ind w:left="862" w:hanging="862"/>
        <w:spacing w:after="0"/>
        <w:tabs>
          <w:tab w:leader="none" w:pos="8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23.7</w:t>
      </w:r>
    </w:p>
    <w:p>
      <w:pPr>
        <w:spacing w:after="0" w:line="30" w:lineRule="exact"/>
        <w:rPr>
          <w:rFonts w:ascii="Arial" w:cs="Arial" w:eastAsia="Arial" w:hAnsi="Arial"/>
          <w:sz w:val="16"/>
          <w:szCs w:val="16"/>
          <w:color w:val="auto"/>
        </w:rPr>
      </w:pPr>
    </w:p>
    <w:p>
      <w:pPr>
        <w:ind w:left="862"/>
        <w:spacing w:after="0"/>
        <w:rPr>
          <w:rFonts w:ascii="Arial" w:cs="Arial" w:eastAsia="Arial" w:hAnsi="Arial"/>
          <w:sz w:val="16"/>
          <w:szCs w:val="16"/>
          <w:color w:val="auto"/>
        </w:rPr>
      </w:pPr>
      <w:r>
        <w:rPr>
          <w:rFonts w:ascii="Arial" w:cs="Arial" w:eastAsia="Arial" w:hAnsi="Arial"/>
          <w:sz w:val="16"/>
          <w:szCs w:val="16"/>
          <w:color w:val="auto"/>
        </w:rPr>
        <w:t>59.2</w:t>
      </w:r>
    </w:p>
    <w:p>
      <w:pPr>
        <w:spacing w:after="0" w:line="32"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243.0</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60.4</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51.7</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452.0</w:t>
      </w:r>
    </w:p>
    <w:p>
      <w:pPr>
        <w:spacing w:after="0" w:line="9" w:lineRule="exact"/>
        <w:rPr>
          <w:sz w:val="20"/>
          <w:szCs w:val="20"/>
          <w:color w:val="auto"/>
        </w:rPr>
      </w:pPr>
    </w:p>
    <w:p>
      <w:pPr>
        <w:ind w:left="762" w:hanging="762"/>
        <w:spacing w:after="0"/>
        <w:tabs>
          <w:tab w:leader="none" w:pos="7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890.0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804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6998" w:space="720"/>
            <w:col w:w="1301"/>
          </w:cols>
          <w:pgMar w:left="1440" w:top="517" w:right="1440" w:bottom="1440" w:gutter="0" w:footer="0" w:header="0"/>
          <w:type w:val="continuous"/>
        </w:sectPr>
      </w:pPr>
    </w:p>
    <w:p>
      <w:pPr>
        <w:spacing w:after="0" w:line="52" w:lineRule="exact"/>
        <w:rPr>
          <w:sz w:val="20"/>
          <w:szCs w:val="20"/>
          <w:color w:val="auto"/>
        </w:rPr>
      </w:pPr>
    </w:p>
    <w:p>
      <w:pPr>
        <w:jc w:val="both"/>
        <w:ind w:left="60" w:right="139"/>
        <w:spacing w:after="0" w:line="286" w:lineRule="auto"/>
        <w:rPr>
          <w:sz w:val="20"/>
          <w:szCs w:val="20"/>
          <w:color w:val="auto"/>
        </w:rPr>
      </w:pPr>
      <w:r>
        <w:rPr>
          <w:rFonts w:ascii="Arial" w:cs="Arial" w:eastAsia="Arial" w:hAnsi="Arial"/>
          <w:sz w:val="17"/>
          <w:szCs w:val="17"/>
          <w:b w:val="1"/>
          <w:bCs w:val="1"/>
          <w:i w:val="1"/>
          <w:iCs w:val="1"/>
          <w:color w:val="auto"/>
        </w:rPr>
        <w:t xml:space="preserve">Deferred Loan Fees: </w:t>
      </w:r>
      <w:r>
        <w:rPr>
          <w:rFonts w:ascii="Arial" w:cs="Arial" w:eastAsia="Arial" w:hAnsi="Arial"/>
          <w:sz w:val="17"/>
          <w:szCs w:val="17"/>
          <w:color w:val="auto"/>
        </w:rPr>
        <w:t>Deferred loan fees are recorded as a reduction of Total Debt in the Condensed Consolidated Balance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Sheets in accordance with Accounting Standards Codification (“ASC”) 835, </w:t>
      </w:r>
      <w:r>
        <w:rPr>
          <w:rFonts w:ascii="Arial" w:cs="Arial" w:eastAsia="Arial" w:hAnsi="Arial"/>
          <w:sz w:val="17"/>
          <w:szCs w:val="17"/>
          <w:i w:val="1"/>
          <w:iCs w:val="1"/>
          <w:color w:val="auto"/>
        </w:rPr>
        <w:t>Imputation of Interest</w:t>
      </w:r>
      <w:r>
        <w:rPr>
          <w:rFonts w:ascii="Arial" w:cs="Arial" w:eastAsia="Arial" w:hAnsi="Arial"/>
          <w:sz w:val="17"/>
          <w:szCs w:val="17"/>
          <w:color w:val="auto"/>
        </w:rPr>
        <w:t xml:space="preserve"> (“ASC 835”). Activity relating to deferred loan fees for the six months ended June 30, 2020 are as follows:</w:t>
      </w:r>
    </w:p>
    <w:p>
      <w:pPr>
        <w:spacing w:after="0" w:line="170" w:lineRule="exact"/>
        <w:rPr>
          <w:sz w:val="20"/>
          <w:szCs w:val="20"/>
          <w:color w:val="auto"/>
        </w:rPr>
      </w:pPr>
    </w:p>
    <w:p>
      <w:pPr>
        <w:ind w:left="60"/>
        <w:spacing w:after="0"/>
        <w:tabs>
          <w:tab w:leader="none" w:pos="8060" w:val="left"/>
        </w:tabs>
        <w:rPr>
          <w:sz w:val="20"/>
          <w:szCs w:val="20"/>
          <w:color w:val="auto"/>
        </w:rPr>
      </w:pPr>
      <w:r>
        <w:rPr>
          <w:rFonts w:ascii="Arial" w:cs="Arial" w:eastAsia="Arial" w:hAnsi="Arial"/>
          <w:sz w:val="14"/>
          <w:szCs w:val="14"/>
          <w:b w:val="1"/>
          <w:bCs w:val="1"/>
          <w:color w:val="auto"/>
        </w:rPr>
        <w:t>Deferred Loan Fees (in millions)</w:t>
      </w:r>
      <w:r>
        <w:rPr>
          <w:sz w:val="20"/>
          <w:szCs w:val="20"/>
          <w:color w:val="auto"/>
        </w:rPr>
        <w:tab/>
      </w: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financing costs related to Title XI bonds and private placement debt amendments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Deferred fees expensed related to the redemption of private placement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Amortization expense for the six months ended June 30, 2020</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862" w:hanging="862"/>
        <w:spacing w:after="0"/>
        <w:tabs>
          <w:tab w:leader="none" w:pos="8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16.5</w:t>
      </w:r>
    </w:p>
    <w:p>
      <w:pPr>
        <w:spacing w:after="0" w:line="7" w:lineRule="exact"/>
        <w:rPr>
          <w:rFonts w:ascii="Arial" w:cs="Arial" w:eastAsia="Arial" w:hAnsi="Arial"/>
          <w:sz w:val="18"/>
          <w:szCs w:val="18"/>
          <w:color w:val="auto"/>
        </w:rPr>
      </w:pPr>
    </w:p>
    <w:p>
      <w:pPr>
        <w:ind w:left="882"/>
        <w:spacing w:after="0"/>
        <w:rPr>
          <w:rFonts w:ascii="Arial" w:cs="Arial" w:eastAsia="Arial" w:hAnsi="Arial"/>
          <w:sz w:val="18"/>
          <w:szCs w:val="18"/>
          <w:color w:val="auto"/>
        </w:rPr>
      </w:pPr>
      <w:r>
        <w:rPr>
          <w:rFonts w:ascii="Arial" w:cs="Arial" w:eastAsia="Arial" w:hAnsi="Arial"/>
          <w:sz w:val="16"/>
          <w:szCs w:val="16"/>
          <w:color w:val="auto"/>
        </w:rPr>
        <w:t>(0.3)</w:t>
      </w:r>
    </w:p>
    <w:p>
      <w:pPr>
        <w:spacing w:after="0" w:line="32" w:lineRule="exact"/>
        <w:rPr>
          <w:rFonts w:ascii="Arial" w:cs="Arial" w:eastAsia="Arial" w:hAnsi="Arial"/>
          <w:sz w:val="18"/>
          <w:szCs w:val="18"/>
          <w:color w:val="auto"/>
        </w:rPr>
      </w:pPr>
    </w:p>
    <w:p>
      <w:pPr>
        <w:ind w:left="882"/>
        <w:spacing w:after="0"/>
        <w:rPr>
          <w:rFonts w:ascii="Arial" w:cs="Arial" w:eastAsia="Arial" w:hAnsi="Arial"/>
          <w:sz w:val="18"/>
          <w:szCs w:val="18"/>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804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12" w:lineRule="exact"/>
        <w:rPr>
          <w:sz w:val="20"/>
          <w:szCs w:val="20"/>
          <w:color w:val="auto"/>
        </w:rPr>
      </w:pPr>
    </w:p>
    <w:p>
      <w:pPr>
        <w:ind w:left="862" w:hanging="862"/>
        <w:spacing w:after="0"/>
        <w:tabs>
          <w:tab w:leader="none" w:pos="8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804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804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998" w:space="720"/>
            <w:col w:w="1301"/>
          </w:cols>
          <w:pgMar w:left="1440" w:top="517" w:right="1440" w:bottom="1440" w:gutter="0" w:footer="0" w:header="0"/>
          <w:type w:val="continuous"/>
        </w:sectPr>
      </w:pPr>
    </w:p>
    <w:p>
      <w:pPr>
        <w:spacing w:after="0" w:line="52"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As of June 30, 2020, amortization expense relating to deferred loan fees during the next five years and thereafter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(in millions)</w:t>
            </w:r>
          </w:p>
        </w:tc>
        <w:tc>
          <w:tcPr>
            <w:tcW w:w="220" w:type="dxa"/>
            <w:vAlign w:val="bottom"/>
          </w:tcPr>
          <w:p>
            <w:pPr>
              <w:spacing w:after="0"/>
              <w:rPr>
                <w:sz w:val="14"/>
                <w:szCs w:val="14"/>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Amount</w:t>
            </w: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9"/>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amortization expense of deferred loan fees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40" w:hanging="590"/>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Company’s leases are described in Note 9 to the Consolidated Financial Statements included in Part II, Item 8 of the Company’s Annual Report on Form 10-K for the year ended December 31,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Condensed Consolidated Statement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and Comprehensive Income for the three and six months ended June 30, 2020 and 2019 consisted of the following:</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i w:val="1"/>
          <w:iCs w:val="1"/>
          <w:color w:val="auto"/>
        </w:rPr>
        <w:t xml:space="preserve">Sale and Leaseback of Equipment: </w:t>
      </w:r>
      <w:r>
        <w:rPr>
          <w:rFonts w:ascii="Arial" w:cs="Arial" w:eastAsia="Arial" w:hAnsi="Arial"/>
          <w:sz w:val="17"/>
          <w:szCs w:val="17"/>
          <w:color w:val="auto"/>
        </w:rPr>
        <w:t>On March 25, 2020, the Company entered into an agreement for the sale and leaseback</w:t>
      </w:r>
      <w:r>
        <w:rPr>
          <w:rFonts w:ascii="Arial" w:cs="Arial" w:eastAsia="Arial" w:hAnsi="Arial"/>
          <w:sz w:val="17"/>
          <w:szCs w:val="17"/>
          <w:i w:val="1"/>
          <w:iCs w:val="1"/>
          <w:color w:val="auto"/>
        </w:rPr>
        <w:t xml:space="preserve"> </w:t>
      </w:r>
      <w:r>
        <w:rPr>
          <w:rFonts w:ascii="Arial" w:cs="Arial" w:eastAsia="Arial" w:hAnsi="Arial"/>
          <w:sz w:val="17"/>
          <w:szCs w:val="17"/>
          <w:color w:val="auto"/>
        </w:rPr>
        <w:t>of multiple tranches of chassis and container equipment. The net proceeds from the sales were $14.3 million, and the gain on the disposal of the equipment was not material to the Company’s Condensed Consolidated Financial Statements. The Company subsequently leased back the equipment under a five-year operating lease agreement that includes purchase options exercisable at fair market value. There were no sale and leaseback transactions during the three months ended June 30, 2020, and during the six months ended June 30, 2019.</w:t>
      </w:r>
    </w:p>
    <w:p>
      <w:pPr>
        <w:spacing w:after="0" w:line="200" w:lineRule="exact"/>
        <w:rPr>
          <w:sz w:val="20"/>
          <w:szCs w:val="20"/>
          <w:color w:val="auto"/>
        </w:rPr>
      </w:pPr>
    </w:p>
    <w:p>
      <w:pPr>
        <w:spacing w:after="0" w:line="230" w:lineRule="exact"/>
        <w:rPr>
          <w:sz w:val="20"/>
          <w:szCs w:val="20"/>
          <w:color w:val="auto"/>
        </w:rPr>
      </w:pPr>
    </w:p>
    <w:p>
      <w:pPr>
        <w:ind w:left="620" w:hanging="570"/>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2020 are as follows:</w:t>
      </w:r>
    </w:p>
    <w:tbl>
      <w:tblPr>
        <w:tblLayout w:type="fixed"/>
        <w:tblInd w:w="6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Post-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3"/>
              </w:rPr>
              <w:t>Pensions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Qualified</w:t>
            </w:r>
          </w:p>
        </w:tc>
        <w:tc>
          <w:tcPr>
            <w:tcW w:w="200" w:type="dxa"/>
            <w:vAlign w:val="bottom"/>
          </w:tcPr>
          <w:p>
            <w:pPr>
              <w:spacing w:after="0"/>
              <w:rPr>
                <w:sz w:val="12"/>
                <w:szCs w:val="12"/>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8"/>
              </w:rPr>
              <w:t>Retirement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53"/>
              <w:spacing w:after="0" w:line="158" w:lineRule="exact"/>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09"/>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net loss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Foreign currency exchange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adjustments</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rPr>
                <w:sz w:val="20"/>
                <w:szCs w:val="20"/>
                <w:color w:val="auto"/>
              </w:rPr>
            </w:pPr>
            <w:r>
              <w:rPr>
                <w:rFonts w:ascii="Arial" w:cs="Arial" w:eastAsia="Arial" w:hAnsi="Arial"/>
                <w:sz w:val="18"/>
                <w:szCs w:val="18"/>
                <w:color w:val="auto"/>
              </w:rPr>
              <w:t>Amortization of net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adjustments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2019 consisted of the following:</w:t>
      </w:r>
    </w:p>
    <w:tbl>
      <w:tblPr>
        <w:tblLayout w:type="fixed"/>
        <w:tblInd w:w="40" w:type="dxa"/>
        <w:tblCellMar>
          <w:top w:w="0" w:type="dxa"/>
          <w:left w:w="0" w:type="dxa"/>
          <w:bottom w:w="0" w:type="dxa"/>
          <w:right w:w="0" w:type="dxa"/>
        </w:tblCellMar>
      </w:tblPr>
      <w:tr>
        <w:trPr>
          <w:trHeight w:val="141"/>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3"/>
              </w:rPr>
              <w:t>Pensions</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Retirement</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March 31, 2019</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(0.3)</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(0.4)</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64"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44" w:lineRule="exact"/>
        <w:rPr>
          <w:sz w:val="20"/>
          <w:szCs w:val="20"/>
          <w:color w:val="auto"/>
        </w:rPr>
      </w:pPr>
    </w:p>
    <w:p>
      <w:pPr>
        <w:ind w:left="60" w:right="21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June 30, 2020 and December 31, 2019 are as follows:</w:t>
      </w:r>
    </w:p>
    <w:tbl>
      <w:tblPr>
        <w:tblLayout w:type="fixed"/>
        <w:tblInd w:w="20" w:type="dxa"/>
        <w:tblCellMar>
          <w:top w:w="0" w:type="dxa"/>
          <w:left w:w="0" w:type="dxa"/>
          <w:bottom w:w="0" w:type="dxa"/>
          <w:right w:w="0" w:type="dxa"/>
        </w:tblCellMar>
      </w:tblPr>
      <w:tr>
        <w:trPr>
          <w:trHeight w:val="141"/>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Quoted Prices in</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040" w:type="dxa"/>
            <w:vAlign w:val="bottom"/>
            <w:gridSpan w:val="3"/>
          </w:tcPr>
          <w:p>
            <w:pPr>
              <w:ind w:left="180"/>
              <w:spacing w:after="0" w:line="14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Active Markets</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7"/>
              </w:rPr>
              <w:t>Carrying Value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Inputs (Level 2)</w:t>
            </w:r>
          </w:p>
        </w:tc>
        <w:tc>
          <w:tcPr>
            <w:tcW w:w="120" w:type="dxa"/>
            <w:vAlign w:val="bottom"/>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Inputs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35"/>
              <w:spacing w:after="0" w:line="129" w:lineRule="exact"/>
              <w:rPr>
                <w:sz w:val="20"/>
                <w:szCs w:val="20"/>
                <w:color w:val="auto"/>
              </w:rPr>
            </w:pPr>
            <w:r>
              <w:rPr>
                <w:rFonts w:ascii="Arial" w:cs="Arial" w:eastAsia="Arial" w:hAnsi="Arial"/>
                <w:sz w:val="14"/>
                <w:szCs w:val="14"/>
                <w:b w:val="1"/>
                <w:bCs w:val="1"/>
                <w:color w:val="auto"/>
                <w:w w:val="92"/>
              </w:rPr>
              <w:t>June 30, 2020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60" w:type="dxa"/>
            <w:vAlign w:val="bottom"/>
            <w:gridSpan w:val="9"/>
          </w:tcPr>
          <w:p>
            <w:pPr>
              <w:spacing w:after="0" w:line="129" w:lineRule="exact"/>
              <w:rPr>
                <w:sz w:val="20"/>
                <w:szCs w:val="20"/>
                <w:color w:val="auto"/>
              </w:rPr>
            </w:pPr>
            <w:r>
              <w:rPr>
                <w:rFonts w:ascii="Arial" w:cs="Arial" w:eastAsia="Arial" w:hAnsi="Arial"/>
                <w:sz w:val="14"/>
                <w:szCs w:val="14"/>
                <w:b w:val="1"/>
                <w:bCs w:val="1"/>
                <w:color w:val="auto"/>
              </w:rPr>
              <w:t>Fair Value Measurements at June 30, 2020</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Fixed rate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712.0</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708.9</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708.9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Pr>
          <w:p>
            <w:pPr>
              <w:spacing w:after="0"/>
              <w:rPr>
                <w:sz w:val="24"/>
                <w:szCs w:val="24"/>
                <w:color w:val="auto"/>
              </w:rPr>
            </w:pPr>
          </w:p>
        </w:tc>
        <w:tc>
          <w:tcPr>
            <w:tcW w:w="3760" w:type="dxa"/>
            <w:vAlign w:val="bottom"/>
            <w:gridSpan w:val="10"/>
          </w:tcPr>
          <w:p>
            <w:pPr>
              <w:ind w:left="600"/>
              <w:spacing w:after="0"/>
              <w:rPr>
                <w:sz w:val="20"/>
                <w:szCs w:val="20"/>
                <w:color w:val="auto"/>
              </w:rPr>
            </w:pPr>
            <w:r>
              <w:rPr>
                <w:rFonts w:ascii="Arial" w:cs="Arial" w:eastAsia="Arial" w:hAnsi="Arial"/>
                <w:sz w:val="14"/>
                <w:szCs w:val="14"/>
                <w:b w:val="1"/>
                <w:bCs w:val="1"/>
                <w:color w:val="auto"/>
                <w:w w:val="99"/>
              </w:rPr>
              <w:t>Fair Value Measurements at December 31, 2019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6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Fixed rate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579.3</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585.9</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585.9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720" w:hanging="670"/>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June 30, 2020 and 2019.</w:t>
      </w:r>
    </w:p>
    <w:p>
      <w:pPr>
        <w:spacing w:after="0" w:line="90"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denominators used to compute basic and diluted earnings per share for the three and six months ended June 30, 2020 and 2019 are as follows: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12"/>
          </w:tcPr>
          <w:p>
            <w:pPr>
              <w:jc w:val="center"/>
              <w:ind w:right="120"/>
              <w:spacing w:after="0"/>
              <w:rPr>
                <w:sz w:val="20"/>
                <w:szCs w:val="20"/>
                <w:color w:val="auto"/>
              </w:rPr>
            </w:pPr>
            <w:r>
              <w:rPr>
                <w:rFonts w:ascii="Arial" w:cs="Arial" w:eastAsia="Arial" w:hAnsi="Arial"/>
                <w:sz w:val="13"/>
                <w:szCs w:val="13"/>
                <w:b w:val="1"/>
                <w:bCs w:val="1"/>
                <w:color w:val="auto"/>
                <w:w w:val="94"/>
              </w:rPr>
              <w:t>Three Months Ended June 30, 2020</w:t>
            </w:r>
          </w:p>
        </w:tc>
        <w:tc>
          <w:tcPr>
            <w:tcW w:w="100" w:type="dxa"/>
            <w:vAlign w:val="bottom"/>
          </w:tcPr>
          <w:p>
            <w:pPr>
              <w:spacing w:after="0"/>
              <w:rPr>
                <w:sz w:val="14"/>
                <w:szCs w:val="14"/>
                <w:color w:val="auto"/>
              </w:rPr>
            </w:pPr>
          </w:p>
        </w:tc>
        <w:tc>
          <w:tcPr>
            <w:tcW w:w="2000" w:type="dxa"/>
            <w:vAlign w:val="bottom"/>
            <w:gridSpan w:val="9"/>
          </w:tcPr>
          <w:p>
            <w:pPr>
              <w:jc w:val="center"/>
              <w:spacing w:after="0"/>
              <w:rPr>
                <w:sz w:val="20"/>
                <w:szCs w:val="20"/>
                <w:color w:val="auto"/>
              </w:rPr>
            </w:pPr>
            <w:r>
              <w:rPr>
                <w:rFonts w:ascii="Arial" w:cs="Arial" w:eastAsia="Arial" w:hAnsi="Arial"/>
                <w:sz w:val="13"/>
                <w:szCs w:val="13"/>
                <w:b w:val="1"/>
                <w:bCs w:val="1"/>
                <w:color w:val="auto"/>
                <w:w w:val="93"/>
              </w:rPr>
              <w:t>Six Months Ended June 30, 2020</w:t>
            </w:r>
          </w:p>
        </w:tc>
      </w:tr>
      <w:tr>
        <w:trPr>
          <w:trHeight w:val="129"/>
        </w:trPr>
        <w:tc>
          <w:tcPr>
            <w:tcW w:w="4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5"/>
              </w:rPr>
              <w:t>Per</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4"/>
          </w:tcPr>
          <w:p>
            <w:pPr>
              <w:jc w:val="center"/>
              <w:ind w:right="160"/>
              <w:spacing w:after="0" w:line="129" w:lineRule="exact"/>
              <w:rPr>
                <w:sz w:val="20"/>
                <w:szCs w:val="20"/>
                <w:color w:val="auto"/>
              </w:rPr>
            </w:pPr>
            <w:r>
              <w:rPr>
                <w:rFonts w:ascii="Arial" w:cs="Arial" w:eastAsia="Arial" w:hAnsi="Arial"/>
                <w:sz w:val="13"/>
                <w:szCs w:val="13"/>
                <w:b w:val="1"/>
                <w:bCs w:val="1"/>
                <w:color w:val="auto"/>
                <w:w w:val="95"/>
              </w:rPr>
              <w:t>Weighted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3"/>
                <w:szCs w:val="13"/>
                <w:b w:val="1"/>
                <w:bCs w:val="1"/>
                <w:color w:val="auto"/>
                <w:w w:val="95"/>
              </w:rPr>
              <w:t>Per</w:t>
            </w:r>
          </w:p>
        </w:tc>
      </w:tr>
      <w:tr>
        <w:trPr>
          <w:trHeight w:val="148"/>
        </w:trPr>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Average</w:t>
            </w:r>
          </w:p>
        </w:tc>
        <w:tc>
          <w:tcPr>
            <w:tcW w:w="2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Common</w:t>
            </w:r>
          </w:p>
        </w:tc>
      </w:tr>
      <w:tr>
        <w:trPr>
          <w:trHeight w:val="148"/>
        </w:trPr>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20"/>
              <w:spacing w:after="0"/>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3"/>
              </w:rPr>
              <w:t>Share</w:t>
            </w:r>
          </w:p>
        </w:tc>
        <w:tc>
          <w:tcPr>
            <w:tcW w:w="10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12"/>
                <w:szCs w:val="12"/>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39"/>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420" w:type="dxa"/>
            <w:vAlign w:val="bottom"/>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7"/>
              </w:rPr>
              <w:t>Amount</w:t>
            </w: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Income</w:t>
            </w:r>
          </w:p>
        </w:tc>
        <w:tc>
          <w:tcPr>
            <w:tcW w:w="20" w:type="dxa"/>
            <w:vAlign w:val="bottom"/>
          </w:tcPr>
          <w:p>
            <w:pPr>
              <w:spacing w:after="0"/>
              <w:rPr>
                <w:sz w:val="14"/>
                <w:szCs w:val="14"/>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Shares</w:t>
            </w:r>
          </w:p>
        </w:tc>
        <w:tc>
          <w:tcPr>
            <w:tcW w:w="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Amount</w:t>
            </w: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2"/>
          </w:tcPr>
          <w:p>
            <w:pPr>
              <w:jc w:val="center"/>
              <w:ind w:right="160"/>
              <w:spacing w:after="0"/>
              <w:rPr>
                <w:sz w:val="20"/>
                <w:szCs w:val="20"/>
                <w:color w:val="auto"/>
              </w:rPr>
            </w:pPr>
            <w:r>
              <w:rPr>
                <w:rFonts w:ascii="Arial" w:cs="Arial" w:eastAsia="Arial" w:hAnsi="Arial"/>
                <w:sz w:val="13"/>
                <w:szCs w:val="13"/>
                <w:b w:val="1"/>
                <w:bCs w:val="1"/>
                <w:color w:val="auto"/>
                <w:w w:val="94"/>
              </w:rPr>
              <w:t>Three Months Ended June 30, 2019</w:t>
            </w:r>
          </w:p>
        </w:tc>
        <w:tc>
          <w:tcPr>
            <w:tcW w:w="100" w:type="dxa"/>
            <w:vAlign w:val="bottom"/>
          </w:tcPr>
          <w:p>
            <w:pPr>
              <w:spacing w:after="0"/>
              <w:rPr>
                <w:sz w:val="24"/>
                <w:szCs w:val="24"/>
                <w:color w:val="auto"/>
              </w:rPr>
            </w:pPr>
          </w:p>
        </w:tc>
        <w:tc>
          <w:tcPr>
            <w:tcW w:w="2000" w:type="dxa"/>
            <w:vAlign w:val="bottom"/>
            <w:gridSpan w:val="9"/>
          </w:tcPr>
          <w:p>
            <w:pPr>
              <w:jc w:val="center"/>
              <w:spacing w:after="0"/>
              <w:rPr>
                <w:sz w:val="20"/>
                <w:szCs w:val="20"/>
                <w:color w:val="auto"/>
              </w:rPr>
            </w:pPr>
            <w:r>
              <w:rPr>
                <w:rFonts w:ascii="Arial" w:cs="Arial" w:eastAsia="Arial" w:hAnsi="Arial"/>
                <w:sz w:val="13"/>
                <w:szCs w:val="13"/>
                <w:b w:val="1"/>
                <w:bCs w:val="1"/>
                <w:color w:val="auto"/>
                <w:w w:val="93"/>
              </w:rPr>
              <w:t>Six Months Ended June 30, 2019</w:t>
            </w:r>
          </w:p>
        </w:tc>
      </w:tr>
      <w:tr>
        <w:trPr>
          <w:trHeight w:val="129"/>
        </w:trPr>
        <w:tc>
          <w:tcPr>
            <w:tcW w:w="4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3"/>
                <w:szCs w:val="13"/>
                <w:b w:val="1"/>
                <w:bCs w:val="1"/>
                <w:color w:val="auto"/>
                <w:w w:val="95"/>
              </w:rPr>
              <w:t>Per</w:t>
            </w:r>
          </w:p>
        </w:tc>
        <w:tc>
          <w:tcPr>
            <w:tcW w:w="140" w:type="dxa"/>
            <w:vAlign w:val="bottom"/>
            <w:gridSpan w:val="2"/>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3"/>
                <w:szCs w:val="13"/>
                <w:b w:val="1"/>
                <w:bCs w:val="1"/>
                <w:color w:val="auto"/>
                <w:w w:val="92"/>
              </w:rPr>
              <w:t>Weighted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3"/>
                <w:szCs w:val="13"/>
                <w:b w:val="1"/>
                <w:bCs w:val="1"/>
                <w:color w:val="auto"/>
                <w:w w:val="95"/>
              </w:rPr>
              <w:t>Per</w:t>
            </w:r>
          </w:p>
        </w:tc>
      </w:tr>
      <w:tr>
        <w:trPr>
          <w:trHeight w:val="149"/>
        </w:trPr>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2"/>
                <w:szCs w:val="12"/>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Common</w:t>
            </w:r>
          </w:p>
        </w:tc>
      </w:tr>
      <w:tr>
        <w:trPr>
          <w:trHeight w:val="149"/>
        </w:trPr>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40"/>
              <w:spacing w:after="0"/>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2"/>
                <w:szCs w:val="12"/>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Share</w:t>
            </w:r>
          </w:p>
        </w:tc>
        <w:tc>
          <w:tcPr>
            <w:tcW w:w="10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12"/>
                <w:szCs w:val="12"/>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420" w:type="dxa"/>
            <w:vAlign w:val="bottom"/>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Income</w:t>
            </w:r>
          </w:p>
        </w:tc>
        <w:tc>
          <w:tcPr>
            <w:tcW w:w="20" w:type="dxa"/>
            <w:vAlign w:val="bottom"/>
          </w:tcPr>
          <w:p>
            <w:pPr>
              <w:spacing w:after="0"/>
              <w:rPr>
                <w:sz w:val="14"/>
                <w:szCs w:val="14"/>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Amount</w:t>
            </w:r>
          </w:p>
        </w:tc>
      </w:tr>
      <w:tr>
        <w:trPr>
          <w:trHeight w:val="210"/>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During the three and six months ended June 30, 2020, the Company granted approximately 22,000 and 338,200 in total of time-based restricted stock units and performance-based shares to certain of its employees at a weighted average grant date fair value of $27.30 and $38.64, respectively.</w:t>
      </w:r>
    </w:p>
    <w:p>
      <w:pPr>
        <w:spacing w:after="0" w:line="18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Total share-based compensation cost recognized in the Condensed Consolidated Statements of Income and Comprehensive Income as a component of selling, general and administrative expenses was $3.0 million and $3.0 million for the three months ended June 30, 2020 and 2019, and $6.1 million and $6.2 million for the six months ended June 30, 2020 and 2019, respectively. Total unrecognized compensation cost related to unvested share-based compensation arrangements was $17.5 million at June 30, 2020, and is expected to be recognized over a weighted average period of approximately 2.0 years. Total unrecognized compensation cost may be adjusted for any unearned performance shares or forfeited shares.</w:t>
      </w:r>
    </w:p>
    <w:p>
      <w:pPr>
        <w:spacing w:after="0" w:line="376" w:lineRule="exact"/>
        <w:rPr>
          <w:sz w:val="20"/>
          <w:szCs w:val="20"/>
          <w:color w:val="auto"/>
        </w:rPr>
      </w:pPr>
    </w:p>
    <w:p>
      <w:pPr>
        <w:ind w:left="720" w:hanging="670"/>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The Company’s pension and post-retirement plans are described in Note 11 to the Consolidated Financial Statements included in Part II, Item 8 of the Company’s Annual Report on Form 10-K for the year ended December 31, 2019. Components of net periodic benefit cost and other amounts recognized in Other Comprehensive Income (Loss) for the qualified pension plans and the post-retirement benefit plans for the three and six months ended June 30, 2020 and 2019 consisted of the following:</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Pension Benefits</w:t>
            </w:r>
          </w:p>
        </w:tc>
        <w:tc>
          <w:tcPr>
            <w:tcW w:w="120" w:type="dxa"/>
            <w:vAlign w:val="bottom"/>
          </w:tcPr>
          <w:p>
            <w:pPr>
              <w:spacing w:after="0"/>
              <w:rPr>
                <w:sz w:val="13"/>
                <w:szCs w:val="13"/>
                <w:color w:val="auto"/>
              </w:rPr>
            </w:pPr>
          </w:p>
        </w:tc>
        <w:tc>
          <w:tcPr>
            <w:tcW w:w="19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1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 June 30,</w:t>
            </w: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Pension Benefits</w:t>
            </w:r>
          </w:p>
        </w:tc>
        <w:tc>
          <w:tcPr>
            <w:tcW w:w="120" w:type="dxa"/>
            <w:vAlign w:val="bottom"/>
          </w:tcPr>
          <w:p>
            <w:pPr>
              <w:spacing w:after="0"/>
              <w:rPr>
                <w:sz w:val="24"/>
                <w:szCs w:val="24"/>
                <w:color w:val="auto"/>
              </w:rPr>
            </w:pPr>
          </w:p>
        </w:tc>
        <w:tc>
          <w:tcPr>
            <w:tcW w:w="19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4"/>
                <w:szCs w:val="14"/>
                <w:color w:val="auto"/>
              </w:rPr>
            </w:pPr>
          </w:p>
        </w:tc>
        <w:tc>
          <w:tcPr>
            <w:tcW w:w="19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2"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II, Item 1A, “Risk Factors” of Matson’s Quarterly Report on Form 10-Q for the period ended March 31, 2020.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2019, the Company’s reports on Forms 10-Q and 8-K, and other publicly available information.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 QUARTER 2020 DISCUSSION AND UPDATE ON BUSINESS CONDITIONS</w:t>
      </w:r>
    </w:p>
    <w:p>
      <w:pPr>
        <w:spacing w:after="0" w:line="229"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Company’s container volume in the Hawaii service in the second quarter 2020 was 4.0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lower year-over-year primarily due to lower volume as a result of the state’s COVID-19 mitigation efforts including restrictions on tourism, partially offset by volume associated with the dry-docking of one of Pasha’s vessels. The westbound container market in the second quarter 2020 declined approximately 15 percent year-over-year. Since March of this year, the State of Hawaii implemented several orders to address the spread of COVID-19 on the islands. As a result, tourism to Hawaii has been near-zero and is expected to have a meaningfully negative impact on Hawaii’s economy in the near-term.</w:t>
      </w:r>
    </w:p>
    <w:p>
      <w:pPr>
        <w:spacing w:after="0" w:line="195"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In China, the Company’s container volume in the second quarter 2020 was 68.1 percent higher year-over-year primarily due to volume from a supplemental “CLX+” service with vessel charter sailings added during the quarter in addition to higher volume on the CLX service. Matson continued to realize a rate premium in the second quarter 2020 and achieved average freight rates that were higher than in the year ago period. The Company expects the disruption and loss of capacity in the transpacific air cargo and ocean freight markets to provide opportunities for its differentiated, expedited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CLX service as well as its supplemental CLX+ chartered vessel service. Matson will continue to offer the CLX+ service through the peak season (end of October) and potentially longer as customers’ needs dictate.</w:t>
      </w:r>
    </w:p>
    <w:p>
      <w:pPr>
        <w:spacing w:after="0" w:line="170"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Guam, the Company’s container volume in the second quarter 2020 was 12.5 percent lower due to lower demand for retail-related goods as COVID-19 mitigation measures remained in effect. In the near-term, we expect the retail environment to modestly improve with businesses reopening, but the loss of tourism is expected to have a negative impact on the Guam economy.</w:t>
      </w:r>
    </w:p>
    <w:p>
      <w:pPr>
        <w:spacing w:after="0" w:line="187"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In Alaska, the Company’s container volume for the second quarter 2020 decreased 9.0 percent year-over-year with lower northbound volume primarily due to lower demand for retail-related goods, as an effect of the state’s COVID-19 mitigation efforts, and one less sailing compared to the prior year period, and moderately lower southbound volume. Despite improved economic activity in the state during the latter half of the second quarter resulting from the gradual reopening of the local economy, the residual negative economic effects from the COVID-19 pandemic coupled with a low oil price environment is expected to have a meaningfully negative impact on Alaska’s economy in the near-term.</w:t>
      </w:r>
    </w:p>
    <w:p>
      <w:pPr>
        <w:spacing w:after="0" w:line="17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contribution in the second quarter 2020 from the Company’s SSAT joint venture investment was $3.7 million, or $2.8 million higher than the second quarter 2019. The increase was primarily due to the absence of the additional expense related to the early adoption of the lease accounting standard in the second quarter of 2019, partially offset by lower lift volume.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second quarter 2020, operating income for the Company’s Logistics segment was $8.9 million, or</w:t>
      </w:r>
    </w:p>
    <w:p>
      <w:pPr>
        <w:spacing w:after="0" w:line="3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$2.4 million lower compared to the operating income achieved in the second quarter 2019. The decrease was due primarily to lower contributions from transportation brokerage and freight forwarding, both of which saw lower retail-related volumes as a result of COVID-19 mitigation efforts and related economic effects. In the near-term, we expect transportation brokerage and freight forwarding to continue to be negatively impacted by lower retail-related volumes as a result of the COVID-19 pandemic.</w:t>
      </w:r>
    </w:p>
    <w:p>
      <w:pPr>
        <w:spacing w:after="0" w:line="191"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For the third quarter of 2020, the Company expects consolidated operating income, net income, diluted earnings per share and EBITDA to exceed the results achieved in the third quarter of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Three months ended June 30, 2020, compared with 2019:</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8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96"/>
              </w:rPr>
              <w:t>Three Months Ended 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(33.8)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(472.9)</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(526.9)</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(10.2)%</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87.5 %</w:t>
            </w:r>
          </w:p>
        </w:tc>
        <w:tc>
          <w:tcPr>
            <w:tcW w:w="0" w:type="dxa"/>
            <w:vAlign w:val="bottom"/>
          </w:tcPr>
          <w:p>
            <w:pPr>
              <w:spacing w:after="0"/>
              <w:rPr>
                <w:sz w:val="1"/>
                <w:szCs w:val="1"/>
                <w:color w:val="auto"/>
              </w:rPr>
            </w:pPr>
          </w:p>
        </w:tc>
      </w:tr>
      <w:tr>
        <w:trPr>
          <w:trHeight w:val="21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60.3 %</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57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76.7 %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The increase in interest expense for the three months ended June 30, 2020, compared to the three months ended June 30, 2019, was due to a lower amount of capitalized interest associated with the new vessel construction.</w:t>
      </w:r>
    </w:p>
    <w:p>
      <w:pPr>
        <w:spacing w:after="0" w:line="146"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 and interest received from income tax refunds. The increase in Other income (expense) was due to higher interest received from income tax refunds during the three months ended June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Income tax expense was $11.7 million or 26.3 percent of income before income taxes for the three months ended June 30, 2020, compared to $7.3 million or 28.4 percent of income before income taxes for the three months ended June 30, 2019. The effective tax rate for the three months ended June 30, 2019 was higher primarily due to the timing of foreign taxes paid during that period.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Six months ended June 30, 2020, compared with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8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(52.3)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(4.8)%</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(1,041.8)</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8"/>
              </w:rPr>
              <w:t>(6.5)%</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57.0 %</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50.</w:t>
            </w:r>
            <w:r>
              <w:rPr>
                <w:rFonts w:ascii="Arial" w:cs="Arial" w:eastAsia="Arial" w:hAnsi="Arial"/>
                <w:sz w:val="18"/>
                <w:szCs w:val="18"/>
                <w:u w:val="single" w:color="auto"/>
                <w:color w:val="auto"/>
                <w:w w:val="92"/>
              </w:rPr>
              <w:t>0</w:t>
            </w:r>
            <w:r>
              <w:rPr>
                <w:rFonts w:ascii="Arial" w:cs="Arial" w:eastAsia="Arial" w:hAnsi="Arial"/>
                <w:sz w:val="18"/>
                <w:szCs w:val="18"/>
                <w:color w:val="auto"/>
                <w:w w:val="92"/>
              </w:rPr>
              <w:t xml:space="preserve"> %</w:t>
            </w:r>
          </w:p>
        </w:tc>
        <w:tc>
          <w:tcPr>
            <w:tcW w:w="0" w:type="dxa"/>
            <w:vAlign w:val="bottom"/>
          </w:tcPr>
          <w:p>
            <w:pPr>
              <w:spacing w:after="0"/>
              <w:rPr>
                <w:sz w:val="1"/>
                <w:szCs w:val="1"/>
                <w:color w:val="auto"/>
              </w:rPr>
            </w:pPr>
          </w:p>
        </w:tc>
      </w:tr>
      <w:tr>
        <w:trPr>
          <w:trHeight w:val="20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26.3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55.</w:t>
            </w:r>
            <w:r>
              <w:rPr>
                <w:rFonts w:ascii="Arial" w:cs="Arial" w:eastAsia="Arial" w:hAnsi="Arial"/>
                <w:sz w:val="18"/>
                <w:szCs w:val="18"/>
                <w:u w:val="single" w:color="auto"/>
                <w:color w:val="auto"/>
                <w:w w:val="92"/>
              </w:rPr>
              <w:t>4</w:t>
            </w:r>
            <w:r>
              <w:rPr>
                <w:rFonts w:ascii="Arial" w:cs="Arial" w:eastAsia="Arial" w:hAnsi="Arial"/>
                <w:sz w:val="18"/>
                <w:szCs w:val="18"/>
                <w:color w:val="auto"/>
                <w:w w:val="92"/>
              </w:rPr>
              <w:t xml:space="preserve"> %</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r>
              <w:rPr>
                <w:rFonts w:ascii="Arial" w:cs="Arial" w:eastAsia="Arial" w:hAnsi="Arial"/>
                <w:sz w:val="18"/>
                <w:szCs w:val="18"/>
                <w:u w:val="single" w:color="auto"/>
                <w:color w:val="auto"/>
              </w:rPr>
              <w:t>6</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7</w:t>
            </w:r>
          </w:p>
        </w:tc>
        <w:tc>
          <w:tcPr>
            <w:tcW w:w="1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w:t>
            </w:r>
            <w:r>
              <w:rPr>
                <w:rFonts w:ascii="Arial" w:cs="Arial" w:eastAsia="Arial" w:hAnsi="Arial"/>
                <w:sz w:val="18"/>
                <w:szCs w:val="18"/>
                <w:u w:val="single" w:color="auto"/>
                <w:color w:val="auto"/>
                <w:w w:val="91"/>
              </w:rPr>
              <w:t>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18.1</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0.85</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2"/>
              </w:rPr>
              <w:t>18.1 %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increase in interest expense for the six months ended June 30, 2020, compared to the six months ended June 30, 2019, was due to a lower amount of capitalized interest associated with the new vessel construction.</w:t>
      </w:r>
    </w:p>
    <w:p>
      <w:pPr>
        <w:spacing w:after="0" w:line="170"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 and interest income received from income tax refunds. The increase in Other income (expense) was due to higher interest received from income tax refunds during the six months ended June 30, 2020.</w:t>
      </w:r>
    </w:p>
    <w:p>
      <w:pPr>
        <w:spacing w:after="0" w:line="187"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Income tax expense was $12.9 million or 26.1 percent of income before income taxes for the six months ended June 30, 2020, compared to $8.3 million or 21.2 percent of income before income taxes for the three months ended June 30, 2019. In connection with the Tax Cuts and Jobs Act of 2017 (the “Tax Act”), the Company recorded a non-cash tax adjustment of $2.9 million that decreased income taxes for the six months ended June 30, 2019. Excluding the impact of this discrete tax adjustment, the adjusted effective tax rate would have been 28.6 percent for the six months ended June 30, 2019. The adjusted effective tax rate for the six months ended June 30, 2019 is higher than the effective tax rate for the six months ended June 30, 2020 due to discrete tax adjustments recorded during that period.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 Three months ended June 30, 2020, compared with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(368.5)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(395.7)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114.7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(8,500)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(50.9)%</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760" w:type="dxa"/>
            <w:vAlign w:val="bottom"/>
            <w:gridSpan w:val="3"/>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27,400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11,100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68.1 %</w:t>
            </w: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(12.5)%</w:t>
            </w:r>
          </w:p>
        </w:tc>
        <w:tc>
          <w:tcPr>
            <w:tcW w:w="0" w:type="dxa"/>
            <w:vAlign w:val="bottom"/>
          </w:tcPr>
          <w:p>
            <w:pPr>
              <w:spacing w:after="0"/>
              <w:rPr>
                <w:sz w:val="1"/>
                <w:szCs w:val="1"/>
                <w:color w:val="auto"/>
              </w:rPr>
            </w:pPr>
          </w:p>
        </w:tc>
      </w:tr>
      <w:tr>
        <w:trPr>
          <w:trHeight w:val="230"/>
        </w:trPr>
        <w:tc>
          <w:tcPr>
            <w:tcW w:w="5760" w:type="dxa"/>
            <w:vAlign w:val="bottom"/>
            <w:gridSpan w:val="3"/>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(18.8)%</w:t>
            </w: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219" w:hanging="330"/>
        <w:spacing w:after="0" w:line="248" w:lineRule="auto"/>
        <w:tabs>
          <w:tab w:leader="none" w:pos="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Ocean Transportation revenue decreased $4.6 million during the three months ended June 30, 2020, compared with the three months ended June 30, 2019. The decrease was primarily due to lower service revenue in Hawaii, Alaska and Guam and lower fuel-related surcharge revenue, partially offset by higher freight revenue in China including revenue associated with the CLX+ vessel charters.</w:t>
      </w:r>
    </w:p>
    <w:p>
      <w:pPr>
        <w:spacing w:after="0" w:line="187"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color w:val="auto"/>
        </w:rPr>
        <w:t>On a year-over-year FEU basis, Hawaii container volume decreased 4.0 percent primarily due to lower volume as a result of the state’s COVID-19 mitigation efforts including restrictions on tourism, partially offset by volume associated with the dry-docking of one of Pasha’s vessels; Alaska volume decreased 9.0 percent with lower northbound volume, primarily due to lower demand for retail-related goods as an effect of the state’s COVID-19 mitigation efforts, and one less sailing compared to the prior year period, and moderately lower southbound volume; China volume was 68.1 percent higher primarily due to volume from the CLX+ vessel charters in addition to the regular CLX service; Guam volume was</w:t>
      </w:r>
    </w:p>
    <w:p>
      <w:pPr>
        <w:spacing w:after="0" w:line="4"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12.5 percent lower due to lower demand for retail-related goods as COVID-19 mitigation measures remained in effect; and Other containers volume decreased 18.8 percent.</w:t>
      </w:r>
    </w:p>
    <w:p>
      <w:pPr>
        <w:spacing w:after="0" w:line="18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Ocean Transportation operating income increased $22.6 million, or 114.7 percent, during the three months ended June 30, 2020, compared with the three months ended June 30, 2019. The increase was primarily due to a higher contribution from the China service, including the contribution from the CLX+ vessel charters, lower vessel operating costs, including the impact of one less vessel operating in the Hawaii service, and the timing of fuel-related surcharge collections, partially offset by a lower contribution from the Hawaii service.</w:t>
      </w:r>
    </w:p>
    <w:p>
      <w:pPr>
        <w:spacing w:after="0" w:line="188"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Company’s SSAT terminal joint venture investment contributed $3.7 million during the three months ended June 30, 2020, compared to a contribution of $0.9 million during the three months ended June 30, 2019. The increase was primarily due to the absence of the additional expense related to the early adoption of the lease accounting standard in the second quarter of 2019, partially offset by lower lift volume.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 Six months ended June 30, 2020, compared with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(761.5)</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(784.2)</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71,700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72,600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33,700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(12,200)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1"/>
              </w:rPr>
              <w:t>(36.2)%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40,300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30,100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Ocean Transportation revenue decreased $1.6 million, or 0.2 percent, during the six months ended June 30, 2020, compared with the six months ended June 30, 2019. The decrease was primarily due to lower service revenue in Hawaii, lower fuel-related surcharge revenue, and lower freight revenue in Guam, partially offset by higher freight revenue in China including revenue associated with the CLX+ vessel charters.</w:t>
      </w:r>
    </w:p>
    <w:p>
      <w:pPr>
        <w:spacing w:after="0" w:line="187"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On a year-over-year FEU basis, Hawaii container volume decreased 1.2 percent primarily due to lower volume as a result of the state’s COVID-19 mitigation efforts including restrictions on tourism, partially offset by volume associated with the dry-docking of one of Pasha’s vessels; Alaska volume increased by 0.3 percent primarily due to volume associated with the dry-docking of a competitor’s vessel in the first quarter of 2020, partially offset by lower volume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resulting from the COVID-19 pandemic and its related effects and one less northbound sailing compared to the prior year period; China volume was 33.9 percent higher primarily due to volume from the CLX+ vessel charters; Guam volume was 8.1 percent lower primarily due to lower demand for retail-related goods resulting from the COVID-19 pandemic and its related effects; and Other container volume decreased 3.6 percent.</w:t>
      </w:r>
    </w:p>
    <w:p>
      <w:pPr>
        <w:spacing w:after="0" w:line="187"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Ocean Transportation operating income increased $21.1 million, or 72.5 percent, during the six months ended June 30, 2020, compared with the six months ended June 30, 2019. The increase was primarily due to a higher contribution from the China service, including the contribution from the CLX+ vessel charters, and lower vessel operating costs, including the impact of one less vessel operating in the Hawaii service, partially offset by a lower contribution from the Hawaii service.</w:t>
      </w:r>
    </w:p>
    <w:p>
      <w:pPr>
        <w:spacing w:after="0" w:line="188" w:lineRule="exact"/>
        <w:rPr>
          <w:sz w:val="20"/>
          <w:szCs w:val="20"/>
          <w:color w:val="auto"/>
        </w:rPr>
      </w:pPr>
    </w:p>
    <w:p>
      <w:pPr>
        <w:jc w:val="both"/>
        <w:ind w:left="60" w:right="379"/>
        <w:spacing w:after="0" w:line="263" w:lineRule="auto"/>
        <w:rPr>
          <w:sz w:val="20"/>
          <w:szCs w:val="20"/>
          <w:color w:val="auto"/>
        </w:rPr>
      </w:pPr>
      <w:r>
        <w:rPr>
          <w:rFonts w:ascii="Arial" w:cs="Arial" w:eastAsia="Arial" w:hAnsi="Arial"/>
          <w:sz w:val="18"/>
          <w:szCs w:val="18"/>
          <w:color w:val="auto"/>
        </w:rPr>
        <w:t>The Company’s SSAT terminal joint venture investment contributed $7.7 million during the six months ended June 30, 2020, compared to a contribution of $9.4 million during the six months ended June 30, 2019. The decrease was largely attributable to lower lift volume.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Three months ended June 30, 2020, compared with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w w:val="95"/>
              </w:rPr>
              <w:t>Three Months Ended 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(20.5)%</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(131.2)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(20.4)%</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(21.2)%</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8"/>
          <w:szCs w:val="18"/>
          <w:color w:val="auto"/>
        </w:rPr>
        <w:t>Logistics revenue decreased $29.2 million, or 20.5 percent, during the three months ended June 30, 2020, compared with the three months ended June 30, 2019. The decrease was primarily due to lower revenue in transportation brokerage and, to a lesser extent, freight forwarding, both of which saw lower retail-related volumes as a result of COVID-19 mitigation efforts and related economic effects.</w:t>
      </w:r>
    </w:p>
    <w:p>
      <w:pPr>
        <w:spacing w:after="0" w:line="187" w:lineRule="exact"/>
        <w:rPr>
          <w:sz w:val="20"/>
          <w:szCs w:val="20"/>
          <w:color w:val="auto"/>
        </w:rPr>
      </w:pPr>
    </w:p>
    <w:p>
      <w:pPr>
        <w:ind w:left="60" w:right="299"/>
        <w:spacing w:after="0" w:line="259" w:lineRule="auto"/>
        <w:rPr>
          <w:sz w:val="20"/>
          <w:szCs w:val="20"/>
          <w:color w:val="auto"/>
        </w:rPr>
      </w:pPr>
      <w:r>
        <w:rPr>
          <w:rFonts w:ascii="Arial" w:cs="Arial" w:eastAsia="Arial" w:hAnsi="Arial"/>
          <w:sz w:val="18"/>
          <w:szCs w:val="18"/>
          <w:color w:val="auto"/>
        </w:rPr>
        <w:t>Logistics operating income decreased $2.4 million, or 21.2 percent, for the three months ended June 30, 2020, compared with the three months ended June 30, 2019. The decrease was due primarily to lower contributions from transportation brokerage and freight forwarding, both of which saw lower retail-related volumes as a result of COVID-19 mitigation efforts and related economic effects.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Six months ended June 30, 2020, compared with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440"/>
              <w:spacing w:after="0"/>
              <w:rPr>
                <w:sz w:val="20"/>
                <w:szCs w:val="20"/>
                <w:color w:val="auto"/>
              </w:rPr>
            </w:pPr>
            <w:r>
              <w:rPr>
                <w:rFonts w:ascii="Arial" w:cs="Arial" w:eastAsia="Arial" w:hAnsi="Arial"/>
                <w:sz w:val="14"/>
                <w:szCs w:val="14"/>
                <w:b w:val="1"/>
                <w:bCs w:val="1"/>
                <w:color w:val="auto"/>
                <w:w w:val="99"/>
              </w:rPr>
              <w:t>Six Months Ended 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22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(50.7)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(18.3)%</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(212.3)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(257.6)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(17.6)%</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vMerge w:val="continue"/>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(27.8)%</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Logistics revenue decreased $50.7 million, or 18.3 percent, during the six months ended June 30, 2020, compared with the six months ended June 30, 2019. The decrease was primarily due to lower revenue in transportation brokerage, and to a lesser extent, freight forwarding as a result of the COVID-19 pandemic.</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Logistics operating income decreased $5.4 million, or 27.8 percent, for the six months ended June 30, 2020, compared with the six months ended June 30, 2019. The decrease was due primarily to lower contributions from transportation brokerage and freight forwarding as a result of the COVID-19 pandemic.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119"/>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as of June 30, 2020, compared to December 31,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tbl>
      <w:tblPr>
        <w:tblLayout w:type="fixed"/>
        <w:tblInd w:w="40" w:type="dxa"/>
        <w:tblCellMar>
          <w:top w:w="0" w:type="dxa"/>
          <w:left w:w="0" w:type="dxa"/>
          <w:bottom w:w="0" w:type="dxa"/>
          <w:right w:w="0" w:type="dxa"/>
        </w:tblCellMar>
      </w:tblPr>
      <w:tr>
        <w:trPr>
          <w:trHeight w:val="141"/>
        </w:trPr>
        <w:tc>
          <w:tcPr>
            <w:tcW w:w="6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3"/>
          </w:tcPr>
          <w:p>
            <w:pPr>
              <w:ind w:left="80"/>
              <w:spacing w:after="0" w:line="141" w:lineRule="exact"/>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219" w:hanging="330"/>
        <w:spacing w:after="0" w:line="253" w:lineRule="auto"/>
        <w:tabs>
          <w:tab w:leader="none" w:pos="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of June 30, 2020 and December 31, 2019, $1.7 million and $1.7 million, respectively, of eligible accounts receivable were assigned to the CCF (see Note 2 of the Condensed Consolidated Financial Statements).</w:t>
      </w:r>
    </w:p>
    <w:p>
      <w:pPr>
        <w:spacing w:after="0" w:line="178" w:lineRule="exact"/>
        <w:rPr>
          <w:sz w:val="20"/>
          <w:szCs w:val="20"/>
          <w:color w:val="auto"/>
        </w:rPr>
      </w:pPr>
    </w:p>
    <w:p>
      <w:pPr>
        <w:ind w:left="60" w:right="119"/>
        <w:spacing w:after="0" w:line="342" w:lineRule="auto"/>
        <w:rPr>
          <w:sz w:val="20"/>
          <w:szCs w:val="20"/>
          <w:color w:val="auto"/>
        </w:rPr>
      </w:pPr>
      <w:r>
        <w:rPr>
          <w:rFonts w:ascii="Arial" w:cs="Arial" w:eastAsia="Arial" w:hAnsi="Arial"/>
          <w:sz w:val="16"/>
          <w:szCs w:val="16"/>
          <w:b w:val="1"/>
          <w:bCs w:val="1"/>
          <w:i w:val="1"/>
          <w:iCs w:val="1"/>
          <w:color w:val="auto"/>
        </w:rPr>
        <w:t xml:space="preserve">Cash, Cash Equivalents and Restricted Cash: </w:t>
      </w:r>
      <w:r>
        <w:rPr>
          <w:rFonts w:ascii="Arial" w:cs="Arial" w:eastAsia="Arial" w:hAnsi="Arial"/>
          <w:sz w:val="16"/>
          <w:szCs w:val="16"/>
          <w:color w:val="auto"/>
        </w:rPr>
        <w:t>Significant changes in the Company’s cash, cash equivalents and restricted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for the six months ended June 30, 2020, compared to the six months ended June 30, 2019 are as follows: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400" w:type="dxa"/>
            <w:vAlign w:val="bottom"/>
            <w:gridSpan w:val="8"/>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(35.1)</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(66.8)</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 (3)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decrease in cash, cash equivalents and restricted cash</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Changes in net cash provided by operating activities for the six months ended June 30, 2020, compared to the six months ended June 30, 2019, were due to the following: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Non-cash deferred income taxes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operating lease right of use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Other non-cash related changes,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Deferred dry-docking payments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Deferred dry-docking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Changes in accounts receivable were primarily due to the timing of collections associated with those receivables. Changes in accounts payable, accruals and other liabilities were primarily due to the timing of payments associated with those liabilities.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net cash used in investing activities for the six months ended June 30, 2020, compared to the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2019, were due to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Change</w:t>
            </w:r>
          </w:p>
        </w:tc>
      </w:tr>
      <w:tr>
        <w:trPr>
          <w:trHeight w:val="209"/>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Cash deposits into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Withdrawals from CCF</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Other capital expenditures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09"/>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Capitalized vessel construction expenditures (including capitalized interest) were $16.5 million for the six months ended June 30, 2020, compared to $30.6 million for the six months ended June 30, 2019. Capitalized vessel construction expenditures relate to progress payments for the construction of new vessels, capitalized interest and owner’s items. Changes in cash deposits into CCF and withdrawals from CCF primarily relate to the timing of when deposits are made into the CCF, and when the subsequent withdrawals are made out of the CCF for the purposes of vessel construction progress payments. Other capital expenditures payments were $34.0 million for the six months ended June 30, 2020, compared to $38.4 million for the six months ended June 30, 2019. The decrease in other capital expenditures is primarily due to the timing of certain capital project activities incurred during 2020 as compared to 2019. The increase in proceeds from disposal of property and equipment is primarily due to the sale and leaseback of chassis and container equipment for net proceeds of $14.3 million during the six months ended June 30, 2020. There were no sale and leaseback transactions during the six months ended June 30, 2019.</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net cash used in financing activities for the six months ended June 30, 2020, compared to the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2019, were due to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received from issuance of fixed interest debt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Repayments of fixed interest debt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(181.0)</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Borrowings under revolving credit facility,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Payment of financing costs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Change in other payments, net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8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During the six months ended June 30, 2020, the Company received $325.5 million of proceeds from two new Title XI debt issuances, and paid $23.3 million in scheduled fixed debt payments and redeemed debt at par of $169.5 million, compared to $11.8 million during the six months ended June 30, 2019. During the six months ended June 30, 2020, the Company decreased net borrowings under the revolving credit facility by $201.1 million, compared to no change in net borrowings under the revolving credit facility during the six months ended June 30, 2019. During the six months ended June 30, 2020, the Company paid $18.5 million in financing costs related to the amendment of its revolving credit facility, private placement term loans and Title XI debt. No financing costs were paid during the six months ended June 30, 2019. During the six months ended June 30, 2020, the Company paid $19.1 million in dividends, compared to $18.2 million during the six months ended June 30, 2019. The increase in dividend payments resulted from an increase in dividends declared per share of common stock by the Company.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June 30, 2020 and December 31, 2019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interest debt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79"/>
        <w:spacing w:after="0" w:line="279" w:lineRule="auto"/>
        <w:rPr>
          <w:sz w:val="20"/>
          <w:szCs w:val="20"/>
          <w:color w:val="auto"/>
        </w:rPr>
      </w:pPr>
      <w:r>
        <w:rPr>
          <w:rFonts w:ascii="Arial" w:cs="Arial" w:eastAsia="Arial" w:hAnsi="Arial"/>
          <w:sz w:val="17"/>
          <w:szCs w:val="17"/>
          <w:color w:val="auto"/>
        </w:rPr>
        <w:t>Total Debt decreased by $68.4 million during the six months ended June 30, 2020. The decrease in the Company’s revolving credit facility was primarily due to the proceeds from issuance of new fixed interest debt and lower capital expenditure. The increase in fixed interest debt was due to the issuance of new Title XI debt partially offset by the repayment of private placement term loans during the six months ended June 30, 2020.</w:t>
      </w:r>
    </w:p>
    <w:p>
      <w:pPr>
        <w:spacing w:after="0" w:line="171" w:lineRule="exact"/>
        <w:rPr>
          <w:sz w:val="20"/>
          <w:szCs w:val="20"/>
          <w:color w:val="auto"/>
        </w:rPr>
      </w:pPr>
    </w:p>
    <w:p>
      <w:pPr>
        <w:ind w:left="60" w:right="539"/>
        <w:spacing w:after="0" w:line="342" w:lineRule="auto"/>
        <w:rPr>
          <w:sz w:val="20"/>
          <w:szCs w:val="20"/>
          <w:color w:val="auto"/>
        </w:rPr>
      </w:pPr>
      <w:r>
        <w:rPr>
          <w:rFonts w:ascii="Arial" w:cs="Arial" w:eastAsia="Arial" w:hAnsi="Arial"/>
          <w:sz w:val="16"/>
          <w:szCs w:val="16"/>
          <w:color w:val="auto"/>
        </w:rPr>
        <w:t>As of June 30, 2020, the Company had $433.2 million of remaining borrowing availability under the revolving credit facility, with a maturity date of June 29, 2022. The Company’s debt is described in Note 6 of Part I, Item 1 above.</w:t>
      </w:r>
    </w:p>
    <w:p>
      <w:pPr>
        <w:spacing w:after="0" w:line="124"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a working capital deficiency of $176.0 million and $147.1 million at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31, 2019, respectively. The increase in working capital deficiency at June 30, 2020 is partially due to the timing of billings and collections associated with accounts receivable and other assets, and the timing of payments associated with accounts payable, accruals and other liabilities.</w:t>
      </w:r>
    </w:p>
    <w:p>
      <w:pPr>
        <w:spacing w:after="0" w:line="183" w:lineRule="exact"/>
        <w:rPr>
          <w:sz w:val="20"/>
          <w:szCs w:val="20"/>
          <w:color w:val="auto"/>
        </w:rPr>
      </w:pPr>
    </w:p>
    <w:p>
      <w:pPr>
        <w:ind w:left="60" w:right="679"/>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jc w:val="both"/>
        <w:ind w:left="60" w:right="99"/>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There were no material changes during this quarter to the Company’s contractual obligations, commitments, contingencies </w:t>
      </w:r>
      <w:hyperlink r:id="rId48">
        <w:r>
          <w:rPr>
            <w:rFonts w:ascii="Arial" w:cs="Arial" w:eastAsia="Arial" w:hAnsi="Arial"/>
            <w:sz w:val="18"/>
            <w:szCs w:val="18"/>
            <w:color w:val="auto"/>
          </w:rPr>
          <w:t xml:space="preserve">and off-balance sheet arrangements that are described in Part II, Item 7 of the Company’s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the year ended December 31, 2019</w:t>
        </w:r>
        <w:r>
          <w:rPr>
            <w:rFonts w:ascii="Arial" w:cs="Arial" w:eastAsia="Arial" w:hAnsi="Arial"/>
            <w:sz w:val="18"/>
            <w:szCs w:val="18"/>
            <w:color w:val="000000"/>
          </w:rPr>
          <w:t>, which is incorporated herein by reference, except as described in Note 6 of Part I, Item</w:t>
        </w:r>
      </w:hyperlink>
      <w:r>
        <w:rPr>
          <w:rFonts w:ascii="Arial" w:cs="Arial" w:eastAsia="Arial" w:hAnsi="Arial"/>
          <w:sz w:val="18"/>
          <w:szCs w:val="18"/>
          <w:color w:val="0000EE"/>
        </w:rPr>
        <w:t xml:space="preserve"> </w:t>
      </w:r>
      <w:r>
        <w:rPr>
          <w:rFonts w:ascii="Arial" w:cs="Arial" w:eastAsia="Arial" w:hAnsi="Arial"/>
          <w:sz w:val="18"/>
          <w:szCs w:val="18"/>
          <w:color w:val="000000"/>
        </w:rPr>
        <w:t>1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The Company’s second quarter 2020 cash dividend of $0.22 per share was paid on June 4, 2020. On June 25, 2020, the Company’s Board of Directors declared a cash dividend of $0.23 per share payable on September 3,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have been no material changes to the Company’s market risk position from the information provided under</w:t>
      </w:r>
    </w:p>
    <w:p>
      <w:pPr>
        <w:spacing w:after="0" w:line="35"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2020, the Company’s disclosure controls and procedures are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June 30, 2020, that have materially affected, or are reasonably likely to materially affect, the Company’s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environmental remediation. The Company believes that based on all information available to it, the Company is currently in compliance, in all material respects, with applicable environmental laws and regulations.</w:t>
      </w:r>
    </w:p>
    <w:p>
      <w:pPr>
        <w:spacing w:after="0" w:line="16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II, Item 1A, “Risk Factors” of the Company’s Quarterly Report on From 10-Q for the period ended March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70" w:lineRule="exact"/>
        <w:rPr>
          <w:sz w:val="20"/>
          <w:szCs w:val="20"/>
          <w:color w:val="auto"/>
        </w:rPr>
      </w:pPr>
    </w:p>
    <w:p>
      <w:pPr>
        <w:ind w:left="880" w:right="199" w:hanging="822"/>
        <w:spacing w:after="0" w:line="290"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1">
        <w:r>
          <w:rPr>
            <w:rFonts w:ascii="Arial" w:cs="Arial" w:eastAsia="Arial" w:hAnsi="Arial"/>
            <w:sz w:val="18"/>
            <w:szCs w:val="18"/>
            <w:u w:val="single" w:color="auto"/>
            <w:color w:val="0000EE"/>
          </w:rPr>
          <w:t>Consolidated Agreement, Contract No. MA-14454 dated as of April 27, 2020 among Matson Navigation</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Company, Inc., the United States of America, represented by the Maritime Administrator of the Maritime</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Administration and, with respect to certain provisions, Matson, Inc. (incorporated by reference to Exhibit 10.1</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of Matson’s Form 8-K dated April 30, 2020).</w:t>
        </w:r>
      </w:hyperlink>
    </w:p>
    <w:p>
      <w:pPr>
        <w:spacing w:after="0" w:line="201" w:lineRule="exact"/>
        <w:rPr>
          <w:rFonts w:ascii="Arial" w:cs="Arial" w:eastAsia="Arial" w:hAnsi="Arial"/>
          <w:sz w:val="18"/>
          <w:szCs w:val="18"/>
          <w:u w:val="single" w:color="auto"/>
          <w:color w:val="0000EE"/>
        </w:rPr>
      </w:pPr>
    </w:p>
    <w:p>
      <w:pPr>
        <w:ind w:left="880" w:right="219" w:hanging="822"/>
        <w:spacing w:after="0" w:line="311"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52">
        <w:r>
          <w:rPr>
            <w:rFonts w:ascii="Arial" w:cs="Arial" w:eastAsia="Arial" w:hAnsi="Arial"/>
            <w:sz w:val="16"/>
            <w:szCs w:val="16"/>
            <w:u w:val="single" w:color="auto"/>
            <w:color w:val="0000EE"/>
          </w:rPr>
          <w:t>Note Purchase Agreement dated as of April 27, 2020 among Matson Navigation Company, Inc., the United</w:t>
        </w:r>
      </w:hyperlink>
      <w:r>
        <w:rPr>
          <w:rFonts w:ascii="Arial" w:cs="Arial" w:eastAsia="Arial" w:hAnsi="Arial"/>
          <w:sz w:val="16"/>
          <w:szCs w:val="16"/>
          <w:u w:val="single" w:color="auto"/>
          <w:color w:val="0000EE"/>
        </w:rPr>
        <w:t xml:space="preserve"> </w:t>
      </w:r>
      <w:hyperlink r:id="rId52">
        <w:r>
          <w:rPr>
            <w:rFonts w:ascii="Arial" w:cs="Arial" w:eastAsia="Arial" w:hAnsi="Arial"/>
            <w:sz w:val="16"/>
            <w:szCs w:val="16"/>
            <w:u w:val="single" w:color="auto"/>
            <w:color w:val="0000EE"/>
          </w:rPr>
          <w:t>States of America, represented by the Maritime Administrator of the Maritime Administration and the Federal</w:t>
        </w:r>
      </w:hyperlink>
      <w:r>
        <w:rPr>
          <w:rFonts w:ascii="Arial" w:cs="Arial" w:eastAsia="Arial" w:hAnsi="Arial"/>
          <w:sz w:val="16"/>
          <w:szCs w:val="16"/>
          <w:u w:val="single" w:color="auto"/>
          <w:color w:val="0000EE"/>
        </w:rPr>
        <w:t xml:space="preserve"> </w:t>
      </w:r>
      <w:hyperlink r:id="rId52">
        <w:r>
          <w:rPr>
            <w:rFonts w:ascii="Arial" w:cs="Arial" w:eastAsia="Arial" w:hAnsi="Arial"/>
            <w:sz w:val="16"/>
            <w:szCs w:val="16"/>
            <w:u w:val="single" w:color="auto"/>
            <w:color w:val="0000EE"/>
          </w:rPr>
          <w:t>Financing Bank (incorporated by reference to Exhibit 10.2 of Matson’s Form 8-K dated April 30, 2020).</w:t>
        </w:r>
      </w:hyperlink>
    </w:p>
    <w:p>
      <w:pPr>
        <w:spacing w:after="0" w:line="176" w:lineRule="exact"/>
        <w:rPr>
          <w:rFonts w:ascii="Arial" w:cs="Arial" w:eastAsia="Arial" w:hAnsi="Arial"/>
          <w:sz w:val="16"/>
          <w:szCs w:val="16"/>
          <w:u w:val="single" w:color="auto"/>
          <w:color w:val="0000EE"/>
        </w:rPr>
      </w:pPr>
    </w:p>
    <w:p>
      <w:pPr>
        <w:ind w:left="880" w:right="899" w:hanging="822"/>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53">
        <w:r>
          <w:rPr>
            <w:rFonts w:ascii="Arial" w:cs="Arial" w:eastAsia="Arial" w:hAnsi="Arial"/>
            <w:sz w:val="18"/>
            <w:szCs w:val="18"/>
            <w:u w:val="single" w:color="auto"/>
            <w:color w:val="0000EE"/>
          </w:rPr>
          <w:t>Affiliate Guaranty dated as of April 27, 2020 executed by Matson, Inc. (incorporated by reference to</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Exhibit 10.3 of Matson’s Form 8-K dated April 30, 2020).</w:t>
        </w:r>
      </w:hyperlink>
    </w:p>
    <w:p>
      <w:pPr>
        <w:spacing w:after="0" w:line="197" w:lineRule="exact"/>
        <w:rPr>
          <w:sz w:val="20"/>
          <w:szCs w:val="20"/>
          <w:color w:val="auto"/>
        </w:rPr>
      </w:pPr>
    </w:p>
    <w:p>
      <w:pPr>
        <w:jc w:val="both"/>
        <w:ind w:left="880" w:right="139" w:hanging="822"/>
        <w:spacing w:after="0" w:line="271" w:lineRule="auto"/>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r:id="rId54">
        <w:r>
          <w:rPr>
            <w:rFonts w:ascii="Arial" w:cs="Arial" w:eastAsia="Arial" w:hAnsi="Arial"/>
            <w:sz w:val="17"/>
            <w:szCs w:val="17"/>
            <w:u w:val="single" w:color="auto"/>
            <w:color w:val="0000EE"/>
          </w:rPr>
          <w:t>Amendment No. 1 dated June 22, 2020, to Consolidated Agreement, Contract No. MA-14454 dated as of April</w:t>
        </w:r>
      </w:hyperlink>
      <w:r>
        <w:rPr>
          <w:rFonts w:ascii="Arial" w:cs="Arial" w:eastAsia="Arial" w:hAnsi="Arial"/>
          <w:sz w:val="17"/>
          <w:szCs w:val="17"/>
          <w:u w:val="single" w:color="auto"/>
          <w:color w:val="0000EE"/>
        </w:rPr>
        <w:t xml:space="preserve"> </w:t>
      </w:r>
      <w:hyperlink r:id="rId54">
        <w:r>
          <w:rPr>
            <w:rFonts w:ascii="Arial" w:cs="Arial" w:eastAsia="Arial" w:hAnsi="Arial"/>
            <w:sz w:val="17"/>
            <w:szCs w:val="17"/>
            <w:u w:val="single" w:color="auto"/>
            <w:color w:val="0000EE"/>
          </w:rPr>
          <w:t>27, 2020 among Matson Navigation Company, Inc., the United States of America, represented by the Maritime</w:t>
        </w:r>
      </w:hyperlink>
      <w:r>
        <w:rPr>
          <w:rFonts w:ascii="Arial" w:cs="Arial" w:eastAsia="Arial" w:hAnsi="Arial"/>
          <w:sz w:val="17"/>
          <w:szCs w:val="17"/>
          <w:u w:val="single" w:color="auto"/>
          <w:color w:val="0000EE"/>
        </w:rPr>
        <w:t xml:space="preserve"> </w:t>
      </w:r>
      <w:hyperlink r:id="rId54">
        <w:r>
          <w:rPr>
            <w:rFonts w:ascii="Arial" w:cs="Arial" w:eastAsia="Arial" w:hAnsi="Arial"/>
            <w:sz w:val="17"/>
            <w:szCs w:val="17"/>
            <w:u w:val="single" w:color="auto"/>
            <w:color w:val="0000EE"/>
          </w:rPr>
          <w:t>Administrator of the Maritime Administration and, with respect to certain provisions, Matson, Inc.</w:t>
        </w:r>
      </w:hyperlink>
    </w:p>
    <w:p>
      <w:pPr>
        <w:ind w:left="880"/>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(incorporated by reference to Exhibit 10.1 of Matson’s Form 8-K dated June 25, 2020).</w:t>
        </w:r>
      </w:hyperlink>
    </w:p>
    <w:p>
      <w:pPr>
        <w:spacing w:after="0" w:line="251" w:lineRule="exact"/>
        <w:rPr>
          <w:rFonts w:ascii="Arial" w:cs="Arial" w:eastAsia="Arial" w:hAnsi="Arial"/>
          <w:sz w:val="17"/>
          <w:szCs w:val="17"/>
          <w:u w:val="single" w:color="auto"/>
          <w:color w:val="0000EE"/>
        </w:rPr>
      </w:pPr>
    </w:p>
    <w:p>
      <w:pPr>
        <w:ind w:left="880" w:right="219" w:hanging="822"/>
        <w:spacing w:after="0" w:line="347"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55">
        <w:r>
          <w:rPr>
            <w:rFonts w:ascii="Arial" w:cs="Arial" w:eastAsia="Arial" w:hAnsi="Arial"/>
            <w:sz w:val="16"/>
            <w:szCs w:val="16"/>
            <w:u w:val="single" w:color="auto"/>
            <w:color w:val="0000EE"/>
          </w:rPr>
          <w:t>Note Purchase Agreement dated as of June 22, 2020 among Matson Navigation Company, Inc., the United</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States of America, represented by the Maritime Administrator of the Maritime Administration and the Federal</w:t>
        </w:r>
      </w:hyperlink>
      <w:r>
        <w:rPr>
          <w:rFonts w:ascii="Arial" w:cs="Arial" w:eastAsia="Arial" w:hAnsi="Arial"/>
          <w:sz w:val="16"/>
          <w:szCs w:val="16"/>
          <w:u w:val="single" w:color="auto"/>
          <w:color w:val="0000EE"/>
        </w:rPr>
        <w:t xml:space="preserve"> </w:t>
      </w:r>
      <w:hyperlink r:id="rId55">
        <w:r>
          <w:rPr>
            <w:rFonts w:ascii="Arial" w:cs="Arial" w:eastAsia="Arial" w:hAnsi="Arial"/>
            <w:sz w:val="16"/>
            <w:szCs w:val="16"/>
            <w:u w:val="single" w:color="auto"/>
            <w:color w:val="0000EE"/>
          </w:rPr>
          <w:t>Financing Bank (incorporated by reference to Exhibit 10.2 of Matson’s Form 8-K dated June 25, 2020).</w:t>
        </w:r>
      </w:hyperlink>
    </w:p>
    <w:p>
      <w:pPr>
        <w:spacing w:after="0" w:line="174" w:lineRule="exact"/>
        <w:rPr>
          <w:rFonts w:ascii="Arial" w:cs="Arial" w:eastAsia="Arial" w:hAnsi="Arial"/>
          <w:sz w:val="16"/>
          <w:szCs w:val="16"/>
          <w:u w:val="single" w:color="auto"/>
          <w:color w:val="0000EE"/>
        </w:rPr>
      </w:pPr>
    </w:p>
    <w:p>
      <w:pPr>
        <w:ind w:left="880" w:right="119" w:hanging="822"/>
        <w:spacing w:after="0" w:line="295"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56">
        <w:r>
          <w:rPr>
            <w:rFonts w:ascii="Arial" w:cs="Arial" w:eastAsia="Arial" w:hAnsi="Arial"/>
            <w:sz w:val="18"/>
            <w:szCs w:val="18"/>
            <w:u w:val="single" w:color="auto"/>
            <w:color w:val="0000EE"/>
          </w:rPr>
          <w:t>Amendment dated June 22, 2020 to Affiliate Guaranty dated as of April 27, 2020 executed by Matson, Inc. and</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consented to by MARAD (incorporated by reference to Exhibit 10.3 of Matson’s Form 8-K dated June 25,</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2020).</w:t>
        </w:r>
      </w:hyperlink>
    </w:p>
    <w:p>
      <w:pPr>
        <w:spacing w:after="0" w:line="209" w:lineRule="exact"/>
        <w:rPr>
          <w:rFonts w:ascii="Arial" w:cs="Arial" w:eastAsia="Arial" w:hAnsi="Arial"/>
          <w:sz w:val="18"/>
          <w:szCs w:val="18"/>
          <w:u w:val="single" w:color="auto"/>
          <w:color w:val="0000EE"/>
        </w:rPr>
      </w:pPr>
    </w:p>
    <w:p>
      <w:pPr>
        <w:ind w:left="880" w:right="35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9">
        <w:r>
          <w:rPr>
            <w:rFonts w:ascii="Arial" w:cs="Arial" w:eastAsia="Arial" w:hAnsi="Arial"/>
            <w:sz w:val="18"/>
            <w:szCs w:val="18"/>
            <w:u w:val="single" w:color="auto"/>
            <w:color w:val="0000EE"/>
          </w:rPr>
          <w:t>Certification of Chief Executive Officer pursuant to Rule 13a-14(a) or 15d-14(a) of the Securities Exchange</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Act of 1934.</w:t>
        </w:r>
      </w:hyperlink>
    </w:p>
    <w:p>
      <w:pPr>
        <w:spacing w:after="0" w:line="198" w:lineRule="exact"/>
        <w:rPr>
          <w:sz w:val="20"/>
          <w:szCs w:val="20"/>
          <w:color w:val="auto"/>
        </w:rPr>
      </w:pPr>
    </w:p>
    <w:p>
      <w:pPr>
        <w:ind w:left="880" w:right="11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0">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of 1934.</w:t>
        </w:r>
      </w:hyperlink>
    </w:p>
    <w:p>
      <w:pPr>
        <w:spacing w:after="0" w:line="198" w:lineRule="exact"/>
        <w:rPr>
          <w:sz w:val="20"/>
          <w:szCs w:val="20"/>
          <w:color w:val="auto"/>
        </w:rPr>
      </w:pPr>
    </w:p>
    <w:p>
      <w:pPr>
        <w:ind w:left="880" w:hanging="824"/>
        <w:spacing w:after="0"/>
        <w:tabs>
          <w:tab w:leader="none" w:pos="880" w:val="left"/>
        </w:tabs>
        <w:numPr>
          <w:ilvl w:val="0"/>
          <w:numId w:val="28"/>
        </w:numPr>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Certification of Chief Executive Officer and Chief Financial Officer pursuant to 18 U.S.C. Section 1350.</w:t>
        </w:r>
      </w:hyperlink>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tcPr>
          <w:p>
            <w:pPr>
              <w:ind w:left="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w:t>
            </w:r>
          </w:p>
        </w:tc>
      </w:tr>
      <w:tr>
        <w:trPr>
          <w:trHeight w:val="243"/>
        </w:trPr>
        <w:tc>
          <w:tcPr>
            <w:tcW w:w="7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7760" w:type="dxa"/>
            <w:vAlign w:val="bottom"/>
          </w:tcPr>
          <w:p>
            <w:pPr>
              <w:ind w:left="80"/>
              <w:spacing w:after="0"/>
              <w:rPr>
                <w:sz w:val="20"/>
                <w:szCs w:val="20"/>
                <w:color w:val="auto"/>
              </w:rPr>
            </w:pPr>
            <w:r>
              <w:rPr>
                <w:rFonts w:ascii="Arial" w:cs="Arial" w:eastAsia="Arial" w:hAnsi="Arial"/>
                <w:sz w:val="18"/>
                <w:szCs w:val="18"/>
                <w:color w:val="auto"/>
              </w:rPr>
              <w:t>Cover Page Interactive Data File (formatted in Inline XBRL and included as Exhibit 101).</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Senior Vice President and</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6"/>
          <w:szCs w:val="16"/>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880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98"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6350</wp:posOffset>
            </wp:positionV>
            <wp:extent cx="29229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J. Cox, Chairman and</w:t>
      </w:r>
    </w:p>
    <w:p>
      <w:pPr>
        <w:ind w:left="53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ind w:left="880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9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6350</wp:posOffset>
            </wp:positionV>
            <wp:extent cx="2914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Joel M. Wine, Senior Vice President and</w:t>
      </w:r>
    </w:p>
    <w:p>
      <w:pPr>
        <w:ind w:left="53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ind w:left="796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02" w:lineRule="exact"/>
        <w:rPr>
          <w:sz w:val="20"/>
          <w:szCs w:val="20"/>
          <w:color w:val="auto"/>
        </w:rPr>
      </w:pPr>
    </w:p>
    <w:p>
      <w:pPr>
        <w:ind w:left="60" w:right="119"/>
        <w:spacing w:after="0" w:line="284"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June 30, 2020,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42" w:lineRule="exact"/>
        <w:rPr>
          <w:sz w:val="20"/>
          <w:szCs w:val="20"/>
          <w:color w:val="auto"/>
        </w:rPr>
      </w:pPr>
    </w:p>
    <w:p>
      <w:pPr>
        <w:ind w:left="60" w:right="519" w:hanging="10"/>
        <w:spacing w:after="0" w:line="261" w:lineRule="auto"/>
        <w:tabs>
          <w:tab w:leader="none" w:pos="7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0" w:right="99" w:hanging="10"/>
        <w:spacing w:after="0" w:line="261" w:lineRule="auto"/>
        <w:tabs>
          <w:tab w:leader="none" w:pos="7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Chairman and Chief Executive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August 5, 2020</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4"/>
    </w:lvl>
  </w:abstractNum>
  <w:abstractNum w:abstractNumId="12">
    <w:nsid w:val="79838CB2"/>
    <w:multiLevelType w:val="hybridMultilevel"/>
    <w:lvl w:ilvl="0">
      <w:lvlJc w:val="left"/>
      <w:lvlText w:val="%1."/>
      <w:numFmt w:val="decimal"/>
      <w:start w:val="5"/>
    </w:lvl>
  </w:abstractNum>
  <w:abstractNum w:abstractNumId="13">
    <w:nsid w:val="4353D0CD"/>
    <w:multiLevelType w:val="hybridMultilevel"/>
    <w:lvl w:ilvl="0">
      <w:lvlJc w:val="left"/>
      <w:lvlText w:val="%1."/>
      <w:numFmt w:val="decimal"/>
      <w:start w:val="6"/>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7"/>
    </w:lvl>
  </w:abstractNum>
  <w:abstractNum w:abstractNumId="19">
    <w:nsid w:val="836C40E"/>
    <w:multiLevelType w:val="hybridMultilevel"/>
    <w:lvl w:ilvl="0">
      <w:lvlJc w:val="left"/>
      <w:lvlText w:val="%1."/>
      <w:numFmt w:val="decimal"/>
      <w:start w:val="8"/>
    </w:lvl>
  </w:abstractNum>
  <w:abstractNum w:abstractNumId="20">
    <w:nsid w:val="2901D82"/>
    <w:multiLevelType w:val="hybridMultilevel"/>
    <w:lvl w:ilvl="0">
      <w:lvlJc w:val="left"/>
      <w:lvlText w:val="%1."/>
      <w:numFmt w:val="decimal"/>
      <w:start w:val="9"/>
    </w:lvl>
  </w:abstractNum>
  <w:abstractNum w:abstractNumId="21">
    <w:nsid w:val="3A95F874"/>
    <w:multiLevelType w:val="hybridMultilevel"/>
    <w:lvl w:ilvl="0">
      <w:lvlJc w:val="left"/>
      <w:lvlText w:val="%1."/>
      <w:numFmt w:val="decimal"/>
      <w:start w:val="10"/>
    </w:lvl>
  </w:abstractNum>
  <w:abstractNum w:abstractNumId="22">
    <w:nsid w:val="8138641"/>
    <w:multiLevelType w:val="hybridMultilevel"/>
    <w:lvl w:ilvl="0">
      <w:lvlJc w:val="left"/>
      <w:lvlText w:val="%1."/>
      <w:numFmt w:val="decimal"/>
      <w:start w:val="11"/>
    </w:lvl>
  </w:abstractNum>
  <w:abstractNum w:abstractNumId="23">
    <w:nsid w:val="1E7FF521"/>
    <w:multiLevelType w:val="hybridMultilevel"/>
    <w:lvl w:ilvl="0">
      <w:lvlJc w:val="left"/>
      <w:lvlText w:val="%1."/>
      <w:numFmt w:val="decimal"/>
      <w:start w:val="12"/>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32"/>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decimal"/>
      <w:start w:val="5"/>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48" Type="http://schemas.openxmlformats.org/officeDocument/2006/relationships/hyperlink" Target="https://www.sec.gov/ix?doc=/Archives/edgar/data/3453/000155837020001757/matx-20191231x10kddf34b.htm" TargetMode="External"/><Relationship Id="rId51" Type="http://schemas.openxmlformats.org/officeDocument/2006/relationships/hyperlink" Target="https://www.sec.gov/Archives/edgar/data/3453/000155837020004825/matx-20200427xex10d1.htm" TargetMode="External"/><Relationship Id="rId52" Type="http://schemas.openxmlformats.org/officeDocument/2006/relationships/hyperlink" Target="https://www.sec.gov/Archives/edgar/data/3453/000155837020004825/matx-20200427xex10d2.htm" TargetMode="External"/><Relationship Id="rId53" Type="http://schemas.openxmlformats.org/officeDocument/2006/relationships/hyperlink" Target="https://www.sec.gov/Archives/edgar/data/3453/000155837020004825/matx-20200427xex10d3.htm" TargetMode="External"/><Relationship Id="rId54" Type="http://schemas.openxmlformats.org/officeDocument/2006/relationships/hyperlink" Target="https://www.sec.gov/Archives/edgar/data/3453/000155837020007781/matx-20200622xex10d1.htm" TargetMode="External"/><Relationship Id="rId55" Type="http://schemas.openxmlformats.org/officeDocument/2006/relationships/hyperlink" Target="https://www.sec.gov/Archives/edgar/data/3453/000155837020007781/matx-20200622xex10d2.htm" TargetMode="External"/><Relationship Id="rId56" Type="http://schemas.openxmlformats.org/officeDocument/2006/relationships/hyperlink" Target="https://www.sec.gov/Archives/edgar/data/3453/000155837020007781/matx-20200622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2020-08-05T15:44:33Z</dcterms:created>
  <dcterms:modified xsi:type="dcterms:W3CDTF">2020-08-05T15:44:33Z</dcterms:modified>
</cp:coreProperties>
</file>