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452120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520700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40" w:right="140" w:hanging="318"/>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00" w:hanging="318"/>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51"/>
        </w:trPr>
        <w:tc>
          <w:tcPr>
            <w:tcW w:w="728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60" w:type="dxa"/>
            <w:vAlign w:val="bottom"/>
          </w:tcPr>
          <w:p>
            <w:pPr>
              <w:spacing w:after="0"/>
              <w:rPr>
                <w:sz w:val="24"/>
                <w:szCs w:val="24"/>
                <w:color w:val="auto"/>
              </w:rPr>
            </w:pPr>
          </w:p>
        </w:tc>
      </w:tr>
      <w:tr>
        <w:trPr>
          <w:trHeight w:val="230"/>
        </w:trPr>
        <w:tc>
          <w:tcPr>
            <w:tcW w:w="728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5020" w:type="dxa"/>
            <w:vAlign w:val="bottom"/>
          </w:tcPr>
          <w:p>
            <w:pPr>
              <w:jc w:val="center"/>
              <w:ind w:right="2103"/>
              <w:spacing w:after="0"/>
              <w:rPr>
                <w:sz w:val="20"/>
                <w:szCs w:val="20"/>
                <w:color w:val="auto"/>
              </w:rPr>
            </w:pPr>
            <w:r>
              <w:rPr>
                <w:rFonts w:ascii="Arial" w:cs="Arial" w:eastAsia="Arial" w:hAnsi="Arial"/>
                <w:sz w:val="18"/>
                <w:szCs w:val="18"/>
                <w:b w:val="1"/>
                <w:bCs w:val="1"/>
                <w:color w:val="auto"/>
                <w:w w:val="94"/>
              </w:rPr>
              <w:t>Hawaii</w:t>
            </w: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10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60" w:type="dxa"/>
            <w:vAlign w:val="bottom"/>
          </w:tcPr>
          <w:p>
            <w:pPr>
              <w:jc w:val="center"/>
              <w:ind w:left="830"/>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60" w:type="dxa"/>
            <w:vAlign w:val="bottom"/>
          </w:tcPr>
          <w:p>
            <w:pPr>
              <w:spacing w:after="0"/>
              <w:rPr>
                <w:sz w:val="24"/>
                <w:szCs w:val="24"/>
                <w:color w:val="auto"/>
              </w:rPr>
            </w:pPr>
          </w:p>
        </w:tc>
      </w:tr>
      <w:tr>
        <w:trPr>
          <w:trHeight w:val="193"/>
        </w:trPr>
        <w:tc>
          <w:tcPr>
            <w:tcW w:w="5020" w:type="dxa"/>
            <w:vAlign w:val="bottom"/>
          </w:tcPr>
          <w:p>
            <w:pPr>
              <w:jc w:val="center"/>
              <w:ind w:right="210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6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6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MATX</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20"/>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ind w:right="42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ind w:right="2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665" w:right="739" w:bottom="1440" w:gutter="0" w:footer="0" w:header="0"/>
        </w:sectPr>
      </w:pPr>
    </w:p>
    <w:p>
      <w:pPr>
        <w:spacing w:after="0" w:line="81" w:lineRule="exact"/>
        <w:rPr>
          <w:sz w:val="24"/>
          <w:szCs w:val="24"/>
          <w:color w:val="auto"/>
        </w:rPr>
      </w:pPr>
    </w:p>
    <w:p>
      <w:pPr>
        <w:ind w:left="170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380" w:space="720"/>
            <w:col w:w="3300"/>
          </w:cols>
          <w:pgMar w:left="760" w:top="665" w:right="739" w:bottom="1440" w:gutter="0" w:footer="0" w:header="0"/>
          <w:type w:val="continuous"/>
        </w:sectPr>
      </w:pPr>
    </w:p>
    <w:p>
      <w:pPr>
        <w:ind w:left="174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6000" w:space="720"/>
            <w:col w:w="3680"/>
          </w:cols>
          <w:pgMar w:left="760" w:top="665" w:right="739" w:bottom="1440" w:gutter="0" w:footer="0" w:header="0"/>
          <w:type w:val="continuous"/>
        </w:sectPr>
      </w:pPr>
    </w:p>
    <w:p>
      <w:pPr>
        <w:ind w:left="672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400"/>
          </w:cols>
          <w:pgMar w:left="760" w:top="665" w:right="739" w:bottom="1440" w:gutter="0" w:footer="0" w:header="0"/>
          <w:type w:val="continuous"/>
        </w:sectPr>
      </w:pPr>
    </w:p>
    <w:p>
      <w:pPr>
        <w:spacing w:after="0" w:line="102" w:lineRule="exact"/>
        <w:rPr>
          <w:sz w:val="24"/>
          <w:szCs w:val="24"/>
          <w:color w:val="auto"/>
        </w:rPr>
      </w:pPr>
    </w:p>
    <w:p>
      <w:pPr>
        <w:ind w:right="3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1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June 30, 2019: 42,855,015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472440</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60960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95250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400"/>
          </w:cols>
          <w:pgMar w:left="760" w:top="665"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gridSpan w:val="12"/>
          </w:tcPr>
          <w:p>
            <w:pPr>
              <w:jc w:val="center"/>
              <w:ind w:right="1700"/>
              <w:spacing w:after="0"/>
              <w:rPr>
                <w:sz w:val="20"/>
                <w:szCs w:val="20"/>
                <w:color w:val="auto"/>
              </w:rPr>
            </w:pPr>
            <w:r>
              <w:rPr>
                <w:rFonts w:ascii="Arial" w:cs="Arial" w:eastAsia="Arial" w:hAnsi="Arial"/>
                <w:sz w:val="18"/>
                <w:szCs w:val="18"/>
                <w:b w:val="1"/>
                <w:bCs w:val="1"/>
                <w:color w:val="auto"/>
                <w:w w:val="99"/>
              </w:rPr>
              <w:t>MATSON, INC. AND SUBSIDIARIES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7760" w:type="dxa"/>
            <w:vAlign w:val="bottom"/>
            <w:gridSpan w:val="22"/>
            <w:vMerge w:val="restart"/>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7760" w:type="dxa"/>
            <w:vAlign w:val="bottom"/>
            <w:gridSpan w:val="22"/>
            <w:vMerge w:val="continue"/>
          </w:tcPr>
          <w:p>
            <w:pPr>
              <w:spacing w:after="0"/>
              <w:rPr>
                <w:sz w:val="13"/>
                <w:szCs w:val="13"/>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00" w:type="dxa"/>
            <w:vAlign w:val="bottom"/>
            <w:gridSpan w:val="2"/>
          </w:tcPr>
          <w:p>
            <w:pPr>
              <w:spacing w:after="0"/>
              <w:rPr>
                <w:sz w:val="24"/>
                <w:szCs w:val="24"/>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520" w:type="dxa"/>
            <w:vAlign w:val="bottom"/>
            <w:gridSpan w:val="9"/>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2520" w:type="dxa"/>
            <w:vAlign w:val="bottom"/>
            <w:tcBorders>
              <w:top w:val="single" w:sz="8" w:color="0000EE"/>
            </w:tcBorders>
            <w:gridSpan w:val="6"/>
          </w:tcPr>
          <w:p>
            <w:pPr>
              <w:spacing w:after="0"/>
              <w:rPr>
                <w:sz w:val="17"/>
                <w:szCs w:val="17"/>
                <w:color w:val="auto"/>
              </w:rPr>
            </w:pPr>
          </w:p>
        </w:tc>
        <w:tc>
          <w:tcPr>
            <w:tcW w:w="1480" w:type="dxa"/>
            <w:vAlign w:val="bottom"/>
            <w:gridSpan w:val="2"/>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20" w:type="dxa"/>
            <w:vAlign w:val="bottom"/>
            <w:gridSpan w:val="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w:t>
              </w:r>
            </w:hyperlink>
          </w:p>
        </w:tc>
        <w:tc>
          <w:tcPr>
            <w:tcW w:w="2540" w:type="dxa"/>
            <w:vAlign w:val="bottom"/>
            <w:gridSpan w:val="3"/>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2680" w:type="dxa"/>
            <w:vAlign w:val="bottom"/>
            <w:gridSpan w:val="6"/>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00" w:type="dxa"/>
            <w:vAlign w:val="bottom"/>
            <w:gridSpan w:val="2"/>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4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300" w:type="dxa"/>
            <w:vAlign w:val="bottom"/>
            <w:gridSpan w:val="2"/>
          </w:tcPr>
          <w:p>
            <w:pPr>
              <w:spacing w:after="0"/>
              <w:rPr>
                <w:sz w:val="17"/>
                <w:szCs w:val="17"/>
                <w:color w:val="auto"/>
              </w:rPr>
            </w:pPr>
          </w:p>
        </w:tc>
        <w:tc>
          <w:tcPr>
            <w:tcW w:w="69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300" w:type="dxa"/>
            <w:vAlign w:val="bottom"/>
            <w:gridSpan w:val="2"/>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640" w:type="dxa"/>
            <w:vAlign w:val="bottom"/>
            <w:gridSpan w:val="5"/>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II—OTHER INFORMATION</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30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420" w:type="dxa"/>
            <w:vAlign w:val="bottom"/>
            <w:tcBorders>
              <w:top w:val="single" w:sz="8" w:color="0000EE"/>
            </w:tcBorders>
          </w:tcPr>
          <w:p>
            <w:pPr>
              <w:spacing w:after="0"/>
              <w:rPr>
                <w:sz w:val="24"/>
                <w:szCs w:val="24"/>
                <w:color w:val="auto"/>
              </w:rPr>
            </w:pPr>
          </w:p>
        </w:tc>
        <w:tc>
          <w:tcPr>
            <w:tcW w:w="5180" w:type="dxa"/>
            <w:vAlign w:val="bottom"/>
            <w:gridSpan w:val="12"/>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69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300" w:type="dxa"/>
            <w:vAlign w:val="bottom"/>
            <w:gridSpan w:val="2"/>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2600" w:type="dxa"/>
            <w:vAlign w:val="bottom"/>
            <w:gridSpan w:val="4"/>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300" w:type="dxa"/>
            <w:vAlign w:val="bottom"/>
            <w:gridSpan w:val="2"/>
          </w:tcPr>
          <w:p>
            <w:pPr>
              <w:spacing w:after="0"/>
              <w:rPr>
                <w:sz w:val="17"/>
                <w:szCs w:val="17"/>
                <w:color w:val="auto"/>
              </w:rPr>
            </w:pPr>
          </w:p>
        </w:tc>
        <w:tc>
          <w:tcPr>
            <w:tcW w:w="23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4620" w:type="dxa"/>
            <w:vAlign w:val="bottom"/>
            <w:gridSpan w:val="10"/>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30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5180" w:type="dxa"/>
            <w:vAlign w:val="bottom"/>
            <w:gridSpan w:val="12"/>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30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6340" w:type="dxa"/>
            <w:vAlign w:val="bottom"/>
            <w:gridSpan w:val="1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1,068.5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income of Terminal Joint Venture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(526.9)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(511.1)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adjustments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Comprehensive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Investment in Terminal Joint Venture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assets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Accruals and other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30.9</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Non-cash operating lease expense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Equity in income of Terminal Joint Venture</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Terminal Joint Venture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(29.6)</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(30.6)</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Repayments of debt and capital leases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(212.8)</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Cash, Cash Equivalents and Restricted 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spacing w:after="0"/>
              <w:rPr>
                <w:sz w:val="20"/>
                <w:szCs w:val="20"/>
                <w:color w:val="auto"/>
              </w:rPr>
            </w:pPr>
            <w:r>
              <w:rPr>
                <w:rFonts w:ascii="Arial" w:cs="Arial" w:eastAsia="Arial" w:hAnsi="Arial"/>
                <w:sz w:val="16"/>
                <w:szCs w:val="16"/>
                <w:color w:val="auto"/>
              </w:rPr>
              <w:t>Reconciliation of Cash, Cash Equivalents and Restricted Cash, at End of the Period: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(refunds) payments,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6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6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$ 460.0</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$ 755.3</w:t>
            </w:r>
          </w:p>
        </w:tc>
        <w:tc>
          <w:tcPr>
            <w:tcW w:w="0" w:type="dxa"/>
            <w:vAlign w:val="bottom"/>
          </w:tcPr>
          <w:p>
            <w:pPr>
              <w:spacing w:after="0"/>
              <w:rPr>
                <w:sz w:val="1"/>
                <w:szCs w:val="1"/>
                <w:color w:val="auto"/>
              </w:rPr>
            </w:pPr>
          </w:p>
        </w:tc>
      </w:tr>
      <w:tr>
        <w:trPr>
          <w:trHeight w:val="185"/>
        </w:trPr>
        <w:tc>
          <w:tcPr>
            <w:tcW w:w="4460" w:type="dxa"/>
            <w:vAlign w:val="bottom"/>
            <w:gridSpan w:val="2"/>
          </w:tcPr>
          <w:p>
            <w:pPr>
              <w:ind w:left="120"/>
              <w:spacing w:after="0" w:line="185" w:lineRule="exact"/>
              <w:rPr>
                <w:sz w:val="20"/>
                <w:szCs w:val="20"/>
                <w:color w:val="auto"/>
              </w:rPr>
            </w:pPr>
            <w:r>
              <w:rPr>
                <w:rFonts w:ascii="Arial" w:cs="Arial" w:eastAsia="Arial" w:hAnsi="Arial"/>
                <w:sz w:val="17"/>
                <w:szCs w:val="17"/>
                <w:color w:val="auto"/>
                <w:w w:val="96"/>
              </w:rPr>
              <w:t>Adjustment related to the adoption of new lease accounting</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standard (see Note 7)</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8"/>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$ 467.8</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$ 763.0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 and $0.22 per share)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7"/>
                <w:szCs w:val="17"/>
                <w:color w:val="auto"/>
              </w:rPr>
              <w:t>Balance at June 30, 2019</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300.7</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$ 467.6</w:t>
            </w:r>
          </w:p>
        </w:tc>
        <w:tc>
          <w:tcPr>
            <w:tcW w:w="1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$ 765.2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6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6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$ 380.5</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$ 677.2</w:t>
            </w:r>
          </w:p>
        </w:tc>
        <w:tc>
          <w:tcPr>
            <w:tcW w:w="0" w:type="dxa"/>
            <w:vAlign w:val="bottom"/>
          </w:tcPr>
          <w:p>
            <w:pPr>
              <w:spacing w:after="0"/>
              <w:rPr>
                <w:sz w:val="1"/>
                <w:szCs w:val="1"/>
                <w:color w:val="auto"/>
              </w:rPr>
            </w:pPr>
          </w:p>
        </w:tc>
      </w:tr>
      <w:tr>
        <w:trPr>
          <w:trHeight w:val="185"/>
        </w:trPr>
        <w:tc>
          <w:tcPr>
            <w:tcW w:w="4460" w:type="dxa"/>
            <w:vAlign w:val="bottom"/>
            <w:gridSpan w:val="2"/>
          </w:tcPr>
          <w:p>
            <w:pPr>
              <w:ind w:left="120"/>
              <w:spacing w:after="0" w:line="185" w:lineRule="exact"/>
              <w:rPr>
                <w:sz w:val="20"/>
                <w:szCs w:val="20"/>
                <w:color w:val="auto"/>
              </w:rPr>
            </w:pPr>
            <w:r>
              <w:rPr>
                <w:rFonts w:ascii="Arial" w:cs="Arial" w:eastAsia="Arial" w:hAnsi="Arial"/>
                <w:sz w:val="17"/>
                <w:szCs w:val="17"/>
                <w:color w:val="auto"/>
                <w:w w:val="98"/>
              </w:rPr>
              <w:t>Reclassification resulting from adoption of new accounting</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pronouncement</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net of tax</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($0.20 per share)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7"/>
                <w:szCs w:val="17"/>
                <w:color w:val="auto"/>
              </w:rPr>
              <w:t>Balance at March 31, 2018</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4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288.1</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$ 392.0</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$ 681.4</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(0.9)</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($0.20 per share and $0.21 per share)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7"/>
                <w:szCs w:val="17"/>
                <w:color w:val="auto"/>
              </w:rPr>
              <w:t>Balance at June 30, 2018</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$ 406.9</w:t>
            </w:r>
          </w:p>
        </w:tc>
        <w:tc>
          <w:tcPr>
            <w:tcW w:w="1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$ 698.5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99"/>
        <w:spacing w:after="0" w:line="254"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Matson has a 35 percent ownership interest in SSA Terminals, LLC (“SSAT”), a joint venture between Matson</w:t>
      </w:r>
    </w:p>
    <w:p>
      <w:pPr>
        <w:spacing w:after="0" w:line="23" w:lineRule="exact"/>
        <w:rPr>
          <w:sz w:val="20"/>
          <w:szCs w:val="20"/>
          <w:color w:val="auto"/>
        </w:rPr>
      </w:pPr>
    </w:p>
    <w:p>
      <w:pPr>
        <w:ind w:right="79"/>
        <w:spacing w:after="0" w:line="253" w:lineRule="auto"/>
        <w:rPr>
          <w:sz w:val="20"/>
          <w:szCs w:val="20"/>
          <w:color w:val="auto"/>
        </w:rPr>
      </w:pPr>
      <w:r>
        <w:rPr>
          <w:rFonts w:ascii="Arial" w:cs="Arial" w:eastAsia="Arial" w:hAnsi="Arial"/>
          <w:sz w:val="18"/>
          <w:szCs w:val="18"/>
          <w:color w:val="auto"/>
        </w:rPr>
        <w:t>Ventures, Inc., a wholly-owned subsidiary of MatNav, and SSA Ventures, Inc., a subsidiary of Carrix, Inc. SSAT provides terminal and stevedoring services to various carriers at eight terminal facilities on the U.S. West Coast, including four facilities which are used by MatNav (“Terminal Joint Venture”). Matson records its share of net income from SSAT in costs and expenses in the Condensed Consolidated Statements of Income and Comprehensive Income, and within the Ocean Transportation segment due to the nature of SSAT’s operations.</w:t>
      </w:r>
    </w:p>
    <w:p>
      <w:pPr>
        <w:spacing w:after="0" w:line="191" w:lineRule="exact"/>
        <w:rPr>
          <w:sz w:val="20"/>
          <w:szCs w:val="20"/>
          <w:color w:val="auto"/>
        </w:rPr>
      </w:pPr>
    </w:p>
    <w:p>
      <w:pPr>
        <w:ind w:right="79"/>
        <w:spacing w:after="0" w:line="254"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200" w:lineRule="exact"/>
        <w:rPr>
          <w:sz w:val="20"/>
          <w:szCs w:val="20"/>
          <w:color w:val="auto"/>
        </w:rPr>
      </w:pPr>
    </w:p>
    <w:p>
      <w:pPr>
        <w:spacing w:after="0" w:line="204" w:lineRule="exact"/>
        <w:rPr>
          <w:sz w:val="20"/>
          <w:szCs w:val="20"/>
          <w:color w:val="auto"/>
        </w:rPr>
      </w:pPr>
    </w:p>
    <w:p>
      <w:pPr>
        <w:ind w:left="600" w:hanging="591"/>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79"/>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Condensed Consolidated Financial Statements are unaudited, and include the accounts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Matson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w:t>
      </w:r>
    </w:p>
    <w:p>
      <w:pPr>
        <w:spacing w:after="0" w:line="189"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jc w:val="both"/>
        <w:ind w:right="19"/>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2018, filed with the Securities and Exchange Commission (“SEC”) on March 4, 2019.</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 xml:space="preserve">Fiscal Period: </w:t>
      </w:r>
      <w:r>
        <w:rPr>
          <w:rFonts w:ascii="Arial" w:cs="Arial" w:eastAsia="Arial" w:hAnsi="Arial"/>
          <w:sz w:val="16"/>
          <w:szCs w:val="16"/>
          <w:color w:val="auto"/>
        </w:rPr>
        <w:t>The period end for Matson covered by this report is June 30, 2019. The period end for MatNav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covered by this report occurred on the last Friday in June, or June 28, 2019, for the second quarter 2019.</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Part II, Item 8 of the Company’s Annual Report on Form 10-K for the year ended December 31, 2018.</w:t>
      </w:r>
    </w:p>
    <w:p>
      <w:pPr>
        <w:spacing w:after="0" w:line="181"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adopted Accounting Standards Codification (“ASC”) 842,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842”) on January 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842 requires lessees to record leases on their balance sheets but recognize the expenses in their income statements in a manner similar to current practice. ASC 842 states that a lessee would recognize a lease liability for the obligation to make lease payments, and a right-of-use asset for the underlying leased asset for the period of the lease term. Refer to Note 7 for additional information on the Company’s adoption of ASC 842 and other lease related disclosures.</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 xml:space="preserve">Recognition of Revenues and Related Costs: </w:t>
      </w:r>
      <w:r>
        <w:rPr>
          <w:rFonts w:ascii="Arial" w:cs="Arial" w:eastAsia="Arial" w:hAnsi="Arial"/>
          <w:sz w:val="16"/>
          <w:szCs w:val="16"/>
          <w:color w:val="auto"/>
        </w:rPr>
        <w:t>Revenue in the Company’s Condensed Consolidated Financial Statements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net of elimination of intercompany transactions. The following is a description of the Company’s principal revenue generating activities by segment, and the Company’s revenue recognition policy for each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140" w:type="dxa"/>
            <w:vAlign w:val="bottom"/>
          </w:tcPr>
          <w:p>
            <w:pPr>
              <w:spacing w:after="0"/>
              <w:rPr>
                <w:sz w:val="17"/>
                <w:szCs w:val="17"/>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r>
      <w:tr>
        <w:trPr>
          <w:trHeight w:val="210"/>
        </w:trPr>
        <w:tc>
          <w:tcPr>
            <w:tcW w:w="5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Terminal and other related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Fuel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8"/>
                <w:szCs w:val="18"/>
                <w:color w:val="auto"/>
              </w:rPr>
            </w:pPr>
          </w:p>
        </w:tc>
      </w:tr>
      <w:tr>
        <w:trPr>
          <w:trHeight w:val="210"/>
        </w:trPr>
        <w:tc>
          <w:tcPr>
            <w:tcW w:w="55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r>
              <w:rPr>
                <w:rFonts w:ascii="Arial" w:cs="Arial" w:eastAsia="Arial" w:hAnsi="Arial"/>
                <w:sz w:val="18"/>
                <w:szCs w:val="18"/>
                <w:u w:val="single" w:color="auto"/>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r>
              <w:rPr>
                <w:rFonts w:ascii="Arial" w:cs="Arial" w:eastAsia="Arial" w:hAnsi="Arial"/>
                <w:sz w:val="18"/>
                <w:szCs w:val="18"/>
                <w:u w:val="single" w:color="auto"/>
                <w:color w:val="auto"/>
              </w:rPr>
              <w:t>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62" w:lineRule="exact"/>
        <w:rPr>
          <w:sz w:val="20"/>
          <w:szCs w:val="20"/>
          <w:color w:val="auto"/>
        </w:rPr>
      </w:pPr>
    </w:p>
    <w:p>
      <w:pPr>
        <w:ind w:left="340" w:right="140" w:hanging="331"/>
        <w:spacing w:after="0" w:line="25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revenues and fuel sales revenue categories which are denominated in foreign currencies.</w:t>
      </w:r>
    </w:p>
    <w:p>
      <w:pPr>
        <w:spacing w:after="0" w:line="78" w:lineRule="exact"/>
        <w:rPr>
          <w:sz w:val="20"/>
          <w:szCs w:val="20"/>
          <w:color w:val="auto"/>
        </w:rPr>
      </w:pPr>
    </w:p>
    <w:p>
      <w:pPr>
        <w:ind w:left="340" w:right="140"/>
        <w:spacing w:after="0" w:line="302" w:lineRule="auto"/>
        <w:rPr>
          <w:sz w:val="20"/>
          <w:szCs w:val="20"/>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40" w:right="60"/>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40" w:right="380"/>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40"/>
        <w:spacing w:after="0" w:line="261"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Warehouse and distribution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60" w:hanging="331"/>
        <w:spacing w:after="0" w:line="335"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32" w:lineRule="exact"/>
        <w:rPr>
          <w:sz w:val="20"/>
          <w:szCs w:val="20"/>
          <w:color w:val="auto"/>
        </w:rPr>
      </w:pPr>
    </w:p>
    <w:p>
      <w:pPr>
        <w:ind w:left="340" w:right="80"/>
        <w:spacing w:after="0" w:line="293" w:lineRule="auto"/>
        <w:rPr>
          <w:sz w:val="20"/>
          <w:szCs w:val="20"/>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160"/>
        <w:spacing w:after="0" w:line="279"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2" w:lineRule="exact"/>
        <w:rPr>
          <w:sz w:val="20"/>
          <w:szCs w:val="20"/>
          <w:color w:val="auto"/>
        </w:rPr>
      </w:pPr>
    </w:p>
    <w:p>
      <w:pPr>
        <w:ind w:left="340" w:right="340"/>
        <w:spacing w:after="0" w:line="261" w:lineRule="auto"/>
        <w:rPr>
          <w:sz w:val="20"/>
          <w:szCs w:val="20"/>
          <w:color w:val="auto"/>
        </w:rPr>
      </w:pPr>
      <w:r>
        <w:rPr>
          <w:rFonts w:ascii="Arial" w:cs="Arial" w:eastAsia="Arial" w:hAnsi="Arial"/>
          <w:sz w:val="18"/>
          <w:szCs w:val="18"/>
          <w:color w:val="auto"/>
        </w:rPr>
        <w:t>Supply chain management and other services revenues, and related costs are recognized in proportion to the services performed.</w:t>
      </w:r>
    </w:p>
    <w:p>
      <w:pPr>
        <w:spacing w:after="0" w:line="18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included in Part II, Item 8 of the Company’s Annual Report on Form 10-K for the year ended December 31, 2018. As of June 30, 2019 and December 31, 2018, $1.7 million and $1.0 million of eligible accounts receivable were assigned to the CCF, respectively.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three and six months ended June 30, 2019, the Company deposited $13.0 million and $26.4 million into the CCF respectively, and made qualifying cash withdrawals of $13.0 million and $26.4 million from the CCF respectively. The balance of cash on deposit at June 30, 2019 and December 31, 2018 was nominal.</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Investment in Terminal Joint Venture: </w:t>
      </w:r>
      <w:r>
        <w:rPr>
          <w:rFonts w:ascii="Arial" w:cs="Arial" w:eastAsia="Arial" w:hAnsi="Arial"/>
          <w:sz w:val="18"/>
          <w:szCs w:val="18"/>
          <w:color w:val="auto"/>
        </w:rPr>
        <w:t>The Company’s investment in SSAT was $86.7 million and $87.0 million at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December 31, 2018, respectively. Condensed income statement information (unaudited) for the Terminal Joint Venture for the three and six months ended June 30, 2019 and 2018 consisted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(265.0)</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(240.4)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(509.2)</w:t>
            </w: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(460.1)</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6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40" w:right="840" w:hanging="331"/>
        <w:spacing w:after="0" w:line="237"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 connection with the Tax Cuts and Jobs Act of 2017 (the “Tax Act”), the Company recorded a non-cash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 of $0.2 million that decreased income taxes for the three months ended June 30, 2018, and $3.1 million that increased income taxes for the six months ended June 30, 2018. These adjustments related to the application of an estimated 6.2 percent sequestration on alternative minimum tax (AMT) refunds due to the Company, and was based on guidance issued by the Internal Revenue Service (IRS) and emerging interpretations of the Tax Act during that period. On January 19, 2019, the IRS issued new guidance indicating that sequestration would not apply to refundable AMT credits. In accordance with this new guidance, the Company recorded a non-cash tax adjustment of $2.9 million that decreased income taxes for the six months ended June 30, 2019. No amount impacted income taxes during the three months ended June 30, 2019.</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continues to assess the impact of the Tax Act, related interpretations and other tax legislation, when issued, on the Company’s income tax estimates. These and other factors could materially affect the Company’s financial condition or its future operating results.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Company’s second quarter 2019 cash dividend of $0.21 per share was paid on June 6, 2019. On June 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the Company’s Board of Directors declared a cash dividend of $0.22 per share payable on September 5, 2019.</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(“ASU 2016-13”)</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the Financial Accounting Standards Board issued ASU 2016-13 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 and early adoption is permitted. The Company is in the process of evaluating this new standard, but does not expect the adoption of ASU 2016-13 to have a significant impact on the Company’s Consolidated Financial Statements.</w:t>
      </w:r>
    </w:p>
    <w:p>
      <w:pPr>
        <w:spacing w:after="0" w:line="378" w:lineRule="exact"/>
        <w:rPr>
          <w:sz w:val="20"/>
          <w:szCs w:val="20"/>
          <w:color w:val="auto"/>
        </w:rPr>
      </w:pPr>
    </w:p>
    <w:p>
      <w:pPr>
        <w:ind w:left="600" w:hanging="591"/>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20" w:firstLine="9"/>
        <w:spacing w:after="0" w:line="271" w:lineRule="auto"/>
        <w:tabs>
          <w:tab w:leader="none" w:pos="22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 Logistics segment provides logistics services to the Ocean Transportation segment. Accordingly, inter-segment revenue of $25.3 million and $26.8 million for the three months ended June 30, 2019 and 2018, and $47.1 million and $45.1 million for the six months ended June 30, 2019 and 2018, respectively, have been eliminated from operating revenue in the table below.</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Reportable segment results for the three and six months ended June 30, 2019 and 2018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415.4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406.6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813.3</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142.5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557.9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557.1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1,090.3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1,068.5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Total Operating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1"/>
        <w:spacing w:after="0" w:line="291"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Ocean Transportation segment information includes $0.9 million and $9.1 million of equity in income from the Company’s investment in SSAT for the three months ended June 30, 2019 and 2018, and $9.4 million and $19.6 million for the six months ended June 30, 2019 and 2018, respectively.</w:t>
      </w:r>
    </w:p>
    <w:p>
      <w:pPr>
        <w:spacing w:after="0" w:line="367" w:lineRule="exact"/>
        <w:rPr>
          <w:sz w:val="20"/>
          <w:szCs w:val="20"/>
          <w:color w:val="auto"/>
        </w:rPr>
      </w:pPr>
    </w:p>
    <w:p>
      <w:pPr>
        <w:ind w:left="600" w:hanging="591"/>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June 30, 2019 and December 31, 2018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June 30,</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1,629.6</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construction in progress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(1,204.7)</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Vessel construction in progress relates to progress payments for the construction of two new vessels, capitalized owner’s items and capitalized interest. During the three months ended June 30, 2019, the construction of the second vessel, </w:t>
      </w:r>
      <w:r>
        <w:rPr>
          <w:rFonts w:ascii="Arial" w:cs="Arial" w:eastAsia="Arial" w:hAnsi="Arial"/>
          <w:sz w:val="17"/>
          <w:szCs w:val="17"/>
          <w:i w:val="1"/>
          <w:iCs w:val="1"/>
          <w:color w:val="auto"/>
        </w:rPr>
        <w:t>MV Kaimana Hila</w:t>
      </w:r>
      <w:r>
        <w:rPr>
          <w:rFonts w:ascii="Arial" w:cs="Arial" w:eastAsia="Arial" w:hAnsi="Arial"/>
          <w:sz w:val="17"/>
          <w:szCs w:val="17"/>
          <w:color w:val="auto"/>
        </w:rPr>
        <w:t>, was completed and the vessel was placed into service resulting in approximately $211.8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$9.9 million of capitalized interest, transferred from the Vessel construction in progress category to the Vessels category within Property and Equipment. Capitalized interest included in Vessel construction in progress was $14.4 million and $16.3 million at June 30,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91"/>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June 30, 2019 and December 31, 2018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68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w w:val="88"/>
              </w:rPr>
              <w:t>Ocean</w:t>
            </w:r>
          </w:p>
        </w:tc>
        <w:tc>
          <w:tcPr>
            <w:tcW w:w="160" w:type="dxa"/>
            <w:vAlign w:val="bottom"/>
          </w:tcPr>
          <w:p>
            <w:pPr>
              <w:spacing w:after="0"/>
              <w:rPr>
                <w:sz w:val="14"/>
                <w:szCs w:val="14"/>
                <w:color w:val="auto"/>
              </w:rPr>
            </w:pPr>
          </w:p>
        </w:tc>
        <w:tc>
          <w:tcPr>
            <w:tcW w:w="8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Logistics</w:t>
            </w:r>
          </w:p>
        </w:tc>
        <w:tc>
          <w:tcPr>
            <w:tcW w:w="8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96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4"/>
                <w:szCs w:val="14"/>
                <w:color w:val="auto"/>
              </w:rPr>
            </w:pPr>
          </w:p>
        </w:tc>
        <w:tc>
          <w:tcPr>
            <w:tcW w:w="880" w:type="dxa"/>
            <w:vAlign w:val="bottom"/>
            <w:gridSpan w:val="6"/>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  105.</w:t>
            </w:r>
            <w:r>
              <w:rPr>
                <w:rFonts w:ascii="Arial" w:cs="Arial" w:eastAsia="Arial" w:hAnsi="Arial"/>
                <w:sz w:val="18"/>
                <w:szCs w:val="18"/>
                <w:u w:val="single" w:color="auto"/>
                <w:color w:val="auto"/>
              </w:rPr>
              <w:t>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327.</w:t>
            </w:r>
            <w:r>
              <w:rPr>
                <w:rFonts w:ascii="Arial" w:cs="Arial" w:eastAsia="Arial" w:hAnsi="Arial"/>
                <w:sz w:val="18"/>
                <w:szCs w:val="18"/>
                <w:u w:val="single" w:color="auto"/>
                <w:color w:val="auto"/>
              </w:rPr>
              <w:t>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w w:val="90"/>
              </w:rPr>
              <w:t>Intangible assets at June 30, 2019 and December 31, 2018 consisted of the following:</w:t>
            </w: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24"/>
                <w:szCs w:val="24"/>
                <w:color w:val="auto"/>
              </w:rPr>
            </w:pPr>
          </w:p>
        </w:tc>
        <w:tc>
          <w:tcPr>
            <w:tcW w:w="1100" w:type="dxa"/>
            <w:vAlign w:val="bottom"/>
            <w:gridSpan w:val="6"/>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7"/>
          </w:tcPr>
          <w:p>
            <w:pPr>
              <w:jc w:val="center"/>
              <w:ind w:left="259"/>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ind w:left="120"/>
              <w:spacing w:after="0"/>
              <w:rPr>
                <w:sz w:val="20"/>
                <w:szCs w:val="20"/>
                <w:color w:val="auto"/>
              </w:rPr>
            </w:pPr>
            <w:r>
              <w:rPr>
                <w:rFonts w:ascii="Arial" w:cs="Arial" w:eastAsia="Arial" w:hAnsi="Arial"/>
                <w:sz w:val="18"/>
                <w:szCs w:val="18"/>
                <w:color w:val="auto"/>
              </w:rPr>
              <w:t>Ocean Transportation</w:t>
            </w:r>
          </w:p>
        </w:tc>
        <w:tc>
          <w:tcPr>
            <w:tcW w:w="280" w:type="dxa"/>
            <w:vAlign w:val="bottom"/>
          </w:tcPr>
          <w:p>
            <w:pPr>
              <w:spacing w:after="0"/>
              <w:rPr>
                <w:sz w:val="18"/>
                <w:szCs w:val="18"/>
                <w:color w:val="auto"/>
              </w:rPr>
            </w:pPr>
          </w:p>
        </w:tc>
        <w:tc>
          <w:tcPr>
            <w:tcW w:w="680" w:type="dxa"/>
            <w:vAlign w:val="bottom"/>
            <w:gridSpan w:val="5"/>
          </w:tcPr>
          <w:p>
            <w:pPr>
              <w:jc w:val="right"/>
              <w:ind w:right="2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3"/>
          </w:tcPr>
          <w:p>
            <w:pPr>
              <w:ind w:left="120"/>
              <w:spacing w:after="0"/>
              <w:rPr>
                <w:sz w:val="20"/>
                <w:szCs w:val="20"/>
                <w:color w:val="auto"/>
              </w:rPr>
            </w:pPr>
            <w:r>
              <w:rPr>
                <w:rFonts w:ascii="Arial" w:cs="Arial" w:eastAsia="Arial" w:hAnsi="Arial"/>
                <w:sz w:val="18"/>
                <w:szCs w:val="18"/>
                <w:color w:val="auto"/>
              </w:rPr>
              <w:t>Total Customer Relationships, net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181.1</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 - Logistics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3"/>
          </w:tcPr>
          <w:p>
            <w:pPr>
              <w:ind w:left="120"/>
              <w:spacing w:after="0"/>
              <w:rPr>
                <w:sz w:val="20"/>
                <w:szCs w:val="20"/>
                <w:color w:val="auto"/>
              </w:rPr>
            </w:pPr>
            <w:r>
              <w:rPr>
                <w:rFonts w:ascii="Arial" w:cs="Arial" w:eastAsia="Arial" w:hAnsi="Arial"/>
                <w:sz w:val="18"/>
                <w:szCs w:val="18"/>
                <w:color w:val="auto"/>
              </w:rPr>
              <w:t>Total Intangible Assets, net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208.4</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60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80" w:type="dxa"/>
            <w:vAlign w:val="bottom"/>
            <w:vMerge w:val="continue"/>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00" w:type="dxa"/>
            <w:vAlign w:val="bottom"/>
            <w:gridSpan w:val="4"/>
          </w:tcPr>
          <w:p>
            <w:pPr>
              <w:spacing w:after="0"/>
              <w:rPr>
                <w:sz w:val="20"/>
                <w:szCs w:val="20"/>
                <w:color w:val="auto"/>
              </w:rPr>
            </w:pPr>
            <w:r>
              <w:rPr>
                <w:rFonts w:ascii="Arial" w:cs="Arial" w:eastAsia="Arial" w:hAnsi="Arial"/>
                <w:sz w:val="18"/>
                <w:szCs w:val="18"/>
                <w:color w:val="auto"/>
                <w:w w:val="90"/>
              </w:rPr>
              <w:t>At June 30, 2019 and December 31, 2018, the Company’s debt consisted of the following: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10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7"/>
          </w:tcPr>
          <w:p>
            <w:pPr>
              <w:jc w:val="center"/>
              <w:ind w:left="179"/>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5.79 %, payable through 2020</w:t>
            </w:r>
          </w:p>
        </w:tc>
        <w:tc>
          <w:tcPr>
            <w:tcW w:w="280" w:type="dxa"/>
            <w:vAlign w:val="bottom"/>
          </w:tcPr>
          <w:p>
            <w:pPr>
              <w:spacing w:after="0"/>
              <w:rPr>
                <w:sz w:val="18"/>
                <w:szCs w:val="18"/>
                <w:color w:val="auto"/>
              </w:rPr>
            </w:pPr>
          </w:p>
        </w:tc>
        <w:tc>
          <w:tcPr>
            <w:tcW w:w="680" w:type="dxa"/>
            <w:vAlign w:val="bottom"/>
            <w:gridSpan w:val="5"/>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4.16 %, payable through 2027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3.14 %, payable through 2031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4.35 %, payable through 2044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Title XI Bonds: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5.27 %, payable through 2029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 maturity date of June 29, 2022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Capital leases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debt is described in Note 8 to the Consolidated Financial Statements included in Part II, Item 8 of the Company’s Annual Report on Form 10-K for the year ended December 31, 2018. Borrowings under the revolving credit facility are classified as long-term debt in the Condensed Consolidated Balance Sheets, as principal payments are not required until the maturity date of June 29, 2022.</w:t>
      </w:r>
    </w:p>
    <w:p>
      <w:pPr>
        <w:spacing w:after="0" w:line="14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 of June 30, 2019, the Company had $217.8 million of remaining availability under the revolving credit facility. The average interest rate on borrowings under the revolving credit facility was approximately 3.93 percent during the three months ended June 30,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91"/>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New Lease Accounting Standard: </w:t>
      </w:r>
      <w:r>
        <w:rPr>
          <w:rFonts w:ascii="Arial" w:cs="Arial" w:eastAsia="Arial" w:hAnsi="Arial"/>
          <w:sz w:val="18"/>
          <w:szCs w:val="18"/>
          <w:color w:val="auto"/>
        </w:rPr>
        <w:t>The Company adopted the new lease accounting standard</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ASC 842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made the following elections:</w:t>
      </w:r>
    </w:p>
    <w:p>
      <w:pPr>
        <w:spacing w:after="0" w:line="138"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Applied the transition requirements that resulted in a cumulative-effect adjustment of $4.4 million recorded to retained earnings at January 1, 2019, due to the elimination of deferred gains from the Company’s sale and leaseback transactions recorded in the Consolidated Balance Sheet as of December 31, 2018;</w:t>
      </w:r>
    </w:p>
    <w:p>
      <w:pPr>
        <w:spacing w:after="0" w:line="12" w:lineRule="exact"/>
        <w:rPr>
          <w:sz w:val="20"/>
          <w:szCs w:val="20"/>
          <w:color w:val="auto"/>
        </w:rPr>
      </w:pPr>
    </w:p>
    <w:p>
      <w:pPr>
        <w:ind w:left="340" w:right="180"/>
        <w:spacing w:after="0" w:line="250" w:lineRule="auto"/>
        <w:rPr>
          <w:sz w:val="20"/>
          <w:szCs w:val="20"/>
          <w:color w:val="auto"/>
        </w:rPr>
      </w:pPr>
      <w:r>
        <w:rPr>
          <w:rFonts w:ascii="Arial" w:cs="Arial" w:eastAsia="Arial" w:hAnsi="Arial"/>
          <w:sz w:val="18"/>
          <w:szCs w:val="18"/>
          <w:color w:val="auto"/>
        </w:rPr>
        <w:t>Elected to apply the package of practical expedient permitted under the transition guidance which allows, among other things, the historical lease classification and initial direct costs to be carried forward;</w:t>
      </w:r>
    </w:p>
    <w:p>
      <w:pPr>
        <w:ind w:left="340" w:right="240"/>
        <w:spacing w:after="0" w:line="250" w:lineRule="auto"/>
        <w:rPr>
          <w:sz w:val="20"/>
          <w:szCs w:val="20"/>
          <w:color w:val="auto"/>
        </w:rPr>
      </w:pPr>
      <w:r>
        <w:rPr>
          <w:rFonts w:ascii="Arial" w:cs="Arial" w:eastAsia="Arial" w:hAnsi="Arial"/>
          <w:sz w:val="18"/>
          <w:szCs w:val="18"/>
          <w:color w:val="auto"/>
        </w:rPr>
        <w:t>Elected the short-term lease exception which allows the Company to exclude leases with an initial term of one year or less from recognition on the Condensed Consolidated Balance Sheets;</w:t>
      </w:r>
    </w:p>
    <w:p>
      <w:pPr>
        <w:ind w:left="340" w:right="320"/>
        <w:spacing w:after="0" w:line="250" w:lineRule="auto"/>
        <w:rPr>
          <w:sz w:val="20"/>
          <w:szCs w:val="20"/>
          <w:color w:val="auto"/>
        </w:rPr>
      </w:pPr>
      <w:r>
        <w:rPr>
          <w:rFonts w:ascii="Arial" w:cs="Arial" w:eastAsia="Arial" w:hAnsi="Arial"/>
          <w:sz w:val="18"/>
          <w:szCs w:val="18"/>
          <w:color w:val="auto"/>
        </w:rPr>
        <w:t>Elected to separate non-lease components by underlying asset class for real estate and terminal leases and operations equipment leases; and</w:t>
      </w:r>
    </w:p>
    <w:p>
      <w:pPr>
        <w:ind w:left="340" w:right="480"/>
        <w:spacing w:after="0" w:line="255" w:lineRule="auto"/>
        <w:rPr>
          <w:sz w:val="20"/>
          <w:szCs w:val="20"/>
          <w:color w:val="auto"/>
        </w:rPr>
      </w:pPr>
      <w:r>
        <w:rPr>
          <w:rFonts w:ascii="Arial" w:cs="Arial" w:eastAsia="Arial" w:hAnsi="Arial"/>
          <w:sz w:val="18"/>
          <w:szCs w:val="18"/>
          <w:color w:val="auto"/>
        </w:rPr>
        <w:t>Elected to use a portfolio approach in applying discount rates to leases based upon the lease terms in the following categories: (i) one to five years; (ii) six to ten years; (iii) eleven to fifteen years; and (iv) sixteen years and greater, regardless of the type of underlying asset class.</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Upon adoption of ASC 842 on January 1, 2019, the Company recorded a right-of-use asset of approximately $251.4 million, a corresponding operating lease liability of $259.1 million. As part of the adoption, the Company recorded a net adjustment to retained earnings of $4.4 million. The adoption of ASC 842 did not have a significant impact on the Company’s current earnings, liquidity or existing debt covenant requirements. Significant assumptions and judgments made in applying the new lease accounting standard include determining the Company’s incremental borrowing rate and evaluating the probability of exercising lease options.</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Description of Operating Leases: </w:t>
      </w:r>
      <w:r>
        <w:rPr>
          <w:rFonts w:ascii="Arial" w:cs="Arial" w:eastAsia="Arial" w:hAnsi="Arial"/>
          <w:sz w:val="17"/>
          <w:szCs w:val="17"/>
          <w:color w:val="auto"/>
        </w:rPr>
        <w:t>The Company has a variety of different types of operating leases, the specific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by other similar leases as they expire. Except for the residual value guarantee described below, the Company’s leases do not contain any other residual value guarantees.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sub-lease income was nominal to the Company’s Condensed Consolidated Statements of Income and Comprehensive Income for the three and six months ended June 30, 2019. The Company did not have any finance leases during the six months ended June 30, 2019.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lease type by underlying asset class and maximum terms of the Company’s operating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Lease Type: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Vessel charter leases</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equipment and other leases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Incremental Borrowing Rate: </w:t>
      </w:r>
      <w:r>
        <w:rPr>
          <w:rFonts w:ascii="Arial" w:cs="Arial" w:eastAsia="Arial" w:hAnsi="Arial"/>
          <w:sz w:val="18"/>
          <w:szCs w:val="18"/>
          <w:color w:val="auto"/>
        </w:rPr>
        <w:t>As most of the Company’s operating leases do not provide an implicit rate, the Company uses</w:t>
      </w:r>
      <w:r>
        <w:rPr>
          <w:rFonts w:ascii="Arial" w:cs="Arial" w:eastAsia="Arial" w:hAnsi="Arial"/>
          <w:sz w:val="18"/>
          <w:szCs w:val="18"/>
          <w:i w:val="1"/>
          <w:iCs w:val="1"/>
          <w:color w:val="auto"/>
        </w:rPr>
        <w:t xml:space="preserve"> </w:t>
      </w:r>
      <w:r>
        <w:rPr>
          <w:rFonts w:ascii="Arial" w:cs="Arial" w:eastAsia="Arial" w:hAnsi="Arial"/>
          <w:sz w:val="18"/>
          <w:szCs w:val="18"/>
          <w:color w:val="auto"/>
        </w:rPr>
        <w:t>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 for the three and six months ended June 30, 2019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June 30,</w:t>
            </w:r>
          </w:p>
        </w:tc>
      </w:tr>
      <w:tr>
        <w:trPr>
          <w:trHeight w:val="196"/>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0"/>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Lease Information: </w:t>
      </w:r>
      <w:r>
        <w:rPr>
          <w:rFonts w:ascii="Arial" w:cs="Arial" w:eastAsia="Arial" w:hAnsi="Arial"/>
          <w:sz w:val="16"/>
          <w:szCs w:val="16"/>
          <w:color w:val="auto"/>
        </w:rPr>
        <w:t>Other information related to the Company’s operating leases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is as follows:</w:t>
      </w:r>
    </w:p>
    <w:tbl>
      <w:tblPr>
        <w:tblLayout w:type="fixed"/>
        <w:tblInd w:w="0" w:type="dxa"/>
        <w:tblCellMar>
          <w:top w:w="0" w:type="dxa"/>
          <w:left w:w="0" w:type="dxa"/>
          <w:bottom w:w="0" w:type="dxa"/>
          <w:right w:w="0" w:type="dxa"/>
        </w:tblCellMar>
      </w:tblPr>
      <w:tr>
        <w:trPr>
          <w:trHeight w:val="148"/>
        </w:trPr>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6"/>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240" w:type="dxa"/>
            <w:vAlign w:val="bottom"/>
          </w:tcPr>
          <w:p>
            <w:pPr>
              <w:spacing w:after="0"/>
              <w:rPr>
                <w:sz w:val="17"/>
                <w:szCs w:val="17"/>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operating lease liabilities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Right of use assets obtained in the exchange for new operating lease liabilities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341"/>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operating lease term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Weighted-average incremental borrowing rate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640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at June 30, 2019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Short-term portion</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payments under non-cancellable operating lease agreements at December 31, 2018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Year (in millions)</w:t>
            </w:r>
          </w:p>
        </w:tc>
        <w:tc>
          <w:tcPr>
            <w:tcW w:w="300" w:type="dxa"/>
            <w:vAlign w:val="bottom"/>
          </w:tcPr>
          <w:p>
            <w:pPr>
              <w:spacing w:after="0"/>
              <w:rPr>
                <w:sz w:val="14"/>
                <w:szCs w:val="1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r>
      <w:tr>
        <w:trPr>
          <w:trHeight w:val="210"/>
        </w:trPr>
        <w:tc>
          <w:tcPr>
            <w:tcW w:w="7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r>
      <w:tr>
        <w:trPr>
          <w:trHeight w:val="20"/>
        </w:trPr>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Residual Value Guarantee: </w:t>
      </w:r>
      <w:r>
        <w:rPr>
          <w:rFonts w:ascii="Arial" w:cs="Arial" w:eastAsia="Arial" w:hAnsi="Arial"/>
          <w:sz w:val="16"/>
          <w:szCs w:val="16"/>
          <w:color w:val="auto"/>
        </w:rPr>
        <w:t>On November 26, 2018, a wholly-owned subsidiary of the Company entered into a Bareboat</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Agreement (the “Charter”). Charter lease payments are approximately $3.0 million per quarter and are included in the operating lease liabilities described above. The base term of the Charter is five years with a two year end-of-term renewal option. The Charter also includes a maximum residual value guarantee amount of $50.9 million after five years, or $47.7 million after the extended term. The residual value guarantee is excluded from operating lease liabilities described above as the Company determined that it is not probable that any portion of the residual value guarantee will be paid by the Company. The Charter and residual value guarantee are described in Note 9 to the Consolidated Financial</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Statements included in Part II, Item 8 of the Company’s Annual Report on Form 10-K for the year ended December 31, 2018.</w:t>
      </w:r>
    </w:p>
    <w:p>
      <w:pPr>
        <w:spacing w:after="0" w:line="200" w:lineRule="exact"/>
        <w:rPr>
          <w:sz w:val="20"/>
          <w:szCs w:val="20"/>
          <w:color w:val="auto"/>
        </w:rPr>
      </w:pPr>
    </w:p>
    <w:p>
      <w:pPr>
        <w:spacing w:after="0" w:line="210" w:lineRule="exact"/>
        <w:rPr>
          <w:sz w:val="20"/>
          <w:szCs w:val="20"/>
          <w:color w:val="auto"/>
        </w:rPr>
      </w:pPr>
    </w:p>
    <w:p>
      <w:pPr>
        <w:ind w:left="580" w:hanging="571"/>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2019 consisted of the following:</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3"/>
              </w:rPr>
              <w:t>Pensions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Qualified</w:t>
            </w:r>
          </w:p>
        </w:tc>
        <w:tc>
          <w:tcPr>
            <w:tcW w:w="180" w:type="dxa"/>
            <w:vAlign w:val="bottom"/>
          </w:tcPr>
          <w:p>
            <w:pPr>
              <w:spacing w:after="0"/>
              <w:rPr>
                <w:sz w:val="12"/>
                <w:szCs w:val="12"/>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58"/>
        </w:trPr>
        <w:tc>
          <w:tcPr>
            <w:tcW w:w="43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Retirement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March 31, 2019</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Amortization of net loss (gain)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adjustments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2018 consisted of the following:</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3"/>
              </w:rPr>
              <w:t>Pensions</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Arial" w:cs="Arial" w:eastAsia="Arial" w:hAnsi="Arial"/>
                <w:sz w:val="18"/>
                <w:szCs w:val="18"/>
                <w:color w:val="auto"/>
              </w:rPr>
              <w:t>Reclassification adjustment related to the Tax Act (1)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Arial" w:cs="Arial" w:eastAsia="Arial" w:hAnsi="Arial"/>
                <w:sz w:val="18"/>
                <w:szCs w:val="18"/>
                <w:color w:val="auto"/>
              </w:rPr>
              <w:t>Amortization of net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3"/>
          </w:tcPr>
          <w:p>
            <w:pPr>
              <w:spacing w:after="0"/>
              <w:rPr>
                <w:sz w:val="20"/>
                <w:szCs w:val="20"/>
                <w:color w:val="auto"/>
              </w:rPr>
            </w:pPr>
            <w:r>
              <w:rPr>
                <w:rFonts w:ascii="Arial" w:cs="Arial" w:eastAsia="Arial" w:hAnsi="Arial"/>
                <w:sz w:val="18"/>
                <w:szCs w:val="18"/>
                <w:color w:val="auto"/>
              </w:rPr>
              <w:t>Balance at March 31,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Arial" w:cs="Arial" w:eastAsia="Arial" w:hAnsi="Arial"/>
                <w:sz w:val="18"/>
                <w:szCs w:val="18"/>
                <w:color w:val="auto"/>
              </w:rPr>
              <w:t>Amortization of net loss (gain)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3"/>
          </w:tcPr>
          <w:p>
            <w:pPr>
              <w:spacing w:after="0"/>
              <w:rPr>
                <w:sz w:val="20"/>
                <w:szCs w:val="20"/>
                <w:color w:val="auto"/>
              </w:rPr>
            </w:pPr>
            <w:r>
              <w:rPr>
                <w:rFonts w:ascii="Arial" w:cs="Arial" w:eastAsia="Arial" w:hAnsi="Arial"/>
                <w:sz w:val="18"/>
                <w:szCs w:val="18"/>
                <w:color w:val="auto"/>
              </w:rPr>
              <w:t>Balance at June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20" w:hanging="331"/>
        <w:spacing w:after="0" w:line="25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the Tax Act in accordance with ASU 2018-02</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4" w:lineRule="exact"/>
        <w:rPr>
          <w:sz w:val="20"/>
          <w:szCs w:val="20"/>
          <w:color w:val="auto"/>
        </w:rPr>
      </w:pPr>
    </w:p>
    <w:p>
      <w:pPr>
        <w:ind w:left="600" w:hanging="591"/>
        <w:spacing w:after="0"/>
        <w:tabs>
          <w:tab w:leader="none" w:pos="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carrying value and fair value of the Company’s financial instruments as of June 30, 2019 and December 31, 2018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w w:val="97"/>
              </w:rPr>
              <w:t>Quoted Prices in</w:t>
            </w:r>
          </w:p>
        </w:tc>
        <w:tc>
          <w:tcPr>
            <w:tcW w:w="200" w:type="dxa"/>
            <w:vAlign w:val="bottom"/>
          </w:tcPr>
          <w:p>
            <w:pPr>
              <w:spacing w:after="0"/>
              <w:rPr>
                <w:sz w:val="14"/>
                <w:szCs w:val="14"/>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Significant</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2"/>
                <w:szCs w:val="12"/>
                <w:color w:val="auto"/>
              </w:rPr>
            </w:pPr>
          </w:p>
        </w:tc>
        <w:tc>
          <w:tcPr>
            <w:tcW w:w="94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(Level 1)</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 (Level 2)</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42"/>
        </w:trPr>
        <w:tc>
          <w:tcPr>
            <w:tcW w:w="3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gridSpan w:val="5"/>
          </w:tcPr>
          <w:p>
            <w:pPr>
              <w:ind w:left="180"/>
              <w:spacing w:after="0" w:line="142" w:lineRule="exact"/>
              <w:rPr>
                <w:sz w:val="20"/>
                <w:szCs w:val="20"/>
                <w:color w:val="auto"/>
              </w:rPr>
            </w:pPr>
            <w:r>
              <w:rPr>
                <w:rFonts w:ascii="Arial" w:cs="Arial" w:eastAsia="Arial" w:hAnsi="Arial"/>
                <w:sz w:val="14"/>
                <w:szCs w:val="14"/>
                <w:b w:val="1"/>
                <w:bCs w:val="1"/>
                <w:color w:val="auto"/>
              </w:rPr>
              <w:t>Fair Value Measurements at June 30, 2019</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Fixed rate debt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608.0</w:t>
            </w:r>
          </w:p>
        </w:tc>
        <w:tc>
          <w:tcPr>
            <w:tcW w:w="38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608.0</w:t>
            </w:r>
          </w:p>
        </w:tc>
        <w:tc>
          <w:tcPr>
            <w:tcW w:w="700" w:type="dxa"/>
            <w:vAlign w:val="bottom"/>
          </w:tcPr>
          <w:p>
            <w:pPr>
              <w:spacing w:after="0"/>
              <w:rPr>
                <w:sz w:val="20"/>
                <w:szCs w:val="20"/>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Fair Value Measurements at December 31, 2018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Fixed rate debt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584.5</w:t>
            </w:r>
          </w:p>
        </w:tc>
        <w:tc>
          <w:tcPr>
            <w:tcW w:w="38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584.5</w:t>
            </w:r>
          </w:p>
        </w:tc>
        <w:tc>
          <w:tcPr>
            <w:tcW w:w="700" w:type="dxa"/>
            <w:vAlign w:val="bottom"/>
          </w:tcPr>
          <w:p>
            <w:pPr>
              <w:spacing w:after="0"/>
              <w:rPr>
                <w:sz w:val="20"/>
                <w:szCs w:val="20"/>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80" w:hanging="671"/>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Basic earnings per share is determined by dividing net income by the weighted-average common shares outstanding during the period. The calculation of diluted earnings per share includes the dilutive effect of unexercised non-qualified stock options and non-vested restricted stock units. The denominator used to compute basic and diluted earnings per share for the three and six months ended June 30, 2019 and 2018,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12"/>
          </w:tcPr>
          <w:p>
            <w:pPr>
              <w:jc w:val="center"/>
              <w:spacing w:after="0"/>
              <w:rPr>
                <w:sz w:val="20"/>
                <w:szCs w:val="20"/>
                <w:color w:val="auto"/>
              </w:rPr>
            </w:pPr>
            <w:r>
              <w:rPr>
                <w:rFonts w:ascii="Arial" w:cs="Arial" w:eastAsia="Arial" w:hAnsi="Arial"/>
                <w:sz w:val="14"/>
                <w:szCs w:val="14"/>
                <w:b w:val="1"/>
                <w:bCs w:val="1"/>
                <w:color w:val="auto"/>
                <w:w w:val="88"/>
              </w:rPr>
              <w:t>Three Months Ended June 30, 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7"/>
              </w:rPr>
              <w:t>Six Months Ended June 30, 2019</w:t>
            </w:r>
          </w:p>
        </w:tc>
      </w:tr>
      <w:tr>
        <w:trPr>
          <w:trHeight w:val="129"/>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Per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88"/>
              </w:rPr>
              <w:t>Per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7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Net</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61"/>
        </w:trPr>
        <w:tc>
          <w:tcPr>
            <w:tcW w:w="444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30.9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30.9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12"/>
          </w:tcPr>
          <w:p>
            <w:pPr>
              <w:jc w:val="center"/>
              <w:ind w:right="20"/>
              <w:spacing w:after="0"/>
              <w:rPr>
                <w:sz w:val="20"/>
                <w:szCs w:val="20"/>
                <w:color w:val="auto"/>
              </w:rPr>
            </w:pPr>
            <w:r>
              <w:rPr>
                <w:rFonts w:ascii="Arial" w:cs="Arial" w:eastAsia="Arial" w:hAnsi="Arial"/>
                <w:sz w:val="14"/>
                <w:szCs w:val="14"/>
                <w:b w:val="1"/>
                <w:bCs w:val="1"/>
                <w:color w:val="auto"/>
                <w:w w:val="87"/>
              </w:rPr>
              <w:t>Three Months Ended June 30, 2018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w w:val="87"/>
              </w:rPr>
              <w:t>Six Months Ended June 30, 2018</w:t>
            </w:r>
          </w:p>
        </w:tc>
      </w:tr>
      <w:tr>
        <w:trPr>
          <w:trHeight w:val="129"/>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Per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Per</w:t>
            </w:r>
          </w:p>
        </w:tc>
        <w:tc>
          <w:tcPr>
            <w:tcW w:w="80" w:type="dxa"/>
            <w:vAlign w:val="bottom"/>
          </w:tcPr>
          <w:p>
            <w:pPr>
              <w:spacing w:after="0"/>
              <w:rPr>
                <w:sz w:val="11"/>
                <w:szCs w:val="11"/>
                <w:color w:val="auto"/>
              </w:rPr>
            </w:pP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7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Net</w:t>
            </w: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61"/>
        </w:trPr>
        <w:tc>
          <w:tcPr>
            <w:tcW w:w="444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4"/>
                <w:szCs w:val="14"/>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1"/>
              </w:rPr>
              <w:t>46.8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1"/>
              </w:rPr>
              <w:t>46.8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computation of weighted-average common shares outstanding excludes a nominal amount of anti-dilutive non-qualified stock options for each period ended June 30, 2019 and 2018.</w:t>
      </w:r>
    </w:p>
    <w:p>
      <w:pPr>
        <w:spacing w:after="0" w:line="383" w:lineRule="exact"/>
        <w:rPr>
          <w:sz w:val="20"/>
          <w:szCs w:val="20"/>
          <w:color w:val="auto"/>
        </w:rPr>
      </w:pPr>
    </w:p>
    <w:p>
      <w:pPr>
        <w:ind w:left="680" w:hanging="671"/>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three and six months ended June 30, 2019, the Company granted approximately 21,000 and 359,000 in total of time-based restricted stock units and performance-based shares to certain of its employees at a weighted-average grant date fair value of $38.36 and $33.59, respectively.</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Total share-based compensation cost recognized in the Condensed Consolidated Statements of Income and Comprehensive Income as a component of selling, general and administrative expenses was $3.0 million and $2.8 million for the three months ended June 30, 2019 and 2018, and $6.2 million and $5.5 million for the six months ended June 30, 2019 and 2018, respectively. Total unrecognized compensation cost related to unvested share-based compensation arrangements was $18.8 million at June 30, 2019, and is expected to be recognized over a weighted-</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average period of approximately 2.0 years. Total unrecognized compensation cost may be adjusted for any unearned performance shares or forfeited shares.</w:t>
      </w:r>
    </w:p>
    <w:p>
      <w:pPr>
        <w:spacing w:after="0" w:line="166" w:lineRule="exact"/>
        <w:rPr>
          <w:sz w:val="20"/>
          <w:szCs w:val="20"/>
          <w:color w:val="auto"/>
        </w:rPr>
      </w:pPr>
    </w:p>
    <w:p>
      <w:pPr>
        <w:ind w:left="680" w:hanging="671"/>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Company’s pension and post-retirement plans are described in Note 11 to the Consolidated Financial Statements included in Part II, Item 8 of the Company’s Annual Report on Form 10-K for the year ended December 31, 2018. Components of net periodic benefit cost for the Company’s qualified defined benefit pension and post-retirement plans for the three and six months ended June 30, 2019 and 2018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140" w:type="dxa"/>
            <w:vAlign w:val="bottom"/>
          </w:tcPr>
          <w:p>
            <w:pPr>
              <w:spacing w:after="0"/>
              <w:rPr>
                <w:sz w:val="14"/>
                <w:szCs w:val="14"/>
                <w:color w:val="auto"/>
              </w:rPr>
            </w:pPr>
          </w:p>
        </w:tc>
        <w:tc>
          <w:tcPr>
            <w:tcW w:w="19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w:t>
            </w:r>
          </w:p>
        </w:tc>
        <w:tc>
          <w:tcPr>
            <w:tcW w:w="2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140" w:type="dxa"/>
            <w:vAlign w:val="bottom"/>
          </w:tcPr>
          <w:p>
            <w:pPr>
              <w:spacing w:after="0"/>
              <w:rPr>
                <w:sz w:val="24"/>
                <w:szCs w:val="24"/>
                <w:color w:val="auto"/>
              </w:rPr>
            </w:pPr>
          </w:p>
        </w:tc>
        <w:tc>
          <w:tcPr>
            <w:tcW w:w="19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140" w:type="dxa"/>
            <w:vAlign w:val="bottom"/>
          </w:tcPr>
          <w:p>
            <w:pPr>
              <w:spacing w:after="0"/>
              <w:rPr>
                <w:sz w:val="14"/>
                <w:szCs w:val="14"/>
                <w:color w:val="auto"/>
              </w:rPr>
            </w:pPr>
          </w:p>
        </w:tc>
        <w:tc>
          <w:tcPr>
            <w:tcW w:w="192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2018.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2018,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second quarter 2019 was 2.3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lower year-over-year primarily due to negative container market growth. The GDP of the Hawaii economy continues to grow, albeit at a slowing pace; however, containerized freight market volume has not been keeping pace with GDP growth. The Company expects volume in 2019 to be lower than the level achieved in 2018, reflecting less containerized freight volume in Hawaii and stable market share.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China, the Company’s container volume in the second quarter 2019 was 2.5 percent higher year-over-year. Matson continued to realize a sizeable rate premium in the second quarter 2019 and achieved average freight rates moderately higher than the second quarter 2018. For the second half of 2019, the Company expects volume to be lower than the prior year as volume normalizes to a traditional level of activity relative to the strong level achieved in the second half of 2018 resulting from the U.S.-China trade situation. For the full year 2019, the Company expects average freight rates to approach the levels achieved in 2018.</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Guam, the Company’s container volume in the second quarter 2019 was flat on a year-over-year basis. For 2019, the Company expects volume to approximate the level achieved last year and expects the highly competitive environment to remain.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Alaska, the Company’s container volume for the second quarter 2019 was 8.0 percent higher year-over-year, primarily due to the timing of two additional northbound sailings. For 2019, the Company expects volume to be moderately higher than the level achieved in 2018 with higher northbound volume supported by improving economic conditions in Alaska and higher southbound seafood-related volume due to stronger seafood harvest levels than in 2018.</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contribution in the second quarter 2019 from the Company’s SSAT joint venture investment was $8.2 million lower than the second quarter 2018 primarily due to additional expense related to the early adoption of the new lease accounting standard in the quarter and higher terminal operating costs. Compared to our previous outlook, we expect approximately $5.8 million in lease-related costs to reverse and be a benefit to SSAT’s results in the second half of 2019. For 2019, the Company expects the contribution from SSAT to be lower primarily due to higher terminal operating costs, partially offset by higher lift volume.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a result of the first half performance and the outlook trends noted above, the Company expects full year 2019 Ocean Transportation operating income to be approximately 20 percent lower than the $131.1 million achieved in 2018 after taking into account a full year net operating expense impact of $7.2 million associated with the sale and leaseback of </w:t>
      </w:r>
      <w:r>
        <w:rPr>
          <w:rFonts w:ascii="Arial" w:cs="Arial" w:eastAsia="Arial" w:hAnsi="Arial"/>
          <w:sz w:val="18"/>
          <w:szCs w:val="18"/>
          <w:i w:val="1"/>
          <w:iCs w:val="1"/>
          <w:color w:val="auto"/>
        </w:rPr>
        <w:t>MV Maunalei</w:t>
      </w:r>
      <w:r>
        <w:rPr>
          <w:rFonts w:ascii="Arial" w:cs="Arial" w:eastAsia="Arial" w:hAnsi="Arial"/>
          <w:sz w:val="18"/>
          <w:szCs w:val="18"/>
          <w:color w:val="auto"/>
        </w:rPr>
        <w:t>. In the third quarter 2019, the Company expects Ocean Transportation operating income to be moderately lower than the level achieved in the third quarter 2018.</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second quarter 2019, operating income for the Company’s Logistics segment was $1.8 million higher</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operating income achieved in the second quarter 2018 due to higher contributions across all of the service lines. For 2019, the Company is raising its outlook and expects Logistics operating income to be approximately 10-15 percent higher than the level achieved in 2018 of $32.7 million. In the third quarter 2019, the Company expects operating income to approximate the level achieved in the third quarter 2018.</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2019,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$133 million, inclusive of dry-docking amortization of approximately $38 million. As a result of the previously announced scrubber program on six vessels, dry-dock amortization was accelerated on two vessels in the second quarter, which increased depreciation and amortization in the quarter by $1.4 million and is expected to increase depreciation and amortization for the full year 2019 by approximately $4.2 million.</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The Company expects net income in 2019 to decline year-over-year and expects EBITDA in 2019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$270 million.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Company expects full year 2019 other income (expense) to be approximately $2.7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which is attributable to other component costs related to the Company’s pension and post-retirement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2019 to be approximately $25 million.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the second quarter 2019, the Company’s effective tax rate was 28.4 percent. For the full year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its effective tax rate to be approximately 26.0 percent, which excludes a positive non-cash adjustment of $2.9 million in the first quarter of 2019 related to the reversal of an expense adjustment in 2018 arising from the enactment of the Tax Cuts and Jobs Act of 2017.</w:t>
      </w:r>
    </w:p>
    <w:p>
      <w:pPr>
        <w:spacing w:after="0" w:line="18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i w:val="1"/>
          <w:iCs w:val="1"/>
          <w:color w:val="auto"/>
        </w:rPr>
        <w:t xml:space="preserve">Capital and Vessel Dry-docking Expenditures: </w:t>
      </w:r>
      <w:r>
        <w:rPr>
          <w:rFonts w:ascii="Arial" w:cs="Arial" w:eastAsia="Arial" w:hAnsi="Arial"/>
          <w:sz w:val="16"/>
          <w:szCs w:val="16"/>
          <w:color w:val="auto"/>
        </w:rPr>
        <w:t>For the second quarter 2019, the Company made other capital expenditure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of $24.9 million, capitalized vessel construction expenditures of $9.7 million, and dry-docking payments of $3.7 million. For the full year 2019, the Company expects to make other capital expenditure payments, including maintenance capital expenditures, of approximately $100 million, vessel construction expenditures (including capitalized interest and owner’s items) of approximately $215 million, and dry-docking payments of approximately $20 million.</w:t>
      </w:r>
    </w:p>
    <w:p>
      <w:pPr>
        <w:sectPr>
          <w:pgSz w:w="11900" w:h="16838" w:orient="portrait"/>
          <w:cols w:equalWidth="0" w:num="1">
            <w:col w:w="9040"/>
          </w:cols>
          <w:pgMar w:left="1420" w:top="517" w:right="14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June 30, 2019, compared with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(526.9)</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(511.1)</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w:t>
            </w: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(15.7)</w:t>
            </w:r>
          </w:p>
        </w:tc>
        <w:tc>
          <w:tcPr>
            <w:tcW w:w="180" w:type="dxa"/>
            <w:vAlign w:val="bottom"/>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(14.2)</w:t>
            </w:r>
          </w:p>
        </w:tc>
        <w:tc>
          <w:tcPr>
            <w:tcW w:w="1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5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(0.33)</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increase in interest expense for the three months ended June 30, 2019, compared to the three months ended June 30, 2018, was due to a lower amount of capitalized interest associated with the new vessel construction.</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Income tax expense was $7.3 million or 28.4 percent of income before income taxes for the three months ended June 30, 2019, compared to $8.8 million or 21.3 percent of income before income taxes for the three months ended June 30, 2018. The effective tax rate for the three months ended June 30, 2018 benefited from certain discrete tax adjustments that lowered the effective tax rate for that period. Excluding the impact of these discrete tax adjustments, the adjusted effective tax rate would be 26.1 percent for the three months ended June 30, 2018. The effective tax rate for the three months ended June 30, 2019 was impacted by higher foreign taxes paid during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Six months ended June 30,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(1,041.8)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(993.8)</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18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(35.1)%</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(26.7)</w:t>
            </w:r>
          </w:p>
        </w:tc>
        <w:tc>
          <w:tcPr>
            <w:tcW w:w="18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(40.5)%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(56.5)%</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(15.9)</w:t>
            </w:r>
          </w:p>
        </w:tc>
        <w:tc>
          <w:tcPr>
            <w:tcW w:w="1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5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(0.38)</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(34.5)%</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increase in interest expense for the six months ended June 30, 2019, compared to the six months ended June 30, 2018, was due to higher interest rates on borrowings under the revolving credit facility and a lower amount of capitalized interest associated with the new vessel construction.</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Income tax expense was $8.3 million or 21.2 percent of income before income taxes for the six months ended June 30, 2019, compared to $19.1 million or 29.0 percent of income before income taxes for the six months ended June 30, 2018. In connection with the Tax Cuts and Jobs Act of 2017 (the “2017 Tax Act”), the Company recorded a non-cash tax adjustment of $3.1 million that increased the effective tax rate for the six months ended June 30, 2018. This adjustment related to the application of an estimated 6.2 percent sequestration on alternative minimum tax (AMT) refunds due to the Company for the years 2018 to 2021, and was based on guidance issued by the Internal Revenue Service (IRS) and emerging interpretations of the Tax Act during that period. On January 19, 2019, the IRS issued new guidance indicating that sequestration would not apply to refundable AMT credits. In accordance with this new guidance, the Company recorded a non-cash tax adjustment of $2.9 million that decreased income taxes for the six months ended June 30, 2019. The effective tax rate for the six months ended June 30, 2018 benefited from certain tax adjustments that lowered the effective tax rate.</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Excluding the impact of these discrete tax adjustments, the adjusted effective tax rate would be 28.6 percent for the six months ended June 30, 2019, compared to 26.3 percent for the six months ended June 30, 2018. The effective tax rate for the six months ended June 30, 2019 was also impacted by higher foreign taxes paid during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June 30,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(395.7)</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(370.1)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340" w:right="300" w:hanging="331"/>
        <w:spacing w:after="0" w:line="248"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40" w:hanging="331"/>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Ocean Transportation revenue increased $8.8 million, or 2.2 percent, during the three months ended June 30, 2019, compared with the three months ended June 30, 2018. The increase was primarily due to higher freight revenue in Alaska, higher fuel surcharge revenue and higher average rates in China, partially offset by lower container volume in Hawaii.</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 year-over-year FEU basis, Hawaii container volume decreased 2.3 percent primarily due to negative container market growth; Alaska volume increased by 8.0 percent primarily due to the timing of two additional northbound sailings; China volume was 2.5 percent higher; Guam volume was flat; and Other container volume increased 29.7 percent primarily due to the South Pacific and Okinawa services.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Ocean Transportation operating income decreased $16.8 million, or 46.0 percent, during the three months ended June 30, 2019, compared with the three months ended June 30, 2018. The decrease was primarily due to higher vessel operating costs (including </w:t>
      </w:r>
      <w:r>
        <w:rPr>
          <w:rFonts w:ascii="Arial" w:cs="Arial" w:eastAsia="Arial" w:hAnsi="Arial"/>
          <w:sz w:val="16"/>
          <w:szCs w:val="16"/>
          <w:i w:val="1"/>
          <w:iCs w:val="1"/>
          <w:color w:val="auto"/>
        </w:rPr>
        <w:t>MV Maunalei</w:t>
      </w:r>
      <w:r>
        <w:rPr>
          <w:rFonts w:ascii="Arial" w:cs="Arial" w:eastAsia="Arial" w:hAnsi="Arial"/>
          <w:sz w:val="16"/>
          <w:szCs w:val="16"/>
          <w:color w:val="auto"/>
        </w:rPr>
        <w:t xml:space="preserve"> lease expense), a lower contribution from SSAT, higher terminal handling costs and lower volume in Hawaii, partially offset by a higher contribution from the Alaska service and higher average rates in China.</w:t>
      </w:r>
    </w:p>
    <w:p>
      <w:pPr>
        <w:spacing w:after="0" w:line="15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SSAT terminal joint venture investment contributed $0.9 million during the three months ended June 30, 2019, compared to a contribution of $9.1 million during the three months ended June 30, 2018. The decrease</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was primarily due to additional expense related to the early adoption of the new lease accounting standard in the quarter and higher terminal operating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Six months ended June 30,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(784.2)</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(724.9)</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(1,700)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33,700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32,800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30,100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27,800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340" w:right="300" w:hanging="331"/>
        <w:spacing w:after="0" w:line="248"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40" w:hanging="331"/>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Ocean Transportation revenue increased $27.4 million, or 3.5 percent, during the six months ended June 30, 2019, compared with the six months ended June 30, 2018. The increase was primarily due to higher fuel surcharge revenue, higher freight revenue in China and higher freight revenue in Alaska, partially offset by lower container volume in Hawaii.</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 year-over-year FEU basis, Hawaii container volume decreased 2.3 percent primarily due to negative container market growth and weather-related impacts in the first quarter of 2019; Alaska volume increased by 1.1 percent primarily due to the timing of one additional northbound sailing, partially offset by lower northbound volume related to the dry-docking of a competitor’s vessel in the year ago period; China volume was 8.3 percent higher primarily due to stronger volume post Lunar New Year; Guam volume was 2.1 percent higher primarily due to typhoon relief-related volume; and Other container volume increased 22.1 percent primarily due to the Okinawa service.</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Ocean Transportation operating income decreased $31.9 million, or 52.3 percent, during the six months ended June 30, 2019, compared with the six months ended June 30, 2018. The decrease was primarily due to higher vessel operating costs (including </w:t>
      </w:r>
      <w:r>
        <w:rPr>
          <w:rFonts w:ascii="Arial" w:cs="Arial" w:eastAsia="Arial" w:hAnsi="Arial"/>
          <w:sz w:val="17"/>
          <w:szCs w:val="17"/>
          <w:i w:val="1"/>
          <w:iCs w:val="1"/>
          <w:color w:val="auto"/>
        </w:rPr>
        <w:t>MV Maunalei</w:t>
      </w:r>
      <w:r>
        <w:rPr>
          <w:rFonts w:ascii="Arial" w:cs="Arial" w:eastAsia="Arial" w:hAnsi="Arial"/>
          <w:sz w:val="17"/>
          <w:szCs w:val="17"/>
          <w:color w:val="auto"/>
        </w:rPr>
        <w:t xml:space="preserve"> lease expense), higher terminal handling costs, a lower contribution from SSAT and lower volume in Hawaii, partially offset by a higher contribution from the China service.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SSAT terminal joint venture investment contributed $9.4 million during the six months ended June 30, 2019, compared to a contribution of $19.6 million during the six months ended June 30, 2018. The decrease was primarily due to higher terminal operating costs, additional expense related to the early adoption of the new lease accounting standard, and the absence of favorable one-time items in the year ago six months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(131.2)</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(141.0)</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Logistics revenue decreased $8.0 million, or 5.3 percent, during the three months ended June 30, 2019, compared with the three months ended June 30, 2018. The decrease was primarily due to lower transportation brokerage revenue, partially offset by higher freight forwarding revenue.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Logistics operating income increased $1.8 million, or 18.9 percent, for the three months ended June 30, 2019, compared with the three months ended June 30, 2018. The increase was due primarily to higher contributions from freight forwarding and transportation brokerage.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Six months ended June 30,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(257.6)</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(268.9)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Logistics revenue decreased $5.6 million, or 2.0 percent, during the six months ended June 30, 2019, compared with the six months ended June 30, 2018. The decrease was primarily due to lower transportation brokerage revenue, partially offset by higher freight forwarding revenue.</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Logistics operating income increased $5.7 million, or 41.6 percent, for the six months ended June 30, 2019, compared with the six months ended June 30, 2018. The increase was due primarily to higher contributions from transportation brokerage and freight forwarding.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June 30, 2019, compared to December 31, 2018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w:t>
      </w:r>
    </w:p>
    <w:tbl>
      <w:tblPr>
        <w:tblLayout w:type="fixed"/>
        <w:tblInd w:w="0" w:type="dxa"/>
        <w:tblCellMar>
          <w:top w:w="0" w:type="dxa"/>
          <w:left w:w="0" w:type="dxa"/>
          <w:bottom w:w="0" w:type="dxa"/>
          <w:right w:w="0" w:type="dxa"/>
        </w:tblCellMar>
      </w:tblPr>
      <w:tr>
        <w:trPr>
          <w:trHeight w:val="141"/>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3"/>
          </w:tcPr>
          <w:p>
            <w:pPr>
              <w:ind w:left="100"/>
              <w:spacing w:after="0" w:line="141" w:lineRule="exact"/>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6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1"/>
        <w:spacing w:after="0" w:line="25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June 30, 2019 and December 31, 2018, $1.7 million and $1.0 million, respectively, of eligible accounts receivable were assigned to the CCF (see Note 2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i w:val="1"/>
          <w:iCs w:val="1"/>
          <w:color w:val="auto"/>
        </w:rPr>
        <w:t>Cash, Cash Equivalents and Restricted Cash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changes in the Company’s cash, cash equivalents and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for the six months ended June 30, 2019, compared to the six months ended June 30, 2018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54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 (1)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(66.8)</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(180.4)</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196"/>
        </w:trPr>
        <w:tc>
          <w:tcPr>
            <w:tcW w:w="6360" w:type="dxa"/>
            <w:vAlign w:val="bottom"/>
            <w:gridSpan w:val="3"/>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Changes in net cash provided by operating activities for the six months ended June 30, 2019, compared to the six months ended June 30, 2018,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from Terminal Joint Venture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Distributions from Terminal Joint Venture</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accruals and other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Deferred dry-docking payments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amortization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0"/>
        </w:trPr>
        <w:tc>
          <w:tcPr>
            <w:tcW w:w="8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change in equity income and distributions from Terminal Joint Venture results from a decrease in the Company’s share of income from the Terminal Joint Venture to $9.4 million during the six months ended June 30, 2019, compared to $19.6 million for the six months ended June 30, 2018, while distributions from the Terminal Joint Venture decreased to $9.5 million for the six months ended June 30, 2019, compared to $17.5 million for the six months ended June 30, 2018. Changes in accounts receivable were primarily due to the timing of billings and collections associated with those receivables. The increase in prepaid expenses and other assets primarily related to an income tax refund received during the six months ended June 30, 2019, and the timing of prepayments and other assets. Changes in accounts payable, accruals and other liabilities were primarily due to the timing of payments associated with those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used in investing activities for the six months ended June 30, 2019,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were due to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deposits into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Withdrawals from CCF</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(172.8)</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capital expenditures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r>
      <w:tr>
        <w:trPr>
          <w:trHeight w:val="21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Vessel construction expenditures (including capitalized interest) were $30.6 million for the six months ended June 30, 2019, compared to $166.8 million for the six months ended June 30, 2018. Vessel construction expenditures relate to progress payments for the construction of new vessels for the Hawaii service, capitalized interest and owner’s items.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$38.4 million for the six months ended June 30, 2019, compared to $25.5 million for the six months ended June 30, 2018. The increase in other capital expenditures is primarily due to the timing of certain capital project activities incurred during 2019 as compared to 2018. The decrease in proceeds from disposal of property and equipment is primarily due to sale and leaseback of chassis equipment previously owned by the Company during the six months ended June 30, 2018. There were no sale and leaseback activities during the six months ended June 30,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provided by financing activities: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Changes in net cash (used in) provided by financing activities for the six months ended June 30, 2019, compared to the six months ended June 30, 2018, were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fixed interest debt and capital leases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Borrowings under revolving credit facility, net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other payments, net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six months ended June 30, 2019, the Company paid $11.8 million in scheduled fixed debt and capital lease payments compared to $14.6 million during the six months ended June 30, 2018. During the six months ended June 30, 2018, the Company increased net borrowings under the revolving credit facility by $90.0 million, while there was no change in net borrowing during the six months ended June 30, 2019. Borrowings from the Company’s revolving credit facility were primarily used to fund progress payments related to the construction of new vessels. During the six months ended June 30, 2019, the Company paid $18.2 million in dividends, compared to $17.3 million during the six months ended June 30, 2018. The increase in dividend payments resulted from an increase in dividends declared per share of common stock by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June 30, 2019 and December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6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Fixed interest debt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debt decreased by $11.8 million during the six months ended June 30, 2019. The reduction in fixed interest debt was due to scheduled debt payments made during the six months ended June 30, 2019.</w:t>
      </w:r>
    </w:p>
    <w:p>
      <w:pPr>
        <w:spacing w:after="0" w:line="170" w:lineRule="exact"/>
        <w:rPr>
          <w:sz w:val="20"/>
          <w:szCs w:val="20"/>
          <w:color w:val="auto"/>
        </w:rPr>
      </w:pPr>
    </w:p>
    <w:p>
      <w:pPr>
        <w:ind w:right="1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As of June 30, 2019, the Company had $217.8 million of availability under the revolving credit facility, with a maturity date of June 29, 2022. The Company’s debt is described in Note 8 to the Consolidated Financial Statements included in Part II, Item 8 of the Company’s </w:t>
      </w:r>
      <w:hyperlink r:id="rId37">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which is incorporated herein by reference.</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a working capital deficiency of $135.8 million and $52.4 million at June 30, 2019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respectively. The increase in working capital deficiency at June 30, 2019 is partially due to the recording of operating lease liabilities of $57.4 million as of June 30, 3019 in accordance with the adoption of the new lease accounting standard ASC 842. Changes in working capital is also impacted by the timing of billings and collections associated with accounts receivable and other assets, and the timing of payments associated with accounts payable, accruals and other liabilities.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jc w:val="both"/>
        <w:ind w:right="16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There were no material changes during this quarter to the Company’s contractual obligations, commitments, contingencies </w:t>
      </w:r>
      <w:hyperlink r:id="rId37">
        <w:r>
          <w:rPr>
            <w:rFonts w:ascii="Arial" w:cs="Arial" w:eastAsia="Arial" w:hAnsi="Arial"/>
            <w:sz w:val="17"/>
            <w:szCs w:val="17"/>
            <w:color w:val="auto"/>
          </w:rPr>
          <w:t xml:space="preserve">and off-balance sheet arrangements that are described in Part II, Item 7 of the Company’s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which is incorporated herein by reference.</w:t>
        </w:r>
      </w:hyperlink>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Company’s second quarter 2019 cash dividend of $0.21 per share was paid on June 6, 2019. On June 14, 2019, the Company’s Board of Directors declared a cash dividend of $0.22 per share payable on September 5,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2019, the Company’s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June 30, 2019,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2018.</w:t>
      </w:r>
    </w:p>
    <w:p>
      <w:pPr>
        <w:sectPr>
          <w:pgSz w:w="11900" w:h="16838" w:orient="portrait"/>
          <w:cols w:equalWidth="0" w:num="1">
            <w:col w:w="9040"/>
          </w:cols>
          <w:pgMar w:left="1420" w:top="517" w:right="14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840" w:right="119" w:hanging="836"/>
        <w:spacing w:after="0" w:line="309"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8"/>
            <w:szCs w:val="18"/>
            <w:u w:val="single" w:color="auto"/>
            <w:color w:val="0000EE"/>
          </w:rPr>
          <w:t>Certification of Chief Executive Officer pursuant to Rule 13a-14(a) or 15d-14(a) of the Securities Exchange Act</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of 1934.</w:t>
        </w:r>
      </w:hyperlink>
    </w:p>
    <w:p>
      <w:pPr>
        <w:spacing w:after="0" w:line="196" w:lineRule="exact"/>
        <w:rPr>
          <w:sz w:val="20"/>
          <w:szCs w:val="20"/>
          <w:color w:val="auto"/>
        </w:rPr>
      </w:pPr>
    </w:p>
    <w:p>
      <w:pPr>
        <w:ind w:left="840" w:right="159" w:hanging="836"/>
        <w:spacing w:after="0" w:line="309"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of 1934.</w:t>
        </w:r>
      </w:hyperlink>
    </w:p>
    <w:p>
      <w:pPr>
        <w:spacing w:after="0" w:line="196" w:lineRule="exact"/>
        <w:rPr>
          <w:sz w:val="20"/>
          <w:szCs w:val="20"/>
          <w:color w:val="auto"/>
        </w:rPr>
      </w:pPr>
    </w:p>
    <w:p>
      <w:pPr>
        <w:ind w:left="840" w:hanging="830"/>
        <w:spacing w:after="0"/>
        <w:tabs>
          <w:tab w:leader="none" w:pos="840" w:val="left"/>
        </w:tabs>
        <w:numPr>
          <w:ilvl w:val="0"/>
          <w:numId w:val="27"/>
        </w:numPr>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Chief Executive Officer and Chief Financial Officer pursuant to 18 U.S.C. Section 1350.</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778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60" w:type="dxa"/>
            <w:vAlign w:val="bottom"/>
          </w:tcPr>
          <w:p>
            <w:pPr>
              <w:spacing w:after="0"/>
              <w:rPr>
                <w:sz w:val="21"/>
                <w:szCs w:val="21"/>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840" w:right="59" w:hanging="830"/>
        <w:spacing w:after="0" w:line="309"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23495</wp:posOffset>
            </wp:positionV>
            <wp:extent cx="2872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0"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23495</wp:posOffset>
            </wp:positionV>
            <wp:extent cx="2872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0"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Senior Vice President and</w:t>
      </w:r>
    </w:p>
    <w:p>
      <w:pPr>
        <w:spacing w:after="0" w:line="3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23495</wp:posOffset>
            </wp:positionV>
            <wp:extent cx="2872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0"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30" w:name="page31"/>
    <w:bookmarkEnd w:id="30"/>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June 30, 2019,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August 8, 2019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 "/>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7"/>
    </w:lvl>
  </w:abstractNum>
  <w:abstractNum w:abstractNumId="16">
    <w:nsid w:val="54E49EB4"/>
    <w:multiLevelType w:val="hybridMultilevel"/>
    <w:lvl w:ilvl="0">
      <w:lvlJc w:val="left"/>
      <w:lvlText w:val=" "/>
      <w:numFmt w:val="bullet"/>
      <w:start w:val="1"/>
    </w:lvl>
  </w:abstractNum>
  <w:abstractNum w:abstractNumId="17">
    <w:nsid w:val="71F32454"/>
    <w:multiLevelType w:val="hybridMultilevel"/>
    <w:lvl w:ilvl="0">
      <w:lvlJc w:val="left"/>
      <w:lvlText w:val="%1."/>
      <w:numFmt w:val="decimal"/>
      <w:start w:val="8"/>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9"/>
    </w:lvl>
  </w:abstractNum>
  <w:abstractNum w:abstractNumId="20">
    <w:nsid w:val="2901D82"/>
    <w:multiLevelType w:val="hybridMultilevel"/>
    <w:lvl w:ilvl="0">
      <w:lvlJc w:val="left"/>
      <w:lvlText w:val="%1."/>
      <w:numFmt w:val="decimal"/>
      <w:start w:val="10"/>
    </w:lvl>
  </w:abstractNum>
  <w:abstractNum w:abstractNumId="21">
    <w:nsid w:val="3A95F874"/>
    <w:multiLevelType w:val="hybridMultilevel"/>
    <w:lvl w:ilvl="0">
      <w:lvlJc w:val="left"/>
      <w:lvlText w:val="%1."/>
      <w:numFmt w:val="decimal"/>
      <w:start w:val="11"/>
    </w:lvl>
  </w:abstractNum>
  <w:abstractNum w:abstractNumId="22">
    <w:nsid w:val="8138641"/>
    <w:multiLevelType w:val="hybridMultilevel"/>
    <w:lvl w:ilvl="0">
      <w:lvlJc w:val="left"/>
      <w:lvlText w:val="%1."/>
      <w:numFmt w:val="decimal"/>
      <w:start w:val="12"/>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2"/>
    </w:lvl>
  </w:abstractNum>
  <w:abstractNum w:abstractNumId="27">
    <w:nsid w:val="22221A70"/>
    <w:multiLevelType w:val="hybridMultilevel"/>
    <w:lvl w:ilvl="0">
      <w:lvlJc w:val="left"/>
      <w:lvlText w:val="%1"/>
      <w:numFmt w:val="decimal"/>
      <w:start w:val="104"/>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37" Type="http://schemas.openxmlformats.org/officeDocument/2006/relationships/hyperlink" Target="http://www.sec.gov/Archives/edgar/data/3453/000155837019001448/matx-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2019-12-28T08:12:18Z</dcterms:created>
  <dcterms:modified xsi:type="dcterms:W3CDTF">2019-12-28T08:12:18Z</dcterms:modified>
</cp:coreProperties>
</file>