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atx-20251231x10k.htm"/>
        <w:bookmarkStart w:id="1" w:name="ksmatx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bookmarkStart w:id="2" w:name="_c3747345_68d6_466d_9632_e2b27700578c"/>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10-K</w:t>
      </w:r>
    </w:p>
    <w:p>
      <w:pPr>
        <w:pStyle w:val="TextBody"/>
        <w:bidi w:val="0"/>
        <w:spacing w:before="0" w:after="0"/>
        <w:ind w:left="0" w:right="0" w:hanging="0"/>
        <w:jc w:val="center"/>
        <w:rPr/>
      </w:pPr>
      <w:r>
        <w:rPr/>
        <w:t>​</w:t>
      </w:r>
    </w:p>
    <w:tbl>
      <w:tblPr>
        <w:tblW w:w="10026" w:type="dxa"/>
        <w:jc w:val="left"/>
        <w:tblInd w:w="0" w:type="dxa"/>
        <w:tblLayout w:type="fixed"/>
        <w:tblCellMar>
          <w:top w:w="0" w:type="dxa"/>
          <w:left w:w="0" w:type="dxa"/>
          <w:bottom w:w="0" w:type="dxa"/>
          <w:right w:w="0" w:type="dxa"/>
        </w:tblCellMar>
      </w:tblPr>
      <w:tblGrid>
        <w:gridCol w:w="124"/>
        <w:gridCol w:w="31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58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001-34187</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Matson,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GQlRbJmqgk2yyUMEy9Jyyw_2_2"/>
      <w:bookmarkStart w:id="4" w:name="Tc_TDTjHh6zlUqvgaFprIe9vQ_2_0"/>
      <w:bookmarkStart w:id="5" w:name="Tc_HxqFN-A_JE-Q9mBaSy3paA_1_2"/>
      <w:bookmarkStart w:id="6" w:name="Tc_FTnrYZwYxEilW3BM521ZDQ_1_0"/>
      <w:bookmarkStart w:id="7" w:name="_837664fb_558a_4722_919f_e1e88e87f4b2"/>
      <w:bookmarkStart w:id="8" w:name="Tc_GQlRbJmqgk2yyUMEy9Jyyw_2_2"/>
      <w:bookmarkStart w:id="9" w:name="Tc_TDTjHh6zlUqvgaFprIe9vQ_2_0"/>
      <w:bookmarkStart w:id="10" w:name="Tc_HxqFN-A_JE-Q9mBaSy3paA_1_2"/>
      <w:bookmarkStart w:id="11" w:name="Tc_FTnrYZwYxEilW3BM521ZDQ_1_0"/>
      <w:bookmarkStart w:id="12" w:name="_837664fb_558a_4722_919f_e1e88e87f4b2"/>
      <w:bookmarkEnd w:id="8"/>
      <w:bookmarkEnd w:id="9"/>
      <w:bookmarkEnd w:id="10"/>
      <w:bookmarkEnd w:id="11"/>
      <w:bookmarkEnd w:id="12"/>
    </w:p>
    <w:tbl>
      <w:tblPr>
        <w:tblW w:w="3786" w:type="dxa"/>
        <w:jc w:val="left"/>
        <w:tblInd w:w="0" w:type="dxa"/>
        <w:tblLayout w:type="fixed"/>
        <w:tblCellMar>
          <w:top w:w="0" w:type="dxa"/>
          <w:left w:w="0" w:type="dxa"/>
          <w:bottom w:w="0" w:type="dxa"/>
          <w:right w:w="0" w:type="dxa"/>
        </w:tblCellMar>
      </w:tblPr>
      <w:tblGrid>
        <w:gridCol w:w="2236"/>
        <w:gridCol w:w="109"/>
        <w:gridCol w:w="1441"/>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Hawaii</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99-0032630</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1411 Sand Island Parkway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Honolulu, HI</w:t>
      </w:r>
      <w:r>
        <w:rPr>
          <w:rFonts w:ascii="Times New Roman;Times;serif" w:hAnsi="Times New Roman;Times;serif"/>
          <w:sz w:val="20"/>
        </w:rPr>
        <w:t xml:space="preserve"> </w:t>
      </w:r>
      <w:r>
        <w:rPr>
          <w:rFonts w:ascii="Times New Roman;Times;serif" w:hAnsi="Times New Roman;Times;serif"/>
          <w:b/>
          <w:sz w:val="16"/>
        </w:rPr>
        <w:t>96819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(808) 848-1211</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360" w:right="0" w:hanging="0"/>
        <w:jc w:val="left"/>
        <w:rPr/>
      </w:pPr>
      <w:r>
        <w:rPr/>
        <w:t>​</w:t>
      </w:r>
    </w:p>
    <w:p>
      <w:pPr>
        <w:pStyle w:val="Normal"/>
        <w:bidi w:val="0"/>
        <w:spacing w:before="0" w:after="0"/>
        <w:jc w:val="left"/>
        <w:rPr>
          <w:sz w:val="4"/>
          <w:szCs w:val="4"/>
        </w:rPr>
      </w:pPr>
      <w:r>
        <w:rPr>
          <w:sz w:val="4"/>
          <w:szCs w:val="4"/>
        </w:rPr>
      </w:r>
      <w:bookmarkStart w:id="13" w:name="Tc_a1MQFDda806DmpqOY5f1pw_1_2"/>
      <w:bookmarkStart w:id="14" w:name="Tc_nWbcnxjE_keN7SshwQrZTw_1_1"/>
      <w:bookmarkStart w:id="15" w:name="Tc_4HynmVdkaUmV4rlIT_Ud8Q_1_0"/>
      <w:bookmarkStart w:id="16" w:name="_6ec5ea10_e458_4eae_81c2_2ff7390a8f51"/>
      <w:bookmarkStart w:id="17" w:name="Tc_a1MQFDda806DmpqOY5f1pw_1_2"/>
      <w:bookmarkStart w:id="18" w:name="Tc_nWbcnxjE_keN7SshwQrZTw_1_1"/>
      <w:bookmarkStart w:id="19" w:name="Tc_4HynmVdkaUmV4rlIT_Ud8Q_1_0"/>
      <w:bookmarkStart w:id="20" w:name="_6ec5ea10_e458_4eae_81c2_2ff7390a8f51"/>
      <w:bookmarkEnd w:id="17"/>
      <w:bookmarkEnd w:id="18"/>
      <w:bookmarkEnd w:id="19"/>
      <w:bookmarkEnd w:id="20"/>
    </w:p>
    <w:tbl>
      <w:tblPr>
        <w:tblW w:w="7158" w:type="dxa"/>
        <w:jc w:val="left"/>
        <w:tblInd w:w="0" w:type="dxa"/>
        <w:tblLayout w:type="fixed"/>
        <w:tblCellMar>
          <w:top w:w="0" w:type="dxa"/>
          <w:left w:w="0" w:type="dxa"/>
          <w:bottom w:w="0" w:type="dxa"/>
          <w:right w:w="0" w:type="dxa"/>
        </w:tblCellMar>
      </w:tblPr>
      <w:tblGrid>
        <w:gridCol w:w="2506"/>
        <w:gridCol w:w="1426"/>
        <w:gridCol w:w="322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25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without par value</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MATX</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New York Stock Exchange</w:t>
            </w:r>
          </w:p>
        </w:tc>
      </w:tr>
    </w:tbl>
    <w:p>
      <w:pPr>
        <w:pStyle w:val="TextBody"/>
        <w:bidi w:val="0"/>
        <w:spacing w:before="0" w:after="0"/>
        <w:ind w:left="0" w:right="0" w:hanging="0"/>
        <w:jc w:val="center"/>
        <w:rPr/>
      </w:pPr>
      <w:r>
        <w:rPr/>
        <w:t>​</w:t>
      </w:r>
    </w:p>
    <w:p>
      <w:pPr>
        <w:pStyle w:val="TextBody"/>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 xml:space="preserve">Securities registered pursuant to Section 12(g) of the Act: </w:t>
      </w:r>
      <w:r>
        <w:rPr>
          <w:rFonts w:ascii="Times New Roman;Times;serif" w:hAnsi="Times New Roman;Times;serif"/>
          <w:b/>
          <w:sz w:val="16"/>
        </w:rPr>
        <w:t>None</w:t>
      </w:r>
    </w:p>
    <w:p>
      <w:pPr>
        <w:pStyle w:val="TextBody"/>
        <w:bidi w:val="0"/>
        <w:spacing w:before="0" w:after="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187" w:type="dxa"/>
        <w:jc w:val="left"/>
        <w:tblInd w:w="0" w:type="dxa"/>
        <w:tblLayout w:type="fixed"/>
        <w:tblCellMar>
          <w:top w:w="0" w:type="dxa"/>
          <w:left w:w="0" w:type="dxa"/>
          <w:bottom w:w="0" w:type="dxa"/>
          <w:right w:w="0" w:type="dxa"/>
        </w:tblCellMar>
      </w:tblPr>
      <w:tblGrid>
        <w:gridCol w:w="1891"/>
        <w:gridCol w:w="2296"/>
      </w:tblGrid>
      <w:tr>
        <w:trPr/>
        <w:tc>
          <w:tcPr>
            <w:tcW w:w="189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9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91" w:type="dxa"/>
            <w:tcBorders/>
            <w:vAlign w:val="center"/>
          </w:tcPr>
          <w:p>
            <w:pPr>
              <w:pStyle w:val="TableContents"/>
              <w:pBdr/>
              <w:bidi w:val="0"/>
              <w:spacing w:before="0" w:after="0"/>
              <w:ind w:left="0" w:right="0" w:hanging="0"/>
              <w:jc w:val="center"/>
              <w:rPr/>
            </w:pPr>
            <w:r>
              <w:rPr/>
              <w:t>​</w:t>
            </w:r>
          </w:p>
        </w:tc>
        <w:tc>
          <w:tcPr>
            <w:tcW w:w="2296" w:type="dxa"/>
            <w:tcBorders/>
            <w:vAlign w:val="center"/>
          </w:tcPr>
          <w:p>
            <w:pPr>
              <w:pStyle w:val="TableContents"/>
              <w:bidi w:val="0"/>
              <w:spacing w:before="0" w:after="0"/>
              <w:ind w:left="36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Aggregate market value of Common Stock held by non-affiliates at June 30, 2025: </w:t>
      </w:r>
      <w:r>
        <w:rPr>
          <w:rFonts w:ascii="Times New Roman;Times;serif" w:hAnsi="Times New Roman;Times;serif"/>
          <w:b/>
          <w:sz w:val="16"/>
        </w:rPr>
        <w:t>$3,466,200,557</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Number of shares of Common Stock outstanding at February 13, 2026: </w:t>
      </w:r>
      <w:r>
        <w:rPr>
          <w:rFonts w:ascii="Times New Roman;Times;serif" w:hAnsi="Times New Roman;Times;serif"/>
          <w:b/>
          <w:sz w:val="16"/>
        </w:rPr>
        <w:t>30,439,310</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following document is incorporated by reference in Part III of the Annual Report on Form 10-K to the extent described therein: Proxy statement for the annual meeting of shareholders of Matson, Inc. to be held on April 23, 2026.</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1" w:name="TOC"/>
      <w:bookmarkStart w:id="22" w:name="_0cf40ad4_59f1_4ba1_af61_f4d1d3a11c33"/>
      <w:bookmarkEnd w:id="21"/>
      <w:bookmarkEnd w:id="2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83"/>
        <w:gridCol w:w="327"/>
        <w:gridCol w:w="973"/>
        <w:gridCol w:w="7550"/>
        <w:gridCol w:w="572"/>
      </w:tblGrid>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left"/>
              <w:rPr/>
            </w:pPr>
            <w:r>
              <w:rPr/>
              <w:t>​</w:t>
            </w:r>
          </w:p>
        </w:tc>
        <w:tc>
          <w:tcPr>
            <w:tcW w:w="7550"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63220" cy="175260"/>
                      <wp:effectExtent l="0" t="0" r="0" b="0"/>
                      <wp:wrapNone/>
                      <wp:docPr id="1" name="Frame1"/>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r>
              <w:rPr/>
              <w:t>​</w:t>
            </w:r>
          </w:p>
        </w:tc>
        <w:tc>
          <w:tcPr>
            <w:tcW w:w="8523" w:type="dxa"/>
            <w:gridSpan w:val="2"/>
            <w:tcBorders/>
            <w:vAlign w:val="center"/>
          </w:tcPr>
          <w:p>
            <w:pPr>
              <w:pStyle w:val="TableContents"/>
              <w:bidi w:val="0"/>
              <w:spacing w:before="0" w:after="0"/>
              <w:ind w:left="0" w:right="0" w:hanging="0"/>
              <w:jc w:val="center"/>
              <w:rPr/>
            </w:pPr>
            <w:hyperlink w:anchor="PARTI_34317">
              <w:r>
                <w:rPr>
                  <w:rStyle w:val="InternetLink"/>
                  <w:rFonts w:ascii="Times New Roman;Times;serif" w:hAnsi="Times New Roman;Times;serif"/>
                  <w:b/>
                  <w:i w:val="false"/>
                  <w:caps w:val="false"/>
                  <w:smallCaps w:val="false"/>
                  <w:sz w:val="20"/>
                </w:rPr>
                <w:t>PART I</w:t>
              </w:r>
            </w:hyperlink>
          </w:p>
        </w:tc>
        <w:tc>
          <w:tcPr>
            <w:tcW w:w="572" w:type="dxa"/>
            <w:tcBorders/>
            <w:vAlign w:val="center"/>
          </w:tcPr>
          <w:p>
            <w:pPr>
              <w:pStyle w:val="TableContents"/>
              <w:bidi w:val="0"/>
              <w:spacing w:before="0" w:after="0"/>
              <w:ind w:left="0" w:right="0" w:hanging="0"/>
              <w:jc w:val="right"/>
              <w:rPr/>
            </w:pPr>
            <w:r>
              <w:rPr/>
              <w:t>​</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83" w:type="dxa"/>
            <w:tcBorders/>
            <w:vAlign w:val="center"/>
          </w:tcPr>
          <w:p>
            <w:pPr>
              <w:pStyle w:val="TableContents"/>
              <w:bidi w:val="0"/>
              <w:spacing w:before="0" w:after="0"/>
              <w:ind w:left="0" w:right="0" w:hanging="0"/>
              <w:jc w:val="left"/>
              <w:rPr/>
            </w:pPr>
            <w:hyperlink w:anchor="ITEM1_986843">
              <w:r>
                <w:rPr>
                  <w:rStyle w:val="InternetLink"/>
                  <w:rFonts w:ascii="Times New Roman;Times;serif" w:hAnsi="Times New Roman;Times;serif"/>
                  <w:b w:val="false"/>
                  <w:i w:val="false"/>
                  <w:caps w:val="false"/>
                  <w:smallCaps w:val="false"/>
                  <w:sz w:val="20"/>
                </w:rPr>
                <w:t>Item 1.</w:t>
              </w:r>
            </w:hyperlink>
          </w:p>
        </w:tc>
        <w:tc>
          <w:tcPr>
            <w:tcW w:w="327" w:type="dxa"/>
            <w:tcBorders/>
            <w:vAlign w:val="center"/>
          </w:tcPr>
          <w:p>
            <w:pPr>
              <w:pStyle w:val="TableContents"/>
              <w:bidi w:val="0"/>
              <w:spacing w:before="0" w:after="0"/>
              <w:ind w:left="0" w:right="0" w:hanging="0"/>
              <w:jc w:val="center"/>
              <w:rPr/>
            </w:pPr>
            <w:r>
              <w:rPr/>
              <w:t>​</w:t>
            </w:r>
          </w:p>
        </w:tc>
        <w:tc>
          <w:tcPr>
            <w:tcW w:w="8523" w:type="dxa"/>
            <w:gridSpan w:val="2"/>
            <w:tcBorders/>
            <w:vAlign w:val="center"/>
          </w:tcPr>
          <w:p>
            <w:pPr>
              <w:pStyle w:val="TableContents"/>
              <w:bidi w:val="0"/>
              <w:spacing w:before="0" w:after="0"/>
              <w:ind w:left="0" w:right="0" w:hanging="0"/>
              <w:jc w:val="left"/>
              <w:rPr/>
            </w:pPr>
            <w:hyperlink w:anchor="BUSINESS_683066">
              <w:r>
                <w:rPr>
                  <w:rStyle w:val="InternetLink"/>
                  <w:rFonts w:ascii="Times New Roman;Times;serif" w:hAnsi="Times New Roman;Times;serif"/>
                  <w:b w:val="false"/>
                  <w:i w:val="false"/>
                  <w:caps w:val="false"/>
                  <w:smallCaps w:val="false"/>
                  <w:sz w:val="20"/>
                  <w:shd w:fill="FFFFFF" w:val="clear"/>
                </w:rPr>
                <w:t>Business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COMPANYOVERVIEW_457038">
              <w:r>
                <w:rPr>
                  <w:rStyle w:val="InternetLink"/>
                  <w:rFonts w:ascii="Times New Roman;Times;serif" w:hAnsi="Times New Roman;Times;serif"/>
                  <w:b w:val="false"/>
                  <w:i w:val="false"/>
                  <w:caps w:val="false"/>
                  <w:smallCaps w:val="false"/>
                  <w:sz w:val="20"/>
                </w:rPr>
                <w:t>A.</w:t>
              </w:r>
            </w:hyperlink>
            <w:r>
              <w:rPr>
                <w:rFonts w:ascii="Times New Roman;Times;serif" w:hAnsi="Times New Roman;Times;serif"/>
                <w:sz w:val="20"/>
              </w:rPr>
              <w:t xml:space="preserve"> </w:t>
            </w:r>
          </w:p>
        </w:tc>
        <w:tc>
          <w:tcPr>
            <w:tcW w:w="8523" w:type="dxa"/>
            <w:gridSpan w:val="2"/>
            <w:tcBorders/>
            <w:vAlign w:val="center"/>
          </w:tcPr>
          <w:p>
            <w:pPr>
              <w:pStyle w:val="TableContents"/>
              <w:bidi w:val="0"/>
              <w:spacing w:before="0" w:after="0"/>
              <w:ind w:left="0" w:right="0" w:hanging="0"/>
              <w:jc w:val="left"/>
              <w:rPr/>
            </w:pPr>
            <w:hyperlink w:anchor="COMPANYOVERVIEW_457038">
              <w:r>
                <w:rPr>
                  <w:rStyle w:val="InternetLink"/>
                  <w:rFonts w:ascii="Times New Roman;Times;serif" w:hAnsi="Times New Roman;Times;serif"/>
                  <w:b w:val="false"/>
                  <w:i w:val="false"/>
                  <w:caps w:val="false"/>
                  <w:smallCaps w:val="false"/>
                  <w:sz w:val="20"/>
                  <w:shd w:fill="FFFFFF" w:val="clear"/>
                </w:rPr>
                <w:t>Company Overview</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BUSINESSDESCRIPTION_300282">
              <w:r>
                <w:rPr>
                  <w:rStyle w:val="InternetLink"/>
                  <w:rFonts w:ascii="Times New Roman;Times;serif" w:hAnsi="Times New Roman;Times;serif"/>
                  <w:b w:val="false"/>
                  <w:i w:val="false"/>
                  <w:caps w:val="false"/>
                  <w:smallCaps w:val="false"/>
                  <w:sz w:val="20"/>
                </w:rPr>
                <w:t>B.</w:t>
              </w:r>
            </w:hyperlink>
            <w:r>
              <w:rPr>
                <w:rFonts w:ascii="Times New Roman;Times;serif" w:hAnsi="Times New Roman;Times;serif"/>
                <w:sz w:val="20"/>
              </w:rPr>
              <w:t xml:space="preserve"> </w:t>
            </w:r>
          </w:p>
        </w:tc>
        <w:tc>
          <w:tcPr>
            <w:tcW w:w="8523" w:type="dxa"/>
            <w:gridSpan w:val="2"/>
            <w:tcBorders/>
            <w:vAlign w:val="center"/>
          </w:tcPr>
          <w:p>
            <w:pPr>
              <w:pStyle w:val="TableContents"/>
              <w:bidi w:val="0"/>
              <w:spacing w:before="0" w:after="0"/>
              <w:ind w:left="0" w:right="0" w:hanging="0"/>
              <w:jc w:val="left"/>
              <w:rPr/>
            </w:pPr>
            <w:hyperlink w:anchor="BUSINESSDESCRIPTION_300282">
              <w:r>
                <w:rPr>
                  <w:rStyle w:val="InternetLink"/>
                  <w:rFonts w:ascii="Times New Roman;Times;serif" w:hAnsi="Times New Roman;Times;serif"/>
                  <w:b w:val="false"/>
                  <w:i w:val="false"/>
                  <w:caps w:val="false"/>
                  <w:smallCaps w:val="false"/>
                  <w:sz w:val="20"/>
                  <w:shd w:fill="FFFFFF" w:val="clear"/>
                </w:rPr>
                <w:t>Business Description</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hyperlink w:anchor="OCEANTRANSPORTATIONSEGMENT_742138">
              <w:r>
                <w:rPr>
                  <w:rStyle w:val="InternetLink"/>
                  <w:rFonts w:ascii="Times New Roman;Times;serif" w:hAnsi="Times New Roman;Times;serif"/>
                  <w:b w:val="false"/>
                  <w:i w:val="false"/>
                  <w:caps w:val="false"/>
                  <w:smallCaps w:val="false"/>
                  <w:sz w:val="20"/>
                </w:rPr>
                <w:t>(1)</w:t>
              </w:r>
            </w:hyperlink>
          </w:p>
        </w:tc>
        <w:tc>
          <w:tcPr>
            <w:tcW w:w="7550" w:type="dxa"/>
            <w:tcBorders/>
            <w:vAlign w:val="center"/>
          </w:tcPr>
          <w:p>
            <w:pPr>
              <w:pStyle w:val="TableContents"/>
              <w:bidi w:val="0"/>
              <w:spacing w:before="0" w:after="0"/>
              <w:ind w:left="0" w:right="0" w:hanging="0"/>
              <w:jc w:val="left"/>
              <w:rPr/>
            </w:pPr>
            <w:hyperlink w:anchor="OCEANTRANSPORTATIONSEGMENT_742138">
              <w:r>
                <w:rPr>
                  <w:rStyle w:val="InternetLink"/>
                  <w:rFonts w:ascii="Times New Roman;Times;serif" w:hAnsi="Times New Roman;Times;serif"/>
                  <w:b w:val="false"/>
                  <w:i w:val="false"/>
                  <w:caps w:val="false"/>
                  <w:smallCaps w:val="false"/>
                  <w:sz w:val="20"/>
                  <w:shd w:fill="FFFFFF" w:val="clear"/>
                </w:rPr>
                <w:t>Ocean Transportation Segment</w:t>
              </w:r>
            </w:hyperlink>
            <w:r>
              <w:rPr>
                <w:rFonts w:ascii="Times New Roman;Times;serif" w:hAnsi="Times New Roman;Times;serif"/>
                <w:b/>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hyperlink w:anchor="LOGISTICSSEGMENT_439429">
              <w:r>
                <w:rPr>
                  <w:rStyle w:val="InternetLink"/>
                  <w:rFonts w:ascii="Times New Roman;Times;serif" w:hAnsi="Times New Roman;Times;serif"/>
                  <w:b w:val="false"/>
                  <w:i w:val="false"/>
                  <w:caps w:val="false"/>
                  <w:smallCaps w:val="false"/>
                  <w:sz w:val="20"/>
                </w:rPr>
                <w:t>(2)</w:t>
              </w:r>
            </w:hyperlink>
          </w:p>
        </w:tc>
        <w:tc>
          <w:tcPr>
            <w:tcW w:w="7550" w:type="dxa"/>
            <w:tcBorders/>
            <w:vAlign w:val="center"/>
          </w:tcPr>
          <w:p>
            <w:pPr>
              <w:pStyle w:val="TableContents"/>
              <w:bidi w:val="0"/>
              <w:spacing w:before="0" w:after="0"/>
              <w:ind w:left="0" w:right="0" w:hanging="0"/>
              <w:jc w:val="left"/>
              <w:rPr/>
            </w:pPr>
            <w:hyperlink w:anchor="LOGISTICSSEGMENT_439429">
              <w:r>
                <w:rPr>
                  <w:rStyle w:val="InternetLink"/>
                  <w:rFonts w:ascii="Times New Roman;Times;serif" w:hAnsi="Times New Roman;Times;serif"/>
                  <w:b w:val="false"/>
                  <w:i w:val="false"/>
                  <w:caps w:val="false"/>
                  <w:smallCaps w:val="false"/>
                  <w:sz w:val="20"/>
                  <w:shd w:fill="FFFFFF" w:val="clear"/>
                </w:rPr>
                <w:t>Logistics Segment</w:t>
              </w:r>
            </w:hyperlink>
            <w:r>
              <w:rPr>
                <w:rFonts w:ascii="Times New Roman;Times;serif" w:hAnsi="Times New Roman;Times;serif"/>
                <w:b/>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EMPLOYEESANDLABORRELATIONS_707006">
              <w:r>
                <w:rPr>
                  <w:rStyle w:val="InternetLink"/>
                  <w:rFonts w:ascii="Times New Roman;Times;serif" w:hAnsi="Times New Roman;Times;serif"/>
                  <w:b w:val="false"/>
                  <w:i w:val="false"/>
                  <w:caps w:val="false"/>
                  <w:smallCaps w:val="false"/>
                  <w:sz w:val="20"/>
                </w:rPr>
                <w:t>C.</w:t>
              </w:r>
            </w:hyperlink>
          </w:p>
        </w:tc>
        <w:tc>
          <w:tcPr>
            <w:tcW w:w="8523" w:type="dxa"/>
            <w:gridSpan w:val="2"/>
            <w:tcBorders/>
            <w:vAlign w:val="center"/>
          </w:tcPr>
          <w:p>
            <w:pPr>
              <w:pStyle w:val="TableContents"/>
              <w:bidi w:val="0"/>
              <w:spacing w:before="0" w:after="0"/>
              <w:ind w:left="0" w:right="0" w:hanging="0"/>
              <w:jc w:val="left"/>
              <w:rPr/>
            </w:pPr>
            <w:hyperlink w:anchor="EMPLOYEESANDLABORRELATIONS_707006">
              <w:r>
                <w:rPr>
                  <w:rStyle w:val="InternetLink"/>
                  <w:rFonts w:ascii="Times New Roman;Times;serif" w:hAnsi="Times New Roman;Times;serif"/>
                  <w:b w:val="false"/>
                  <w:i w:val="false"/>
                  <w:caps w:val="false"/>
                  <w:smallCaps w:val="false"/>
                  <w:sz w:val="20"/>
                  <w:shd w:fill="FFFFFF" w:val="clear"/>
                </w:rPr>
                <w:t>Employees and Labor Relations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AVAILABLEINFORMATION_687073">
              <w:r>
                <w:rPr>
                  <w:rStyle w:val="InternetLink"/>
                  <w:rFonts w:ascii="Times New Roman;Times;serif" w:hAnsi="Times New Roman;Times;serif"/>
                  <w:b w:val="false"/>
                  <w:i w:val="false"/>
                  <w:caps w:val="false"/>
                  <w:smallCaps w:val="false"/>
                  <w:sz w:val="20"/>
                </w:rPr>
                <w:t>D.</w:t>
              </w:r>
            </w:hyperlink>
          </w:p>
        </w:tc>
        <w:tc>
          <w:tcPr>
            <w:tcW w:w="8523" w:type="dxa"/>
            <w:gridSpan w:val="2"/>
            <w:tcBorders/>
            <w:vAlign w:val="center"/>
          </w:tcPr>
          <w:p>
            <w:pPr>
              <w:pStyle w:val="TableContents"/>
              <w:bidi w:val="0"/>
              <w:spacing w:before="0" w:after="0"/>
              <w:ind w:left="0" w:right="0" w:hanging="0"/>
              <w:jc w:val="left"/>
              <w:rPr/>
            </w:pPr>
            <w:hyperlink w:anchor="AVAILABLEINFORMATION_687073">
              <w:r>
                <w:rPr>
                  <w:rStyle w:val="InternetLink"/>
                  <w:rFonts w:ascii="Times New Roman;Times;serif" w:hAnsi="Times New Roman;Times;serif"/>
                  <w:b w:val="false"/>
                  <w:i w:val="false"/>
                  <w:caps w:val="false"/>
                  <w:smallCaps w:val="false"/>
                  <w:sz w:val="20"/>
                  <w:shd w:fill="FFFFFF" w:val="clear"/>
                </w:rPr>
                <w:t>Available Information</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783" w:type="dxa"/>
            <w:tcBorders/>
            <w:vAlign w:val="center"/>
          </w:tcPr>
          <w:p>
            <w:pPr>
              <w:pStyle w:val="TableContents"/>
              <w:bidi w:val="0"/>
              <w:spacing w:before="0" w:after="0"/>
              <w:ind w:left="0" w:right="0" w:hanging="0"/>
              <w:jc w:val="left"/>
              <w:rPr/>
            </w:pPr>
            <w:hyperlink w:anchor="ITEM1A_52776">
              <w:r>
                <w:rPr>
                  <w:rStyle w:val="InternetLink"/>
                  <w:rFonts w:ascii="Times New Roman;Times;serif" w:hAnsi="Times New Roman;Times;serif"/>
                  <w:b w:val="false"/>
                  <w:i w:val="false"/>
                  <w:caps w:val="false"/>
                  <w:smallCaps w:val="false"/>
                  <w:sz w:val="20"/>
                </w:rPr>
                <w:t>Item 1A.</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ITEM1A_52776">
              <w:r>
                <w:rPr>
                  <w:rStyle w:val="InternetLink"/>
                  <w:rFonts w:ascii="Times New Roman;Times;serif" w:hAnsi="Times New Roman;Times;serif"/>
                  <w:b w:val="false"/>
                  <w:i w:val="false"/>
                  <w:caps w:val="false"/>
                  <w:smallCaps w:val="false"/>
                  <w:sz w:val="20"/>
                  <w:shd w:fill="FFFFFF" w:val="clear"/>
                </w:rPr>
                <w:t>Risk Factors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783" w:type="dxa"/>
            <w:tcBorders/>
            <w:vAlign w:val="center"/>
          </w:tcPr>
          <w:p>
            <w:pPr>
              <w:pStyle w:val="TableContents"/>
              <w:bidi w:val="0"/>
              <w:spacing w:before="0" w:after="0"/>
              <w:ind w:left="0" w:right="0" w:hanging="0"/>
              <w:jc w:val="left"/>
              <w:rPr/>
            </w:pPr>
            <w:hyperlink w:anchor="UNRESOLVEDSTAFFCOMMENTS_772374">
              <w:r>
                <w:rPr>
                  <w:rStyle w:val="InternetLink"/>
                  <w:rFonts w:ascii="Times New Roman;Times;serif" w:hAnsi="Times New Roman;Times;serif"/>
                  <w:b w:val="false"/>
                  <w:i w:val="false"/>
                  <w:caps w:val="false"/>
                  <w:smallCaps w:val="false"/>
                  <w:sz w:val="20"/>
                </w:rPr>
                <w:t>Item 1B.</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UNRESOLVEDSTAFFCOMMENTS_772374">
              <w:r>
                <w:rPr>
                  <w:rStyle w:val="InternetLink"/>
                  <w:rFonts w:ascii="Times New Roman;Times;serif" w:hAnsi="Times New Roman;Times;serif"/>
                  <w:b w:val="false"/>
                  <w:i w:val="false"/>
                  <w:caps w:val="false"/>
                  <w:smallCaps w:val="false"/>
                  <w:sz w:val="20"/>
                  <w:shd w:fill="FFFFFF" w:val="clear"/>
                </w:rPr>
                <w:t>Unresolved Staff Comments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783" w:type="dxa"/>
            <w:tcBorders/>
            <w:vAlign w:val="center"/>
          </w:tcPr>
          <w:p>
            <w:pPr>
              <w:pStyle w:val="TableContents"/>
              <w:bidi w:val="0"/>
              <w:spacing w:before="0" w:after="0"/>
              <w:ind w:left="0" w:right="0" w:hanging="0"/>
              <w:jc w:val="left"/>
              <w:rPr/>
            </w:pPr>
            <w:hyperlink w:anchor="ITEM1CCYBERSECURITY_12783">
              <w:r>
                <w:rPr>
                  <w:rStyle w:val="InternetLink"/>
                  <w:rFonts w:ascii="Times New Roman;Times;serif" w:hAnsi="Times New Roman;Times;serif"/>
                  <w:b w:val="false"/>
                  <w:i w:val="false"/>
                  <w:caps w:val="false"/>
                  <w:smallCaps w:val="false"/>
                  <w:sz w:val="20"/>
                </w:rPr>
                <w:t>Item 1C.</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ITEM1CCYBERSECURITY_12783">
              <w:r>
                <w:rPr>
                  <w:rStyle w:val="InternetLink"/>
                  <w:rFonts w:ascii="Times New Roman;Times;serif" w:hAnsi="Times New Roman;Times;serif"/>
                  <w:b w:val="false"/>
                  <w:i w:val="false"/>
                  <w:caps w:val="false"/>
                  <w:smallCaps w:val="false"/>
                  <w:sz w:val="20"/>
                  <w:shd w:fill="FFFFFF" w:val="clear"/>
                </w:rPr>
                <w:t>Cybersecurity</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783" w:type="dxa"/>
            <w:tcBorders/>
            <w:vAlign w:val="center"/>
          </w:tcPr>
          <w:p>
            <w:pPr>
              <w:pStyle w:val="TableContents"/>
              <w:bidi w:val="0"/>
              <w:spacing w:before="0" w:after="0"/>
              <w:ind w:left="0" w:right="0" w:hanging="0"/>
              <w:jc w:val="left"/>
              <w:rPr/>
            </w:pPr>
            <w:hyperlink w:anchor="ITEM2_434270">
              <w:r>
                <w:rPr>
                  <w:rStyle w:val="InternetLink"/>
                  <w:rFonts w:ascii="Times New Roman;Times;serif" w:hAnsi="Times New Roman;Times;serif"/>
                  <w:b w:val="false"/>
                  <w:i w:val="false"/>
                  <w:caps w:val="false"/>
                  <w:smallCaps w:val="false"/>
                  <w:sz w:val="20"/>
                </w:rPr>
                <w:t>Item 2.</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PROPERTIES_750759">
              <w:r>
                <w:rPr>
                  <w:rStyle w:val="InternetLink"/>
                  <w:rFonts w:ascii="Times New Roman;Times;serif" w:hAnsi="Times New Roman;Times;serif"/>
                  <w:b w:val="false"/>
                  <w:i w:val="false"/>
                  <w:caps w:val="false"/>
                  <w:smallCaps w:val="false"/>
                  <w:sz w:val="20"/>
                  <w:shd w:fill="FFFFFF" w:val="clear"/>
                </w:rPr>
                <w:t>Properties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783" w:type="dxa"/>
            <w:tcBorders/>
            <w:vAlign w:val="center"/>
          </w:tcPr>
          <w:p>
            <w:pPr>
              <w:pStyle w:val="TableContents"/>
              <w:bidi w:val="0"/>
              <w:spacing w:before="0" w:after="0"/>
              <w:ind w:left="0" w:right="0" w:hanging="0"/>
              <w:jc w:val="left"/>
              <w:rPr/>
            </w:pPr>
            <w:hyperlink w:anchor="ITEM3_158087">
              <w:r>
                <w:rPr>
                  <w:rStyle w:val="InternetLink"/>
                  <w:rFonts w:ascii="Times New Roman;Times;serif" w:hAnsi="Times New Roman;Times;serif"/>
                  <w:b w:val="false"/>
                  <w:i w:val="false"/>
                  <w:caps w:val="false"/>
                  <w:smallCaps w:val="false"/>
                  <w:sz w:val="20"/>
                </w:rPr>
                <w:t>Item 3.</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LEGALPROCEEDINGS_175956">
              <w:r>
                <w:rPr>
                  <w:rStyle w:val="InternetLink"/>
                  <w:rFonts w:ascii="Times New Roman;Times;serif" w:hAnsi="Times New Roman;Times;serif"/>
                  <w:b w:val="false"/>
                  <w:i w:val="false"/>
                  <w:caps w:val="false"/>
                  <w:smallCaps w:val="false"/>
                  <w:sz w:val="20"/>
                  <w:shd w:fill="FFFFFF" w:val="clear"/>
                </w:rPr>
                <w:t>Legal Proceedings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783" w:type="dxa"/>
            <w:tcBorders/>
            <w:vAlign w:val="center"/>
          </w:tcPr>
          <w:p>
            <w:pPr>
              <w:pStyle w:val="TableContents"/>
              <w:bidi w:val="0"/>
              <w:spacing w:before="0" w:after="0"/>
              <w:ind w:left="0" w:right="0" w:hanging="0"/>
              <w:jc w:val="left"/>
              <w:rPr/>
            </w:pPr>
            <w:hyperlink w:anchor="ITEM4_231954">
              <w:r>
                <w:rPr>
                  <w:rStyle w:val="InternetLink"/>
                  <w:rFonts w:ascii="Times New Roman;Times;serif" w:hAnsi="Times New Roman;Times;serif"/>
                  <w:b w:val="false"/>
                  <w:i w:val="false"/>
                  <w:caps w:val="false"/>
                  <w:smallCaps w:val="false"/>
                  <w:sz w:val="20"/>
                </w:rPr>
                <w:t>Item 4.</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MINESAFETYDISCLOSURES_340633">
              <w:r>
                <w:rPr>
                  <w:rStyle w:val="InternetLink"/>
                  <w:rFonts w:ascii="Times New Roman;Times;serif" w:hAnsi="Times New Roman;Times;serif"/>
                  <w:b w:val="false"/>
                  <w:i w:val="false"/>
                  <w:caps w:val="false"/>
                  <w:smallCaps w:val="false"/>
                  <w:sz w:val="20"/>
                  <w:shd w:fill="FFFFFF" w:val="clear"/>
                </w:rPr>
                <w:t>Mine Safety Disclosures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center"/>
              <w:rPr/>
            </w:pPr>
            <w:hyperlink w:anchor="PARTII_113009">
              <w:r>
                <w:rPr>
                  <w:rStyle w:val="InternetLink"/>
                  <w:rFonts w:ascii="Times New Roman;Times;serif" w:hAnsi="Times New Roman;Times;serif"/>
                  <w:b/>
                  <w:i w:val="false"/>
                  <w:caps w:val="false"/>
                  <w:smallCaps w:val="false"/>
                  <w:sz w:val="20"/>
                </w:rPr>
                <w:t>PART II</w:t>
              </w:r>
            </w:hyperlink>
          </w:p>
        </w:tc>
        <w:tc>
          <w:tcPr>
            <w:tcW w:w="572"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left"/>
              <w:rPr/>
            </w:pPr>
            <w:hyperlink w:anchor="ITEM5_342987">
              <w:r>
                <w:rPr>
                  <w:rStyle w:val="InternetLink"/>
                  <w:rFonts w:ascii="Times New Roman;Times;serif" w:hAnsi="Times New Roman;Times;serif"/>
                  <w:b w:val="false"/>
                  <w:i w:val="false"/>
                  <w:caps w:val="false"/>
                  <w:smallCaps w:val="false"/>
                  <w:sz w:val="20"/>
                </w:rPr>
                <w:t>Item 5.</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MARKETFORREGISTRANTSCOMMON_496286">
              <w:r>
                <w:rPr>
                  <w:rStyle w:val="InternetLink"/>
                  <w:rFonts w:ascii="Times New Roman;Times;serif" w:hAnsi="Times New Roman;Times;serif"/>
                  <w:b w:val="false"/>
                  <w:i w:val="false"/>
                  <w:caps w:val="false"/>
                  <w:smallCaps w:val="false"/>
                  <w:sz w:val="20"/>
                  <w:shd w:fill="FFFFFF" w:val="clear"/>
                </w:rPr>
                <w:t>Market for Registrant’s Common Equity, Related Stockholder Matters and Issuer Purchases of Equity Securities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783" w:type="dxa"/>
            <w:tcBorders/>
            <w:vAlign w:val="center"/>
          </w:tcPr>
          <w:p>
            <w:pPr>
              <w:pStyle w:val="TableContents"/>
              <w:bidi w:val="0"/>
              <w:spacing w:before="0" w:after="0"/>
              <w:ind w:left="0" w:right="0" w:hanging="0"/>
              <w:jc w:val="left"/>
              <w:rPr/>
            </w:pPr>
            <w:hyperlink w:anchor="ITEM6REMOVEDANDRESERVED_719448">
              <w:r>
                <w:rPr>
                  <w:rStyle w:val="InternetLink"/>
                  <w:rFonts w:ascii="Times New Roman;Times;serif" w:hAnsi="Times New Roman;Times;serif"/>
                  <w:b w:val="false"/>
                  <w:i w:val="false"/>
                  <w:caps w:val="false"/>
                  <w:smallCaps w:val="false"/>
                  <w:sz w:val="20"/>
                </w:rPr>
                <w:t>Item 6.</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ITEM6REMOVEDANDRESERVED_719448">
              <w:r>
                <w:rPr>
                  <w:rStyle w:val="InternetLink"/>
                  <w:rFonts w:ascii="Times New Roman;Times;serif" w:hAnsi="Times New Roman;Times;serif"/>
                  <w:b w:val="false"/>
                  <w:i w:val="false"/>
                  <w:caps w:val="false"/>
                  <w:smallCaps w:val="false"/>
                  <w:sz w:val="20"/>
                  <w:shd w:fill="FFFFFF" w:val="clear"/>
                </w:rPr>
                <w:t>Removed and Reserved</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783" w:type="dxa"/>
            <w:tcBorders/>
            <w:vAlign w:val="center"/>
          </w:tcPr>
          <w:p>
            <w:pPr>
              <w:pStyle w:val="TableContents"/>
              <w:bidi w:val="0"/>
              <w:spacing w:before="0" w:after="0"/>
              <w:ind w:left="0" w:right="0" w:hanging="0"/>
              <w:jc w:val="left"/>
              <w:rPr/>
            </w:pPr>
            <w:hyperlink w:anchor="ITEM7_MANAGEMENTSDISCUSSIONANDAN_113025">
              <w:r>
                <w:rPr>
                  <w:rStyle w:val="InternetLink"/>
                  <w:rFonts w:ascii="Times New Roman;Times;serif" w:hAnsi="Times New Roman;Times;serif"/>
                  <w:b w:val="false"/>
                  <w:i w:val="false"/>
                  <w:caps w:val="false"/>
                  <w:smallCaps w:val="false"/>
                  <w:sz w:val="20"/>
                </w:rPr>
                <w:t>Item 7.</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MANAGEMENTSDISCUSSIONANDANALYSISOF_84227">
              <w:r>
                <w:rPr>
                  <w:rStyle w:val="InternetLink"/>
                  <w:rFonts w:ascii="Times New Roman;Times;serif" w:hAnsi="Times New Roman;Times;serif"/>
                  <w:b w:val="false"/>
                  <w:i w:val="false"/>
                  <w:caps w:val="false"/>
                  <w:smallCaps w:val="false"/>
                  <w:sz w:val="20"/>
                  <w:shd w:fill="FFFFFF" w:val="clear"/>
                </w:rPr>
                <w:t>Management’s Discussion and Analysis of Financial Condition and Results of Operations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783" w:type="dxa"/>
            <w:tcBorders/>
            <w:vAlign w:val="center"/>
          </w:tcPr>
          <w:p>
            <w:pPr>
              <w:pStyle w:val="TableContents"/>
              <w:bidi w:val="0"/>
              <w:spacing w:before="0" w:after="0"/>
              <w:ind w:left="0" w:right="0" w:hanging="0"/>
              <w:jc w:val="left"/>
              <w:rPr/>
            </w:pPr>
            <w:hyperlink w:anchor="ITEM7A_793356">
              <w:r>
                <w:rPr>
                  <w:rStyle w:val="InternetLink"/>
                  <w:rFonts w:ascii="Times New Roman;Times;serif" w:hAnsi="Times New Roman;Times;serif"/>
                  <w:b w:val="false"/>
                  <w:i w:val="false"/>
                  <w:caps w:val="false"/>
                  <w:smallCaps w:val="false"/>
                  <w:sz w:val="20"/>
                </w:rPr>
                <w:t>Item 7A.</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QUANTITATIVEANDQUALITATIVEDISCLOSURESABO">
              <w:r>
                <w:rPr>
                  <w:rStyle w:val="InternetLink"/>
                  <w:rFonts w:ascii="Times New Roman;Times;serif" w:hAnsi="Times New Roman;Times;serif"/>
                  <w:b w:val="false"/>
                  <w:i w:val="false"/>
                  <w:caps w:val="false"/>
                  <w:smallCaps w:val="false"/>
                  <w:sz w:val="20"/>
                  <w:shd w:fill="FFFFFF" w:val="clear"/>
                </w:rPr>
                <w:t>Quantitative and Qualitative Disclosures About Market Risk</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783" w:type="dxa"/>
            <w:tcBorders/>
            <w:vAlign w:val="center"/>
          </w:tcPr>
          <w:p>
            <w:pPr>
              <w:pStyle w:val="TableContents"/>
              <w:bidi w:val="0"/>
              <w:spacing w:before="0" w:after="0"/>
              <w:ind w:left="0" w:right="0" w:hanging="0"/>
              <w:jc w:val="left"/>
              <w:rPr/>
            </w:pPr>
            <w:hyperlink w:anchor="ITEM8_661405">
              <w:r>
                <w:rPr>
                  <w:rStyle w:val="InternetLink"/>
                  <w:rFonts w:ascii="Times New Roman;Times;serif" w:hAnsi="Times New Roman;Times;serif"/>
                  <w:b w:val="false"/>
                  <w:i w:val="false"/>
                  <w:caps w:val="false"/>
                  <w:smallCaps w:val="false"/>
                  <w:sz w:val="20"/>
                </w:rPr>
                <w:t>Item 8.</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FINANCIALSTATEMENTSANDSUPPLEMENTARYDATA_">
              <w:r>
                <w:rPr>
                  <w:rStyle w:val="InternetLink"/>
                  <w:rFonts w:ascii="Times New Roman;Times;serif" w:hAnsi="Times New Roman;Times;serif"/>
                  <w:b w:val="false"/>
                  <w:i w:val="false"/>
                  <w:caps w:val="false"/>
                  <w:smallCaps w:val="false"/>
                  <w:sz w:val="20"/>
                  <w:shd w:fill="FFFFFF" w:val="clear"/>
                </w:rPr>
                <w:t>Financial Statements and Supplementary Data</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783" w:type="dxa"/>
            <w:tcBorders/>
            <w:vAlign w:val="center"/>
          </w:tcPr>
          <w:p>
            <w:pPr>
              <w:pStyle w:val="TableContents"/>
              <w:bidi w:val="0"/>
              <w:spacing w:before="0" w:after="0"/>
              <w:ind w:left="0" w:right="0" w:hanging="0"/>
              <w:jc w:val="left"/>
              <w:rPr/>
            </w:pPr>
            <w:hyperlink w:anchor="ITEM9_624748">
              <w:r>
                <w:rPr>
                  <w:rStyle w:val="InternetLink"/>
                  <w:rFonts w:ascii="Times New Roman;Times;serif" w:hAnsi="Times New Roman;Times;serif"/>
                  <w:b w:val="false"/>
                  <w:i w:val="false"/>
                  <w:caps w:val="false"/>
                  <w:smallCaps w:val="false"/>
                  <w:sz w:val="20"/>
                </w:rPr>
                <w:t>Item 9.</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CHANGESINANDDISAGREEMENTSWITH_709385">
              <w:r>
                <w:rPr>
                  <w:rStyle w:val="InternetLink"/>
                  <w:rFonts w:ascii="Times New Roman;Times;serif" w:hAnsi="Times New Roman;Times;serif"/>
                  <w:b w:val="false"/>
                  <w:i w:val="false"/>
                  <w:caps w:val="false"/>
                  <w:smallCaps w:val="false"/>
                  <w:sz w:val="20"/>
                  <w:shd w:fill="FFFFFF" w:val="clear"/>
                </w:rPr>
                <w:t>Changes in and Disagreements with Accountants on Accounting and Financial Disclosure</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783" w:type="dxa"/>
            <w:tcBorders/>
            <w:vAlign w:val="center"/>
          </w:tcPr>
          <w:p>
            <w:pPr>
              <w:pStyle w:val="TableContents"/>
              <w:bidi w:val="0"/>
              <w:spacing w:before="0" w:after="0"/>
              <w:ind w:left="0" w:right="0" w:hanging="0"/>
              <w:jc w:val="left"/>
              <w:rPr/>
            </w:pPr>
            <w:hyperlink w:anchor="ITEM9A_17759">
              <w:r>
                <w:rPr>
                  <w:rStyle w:val="InternetLink"/>
                  <w:rFonts w:ascii="Times New Roman;Times;serif" w:hAnsi="Times New Roman;Times;serif"/>
                  <w:b w:val="false"/>
                  <w:i w:val="false"/>
                  <w:caps w:val="false"/>
                  <w:smallCaps w:val="false"/>
                  <w:sz w:val="20"/>
                </w:rPr>
                <w:t>Item 9A.</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CONTROLSANDPROCEDURES_22095">
              <w:r>
                <w:rPr>
                  <w:rStyle w:val="InternetLink"/>
                  <w:rFonts w:ascii="Times New Roman;Times;serif" w:hAnsi="Times New Roman;Times;serif"/>
                  <w:b w:val="false"/>
                  <w:i w:val="false"/>
                  <w:caps w:val="false"/>
                  <w:smallCaps w:val="false"/>
                  <w:sz w:val="20"/>
                  <w:shd w:fill="FFFFFF" w:val="clear"/>
                </w:rPr>
                <w:t>Controls and Procedures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ConclusionRegardingEffectivenessofDisclo">
              <w:r>
                <w:rPr>
                  <w:rStyle w:val="InternetLink"/>
                  <w:rFonts w:ascii="Times New Roman;Times;serif" w:hAnsi="Times New Roman;Times;serif"/>
                  <w:b w:val="false"/>
                  <w:i w:val="false"/>
                  <w:caps w:val="false"/>
                  <w:smallCaps w:val="false"/>
                  <w:sz w:val="20"/>
                  <w:shd w:fill="FFFFFF" w:val="clear"/>
                </w:rPr>
                <w:t>Conclusion Regarding Effectiveness of Disclosure Controls and Procedures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InternalControloverFinancialReporting_40">
              <w:r>
                <w:rPr>
                  <w:rStyle w:val="InternetLink"/>
                  <w:rFonts w:ascii="Times New Roman;Times;serif" w:hAnsi="Times New Roman;Times;serif"/>
                  <w:b w:val="false"/>
                  <w:i w:val="false"/>
                  <w:caps w:val="false"/>
                  <w:smallCaps w:val="false"/>
                  <w:sz w:val="20"/>
                  <w:shd w:fill="FFFFFF" w:val="clear"/>
                </w:rPr>
                <w:t>Internal Control over Financial Reporting</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783" w:type="dxa"/>
            <w:tcBorders/>
            <w:vAlign w:val="center"/>
          </w:tcPr>
          <w:p>
            <w:pPr>
              <w:pStyle w:val="TableContents"/>
              <w:bidi w:val="0"/>
              <w:spacing w:before="0" w:after="0"/>
              <w:ind w:left="0" w:right="0" w:hanging="0"/>
              <w:jc w:val="left"/>
              <w:rPr/>
            </w:pPr>
            <w:hyperlink w:anchor="ITEM9B_691225">
              <w:r>
                <w:rPr>
                  <w:rStyle w:val="InternetLink"/>
                  <w:rFonts w:ascii="Times New Roman;Times;serif" w:hAnsi="Times New Roman;Times;serif"/>
                  <w:b w:val="false"/>
                  <w:i w:val="false"/>
                  <w:caps w:val="false"/>
                  <w:smallCaps w:val="false"/>
                  <w:sz w:val="20"/>
                </w:rPr>
                <w:t>Item 9B.</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OTHERINFORMATION_885089">
              <w:r>
                <w:rPr>
                  <w:rStyle w:val="InternetLink"/>
                  <w:rFonts w:ascii="Times New Roman;Times;serif" w:hAnsi="Times New Roman;Times;serif"/>
                  <w:b w:val="false"/>
                  <w:i w:val="false"/>
                  <w:caps w:val="false"/>
                  <w:smallCaps w:val="false"/>
                  <w:sz w:val="20"/>
                  <w:shd w:fill="FFFFFF" w:val="clear"/>
                </w:rPr>
                <w:t>Other Information</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783"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shd w:fill="FFFFFF" w:val="clear"/>
                </w:rPr>
                <w:t>Disclosure Regarding Foreign Jurisdictions that Prevent Inspections</w:t>
              </w:r>
            </w:hyperlink>
            <w:r>
              <w:rPr>
                <w:rFonts w:ascii="Times New Roman;Times;serif" w:hAnsi="Times New Roman;Times;serif"/>
                <w:caps w:val="false"/>
                <w:smallCaps w:val="false"/>
                <w:sz w:val="20"/>
                <w:shd w:fill="FFFFFF" w:val="clear"/>
              </w:rPr>
              <w:t xml:space="preserve"> </w:t>
            </w:r>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283"/>
              <w:ind w:left="0" w:right="0" w:hanging="0"/>
              <w:jc w:val="left"/>
              <w:rPr>
                <w:sz w:val="4"/>
                <w:szCs w:val="4"/>
              </w:rPr>
            </w:pPr>
            <w:r>
              <w:rPr>
                <w:sz w:val="4"/>
                <w:szCs w:val="4"/>
              </w:rPr>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3220" cy="175260"/>
                      <wp:effectExtent l="0" t="0" r="0" b="0"/>
                      <wp:wrapNone/>
                      <wp:docPr id="2" name="Frame2"/>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r>
              <w:rPr/>
              <w:t>​</w:t>
            </w:r>
          </w:p>
        </w:tc>
        <w:tc>
          <w:tcPr>
            <w:tcW w:w="8523" w:type="dxa"/>
            <w:gridSpan w:val="2"/>
            <w:tcBorders/>
            <w:vAlign w:val="center"/>
          </w:tcPr>
          <w:p>
            <w:pPr>
              <w:pStyle w:val="TableContents"/>
              <w:bidi w:val="0"/>
              <w:spacing w:before="0" w:after="0"/>
              <w:ind w:left="0" w:right="0" w:hanging="0"/>
              <w:jc w:val="center"/>
              <w:rPr/>
            </w:pPr>
            <w:hyperlink w:anchor="PARTIII_728073">
              <w:r>
                <w:rPr>
                  <w:rStyle w:val="InternetLink"/>
                  <w:rFonts w:ascii="Times New Roman;Times;serif" w:hAnsi="Times New Roman;Times;serif"/>
                  <w:b/>
                  <w:i w:val="false"/>
                  <w:caps w:val="false"/>
                  <w:smallCaps w:val="false"/>
                  <w:sz w:val="20"/>
                </w:rPr>
                <w:t>PART III</w:t>
              </w:r>
            </w:hyperlink>
          </w:p>
        </w:tc>
        <w:tc>
          <w:tcPr>
            <w:tcW w:w="572"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left"/>
              <w:rPr/>
            </w:pPr>
            <w:hyperlink w:anchor="ITEM10_866725">
              <w:r>
                <w:rPr>
                  <w:rStyle w:val="InternetLink"/>
                  <w:rFonts w:ascii="Times New Roman;Times;serif" w:hAnsi="Times New Roman;Times;serif"/>
                  <w:b w:val="false"/>
                  <w:i w:val="false"/>
                  <w:caps w:val="false"/>
                  <w:smallCaps w:val="false"/>
                  <w:sz w:val="20"/>
                </w:rPr>
                <w:t>Item 10.</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DIRECTORSEXECUTIVEOFFICERSANDCORPORATEGO">
              <w:r>
                <w:rPr>
                  <w:rStyle w:val="InternetLink"/>
                  <w:rFonts w:ascii="Times New Roman;Times;serif" w:hAnsi="Times New Roman;Times;serif"/>
                  <w:b w:val="false"/>
                  <w:i w:val="false"/>
                  <w:caps w:val="false"/>
                  <w:smallCaps w:val="false"/>
                  <w:sz w:val="20"/>
                  <w:shd w:fill="FFFFFF" w:val="clear"/>
                </w:rPr>
                <w:t>Directors, Executive Officers and Corporate Governance</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Directors_614497">
              <w:r>
                <w:rPr>
                  <w:rStyle w:val="InternetLink"/>
                  <w:rFonts w:ascii="Times New Roman;Times;serif" w:hAnsi="Times New Roman;Times;serif"/>
                  <w:b w:val="false"/>
                  <w:i w:val="false"/>
                  <w:caps w:val="false"/>
                  <w:smallCaps w:val="false"/>
                  <w:sz w:val="20"/>
                </w:rPr>
                <w:t>A.</w:t>
              </w:r>
            </w:hyperlink>
          </w:p>
        </w:tc>
        <w:tc>
          <w:tcPr>
            <w:tcW w:w="8523" w:type="dxa"/>
            <w:gridSpan w:val="2"/>
            <w:tcBorders/>
            <w:vAlign w:val="center"/>
          </w:tcPr>
          <w:p>
            <w:pPr>
              <w:pStyle w:val="TableContents"/>
              <w:bidi w:val="0"/>
              <w:spacing w:before="0" w:after="0"/>
              <w:ind w:left="0" w:right="0" w:hanging="0"/>
              <w:jc w:val="left"/>
              <w:rPr/>
            </w:pPr>
            <w:hyperlink w:anchor="Directors_614497">
              <w:r>
                <w:rPr>
                  <w:rStyle w:val="InternetLink"/>
                  <w:rFonts w:ascii="Times New Roman;Times;serif" w:hAnsi="Times New Roman;Times;serif"/>
                  <w:b w:val="false"/>
                  <w:i w:val="false"/>
                  <w:caps w:val="false"/>
                  <w:smallCaps w:val="false"/>
                  <w:sz w:val="20"/>
                  <w:shd w:fill="FFFFFF" w:val="clear"/>
                </w:rPr>
                <w:t>Directors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InformationAboutOurExecutiveOfficers_817">
              <w:r>
                <w:rPr>
                  <w:rStyle w:val="InternetLink"/>
                  <w:rFonts w:ascii="Times New Roman;Times;serif" w:hAnsi="Times New Roman;Times;serif"/>
                  <w:b w:val="false"/>
                  <w:i w:val="false"/>
                  <w:caps w:val="false"/>
                  <w:smallCaps w:val="false"/>
                  <w:sz w:val="20"/>
                </w:rPr>
                <w:t>B.</w:t>
              </w:r>
            </w:hyperlink>
          </w:p>
        </w:tc>
        <w:tc>
          <w:tcPr>
            <w:tcW w:w="8523" w:type="dxa"/>
            <w:gridSpan w:val="2"/>
            <w:tcBorders/>
            <w:vAlign w:val="center"/>
          </w:tcPr>
          <w:p>
            <w:pPr>
              <w:pStyle w:val="TableContents"/>
              <w:bidi w:val="0"/>
              <w:spacing w:before="0" w:after="0"/>
              <w:ind w:left="0" w:right="0" w:hanging="0"/>
              <w:jc w:val="left"/>
              <w:rPr/>
            </w:pPr>
            <w:hyperlink w:anchor="InformationAboutOurExecutiveOfficers_817">
              <w:r>
                <w:rPr>
                  <w:rStyle w:val="InternetLink"/>
                  <w:rFonts w:ascii="Times New Roman;Times;serif" w:hAnsi="Times New Roman;Times;serif"/>
                  <w:b w:val="false"/>
                  <w:i w:val="false"/>
                  <w:caps w:val="false"/>
                  <w:smallCaps w:val="false"/>
                  <w:sz w:val="20"/>
                  <w:shd w:fill="FFFFFF" w:val="clear"/>
                </w:rPr>
                <w:t>Information About Our Executive Officers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CorporateGovernance_928646">
              <w:r>
                <w:rPr>
                  <w:rStyle w:val="InternetLink"/>
                  <w:rFonts w:ascii="Times New Roman;Times;serif" w:hAnsi="Times New Roman;Times;serif"/>
                  <w:b w:val="false"/>
                  <w:i w:val="false"/>
                  <w:caps w:val="false"/>
                  <w:smallCaps w:val="false"/>
                  <w:sz w:val="20"/>
                </w:rPr>
                <w:t>C.</w:t>
              </w:r>
            </w:hyperlink>
          </w:p>
        </w:tc>
        <w:tc>
          <w:tcPr>
            <w:tcW w:w="8523" w:type="dxa"/>
            <w:gridSpan w:val="2"/>
            <w:tcBorders/>
            <w:vAlign w:val="center"/>
          </w:tcPr>
          <w:p>
            <w:pPr>
              <w:pStyle w:val="TableContents"/>
              <w:bidi w:val="0"/>
              <w:spacing w:before="0" w:after="0"/>
              <w:ind w:left="0" w:right="0" w:hanging="0"/>
              <w:jc w:val="left"/>
              <w:rPr/>
            </w:pPr>
            <w:hyperlink w:anchor="CorporateGovernance_928646">
              <w:r>
                <w:rPr>
                  <w:rStyle w:val="InternetLink"/>
                  <w:rFonts w:ascii="Times New Roman;Times;serif" w:hAnsi="Times New Roman;Times;serif"/>
                  <w:b w:val="false"/>
                  <w:i w:val="false"/>
                  <w:caps w:val="false"/>
                  <w:smallCaps w:val="false"/>
                  <w:sz w:val="20"/>
                  <w:shd w:fill="FFFFFF" w:val="clear"/>
                </w:rPr>
                <w:t>Corporate Governance</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CodeofEthics_238242">
              <w:r>
                <w:rPr>
                  <w:rStyle w:val="InternetLink"/>
                  <w:rFonts w:ascii="Times New Roman;Times;serif" w:hAnsi="Times New Roman;Times;serif"/>
                  <w:b w:val="false"/>
                  <w:i w:val="false"/>
                  <w:caps w:val="false"/>
                  <w:smallCaps w:val="false"/>
                  <w:sz w:val="20"/>
                </w:rPr>
                <w:t>D.</w:t>
              </w:r>
            </w:hyperlink>
          </w:p>
        </w:tc>
        <w:tc>
          <w:tcPr>
            <w:tcW w:w="8523" w:type="dxa"/>
            <w:gridSpan w:val="2"/>
            <w:tcBorders/>
            <w:vAlign w:val="center"/>
          </w:tcPr>
          <w:p>
            <w:pPr>
              <w:pStyle w:val="TableContents"/>
              <w:bidi w:val="0"/>
              <w:spacing w:before="0" w:after="0"/>
              <w:ind w:left="0" w:right="0" w:hanging="0"/>
              <w:jc w:val="left"/>
              <w:rPr/>
            </w:pPr>
            <w:hyperlink w:anchor="CodeofEthics_238242">
              <w:r>
                <w:rPr>
                  <w:rStyle w:val="InternetLink"/>
                  <w:rFonts w:ascii="Times New Roman;Times;serif" w:hAnsi="Times New Roman;Times;serif"/>
                  <w:b w:val="false"/>
                  <w:i w:val="false"/>
                  <w:caps w:val="false"/>
                  <w:smallCaps w:val="false"/>
                  <w:sz w:val="20"/>
                  <w:shd w:fill="FFFFFF" w:val="clear"/>
                </w:rPr>
                <w:t>Code of Ethics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EInsiderTradingPolicy_989193">
              <w:r>
                <w:rPr>
                  <w:rStyle w:val="InternetLink"/>
                  <w:rFonts w:ascii="Times New Roman;Times;serif" w:hAnsi="Times New Roman;Times;serif"/>
                  <w:b w:val="false"/>
                  <w:i w:val="false"/>
                  <w:caps w:val="false"/>
                  <w:smallCaps w:val="false"/>
                  <w:sz w:val="20"/>
                </w:rPr>
                <w:t>E.</w:t>
              </w:r>
            </w:hyperlink>
          </w:p>
        </w:tc>
        <w:tc>
          <w:tcPr>
            <w:tcW w:w="8523" w:type="dxa"/>
            <w:gridSpan w:val="2"/>
            <w:tcBorders/>
            <w:vAlign w:val="center"/>
          </w:tcPr>
          <w:p>
            <w:pPr>
              <w:pStyle w:val="TableContents"/>
              <w:bidi w:val="0"/>
              <w:spacing w:before="0" w:after="0"/>
              <w:ind w:left="0" w:right="0" w:hanging="0"/>
              <w:jc w:val="left"/>
              <w:rPr/>
            </w:pPr>
            <w:hyperlink w:anchor="EInsiderTradingPolicy_989193">
              <w:r>
                <w:rPr>
                  <w:rStyle w:val="InternetLink"/>
                  <w:rFonts w:ascii="Times New Roman;Times;serif" w:hAnsi="Times New Roman;Times;serif"/>
                  <w:b w:val="false"/>
                  <w:i w:val="false"/>
                  <w:caps w:val="false"/>
                  <w:smallCaps w:val="false"/>
                  <w:sz w:val="20"/>
                  <w:shd w:fill="FFFFFF" w:val="clear"/>
                </w:rPr>
                <w:t>Insider Trading Policy</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783" w:type="dxa"/>
            <w:tcBorders/>
            <w:vAlign w:val="center"/>
          </w:tcPr>
          <w:p>
            <w:pPr>
              <w:pStyle w:val="TableContents"/>
              <w:bidi w:val="0"/>
              <w:spacing w:before="0" w:after="0"/>
              <w:ind w:left="0" w:right="0" w:hanging="0"/>
              <w:jc w:val="left"/>
              <w:rPr/>
            </w:pPr>
            <w:hyperlink w:anchor="ITEM11_516683">
              <w:r>
                <w:rPr>
                  <w:rStyle w:val="InternetLink"/>
                  <w:rFonts w:ascii="Times New Roman;Times;serif" w:hAnsi="Times New Roman;Times;serif"/>
                  <w:b w:val="false"/>
                  <w:i w:val="false"/>
                  <w:caps w:val="false"/>
                  <w:smallCaps w:val="false"/>
                  <w:sz w:val="20"/>
                </w:rPr>
                <w:t>Item 11.</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EXECUTIVECOMPENSATION_873772">
              <w:r>
                <w:rPr>
                  <w:rStyle w:val="InternetLink"/>
                  <w:rFonts w:ascii="Times New Roman;Times;serif" w:hAnsi="Times New Roman;Times;serif"/>
                  <w:b w:val="false"/>
                  <w:i w:val="false"/>
                  <w:caps w:val="false"/>
                  <w:smallCaps w:val="false"/>
                  <w:sz w:val="20"/>
                  <w:shd w:fill="FFFFFF" w:val="clear"/>
                </w:rPr>
                <w:t>Executive Compensation</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783" w:type="dxa"/>
            <w:tcBorders/>
            <w:vAlign w:val="center"/>
          </w:tcPr>
          <w:p>
            <w:pPr>
              <w:pStyle w:val="TableContents"/>
              <w:bidi w:val="0"/>
              <w:spacing w:before="0" w:after="0"/>
              <w:ind w:left="0" w:right="0" w:hanging="0"/>
              <w:jc w:val="left"/>
              <w:rPr/>
            </w:pPr>
            <w:hyperlink w:anchor="ITEM12_862382">
              <w:r>
                <w:rPr>
                  <w:rStyle w:val="InternetLink"/>
                  <w:rFonts w:ascii="Times New Roman;Times;serif" w:hAnsi="Times New Roman;Times;serif"/>
                  <w:b w:val="false"/>
                  <w:i w:val="false"/>
                  <w:caps w:val="false"/>
                  <w:smallCaps w:val="false"/>
                  <w:sz w:val="20"/>
                </w:rPr>
                <w:t>Item 12.</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SECURITYOWNERSHIPOFCERTAINBENEFICIALOWNE">
              <w:r>
                <w:rPr>
                  <w:rStyle w:val="InternetLink"/>
                  <w:rFonts w:ascii="Times New Roman;Times;serif" w:hAnsi="Times New Roman;Times;serif"/>
                  <w:b w:val="false"/>
                  <w:i w:val="false"/>
                  <w:caps w:val="false"/>
                  <w:smallCaps w:val="false"/>
                  <w:sz w:val="20"/>
                  <w:shd w:fill="FFFFFF" w:val="clear"/>
                </w:rPr>
                <w:t>Security Ownership of Certain Beneficial Owners and Management and Related Stockholder Matters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783" w:type="dxa"/>
            <w:tcBorders/>
            <w:vAlign w:val="center"/>
          </w:tcPr>
          <w:p>
            <w:pPr>
              <w:pStyle w:val="TableContents"/>
              <w:bidi w:val="0"/>
              <w:spacing w:before="0" w:after="0"/>
              <w:ind w:left="0" w:right="0" w:hanging="0"/>
              <w:jc w:val="left"/>
              <w:rPr/>
            </w:pPr>
            <w:hyperlink w:anchor="ITEM13_482640">
              <w:r>
                <w:rPr>
                  <w:rStyle w:val="InternetLink"/>
                  <w:rFonts w:ascii="Times New Roman;Times;serif" w:hAnsi="Times New Roman;Times;serif"/>
                  <w:b w:val="false"/>
                  <w:i w:val="false"/>
                  <w:caps w:val="false"/>
                  <w:smallCaps w:val="false"/>
                  <w:sz w:val="20"/>
                </w:rPr>
                <w:t>Item 13.</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CERTAINRELATIONSHIPSANDRELATEDTRANSACTIO">
              <w:r>
                <w:rPr>
                  <w:rStyle w:val="InternetLink"/>
                  <w:rFonts w:ascii="Times New Roman;Times;serif" w:hAnsi="Times New Roman;Times;serif"/>
                  <w:b w:val="false"/>
                  <w:i w:val="false"/>
                  <w:caps w:val="false"/>
                  <w:smallCaps w:val="false"/>
                  <w:sz w:val="20"/>
                  <w:shd w:fill="FFFFFF" w:val="clear"/>
                </w:rPr>
                <w:t>Certain Relationships and Related Transactions, and Director Independence</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783" w:type="dxa"/>
            <w:tcBorders/>
            <w:vAlign w:val="center"/>
          </w:tcPr>
          <w:p>
            <w:pPr>
              <w:pStyle w:val="TableContents"/>
              <w:bidi w:val="0"/>
              <w:spacing w:before="0" w:after="0"/>
              <w:ind w:left="0" w:right="0" w:hanging="0"/>
              <w:jc w:val="left"/>
              <w:rPr/>
            </w:pPr>
            <w:hyperlink w:anchor="ITEM14_376704">
              <w:r>
                <w:rPr>
                  <w:rStyle w:val="InternetLink"/>
                  <w:rFonts w:ascii="Times New Roman;Times;serif" w:hAnsi="Times New Roman;Times;serif"/>
                  <w:b w:val="false"/>
                  <w:i w:val="false"/>
                  <w:caps w:val="false"/>
                  <w:smallCaps w:val="false"/>
                  <w:sz w:val="20"/>
                </w:rPr>
                <w:t>Item 14.</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ITEM14_376704">
              <w:r>
                <w:rPr>
                  <w:rStyle w:val="InternetLink"/>
                  <w:rFonts w:ascii="Times New Roman;Times;serif" w:hAnsi="Times New Roman;Times;serif"/>
                  <w:b w:val="false"/>
                  <w:i w:val="false"/>
                  <w:caps w:val="false"/>
                  <w:smallCaps w:val="false"/>
                  <w:sz w:val="20"/>
                  <w:shd w:fill="FFFFFF" w:val="clear"/>
                </w:rPr>
                <w:t>Principal Accountant Fees and Services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center"/>
              <w:rPr/>
            </w:pPr>
            <w:hyperlink w:anchor="PARTIV_375527">
              <w:r>
                <w:rPr>
                  <w:rStyle w:val="InternetLink"/>
                  <w:rFonts w:ascii="Times New Roman;Times;serif" w:hAnsi="Times New Roman;Times;serif"/>
                  <w:b/>
                  <w:i w:val="false"/>
                  <w:caps w:val="false"/>
                  <w:smallCaps w:val="false"/>
                  <w:sz w:val="20"/>
                </w:rPr>
                <w:t>PART IV</w:t>
              </w:r>
            </w:hyperlink>
          </w:p>
        </w:tc>
        <w:tc>
          <w:tcPr>
            <w:tcW w:w="572"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left"/>
              <w:rPr/>
            </w:pPr>
            <w:hyperlink w:anchor="ITEM15_109040">
              <w:r>
                <w:rPr>
                  <w:rStyle w:val="InternetLink"/>
                  <w:rFonts w:ascii="Times New Roman;Times;serif" w:hAnsi="Times New Roman;Times;serif"/>
                  <w:b w:val="false"/>
                  <w:i w:val="false"/>
                  <w:caps w:val="false"/>
                  <w:smallCaps w:val="false"/>
                  <w:sz w:val="20"/>
                </w:rPr>
                <w:t>Item 15.</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EXHIBITSANDFINANCIALSTATEMENTSCHEDULES_1">
              <w:r>
                <w:rPr>
                  <w:rStyle w:val="InternetLink"/>
                  <w:rFonts w:ascii="Times New Roman;Times;serif" w:hAnsi="Times New Roman;Times;serif"/>
                  <w:b w:val="false"/>
                  <w:i w:val="false"/>
                  <w:caps w:val="false"/>
                  <w:smallCaps w:val="false"/>
                  <w:sz w:val="20"/>
                  <w:shd w:fill="FFFFFF" w:val="clear"/>
                </w:rPr>
                <w:t>Exhibits and Financial Statement Schedules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FinancialStatements_19970">
              <w:r>
                <w:rPr>
                  <w:rStyle w:val="InternetLink"/>
                  <w:rFonts w:ascii="Times New Roman;Times;serif" w:hAnsi="Times New Roman;Times;serif"/>
                  <w:b w:val="false"/>
                  <w:i w:val="false"/>
                  <w:caps w:val="false"/>
                  <w:smallCaps w:val="false"/>
                  <w:sz w:val="20"/>
                </w:rPr>
                <w:t>A.</w:t>
              </w:r>
            </w:hyperlink>
          </w:p>
        </w:tc>
        <w:tc>
          <w:tcPr>
            <w:tcW w:w="8523" w:type="dxa"/>
            <w:gridSpan w:val="2"/>
            <w:tcBorders/>
            <w:vAlign w:val="center"/>
          </w:tcPr>
          <w:p>
            <w:pPr>
              <w:pStyle w:val="TableContents"/>
              <w:bidi w:val="0"/>
              <w:spacing w:before="0" w:after="0"/>
              <w:ind w:left="0" w:right="0" w:hanging="0"/>
              <w:jc w:val="left"/>
              <w:rPr/>
            </w:pPr>
            <w:hyperlink w:anchor="FinancialStatements_19970">
              <w:r>
                <w:rPr>
                  <w:rStyle w:val="InternetLink"/>
                  <w:rFonts w:ascii="Times New Roman;Times;serif" w:hAnsi="Times New Roman;Times;serif"/>
                  <w:b w:val="false"/>
                  <w:i w:val="false"/>
                  <w:caps w:val="false"/>
                  <w:smallCaps w:val="false"/>
                  <w:sz w:val="20"/>
                  <w:shd w:fill="FFFFFF" w:val="clear"/>
                </w:rPr>
                <w:t>Financial Statements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FinancialStatementSchedules_544128">
              <w:r>
                <w:rPr>
                  <w:rStyle w:val="InternetLink"/>
                  <w:rFonts w:ascii="Times New Roman;Times;serif" w:hAnsi="Times New Roman;Times;serif"/>
                  <w:b w:val="false"/>
                  <w:i w:val="false"/>
                  <w:caps w:val="false"/>
                  <w:smallCaps w:val="false"/>
                  <w:sz w:val="20"/>
                </w:rPr>
                <w:t>B.</w:t>
              </w:r>
            </w:hyperlink>
          </w:p>
        </w:tc>
        <w:tc>
          <w:tcPr>
            <w:tcW w:w="8523" w:type="dxa"/>
            <w:gridSpan w:val="2"/>
            <w:tcBorders/>
            <w:vAlign w:val="center"/>
          </w:tcPr>
          <w:p>
            <w:pPr>
              <w:pStyle w:val="TableContents"/>
              <w:bidi w:val="0"/>
              <w:spacing w:before="0" w:after="0"/>
              <w:ind w:left="0" w:right="0" w:hanging="0"/>
              <w:jc w:val="left"/>
              <w:rPr/>
            </w:pPr>
            <w:hyperlink w:anchor="FinancialStatementSchedules_544128">
              <w:r>
                <w:rPr>
                  <w:rStyle w:val="InternetLink"/>
                  <w:rFonts w:ascii="Times New Roman;Times;serif" w:hAnsi="Times New Roman;Times;serif"/>
                  <w:b w:val="false"/>
                  <w:i w:val="false"/>
                  <w:caps w:val="false"/>
                  <w:smallCaps w:val="false"/>
                  <w:sz w:val="20"/>
                  <w:shd w:fill="FFFFFF" w:val="clear"/>
                </w:rPr>
                <w:t>Financial Statement Schedules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center"/>
              <w:rPr/>
            </w:pPr>
            <w:hyperlink w:anchor="ExhibitsRequiredbyItem601ofRegulationSK_">
              <w:r>
                <w:rPr>
                  <w:rStyle w:val="InternetLink"/>
                  <w:rFonts w:ascii="Times New Roman;Times;serif" w:hAnsi="Times New Roman;Times;serif"/>
                  <w:b w:val="false"/>
                  <w:i w:val="false"/>
                  <w:caps w:val="false"/>
                  <w:smallCaps w:val="false"/>
                  <w:sz w:val="20"/>
                </w:rPr>
                <w:t>C.</w:t>
              </w:r>
            </w:hyperlink>
          </w:p>
        </w:tc>
        <w:tc>
          <w:tcPr>
            <w:tcW w:w="8523" w:type="dxa"/>
            <w:gridSpan w:val="2"/>
            <w:tcBorders/>
            <w:vAlign w:val="center"/>
          </w:tcPr>
          <w:p>
            <w:pPr>
              <w:pStyle w:val="TableContents"/>
              <w:bidi w:val="0"/>
              <w:spacing w:before="0" w:after="0"/>
              <w:ind w:left="0" w:right="0" w:hanging="0"/>
              <w:jc w:val="left"/>
              <w:rPr/>
            </w:pPr>
            <w:hyperlink w:anchor="ExhibitsRequiredbyItem601ofRegulationSK_">
              <w:r>
                <w:rPr>
                  <w:rStyle w:val="InternetLink"/>
                  <w:rFonts w:ascii="Times New Roman;Times;serif" w:hAnsi="Times New Roman;Times;serif"/>
                  <w:b w:val="false"/>
                  <w:i w:val="false"/>
                  <w:caps w:val="false"/>
                  <w:smallCaps w:val="false"/>
                  <w:sz w:val="20"/>
                  <w:shd w:fill="FFFFFF" w:val="clear"/>
                </w:rPr>
                <w:t>Exhibits Required by Item 601 of Regulation S-K</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783" w:type="dxa"/>
            <w:tcBorders/>
            <w:vAlign w:val="center"/>
          </w:tcPr>
          <w:p>
            <w:pPr>
              <w:pStyle w:val="TableContents"/>
              <w:bidi w:val="0"/>
              <w:spacing w:before="0" w:after="0"/>
              <w:ind w:left="0" w:right="0" w:hanging="0"/>
              <w:jc w:val="left"/>
              <w:rPr/>
            </w:pPr>
            <w:hyperlink w:anchor="ITEM16FORM10KSUMMARY_677024">
              <w:r>
                <w:rPr>
                  <w:rStyle w:val="InternetLink"/>
                  <w:rFonts w:ascii="Times New Roman;Times;serif" w:hAnsi="Times New Roman;Times;serif"/>
                  <w:b w:val="false"/>
                  <w:i w:val="false"/>
                  <w:caps w:val="false"/>
                  <w:smallCaps w:val="false"/>
                  <w:sz w:val="20"/>
                </w:rPr>
                <w:t>Item 16.</w:t>
              </w:r>
            </w:hyperlink>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hyperlink w:anchor="ITEM16FORM10KSUMMARY_677024">
              <w:r>
                <w:rPr>
                  <w:rStyle w:val="InternetLink"/>
                  <w:rFonts w:ascii="Times New Roman;Times;serif" w:hAnsi="Times New Roman;Times;serif"/>
                  <w:b w:val="false"/>
                  <w:i w:val="false"/>
                  <w:caps w:val="false"/>
                  <w:smallCaps w:val="false"/>
                  <w:sz w:val="20"/>
                  <w:shd w:fill="FFFFFF" w:val="clear"/>
                </w:rPr>
                <w:t>Form 10-K Summary</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w:t>
            </w:r>
          </w:p>
        </w:tc>
      </w:tr>
      <w:tr>
        <w:trPr/>
        <w:tc>
          <w:tcPr>
            <w:tcW w:w="783"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523" w:type="dxa"/>
            <w:gridSpan w:val="2"/>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9633" w:type="dxa"/>
            <w:gridSpan w:val="4"/>
            <w:tcBorders/>
            <w:vAlign w:val="center"/>
          </w:tcPr>
          <w:p>
            <w:pPr>
              <w:pStyle w:val="TableContents"/>
              <w:bidi w:val="0"/>
              <w:spacing w:before="0" w:after="0"/>
              <w:ind w:left="0" w:right="0" w:hanging="0"/>
              <w:jc w:val="left"/>
              <w:rPr/>
            </w:pPr>
            <w:hyperlink w:anchor="SIGNATURES_636330">
              <w:r>
                <w:rPr>
                  <w:rStyle w:val="InternetLink"/>
                  <w:rFonts w:ascii="Times New Roman;Times;serif" w:hAnsi="Times New Roman;Times;serif"/>
                  <w:b w:val="false"/>
                  <w:i w:val="false"/>
                  <w:caps w:val="false"/>
                  <w:smallCaps w:val="false"/>
                  <w:sz w:val="20"/>
                  <w:shd w:fill="FFFFFF" w:val="clear"/>
                </w:rPr>
                <w:t>Signatures</w:t>
              </w:r>
            </w:hyperlink>
            <w:r>
              <w:rPr>
                <w:rFonts w:ascii="Times New Roman;Times;serif" w:hAnsi="Times New Roman;Times;serif"/>
                <w:sz w:val="20"/>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Annual Report for the Fiscal Year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Ended December 31, 2025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3" w:name="PARTI_34317"/>
      <w:bookmarkStart w:id="24" w:name="_c12df5d6_26a4_40ad_8c22_86bbcdc427f4"/>
      <w:bookmarkEnd w:id="23"/>
      <w:bookmarkEnd w:id="24"/>
      <w:r>
        <w:rPr>
          <w:rFonts w:ascii="Times New Roman;Times;serif" w:hAnsi="Times New Roman;Times;serif"/>
          <w:b/>
          <w:sz w:val="20"/>
        </w:rPr>
        <w:t>PART 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 w:name="BUSINESS_683066"/>
      <w:bookmarkStart w:id="26" w:name="ITEM1_986843"/>
      <w:bookmarkEnd w:id="25"/>
      <w:bookmarkEnd w:id="26"/>
      <w:r>
        <w:rPr>
          <w:rFonts w:ascii="Times New Roman;Times;serif" w:hAnsi="Times New Roman;Times;serif"/>
          <w:b/>
          <w:sz w:val="20"/>
        </w:rPr>
        <w:t>ITEM 1. BUSINESS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COMPANYOVERVIEW_457038"/>
      <w:bookmarkStart w:id="28" w:name="COMPANYOVERVIEW_457038"/>
      <w:bookmarkEnd w:id="28"/>
    </w:p>
    <w:tbl>
      <w:tblPr>
        <w:tblW w:w="2582" w:type="dxa"/>
        <w:jc w:val="left"/>
        <w:tblInd w:w="0" w:type="dxa"/>
        <w:tblLayout w:type="fixed"/>
        <w:tblCellMar>
          <w:top w:w="0" w:type="dxa"/>
          <w:left w:w="0" w:type="dxa"/>
          <w:bottom w:w="0" w:type="dxa"/>
          <w:right w:w="0" w:type="dxa"/>
        </w:tblCellMar>
      </w:tblPr>
      <w:tblGrid>
        <w:gridCol w:w="301"/>
        <w:gridCol w:w="228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2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 Inc., a holding company incorporated in the State of Hawaii, and its subsidiaries (“Matson” or the “Company”), is a leading provider of ocean transportation and logistics services. The Company consists of two segments, Ocean Transportation and Logistics.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Ocean Transportation:</w:t>
      </w:r>
      <w:r>
        <w:rPr>
          <w:rFonts w:ascii="Times New Roman;Times;serif" w:hAnsi="Times New Roman;Times;serif"/>
          <w:sz w:val="20"/>
        </w:rPr>
        <w:t xml:space="preserve"> Matson’s Ocean Transportation business is conducted through Matson Navigation Company, Inc. (“MatNav”),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which includes cargo from other Asia origins,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in Hawaii and Alaska.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has a 35 percent ownership interest in SSA Terminals, LLC (“SSAT”), a joint venture between Matson Ventures, Inc., a wholly-owned subsidiary of MatNav, and SSA Ventures, Inc., a subsidiary of Carrix, Inc. SSAT currently provides terminal and stevedoring services to various carriers at seven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Matson’s Logistics business is conducted through Matson Logistics, Inc. (“Matson Logistics”), a wholly-owned subsidiary of MatNav. Established in 1987, Matson Logistics extends the geographic reach of Matson’s transportation network throughout North America and Asia, and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Mission and Vision: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mission is to move freight better than anyone. Our vision is to create value for our shareholders by:</w:t>
      </w:r>
    </w:p>
    <w:p>
      <w:pPr>
        <w:pStyle w:val="TextBody"/>
        <w:bidi w:val="0"/>
        <w:spacing w:before="0" w:after="0"/>
        <w:ind w:left="0" w:right="0" w:hanging="0"/>
        <w:jc w:val="left"/>
        <w:rPr/>
      </w:pPr>
      <w:r>
        <w:rPr/>
        <w:t>​</w:t>
      </w:r>
    </w:p>
    <w:tbl>
      <w:tblPr>
        <w:tblW w:w="3212" w:type="dxa"/>
        <w:jc w:val="left"/>
        <w:tblInd w:w="0" w:type="dxa"/>
        <w:tblLayout w:type="fixed"/>
        <w:tblCellMar>
          <w:top w:w="0" w:type="dxa"/>
          <w:left w:w="0" w:type="dxa"/>
          <w:bottom w:w="0" w:type="dxa"/>
          <w:right w:w="0" w:type="dxa"/>
        </w:tblCellMar>
      </w:tblPr>
      <w:tblGrid>
        <w:gridCol w:w="301"/>
        <w:gridCol w:w="2911"/>
      </w:tblGrid>
      <w:tr>
        <w:trPr/>
        <w:tc>
          <w:tcPr>
            <w:tcW w:w="301" w:type="dxa"/>
            <w:tcBorders/>
            <w:vAlign w:val="center"/>
          </w:tcPr>
          <w:p>
            <w:pPr>
              <w:pStyle w:val="TableContents"/>
              <w:bidi w:val="0"/>
              <w:spacing w:before="0" w:after="283"/>
              <w:jc w:val="left"/>
              <w:rPr/>
            </w:pPr>
            <w:r>
              <w:rPr/>
              <w:t>◾</w:t>
            </w:r>
          </w:p>
        </w:tc>
        <w:tc>
          <w:tcPr>
            <w:tcW w:w="2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Being our customers’ first choice, </w:t>
            </w:r>
          </w:p>
        </w:tc>
      </w:tr>
    </w:tbl>
    <w:tbl>
      <w:tblPr>
        <w:tblW w:w="6287" w:type="dxa"/>
        <w:jc w:val="left"/>
        <w:tblInd w:w="0" w:type="dxa"/>
        <w:tblLayout w:type="fixed"/>
        <w:tblCellMar>
          <w:top w:w="0" w:type="dxa"/>
          <w:left w:w="0" w:type="dxa"/>
          <w:bottom w:w="0" w:type="dxa"/>
          <w:right w:w="0" w:type="dxa"/>
        </w:tblCellMar>
      </w:tblPr>
      <w:tblGrid>
        <w:gridCol w:w="301"/>
        <w:gridCol w:w="5986"/>
      </w:tblGrid>
      <w:tr>
        <w:trPr/>
        <w:tc>
          <w:tcPr>
            <w:tcW w:w="301" w:type="dxa"/>
            <w:tcBorders/>
            <w:vAlign w:val="center"/>
          </w:tcPr>
          <w:p>
            <w:pPr>
              <w:pStyle w:val="TableContents"/>
              <w:bidi w:val="0"/>
              <w:spacing w:before="0" w:after="283"/>
              <w:jc w:val="left"/>
              <w:rPr/>
            </w:pPr>
            <w:r>
              <w:rPr/>
              <w:t>◾</w:t>
            </w:r>
          </w:p>
        </w:tc>
        <w:tc>
          <w:tcPr>
            <w:tcW w:w="5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our core strengths to drive growth and increase profitability,</w:t>
            </w:r>
          </w:p>
        </w:tc>
      </w:tr>
    </w:tbl>
    <w:tbl>
      <w:tblPr>
        <w:tblW w:w="4922" w:type="dxa"/>
        <w:jc w:val="left"/>
        <w:tblInd w:w="0" w:type="dxa"/>
        <w:tblLayout w:type="fixed"/>
        <w:tblCellMar>
          <w:top w:w="0" w:type="dxa"/>
          <w:left w:w="0" w:type="dxa"/>
          <w:bottom w:w="0" w:type="dxa"/>
          <w:right w:w="0" w:type="dxa"/>
        </w:tblCellMar>
      </w:tblPr>
      <w:tblGrid>
        <w:gridCol w:w="301"/>
        <w:gridCol w:w="4621"/>
      </w:tblGrid>
      <w:tr>
        <w:trPr/>
        <w:tc>
          <w:tcPr>
            <w:tcW w:w="301" w:type="dxa"/>
            <w:tcBorders/>
            <w:vAlign w:val="center"/>
          </w:tcPr>
          <w:p>
            <w:pPr>
              <w:pStyle w:val="TableContents"/>
              <w:bidi w:val="0"/>
              <w:spacing w:before="0" w:after="283"/>
              <w:jc w:val="left"/>
              <w:rPr/>
            </w:pPr>
            <w:r>
              <w:rPr/>
              <w:t>◾</w:t>
            </w:r>
          </w:p>
        </w:tc>
        <w:tc>
          <w:tcPr>
            <w:tcW w:w="46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the communities in which we work and live,</w:t>
            </w:r>
          </w:p>
        </w:tc>
      </w:tr>
    </w:tbl>
    <w:tbl>
      <w:tblPr>
        <w:tblW w:w="4592" w:type="dxa"/>
        <w:jc w:val="left"/>
        <w:tblInd w:w="0" w:type="dxa"/>
        <w:tblLayout w:type="fixed"/>
        <w:tblCellMar>
          <w:top w:w="0" w:type="dxa"/>
          <w:left w:w="0" w:type="dxa"/>
          <w:bottom w:w="0" w:type="dxa"/>
          <w:right w:w="0" w:type="dxa"/>
        </w:tblCellMar>
      </w:tblPr>
      <w:tblGrid>
        <w:gridCol w:w="301"/>
        <w:gridCol w:w="4291"/>
      </w:tblGrid>
      <w:tr>
        <w:trPr/>
        <w:tc>
          <w:tcPr>
            <w:tcW w:w="301" w:type="dxa"/>
            <w:tcBorders/>
            <w:vAlign w:val="center"/>
          </w:tcPr>
          <w:p>
            <w:pPr>
              <w:pStyle w:val="TableContents"/>
              <w:bidi w:val="0"/>
              <w:spacing w:before="0" w:after="283"/>
              <w:jc w:val="left"/>
              <w:rPr/>
            </w:pPr>
            <w:r>
              <w:rPr/>
              <w:t>◾</w:t>
            </w:r>
          </w:p>
        </w:tc>
        <w:tc>
          <w:tcPr>
            <w:tcW w:w="4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an environmental leader in our industry, and</w:t>
            </w:r>
          </w:p>
        </w:tc>
      </w:tr>
    </w:tbl>
    <w:tbl>
      <w:tblPr>
        <w:tblW w:w="2717" w:type="dxa"/>
        <w:jc w:val="left"/>
        <w:tblInd w:w="0" w:type="dxa"/>
        <w:tblLayout w:type="fixed"/>
        <w:tblCellMar>
          <w:top w:w="0" w:type="dxa"/>
          <w:left w:w="0" w:type="dxa"/>
          <w:bottom w:w="0" w:type="dxa"/>
          <w:right w:w="0" w:type="dxa"/>
        </w:tblCellMar>
      </w:tblPr>
      <w:tblGrid>
        <w:gridCol w:w="301"/>
        <w:gridCol w:w="2416"/>
      </w:tblGrid>
      <w:tr>
        <w:trPr/>
        <w:tc>
          <w:tcPr>
            <w:tcW w:w="301" w:type="dxa"/>
            <w:tcBorders/>
            <w:vAlign w:val="center"/>
          </w:tcPr>
          <w:p>
            <w:pPr>
              <w:pStyle w:val="TableContents"/>
              <w:bidi w:val="0"/>
              <w:spacing w:before="0" w:after="283"/>
              <w:jc w:val="left"/>
              <w:rPr/>
            </w:pPr>
            <w:r>
              <w:rPr/>
              <w:t>◾</w:t>
            </w:r>
          </w:p>
        </w:tc>
        <w:tc>
          <w:tcPr>
            <w:tcW w:w="2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 great place to work.</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9" w:name="BUSINESSDESCRIPTION_300282"/>
      <w:bookmarkStart w:id="30" w:name="BUSINESSDESCRIPTION_300282"/>
      <w:bookmarkEnd w:id="30"/>
    </w:p>
    <w:tbl>
      <w:tblPr>
        <w:tblW w:w="2762" w:type="dxa"/>
        <w:jc w:val="left"/>
        <w:tblInd w:w="0" w:type="dxa"/>
        <w:tblLayout w:type="fixed"/>
        <w:tblCellMar>
          <w:top w:w="0" w:type="dxa"/>
          <w:left w:w="0" w:type="dxa"/>
          <w:bottom w:w="0" w:type="dxa"/>
          <w:right w:w="0" w:type="dxa"/>
        </w:tblCellMar>
      </w:tblPr>
      <w:tblGrid>
        <w:gridCol w:w="301"/>
        <w:gridCol w:w="246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4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DESCRIPTION</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OCEANTRANSPORTATIONSEGMENT_742138"/>
      <w:bookmarkStart w:id="32" w:name="Operations_543723"/>
      <w:bookmarkStart w:id="33" w:name="OCEANTRANSPORTATIONSEGMENT_742138"/>
      <w:bookmarkStart w:id="34" w:name="Operations_543723"/>
      <w:bookmarkEnd w:id="33"/>
      <w:bookmarkEnd w:id="34"/>
    </w:p>
    <w:tbl>
      <w:tblPr>
        <w:tblW w:w="4176" w:type="dxa"/>
        <w:jc w:val="left"/>
        <w:tblInd w:w="0" w:type="dxa"/>
        <w:tblLayout w:type="fixed"/>
        <w:tblCellMar>
          <w:top w:w="0" w:type="dxa"/>
          <w:left w:w="0" w:type="dxa"/>
          <w:bottom w:w="0" w:type="dxa"/>
          <w:right w:w="0" w:type="dxa"/>
        </w:tblCellMar>
      </w:tblPr>
      <w:tblGrid>
        <w:gridCol w:w="124"/>
        <w:gridCol w:w="331"/>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w:t>
            </w:r>
          </w:p>
        </w:tc>
        <w:tc>
          <w:tcPr>
            <w:tcW w:w="372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OCEAN TRANSPORTATION SEGMENT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Matson’s Ocean Transportation segment provides the following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Hawaii Service:</w:t>
      </w:r>
      <w:r>
        <w:rPr>
          <w:rFonts w:ascii="Times New Roman;Times;serif" w:hAnsi="Times New Roman;Times;serif"/>
          <w:sz w:val="20"/>
        </w:rPr>
        <w:t xml:space="preserve"> Matson’s Hawaii service provides ocean carriage (lift-on/lift-off, roll-on/roll-off and conventional services) between the ports of Long Beach and Oakland, California; Tacoma, Washington; and Honolulu, Hawaii. Matson also operates a network of inter-island barges that provide connecting services from its hub at Honolulu to other major Hawaii ports on the islands of Hawaii, Maui and Kauai. Matson is the largest carrier of ocean cargo between the U.S. West Coast and Hawaii.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Westbound cargo carried by Matson to Hawaii includes dry containers of mixed commodities, refrigerated commodities, food, beverages, retail merchandise, building materials, automobiles and household goods. Matson’s eastbound cargo from Hawaii includes automobiles, household goods, dry containers of mixed commodities and livestock. The majority of Matson’s Hawaii service revenue is derived from the westbound carriage of containerized freight.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China Service: </w:t>
      </w:r>
      <w:r>
        <w:rPr>
          <w:rFonts w:ascii="Times New Roman;Times;serif" w:hAnsi="Times New Roman;Times;serif"/>
          <w:sz w:val="20"/>
        </w:rPr>
        <w:t xml:space="preserve">Matson’s expedited China-Long Beach Express (“CLX”) service is part of an integrated service that carries cargo from Long Beach, California to Honolulu, Hawaii, Guam, and Okinawa, Japan. The vessels then continue on to Ningbo and Shanghai, China, where they are loaded with cargo to be discharged primarily at Long Beach, California at a Matson-exclusive terminal operated by SSAT. These vessels also carry cargo destined for Hawaii which originated in Guam, Micronesia, Okinawa, China and other Asian countries.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operates a second expedited service to the U.S. West Coast with the Matson Asia Express (“MAX”) service. The MAX service primarily uses chartered vessels and operates weekly from Ningbo and Shanghai, China where they are loaded with cargo to be discharged at Long Beach, California, calling at an SSAT-operated terminal.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Both services carry cargo originating in China and other Asian countries to the U.S. via Shanghai,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Eastbound cargo from China to Long Beach, California consists mainly of e-commerce related goods, garments, consumer electronics, footwear and other merchandise.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Guam Service: </w:t>
      </w:r>
      <w:r>
        <w:rPr>
          <w:rFonts w:ascii="Times New Roman;Times;serif" w:hAnsi="Times New Roman;Times;serif"/>
          <w:sz w:val="20"/>
        </w:rPr>
        <w:t>Matson’s Guam service provides weekly carriage between the U.S. West Coast and Guam, as part of its CLX service. Matson also provides weekly U.S. flag service connecting Guam to the Commonwealth of the Northern Mariana Islands. Cargo destined to Guam mainly includes dry containers of mixed commodities, refrigerated containers of food, beverages, retail merchandise, building materials and household goods.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Japan Service: </w:t>
      </w:r>
      <w:r>
        <w:rPr>
          <w:rFonts w:ascii="Times New Roman;Times;serif" w:hAnsi="Times New Roman;Times;serif"/>
          <w:sz w:val="20"/>
        </w:rPr>
        <w:t>Matson’s Japan service provides weekly carriage between the U.S. West Coast and the port of Naha in Okinawa, Japan, as part of its CLX service. This service mainly carries freight supporting the U.S. government including general sustenance cargo in both dry and refrigerated containers and household goods.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Micronesia Service: </w:t>
      </w:r>
      <w:r>
        <w:rPr>
          <w:rFonts w:ascii="Times New Roman;Times;serif" w:hAnsi="Times New Roman;Times;serif"/>
          <w:sz w:val="20"/>
        </w:rPr>
        <w:t>Matson’s Micronesia service provides carriage between the U.S. West Coast and the islands of Kwajalein, Ebeye and Majuro in the Republic of the Marshall Islands, the islands of Yap, Pohnpei, Chuuk and Kosrae in the Federated States of Micronesia, and the Republic of Palau. Cargo destined for these locations is transshipped through Guam and consists mainly of general sustenance cargo, building materials, hardware and retail merchandise.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Alaska Service: </w:t>
      </w:r>
      <w:r>
        <w:rPr>
          <w:rFonts w:ascii="Times New Roman;Times;serif" w:hAnsi="Times New Roman;Times;serif"/>
          <w:sz w:val="20"/>
        </w:rPr>
        <w:t>Matson’s Alaska service provides ocean carriage between the port of Tacoma, Washington, and the ports of Anchorage, Kodiak and Dutch Harbor, Alaska. Matson also provides a barge service between Dutch Harbor and Akutan in Alaska, and transportation services to other locations in Alaska including the Kenai Peninsula, Fairbanks and the North Slope.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Northbound cargo to Alaska consists mainly of dry containers of mixed commodities, refrigerated commodities, food, beverages, retail merchandise, household goods and automobiles, and other industrial cargo. Southbound cargo from Alaska primarily consists of seafood, household goods and automobiles.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Matson’s Alaska-Asia Express (“AAX”) service provides carriage of seafood primarily from Kodiak and Dutch Harbor, Alaska to many locations in Asia via Matson’s transshipment ports of Shanghai and Ningbo, China. The AAX service utilizes MAX vessels on their westbound return voyages to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South Pacific Service: </w:t>
      </w:r>
      <w:r>
        <w:rPr>
          <w:rFonts w:ascii="Times New Roman;Times;serif" w:hAnsi="Times New Roman;Times;serif"/>
          <w:sz w:val="20"/>
        </w:rPr>
        <w:t>Matson’s New Zealand Express (“NZX”) service provides carriage of general sustenance cargo between Auckland, New Zealand and select islands in the South Pacific, including Fiji (Suva and Lautoka), Samoa (Apia), American Samoa (Pago Pago), the Cook Islands (Rarotonga and Aitutaki), Tonga (Nukualofa and Vava’u), and Niue. Additionally, Matson provides slot charter arrangements for the transportation of cargo from major ports on the east coast of Australia to ports in the South Pacific islands. The NZX service also delivers and sells domestic bulk fuel to a variety of these islands.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Terminal and Other Related Services: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 provides stevedoring, refrigerated cargo services, inland transportation, container equipment maintenance and other terminal services (collectively, “terminal services”) at terminals located on the Hawaiian islands of Oahu, Hawaii, Maui and Kauai; and in the Alaska terminal locations of Anchorage, Kodiak and Dutch Harbor.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SSAT currently provides terminal and stevedoring services to various carriers at seven terminal facilities on the U.S. West Coast, including three facilities dedicated for Matson’s use, in Long Beach and Oakland, California and in Tacoma, Washington.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 utilizes the services of other third-party terminal operators at the other ports where its vessels are served.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Vessel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Matson’s fleet includes both owned and chartered vessels and barges. Matson’s owned fleet represents an investment of approximately $2.4 billion. The majority of Matson’s owned fleet is made up of U.S. flagged and Jones Act qualified vessels that operate in Matson’s Hawaii, China, Guam, Japan, Micronesia and Alaska services. Details of Matson’s active and reserve fleet as of December 31, 2025 are as follows:</w:t>
      </w:r>
    </w:p>
    <w:p>
      <w:pPr>
        <w:pStyle w:val="TextBody"/>
        <w:bidi w:val="0"/>
        <w:spacing w:before="0" w:after="0"/>
        <w:ind w:left="0" w:right="0" w:hanging="0"/>
        <w:jc w:val="left"/>
        <w:rPr/>
      </w:pPr>
      <w:r>
        <w:rPr/>
        <w:t>​</w:t>
      </w:r>
    </w:p>
    <w:tbl>
      <w:tblPr>
        <w:tblW w:w="10729" w:type="dxa"/>
        <w:jc w:val="left"/>
        <w:tblInd w:w="0" w:type="dxa"/>
        <w:tblLayout w:type="fixed"/>
        <w:tblCellMar>
          <w:top w:w="0" w:type="dxa"/>
          <w:left w:w="0" w:type="dxa"/>
          <w:bottom w:w="0" w:type="dxa"/>
          <w:right w:w="0" w:type="dxa"/>
        </w:tblCellMar>
      </w:tblPr>
      <w:tblGrid>
        <w:gridCol w:w="1351"/>
        <w:gridCol w:w="346"/>
        <w:gridCol w:w="466"/>
        <w:gridCol w:w="346"/>
        <w:gridCol w:w="736"/>
        <w:gridCol w:w="346"/>
        <w:gridCol w:w="511"/>
        <w:gridCol w:w="346"/>
        <w:gridCol w:w="586"/>
        <w:gridCol w:w="346"/>
        <w:gridCol w:w="691"/>
        <w:gridCol w:w="346"/>
        <w:gridCol w:w="616"/>
        <w:gridCol w:w="346"/>
        <w:gridCol w:w="661"/>
        <w:gridCol w:w="346"/>
        <w:gridCol w:w="1066"/>
        <w:gridCol w:w="346"/>
        <w:gridCol w:w="93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857885" cy="175260"/>
                      <wp:effectExtent l="0" t="0" r="0" b="0"/>
                      <wp:wrapNone/>
                      <wp:docPr id="3" name="Frame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95910" cy="175260"/>
                      <wp:effectExtent l="0" t="0" r="0" b="0"/>
                      <wp:wrapNone/>
                      <wp:docPr id="5" name="Frame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67360" cy="175260"/>
                      <wp:effectExtent l="0" t="0" r="0" b="0"/>
                      <wp:wrapNone/>
                      <wp:docPr id="7" name="Frame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24485" cy="175260"/>
                      <wp:effectExtent l="0" t="0" r="0" b="0"/>
                      <wp:wrapNone/>
                      <wp:docPr id="9" name="Frame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72110" cy="175260"/>
                      <wp:effectExtent l="0" t="0" r="0" b="0"/>
                      <wp:wrapNone/>
                      <wp:docPr id="11" name="Frame1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8785" cy="175260"/>
                      <wp:effectExtent l="0" t="0" r="0" b="0"/>
                      <wp:wrapNone/>
                      <wp:docPr id="13" name="Frame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91160" cy="175260"/>
                      <wp:effectExtent l="0" t="0" r="0" b="0"/>
                      <wp:wrapNone/>
                      <wp:docPr id="15" name="Frame1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19735" cy="175260"/>
                      <wp:effectExtent l="0" t="0" r="0" b="0"/>
                      <wp:wrapNone/>
                      <wp:docPr id="17" name="Frame1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76910" cy="175260"/>
                      <wp:effectExtent l="0" t="0" r="0" b="0"/>
                      <wp:wrapNone/>
                      <wp:docPr id="19" name="Frame1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1185" cy="175260"/>
                      <wp:effectExtent l="0" t="0" r="0" b="0"/>
                      <wp:wrapNone/>
                      <wp:docPr id="21" name="Frame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Usable Cargo Capacity</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Vessel</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Containers (1)</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Vehicles</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Design</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Charter</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left"/>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Official</w:t>
            </w:r>
          </w:p>
        </w:tc>
        <w:tc>
          <w:tcPr>
            <w:tcW w:w="346" w:type="dxa"/>
            <w:tcBorders/>
            <w:vAlign w:val="center"/>
          </w:tcPr>
          <w:p>
            <w:pPr>
              <w:pStyle w:val="TableContents"/>
              <w:bidi w:val="0"/>
              <w:spacing w:before="0" w:after="0"/>
              <w:ind w:left="0" w:right="0" w:hanging="0"/>
              <w:jc w:val="left"/>
              <w:rPr/>
            </w:pPr>
            <w:r>
              <w:rPr/>
              <w:t>  ​ ​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Reefer</w:t>
            </w:r>
          </w:p>
        </w:tc>
        <w:tc>
          <w:tcPr>
            <w:tcW w:w="346" w:type="dxa"/>
            <w:tcBorders/>
            <w:vAlign w:val="center"/>
          </w:tcPr>
          <w:p>
            <w:pPr>
              <w:pStyle w:val="TableContents"/>
              <w:bidi w:val="0"/>
              <w:spacing w:before="0" w:after="0"/>
              <w:ind w:left="0" w:right="0" w:hanging="0"/>
              <w:jc w:val="left"/>
              <w:rPr/>
            </w:pPr>
            <w:r>
              <w:rPr/>
              <w:t>  ​ ​ ​</w:t>
            </w:r>
          </w:p>
        </w:tc>
        <w:tc>
          <w:tcPr>
            <w:tcW w:w="69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61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Speed</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Deadweight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Vessel</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Built</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TEUs</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Slots</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Autos</w:t>
            </w:r>
          </w:p>
        </w:tc>
        <w:tc>
          <w:tcPr>
            <w:tcW w:w="34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Length</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(Knots) (2)</w:t>
            </w:r>
          </w:p>
        </w:tc>
        <w:tc>
          <w:tcPr>
            <w:tcW w:w="34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 Tons)</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(3)</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Vessels-Owned:</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DANIEL K. INOUYE (4)(8)</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2018</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1274136</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3,160</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408</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854’ 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23.5</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KAIMANA HILA (4)(8)</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1274135</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3,020</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854’ 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23.5</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MANOA (4)(7)</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1982</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651627</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2,824</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408</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860’ 2”</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23.0</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MAHIMAHI (4)(7)</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1982</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653424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2,824</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408</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860’ 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23.0</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LURLINE (4)</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1274143</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2,750</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432</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869’ 5”</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23.0</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MATSONIA (4)</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1274123</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2,750</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432</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869’ 5”</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23.0</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MANULANI (4)(7)</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2005</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1168529</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284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711’ 11”</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23.0</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MAUNAWILI (4)(7)</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2004</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1153166</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2,378</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711’ 11”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22.5</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MANUKAI (4)(7)(8)</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2003</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1141163</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270</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711’ 9”</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22.5</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R.J. PFEIFFER (4)(7)</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1992</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979814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300</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713’ 6”</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23.0</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MAUNALEI (4)(7)</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2006</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1181627</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1,992</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328</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680’ 8”</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22.1</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 KODIAK (4)(7)</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1987</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910308</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1,668</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280</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710’ 0”</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 ANCHORAGE (4)(7)</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1987</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910306</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280</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710’ 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 TACOMA (4)(7)</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1987</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910307</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1,668</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280</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710’ 0”</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KAMOKUIKI (5)</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2000</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9232979</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433’ 9”</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17.5</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OLOMANA (6)</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2004</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9184225</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388’ 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IMUA (6)</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2004</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9184237</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90</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388’ 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15.0</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LILOA II (6)</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2006</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9184249</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90</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388’ 6”</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PAPA MAU (6)</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1999</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9141704</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521</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60</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381’ 5”</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14.0</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Vessels-Chartered:</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 MAGNOLIA (6)</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2006</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9302578</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5,060</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454</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964’ 9”</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23.0</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67,000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2027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 WAIKIKI (6)</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2008</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9349801</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4,946</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902’ 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62,000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September 2028</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 LANAI (6)</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2007</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9334143</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4,253</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400</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853’ 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24.3</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53,000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August 2027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 MAUI (6)</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2007</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9340764</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4,253</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856’ 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24.5</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52,000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2029</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 OAHU (6)</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2008</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9352406</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4,245</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535</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853’ 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24.3</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53,000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2027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MATSON KAUAI (6)</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2008</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9353278</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4,218</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350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881’ 11”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52,000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August 2027</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Barges-Owned:</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HALEAKALA (4)</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1324310</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72</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362’ 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MAUNA LOA (4)</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2013</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1247426</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72</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362’ 6”</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EXPLORER (5)</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2012</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1345855</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230’ 0”</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ISLANDER (5)</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1348946</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180’ 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PACIFIC (5)</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2015</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1352540</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373’ 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14,000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OCEANIA (5)</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2010</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1227936</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288’ 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Barges-Chartered:</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ILIULIUK BAY (4)</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2013</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1249384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250’ 0”</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2032</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Twenty-foot Equivalent Units (“TEU”) is a standard measure of cargo volume correlated to a standard 20-foot dry cargo container. TEU container numbers represent estimated loadable containers. Actual loadable containers may vary from these amounts.</w:t>
            </w:r>
          </w:p>
        </w:tc>
      </w:tr>
    </w:tbl>
    <w:tbl>
      <w:tblPr>
        <w:tblW w:w="5372" w:type="dxa"/>
        <w:jc w:val="left"/>
        <w:tblInd w:w="0" w:type="dxa"/>
        <w:tblLayout w:type="fixed"/>
        <w:tblCellMar>
          <w:top w:w="0" w:type="dxa"/>
          <w:left w:w="0" w:type="dxa"/>
          <w:bottom w:w="0" w:type="dxa"/>
          <w:right w:w="0" w:type="dxa"/>
        </w:tblCellMar>
      </w:tblPr>
      <w:tblGrid>
        <w:gridCol w:w="331"/>
        <w:gridCol w:w="50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5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speed of the vessel may vary from the Vessel Design Speed.</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Charter expiration dates represent the approximate month the vessel can be returned to its owner. Some vessel charter agreements include options for the Company to further extend the charter period.</w:t>
            </w:r>
          </w:p>
        </w:tc>
      </w:tr>
    </w:tbl>
    <w:tbl>
      <w:tblPr>
        <w:tblW w:w="4142" w:type="dxa"/>
        <w:jc w:val="left"/>
        <w:tblInd w:w="0" w:type="dxa"/>
        <w:tblLayout w:type="fixed"/>
        <w:tblCellMar>
          <w:top w:w="0" w:type="dxa"/>
          <w:left w:w="0" w:type="dxa"/>
          <w:bottom w:w="0" w:type="dxa"/>
          <w:right w:w="0" w:type="dxa"/>
        </w:tblCellMar>
      </w:tblPr>
      <w:tblGrid>
        <w:gridCol w:w="331"/>
        <w:gridCol w:w="38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38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flagged and Jones Act qualified vessel or barge.</w:t>
            </w:r>
          </w:p>
        </w:tc>
      </w:tr>
    </w:tbl>
    <w:tbl>
      <w:tblPr>
        <w:tblW w:w="2477" w:type="dxa"/>
        <w:jc w:val="left"/>
        <w:tblInd w:w="0" w:type="dxa"/>
        <w:tblLayout w:type="fixed"/>
        <w:tblCellMar>
          <w:top w:w="0" w:type="dxa"/>
          <w:left w:w="0" w:type="dxa"/>
          <w:bottom w:w="0" w:type="dxa"/>
          <w:right w:w="0" w:type="dxa"/>
        </w:tblCellMar>
      </w:tblPr>
      <w:tblGrid>
        <w:gridCol w:w="331"/>
        <w:gridCol w:w="21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flagged vessel or barge.</w:t>
            </w:r>
          </w:p>
        </w:tc>
      </w:tr>
    </w:tbl>
    <w:tbl>
      <w:tblPr>
        <w:tblW w:w="2102" w:type="dxa"/>
        <w:jc w:val="left"/>
        <w:tblInd w:w="0" w:type="dxa"/>
        <w:tblLayout w:type="fixed"/>
        <w:tblCellMar>
          <w:top w:w="0" w:type="dxa"/>
          <w:left w:w="0" w:type="dxa"/>
          <w:bottom w:w="0" w:type="dxa"/>
          <w:right w:w="0" w:type="dxa"/>
        </w:tblCellMar>
      </w:tblPr>
      <w:tblGrid>
        <w:gridCol w:w="331"/>
        <w:gridCol w:w="177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17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Foreign-flagged vessel.</w:t>
            </w:r>
          </w:p>
        </w:tc>
      </w:tr>
    </w:tbl>
    <w:tbl>
      <w:tblPr>
        <w:tblW w:w="6692" w:type="dxa"/>
        <w:jc w:val="left"/>
        <w:tblInd w:w="0" w:type="dxa"/>
        <w:tblLayout w:type="fixed"/>
        <w:tblCellMar>
          <w:top w:w="0" w:type="dxa"/>
          <w:left w:w="0" w:type="dxa"/>
          <w:bottom w:w="0" w:type="dxa"/>
          <w:right w:w="0" w:type="dxa"/>
        </w:tblCellMar>
      </w:tblPr>
      <w:tblGrid>
        <w:gridCol w:w="331"/>
        <w:gridCol w:w="63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w:t>
            </w:r>
          </w:p>
        </w:tc>
        <w:tc>
          <w:tcPr>
            <w:tcW w:w="6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Vessel installed with exhaust gas cleaning systems (commonly referred to as “scrubbers”).</w:t>
            </w:r>
          </w:p>
        </w:tc>
      </w:tr>
    </w:tbl>
    <w:tbl>
      <w:tblPr>
        <w:tblW w:w="6467" w:type="dxa"/>
        <w:jc w:val="left"/>
        <w:tblInd w:w="0" w:type="dxa"/>
        <w:tblLayout w:type="fixed"/>
        <w:tblCellMar>
          <w:top w:w="0" w:type="dxa"/>
          <w:left w:w="0" w:type="dxa"/>
          <w:bottom w:w="0" w:type="dxa"/>
          <w:right w:w="0" w:type="dxa"/>
        </w:tblCellMar>
      </w:tblPr>
      <w:tblGrid>
        <w:gridCol w:w="331"/>
        <w:gridCol w:w="613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w:t>
            </w:r>
          </w:p>
        </w:tc>
        <w:tc>
          <w:tcPr>
            <w:tcW w:w="6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Vessel can operate on liquefied natural gas (“LNG”), conventional or alternative fuels.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Fleet Renewal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is constructing three new Aloha Class vessels with the following specifications and expected delivery dates:</w:t>
      </w:r>
    </w:p>
    <w:p>
      <w:pPr>
        <w:pStyle w:val="TextBody"/>
        <w:bidi w:val="0"/>
        <w:spacing w:before="0" w:after="0"/>
        <w:ind w:left="0" w:right="0" w:hanging="0"/>
        <w:jc w:val="left"/>
        <w:rPr/>
      </w:pPr>
      <w:r>
        <w:rPr/>
        <w:t>​</w:t>
      </w:r>
    </w:p>
    <w:tbl>
      <w:tblPr>
        <w:tblW w:w="8986" w:type="dxa"/>
        <w:jc w:val="left"/>
        <w:tblInd w:w="0" w:type="dxa"/>
        <w:tblLayout w:type="fixed"/>
        <w:tblCellMar>
          <w:top w:w="0" w:type="dxa"/>
          <w:left w:w="0" w:type="dxa"/>
          <w:bottom w:w="0" w:type="dxa"/>
          <w:right w:w="0" w:type="dxa"/>
        </w:tblCellMar>
      </w:tblPr>
      <w:tblGrid>
        <w:gridCol w:w="1216"/>
        <w:gridCol w:w="226"/>
        <w:gridCol w:w="1096"/>
        <w:gridCol w:w="226"/>
        <w:gridCol w:w="1111"/>
        <w:gridCol w:w="226"/>
        <w:gridCol w:w="695"/>
        <w:gridCol w:w="307"/>
        <w:gridCol w:w="799"/>
        <w:gridCol w:w="109"/>
        <w:gridCol w:w="646"/>
        <w:gridCol w:w="226"/>
        <w:gridCol w:w="841"/>
        <w:gridCol w:w="226"/>
        <w:gridCol w:w="103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72160" cy="175260"/>
                      <wp:effectExtent l="0" t="0" r="0" b="0"/>
                      <wp:wrapNone/>
                      <wp:docPr id="22" name="Frame2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5960" cy="175260"/>
                      <wp:effectExtent l="0" t="0" r="0" b="0"/>
                      <wp:wrapNone/>
                      <wp:docPr id="24" name="Frame2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3510" cy="175260"/>
                      <wp:effectExtent l="0" t="0" r="0" b="0"/>
                      <wp:wrapNone/>
                      <wp:docPr id="25"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05485" cy="175260"/>
                      <wp:effectExtent l="0" t="0" r="0" b="0"/>
                      <wp:wrapNone/>
                      <wp:docPr id="26" name="Frame2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27" name="Frame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41325" cy="175260"/>
                      <wp:effectExtent l="0" t="0" r="0" b="0"/>
                      <wp:wrapNone/>
                      <wp:docPr id="28" name="Frame28"/>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94945" cy="175260"/>
                      <wp:effectExtent l="0" t="0" r="0" b="0"/>
                      <wp:wrapNone/>
                      <wp:docPr id="29" name="Frame2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7365" cy="175260"/>
                      <wp:effectExtent l="0" t="0" r="0" b="0"/>
                      <wp:wrapNone/>
                      <wp:docPr id="30" name="Frame30"/>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0210" cy="175260"/>
                      <wp:effectExtent l="0" t="0" r="0" b="0"/>
                      <wp:wrapNone/>
                      <wp:docPr id="32" name="Frame3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34035" cy="175260"/>
                      <wp:effectExtent l="0" t="0" r="0" b="0"/>
                      <wp:wrapNone/>
                      <wp:docPr id="34" name="Frame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3510" cy="175260"/>
                      <wp:effectExtent l="0" t="0" r="0" b="0"/>
                      <wp:wrapNone/>
                      <wp:docPr id="35"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57860" cy="175260"/>
                      <wp:effectExtent l="0" t="0" r="0" b="0"/>
                      <wp:wrapNone/>
                      <wp:docPr id="36"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Usable Cargo Capacity</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Containers (1)</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r>
      <w:tr>
        <w:trPr/>
        <w:tc>
          <w:tcPr>
            <w:tcW w:w="12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Type of</w:t>
            </w:r>
          </w:p>
        </w:tc>
        <w:tc>
          <w:tcPr>
            <w:tcW w:w="2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Expected</w:t>
            </w:r>
          </w:p>
        </w:tc>
        <w:tc>
          <w:tcPr>
            <w:tcW w:w="226"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center"/>
              <w:rPr/>
            </w:pPr>
            <w:r>
              <w:rPr/>
              <w:t>  ​ ​ ​</w:t>
            </w:r>
          </w:p>
        </w:tc>
        <w:tc>
          <w:tcPr>
            <w:tcW w:w="307"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Reefer</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Speed</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Deadweight</w:t>
            </w:r>
          </w:p>
        </w:tc>
      </w:tr>
      <w:tr>
        <w:trPr/>
        <w:tc>
          <w:tcPr>
            <w:tcW w:w="1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Vessel</w:t>
            </w:r>
          </w:p>
        </w:tc>
        <w:tc>
          <w:tcPr>
            <w:tcW w:w="2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Vessel</w:t>
            </w:r>
          </w:p>
        </w:tc>
        <w:tc>
          <w:tcPr>
            <w:tcW w:w="22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Delivery Date</w:t>
            </w:r>
          </w:p>
        </w:tc>
        <w:tc>
          <w:tcPr>
            <w:tcW w:w="226" w:type="dxa"/>
            <w:tcBorders/>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TEUs</w:t>
            </w:r>
          </w:p>
        </w:tc>
        <w:tc>
          <w:tcPr>
            <w:tcW w:w="307" w:type="dxa"/>
            <w:tcBorders/>
            <w:vAlign w:val="center"/>
          </w:tcPr>
          <w:p>
            <w:pPr>
              <w:pStyle w:val="TableContents"/>
              <w:bidi w:val="0"/>
              <w:spacing w:before="0" w:after="0"/>
              <w:ind w:left="0" w:right="0" w:hanging="0"/>
              <w:jc w:val="lef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Slots</w:t>
            </w:r>
          </w:p>
        </w:tc>
        <w:tc>
          <w:tcPr>
            <w:tcW w:w="109"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Length</w:t>
            </w:r>
          </w:p>
        </w:tc>
        <w:tc>
          <w:tcPr>
            <w:tcW w:w="2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(Knots)</w:t>
            </w:r>
          </w:p>
        </w:tc>
        <w:tc>
          <w:tcPr>
            <w:tcW w:w="2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 Tons)</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MAKUA</w:t>
            </w:r>
          </w:p>
        </w:tc>
        <w:tc>
          <w:tcPr>
            <w:tcW w:w="2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Containership</w:t>
            </w:r>
          </w:p>
        </w:tc>
        <w:tc>
          <w:tcPr>
            <w:tcW w:w="2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Q1 2027</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3,440</w:t>
            </w:r>
          </w:p>
        </w:tc>
        <w:tc>
          <w:tcPr>
            <w:tcW w:w="307" w:type="dxa"/>
            <w:tcBorders/>
            <w:shd w:fill="CCEEFF" w:val="clear"/>
            <w:vAlign w:val="center"/>
          </w:tcPr>
          <w:p>
            <w:pPr>
              <w:pStyle w:val="TableContents"/>
              <w:bidi w:val="0"/>
              <w:spacing w:before="0" w:after="0"/>
              <w:ind w:left="0" w:right="0" w:hanging="0"/>
              <w:jc w:val="center"/>
              <w:rPr/>
            </w:pPr>
            <w:r>
              <w:rPr/>
              <w:t> </w:t>
            </w:r>
          </w:p>
        </w:tc>
        <w:tc>
          <w:tcPr>
            <w:tcW w:w="79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400</w:t>
            </w:r>
          </w:p>
        </w:tc>
        <w:tc>
          <w:tcPr>
            <w:tcW w:w="109"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853’ 2”</w:t>
            </w:r>
          </w:p>
        </w:tc>
        <w:tc>
          <w:tcPr>
            <w:tcW w:w="2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23.5</w:t>
            </w:r>
          </w:p>
        </w:tc>
        <w:tc>
          <w:tcPr>
            <w:tcW w:w="226"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53,000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MALAMA</w:t>
            </w:r>
          </w:p>
        </w:tc>
        <w:tc>
          <w:tcPr>
            <w:tcW w:w="2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Containership</w:t>
            </w:r>
          </w:p>
        </w:tc>
        <w:tc>
          <w:tcPr>
            <w:tcW w:w="2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Q3 2027</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3,440</w:t>
            </w:r>
          </w:p>
        </w:tc>
        <w:tc>
          <w:tcPr>
            <w:tcW w:w="307" w:type="dxa"/>
            <w:tcBorders/>
            <w:vAlign w:val="center"/>
          </w:tcPr>
          <w:p>
            <w:pPr>
              <w:pStyle w:val="TableContents"/>
              <w:bidi w:val="0"/>
              <w:spacing w:before="0" w:after="0"/>
              <w:ind w:left="0" w:right="0" w:hanging="0"/>
              <w:jc w:val="center"/>
              <w:rPr/>
            </w:pPr>
            <w:r>
              <w:rPr/>
              <w:t>​</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400</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853’ 2”</w:t>
            </w:r>
          </w:p>
        </w:tc>
        <w:tc>
          <w:tcPr>
            <w:tcW w:w="2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23.5</w:t>
            </w:r>
          </w:p>
        </w:tc>
        <w:tc>
          <w:tcPr>
            <w:tcW w:w="2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53,000</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MAKENA</w:t>
            </w:r>
          </w:p>
        </w:tc>
        <w:tc>
          <w:tcPr>
            <w:tcW w:w="2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Containership</w:t>
            </w:r>
          </w:p>
        </w:tc>
        <w:tc>
          <w:tcPr>
            <w:tcW w:w="2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Q2 2028</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3,440</w:t>
            </w:r>
          </w:p>
        </w:tc>
        <w:tc>
          <w:tcPr>
            <w:tcW w:w="307" w:type="dxa"/>
            <w:tcBorders/>
            <w:shd w:fill="CCEEFF" w:val="clear"/>
            <w:vAlign w:val="center"/>
          </w:tcPr>
          <w:p>
            <w:pPr>
              <w:pStyle w:val="TableContents"/>
              <w:bidi w:val="0"/>
              <w:spacing w:before="0" w:after="0"/>
              <w:ind w:left="0" w:right="0" w:hanging="0"/>
              <w:jc w:val="center"/>
              <w:rPr/>
            </w:pPr>
            <w:r>
              <w:rPr/>
              <w:t>​</w:t>
            </w:r>
          </w:p>
        </w:tc>
        <w:tc>
          <w:tcPr>
            <w:tcW w:w="79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400</w:t>
            </w:r>
          </w:p>
        </w:tc>
        <w:tc>
          <w:tcPr>
            <w:tcW w:w="109"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853’ 2”</w:t>
            </w:r>
          </w:p>
        </w:tc>
        <w:tc>
          <w:tcPr>
            <w:tcW w:w="2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23.5</w:t>
            </w:r>
          </w:p>
        </w:tc>
        <w:tc>
          <w:tcPr>
            <w:tcW w:w="2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53,000</w:t>
            </w:r>
          </w:p>
        </w:tc>
      </w:tr>
    </w:tbl>
    <w:tbl>
      <w:tblPr>
        <w:tblW w:w="8972" w:type="dxa"/>
        <w:jc w:val="left"/>
        <w:tblInd w:w="0" w:type="dxa"/>
        <w:tblLayout w:type="fixed"/>
        <w:tblCellMar>
          <w:top w:w="0" w:type="dxa"/>
          <w:left w:w="0" w:type="dxa"/>
          <w:bottom w:w="0" w:type="dxa"/>
          <w:right w:w="0" w:type="dxa"/>
        </w:tblCellMar>
      </w:tblPr>
      <w:tblGrid>
        <w:gridCol w:w="331"/>
        <w:gridCol w:w="86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TEU container numbers represent estimated loadable containers. Actual loadable containers may vary from these amounts.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expects to deploy the three new Aloha Class vessels in the CLX service and redeploy three existing vessels into the Alaska service. The new vessels will have dual-fuel engines and will be equipped with tanks, piping and cryogenic equipment designed to operate on LNG, conventional fuels and alternative fuels. The new vessels are also being designed with state-of-the-art green technology features and fuel-efficient hulls. Each new vessel is expected to provide approximately 500 containers of additional capacity per voyage in the China service, representing an annual capacity increase of approximately 15,000 containers.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cost of the fleet renewal program is approximately $1.0 billion (excluding owner’s items and change orders), with milestone payments to be funded by cash deposits and Treasury securities currently in the Company’s Capital Construction Fund (“CCF”), interest earned in the CCF, </w:t>
      </w:r>
      <w:r>
        <w:rPr>
          <w:rFonts w:ascii="Times New Roman;Times;serif" w:hAnsi="Times New Roman;Times;serif"/>
          <w:sz w:val="20"/>
          <w:shd w:fill="FFFFFF" w:val="clear"/>
        </w:rPr>
        <w:t>cash and cash equivalents on the Company’s Consolidated Balance Sheets and through cash flows generated from future operations, borrowings available under the Company’s unsecured revolving credit facility or additional debt financings</w:t>
      </w:r>
      <w:r>
        <w:rPr>
          <w:rFonts w:ascii="Times New Roman;Times;serif" w:hAnsi="Times New Roman;Times;serif"/>
          <w:sz w:val="20"/>
        </w:rPr>
        <w:t>. Actual and future vessel construction progress milestone payments based on signed agreements and change orders, excluding vessel steel price adjustments, owner’s items and capitalized interest, are expected to be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87"/>
        <w:gridCol w:w="346"/>
        <w:gridCol w:w="320"/>
        <w:gridCol w:w="834"/>
        <w:gridCol w:w="346"/>
        <w:gridCol w:w="196"/>
        <w:gridCol w:w="511"/>
        <w:gridCol w:w="346"/>
        <w:gridCol w:w="196"/>
        <w:gridCol w:w="511"/>
        <w:gridCol w:w="346"/>
        <w:gridCol w:w="196"/>
        <w:gridCol w:w="421"/>
        <w:gridCol w:w="346"/>
        <w:gridCol w:w="196"/>
        <w:gridCol w:w="331"/>
        <w:gridCol w:w="346"/>
        <w:gridCol w:w="266"/>
        <w:gridCol w:w="470"/>
        <w:gridCol w:w="346"/>
        <w:gridCol w:w="196"/>
        <w:gridCol w:w="752"/>
      </w:tblGrid>
      <w:tr>
        <w:trPr/>
        <w:tc>
          <w:tcPr>
            <w:tcW w:w="2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15745" cy="175260"/>
                      <wp:effectExtent l="0" t="0" r="0" b="0"/>
                      <wp:wrapNone/>
                      <wp:docPr id="37" name="Frame37"/>
                      <a:graphic xmlns:a="http://schemas.openxmlformats.org/drawingml/2006/main">
                        <a:graphicData uri="http://schemas.microsoft.com/office/word/2010/wordprocessingShape">
                          <wps:wsp>
                            <wps:cNvSpPr txBox="1"/>
                            <wps:spPr>
                              <a:xfrm>
                                <a:off x="0" y="0"/>
                                <a:ext cx="151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3200" cy="175260"/>
                      <wp:effectExtent l="0" t="0" r="0" b="0"/>
                      <wp:wrapNone/>
                      <wp:docPr id="39" name="Frame3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29590" cy="175260"/>
                      <wp:effectExtent l="0" t="0" r="0" b="0"/>
                      <wp:wrapNone/>
                      <wp:docPr id="40" name="Frame4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24485" cy="175260"/>
                      <wp:effectExtent l="0" t="0" r="0" b="0"/>
                      <wp:wrapNone/>
                      <wp:docPr id="43" name="Frame4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24485" cy="175260"/>
                      <wp:effectExtent l="0" t="0" r="0" b="0"/>
                      <wp:wrapNone/>
                      <wp:docPr id="46" name="Frame4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67335" cy="175260"/>
                      <wp:effectExtent l="0" t="0" r="0" b="0"/>
                      <wp:wrapNone/>
                      <wp:docPr id="49" name="Frame4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0185" cy="175260"/>
                      <wp:effectExtent l="0" t="0" r="0" b="0"/>
                      <wp:wrapNone/>
                      <wp:docPr id="52" name="Frame5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8910" cy="175260"/>
                      <wp:effectExtent l="0" t="0" r="0" b="0"/>
                      <wp:wrapNone/>
                      <wp:docPr id="54" name="Frame5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98450" cy="175260"/>
                      <wp:effectExtent l="0" t="0" r="0" b="0"/>
                      <wp:wrapNone/>
                      <wp:docPr id="55" name="Frame55"/>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77520" cy="175260"/>
                      <wp:effectExtent l="0" t="0" r="0" b="0"/>
                      <wp:wrapNone/>
                      <wp:docPr id="58" name="Frame58"/>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w:t>
            </w:r>
          </w:p>
        </w:tc>
        <w:tc>
          <w:tcPr>
            <w:tcW w:w="346" w:type="dxa"/>
            <w:tcBorders/>
            <w:vAlign w:val="center"/>
          </w:tcPr>
          <w:p>
            <w:pPr>
              <w:pStyle w:val="TableContents"/>
              <w:bidi w:val="0"/>
              <w:spacing w:before="0" w:after="0"/>
              <w:ind w:left="0" w:right="0" w:hanging="0"/>
              <w:jc w:val="left"/>
              <w:rPr/>
            </w:pPr>
            <w:r>
              <w:rPr/>
              <w:t>​</w:t>
            </w:r>
          </w:p>
        </w:tc>
        <w:tc>
          <w:tcPr>
            <w:tcW w:w="467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Future Milestone Payments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r>
      <w:tr>
        <w:trPr/>
        <w:tc>
          <w:tcPr>
            <w:tcW w:w="23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Vessel Construction Obligations</w:t>
              <w:br/>
              <w:t>(in millions)</w:t>
            </w:r>
          </w:p>
        </w:tc>
        <w:tc>
          <w:tcPr>
            <w:tcW w:w="346" w:type="dxa"/>
            <w:tcBorders/>
            <w:vAlign w:val="center"/>
          </w:tcPr>
          <w:p>
            <w:pPr>
              <w:pStyle w:val="TableContents"/>
              <w:bidi w:val="0"/>
              <w:spacing w:before="0" w:after="0"/>
              <w:ind w:left="0" w:right="0" w:hanging="0"/>
              <w:jc w:val="left"/>
              <w:rPr/>
            </w:pPr>
            <w:r>
              <w:rPr/>
              <w:t>  ​ ​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 of</w:t>
              <w:br/>
              <w:t>December 31, 2025</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2027</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2028</w:t>
            </w:r>
          </w:p>
        </w:tc>
        <w:tc>
          <w:tcPr>
            <w:tcW w:w="346" w:type="dxa"/>
            <w:tcBorders/>
            <w:vAlign w:val="center"/>
          </w:tcPr>
          <w:p>
            <w:pPr>
              <w:pStyle w:val="TableContents"/>
              <w:bidi w:val="0"/>
              <w:spacing w:before="0" w:after="0"/>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2029</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Thereafter</w:t>
            </w:r>
          </w:p>
        </w:tc>
        <w:tc>
          <w:tcPr>
            <w:tcW w:w="346" w:type="dxa"/>
            <w:tcBorders/>
            <w:vAlign w:val="center"/>
          </w:tcPr>
          <w:p>
            <w:pPr>
              <w:pStyle w:val="TableContents"/>
              <w:bidi w:val="0"/>
              <w:spacing w:before="0" w:after="0"/>
              <w:ind w:left="0" w:right="0" w:hanging="0"/>
              <w:jc w:val="left"/>
              <w:rPr/>
            </w:pPr>
            <w:r>
              <w:rPr/>
              <w:t>  ​ ​ ​</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Three Aloha Class Containerships</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52"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1,006.0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Vessel Emission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International Maritime Organization (“IMO”), of which the U.S. and over 150 other countries are members, is a specialized agency of the United Nations that sets international environmental standards applicable to vessels operating under the flag of any member state. With respect to North America, all waters, with certain limited exceptions, within 200 nautical miles of U.S. and Canadian coastlines have been designated emission control areas (“ECAs”). Matson’s vessels are designed to operate in compliance with current IMO and ECA regulations as applicable.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IMO regulations require containerships operating internationally with over 5,000 gross tonnage to comply with annual Carbon Intensity Indicator (“CII”) requirements that become increasingly stringent towards 2030. CII measures how efficiently a ship transports goods, and uses calculated carbon dioxide emissions to determine an annual rating. For ships that are not in compliance, a corrective action plan needs to be developed as part of the vessels’ Ship Energy Efficiency Management Plan and approved by port state authorities. The Company believes that its vessels are currently in compliance with these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Hawaii Terminal Modernization and Expansion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 completed the first phase of its program to modernize and renovate its terminal facility at Sand Island, Honolulu, and is progressing on the second phase. In the first phase of this program, Matson completed the installation of three new 65 long-ton capacity gantry cranes, upgraded and renovated three existing cranes, and installed upgrades to the electrical infrastructure at the terminal. In addition, Matson completed the installation, energization and transition to a new redundant main switchgear. Additional projects for the second phase relate to improvements to its existing backup power generators and other terminal upgrades, which are expected to be completed within the next year.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third phase represents a broader and long-term expansion program at the Sand Island terminal facility. Matson expects to expand into Pier 51A and portions of Pier 51B after Pasha Hawaii (“Pasha”) relocates to, and is operational at, the Kapalama Container Terminal facility which is scheduled to occur in 2027. Matson is currently performing surveying, planning and design work in preparation for this expansion.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complement to its fleet of vessels and barges, Matson owns a variety of equipment including terminal cranes and equipment, containers, chassis and other property which represents an investment of approximately $900 million as of December 31, 2025. Matson also leases containers, chassis and other equipment under various operating lease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Major components of Matson’s Ocean Transportation operating costs are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Direct Cargo Expense </w:t>
      </w:r>
      <w:r>
        <w:rPr>
          <w:rFonts w:ascii="Times New Roman;Times;serif" w:hAnsi="Times New Roman;Times;serif"/>
          <w:sz w:val="20"/>
        </w:rPr>
        <w:t xml:space="preserve">includes terminal handling costs including stevedoring and wharfage, outside purchased transportation and other related costs.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Vessel Operating Expense </w:t>
      </w:r>
      <w:r>
        <w:rPr>
          <w:rFonts w:ascii="Times New Roman;Times;serif" w:hAnsi="Times New Roman;Times;serif"/>
          <w:sz w:val="20"/>
        </w:rPr>
        <w:t xml:space="preserve">includes crew wages and related costs; fuel; pilots, tugs, lines and related costs; vessel charter expenses; and other vessel operating-related expenses.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Operating Overhead Expense </w:t>
      </w:r>
      <w:r>
        <w:rPr>
          <w:rFonts w:ascii="Times New Roman;Times;serif" w:hAnsi="Times New Roman;Times;serif"/>
          <w:sz w:val="20"/>
        </w:rPr>
        <w:t>includes vessel repair and maintenance costs, inactive vessel costs, dry-docking amortization, equipment lease costs, equipment repair costs, insurance, port engineers and other maintenance costs, and other vessel and shoreside related overhead and other indirect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summary of major competitors in Matson’s Ocean Transportation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Hawaii Service:</w:t>
      </w:r>
      <w:r>
        <w:rPr>
          <w:rFonts w:ascii="Times New Roman;Times;serif" w:hAnsi="Times New Roman;Times;serif"/>
          <w:sz w:val="20"/>
        </w:rPr>
        <w:t xml:space="preserve"> Matson’s Hawaii service has one primary U.S. flagged Jones Act competitor, Pasha, which operates container and roll-on/roll-off services between the ports of Long Beach, Oakland and San Diego, California to Hawaii. A U.S. flagged Jones Act barge operator, Aloha Marine Lines, offers barge service between Seattle, Washington and Oahu, Hawaii.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Foreign-flagged vessels, including ONE and CMA CGM, carry cargo to Oahu, Hawaii from non-U.S. locations, providing alternatives for companies importing goods to Hawaii. Other competitors in the Hawaii market include proprietary operators and contract carriers of bulk cargo, and air freight carriers.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operates three strings of vessels to Hawaii. These strings provide customers an industry-leading five weekly departures from ports on the U.S. West Coast – two each from Long Beach and Oakland, California and one from Tacoma, Washington, with three arrivals in Honolulu each week. Each of these strings operates on a fixed day-of-the-week schedule. One of the vessel strings, the CLX, continues from Honolulu to China before returning to Long Beach. Matson’s frequent sailings and punctuality permit customers to reduce inventory carrying costs. Matson also competes by offering a comprehensive service network to customers, including: the only container service to and from the three largest U.S. West Coast ports; the most efficient terminal network on the U.S. West Coast with three exclusive use terminals provided by SSAT that allow for quicker and more reliable port calls; a dedicated inter-island barge network which is integrated with Matson’s line haul schedule; roll-on/roll-off service from Long Beach and Oakland; a world-class customer service team; and efficiency and experience in handling cargo of many types.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Alaska Service: </w:t>
      </w:r>
      <w:r>
        <w:rPr>
          <w:rFonts w:ascii="Times New Roman;Times;serif" w:hAnsi="Times New Roman;Times;serif"/>
          <w:sz w:val="20"/>
        </w:rPr>
        <w:t xml:space="preserve">Matson’s Alaska service has one primary U.S. flagged Jones Act competitor, Totem Ocean Trailer Express, Inc., which operates a roll-on/roll-off service between Tacoma, Washington and Anchorage, Alaska. There are also two primary U.S. flagged Jones Act barge operators, Alaska Marine Lines, which mainly provides services from Seattle, Washington to the ports of Anchorage, Kodiak and Dutch Harbor, and other locations in Alaska, and Samson Tug &amp; Barge, which mainly serves Western Alaska and other locations. The barge operators have historically shipped lower value commodities that can accommodate longer transit times, as well as construction materials and other cargo that are not conducive to movement in containers. Other competitors include air freight carriers and over-the-road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trucking services. Foreign-flagged vessels provide alternatives for companies shipping cargo (mainly seafood) from the Alaska ports of Kodiak and Dutch Harbor to international destinations. The primary competitor of Matson’s AAX service is CMA CGM, which provides services between Dutch Harbor, Alaska and Asia.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offers customers twice weekly departures from Tacoma, Washington to Anchorage and Kodiak, Alaska, and a weekly service to Dutch Harbor, Alaska. Matson also provides a barge service between Dutch Harbor and Akutan in Alaska. Matson offers dedicated terminal services at the Alaska ports of Anchorage, Kodiak and Dutch Harbor performed by Matson, and at the port of Tacoma, Washington performed by SSAT. Matson’s AAX service also offers customers a service from Kodiak and Dutch Harbor, Alaska to Ningbo and Shanghai, China, with connecting services from those ports to other locations in Asia.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China Service:</w:t>
      </w:r>
      <w:r>
        <w:rPr>
          <w:rFonts w:ascii="Times New Roman;Times;serif" w:hAnsi="Times New Roman;Times;serif"/>
          <w:sz w:val="20"/>
        </w:rPr>
        <w:t xml:space="preserve"> Major competitors to Matson’s China service include international transpacific carriers such as CMA CGM, Zim, Hede and Cosco. Other competitors include air freight carriers.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Matson’s China service (CLX and MAX) competes by offering fast and reliable service from the ports of Ningbo and Shanghai in China, and feeder services from other Asian origins connecting in Ningbo and Shanghai, China, to Long Beach, California. Matson provides fixed day-of-the-week arrivals and industry leading cargo availability. Matson’s service is further differentiated by best-in-class stevedoring services provided by SSAT, Matson dedicated terminal space, access to Shippers Transport Express off-dock container yards for faster truck turn times, Matson-dedicated equipment including chassis to speed cargo availability, one-stop intermodal connections, and world-class customer service. Matson also provides intermodal services in coordination with Matson Logistics. Matson has offices located in Shanghai, Ningbo, Shenzhen, Xiamen and Hong Kong, and has contracted with terminal operators in Ningbo and Shanghai.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Guam Service:</w:t>
      </w:r>
      <w:r>
        <w:rPr>
          <w:rFonts w:ascii="Times New Roman;Times;serif" w:hAnsi="Times New Roman;Times;serif"/>
          <w:sz w:val="20"/>
        </w:rPr>
        <w:t xml:space="preserve"> Matson’s Guam service has one primary competitor, APL, a subsidiary of CMA CGM, which operates a U.S. flagged container service connecting the U.S. West Coast to Guam and Saipan, via transshipments to U.S. flagged feeder vessels in Yokohama, Japan, Busan, South Korea, and Naha, Japan via a two-ship feeder service. There are also multiple foreign carriers that call at Guam from foreign origin ports, and air freight carriers.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 offers customers a weekly sailing to Guam as part of the CLX service from three ports on the U.S. West Coast. Matson’s ocean transit times, best-in-class services from all three U.S. West Coast terminals and reliable on-time performance provides an industry-leading service to its customers.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Japan Service: </w:t>
      </w:r>
      <w:r>
        <w:rPr>
          <w:rFonts w:ascii="Times New Roman;Times;serif" w:hAnsi="Times New Roman;Times;serif"/>
          <w:sz w:val="20"/>
        </w:rPr>
        <w:t>Matson’s Japan service has one major competitor, APL, which operates a U.S. flagged containership service from the U.S. West Coast to the port of Naha in Okinawa, Japan.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 offers customers a fast and reliable weekly service to the port of Naha in Okinawa, Japan as part of the CLX service from three ports on the U.S. West Coast.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Micronesia and South Pacific Services:</w:t>
      </w:r>
      <w:r>
        <w:rPr>
          <w:rFonts w:ascii="Times New Roman;Times;serif" w:hAnsi="Times New Roman;Times;serif"/>
          <w:sz w:val="20"/>
        </w:rPr>
        <w:t xml:space="preserve"> Matson’s Micronesia and South Pacific services compete with a variety of local and international carriers that provide freight services to the area.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Customer Concentration: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serves customers in numerous industries and carries a wide variety of cargo, mitigating its dependence upon any single customer or single type of cargo. The Company’s 10 largest Ocean Transportation customers account for approximately 19 percent of the Company’s Ocean Transportation revenue. For additional information on Ocean Transportation revenues for the years ended December 31, 2025, 2024 and 2023, see Note 2 to the Consolidated Financial Statements in Item 8 of Part II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Seasonality: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Historically, Matson’s Ocean Transportation services have typically experienced seasonality in volume, generally following a pattern of increasing volume starting in the second quarter of each year culminating in the early part of the fourth quarter. This seasonality is amplified in the Alaska service primarily due to winter weather and the timing of southbound seafood trade. As a result, earnings have tended to follow a similar pattern, offset by periodic vessel dry-docking and other episodic cost factors, which can lead to earnings variability. In addition, in the China trade, volume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is generally stronger in the second and third quarters primarily driven by U.S. consumer demand for goods ahead of key retail selling seasons. Freight rates can be impacted by these seasonality trends as well as macro supply and demand variables.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bookmarkStart w:id="35" w:name="MaritimeLawsandtheJonesAct_300786"/>
      <w:bookmarkEnd w:id="35"/>
      <w:r>
        <w:rPr>
          <w:rFonts w:ascii="Times New Roman;Times;serif" w:hAnsi="Times New Roman;Times;serif"/>
          <w:b/>
          <w:i/>
          <w:sz w:val="20"/>
        </w:rPr>
        <w:t>Maritime Laws and the Jones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Maritime Laws:</w:t>
      </w:r>
      <w:r>
        <w:rPr>
          <w:rFonts w:ascii="Times New Roman;Times;serif" w:hAnsi="Times New Roman;Times;serif"/>
          <w:sz w:val="20"/>
        </w:rPr>
        <w:t xml:space="preserve"> All interstate and intrastate marine commerce within the U.S. falls under the Merchant Marine Act of 1920 (commonly referred to as the Jones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 75 percent owned by U.S. citizens. U.S. flagged vessels are generally required to be maintained at higher standards than foreign-flagged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2025, 2024 and 2023, approximately 51 percent, 50 percent and 55 percent, respectively, of Matson’s Ocean Transportation revenues came from the Hawaii and Alaska trades that were subject to the Jones Act. Matson’s Hawaii and Alaska trade routes are included within the non-contiguous Jones Act market. The commerce of both Hawaii, as an island economy, and Alaska, due to its geographical location, are dependent on ocean transportation. The Jones Act ensures frequent, reliable, roundtrip service to these locations. Matson’s vessels operating in these trade routes are Jones Act qualified and maintained in compliance with such requirements.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is a member of the American Maritime Partnership (“AMP”), which supports the retention of the Jones Act and similar cabotage laws. The Jones Act has broad support from both houses of Congress and the Executive Branch. Matson believes that the geopolitical environment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U.S. maritime laws require vessels operating between Guam, a U.S. territory, and U.S. ports to be U.S. flagged and predominantly U.S. crewed, but not U.S. built.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Cabotage laws are not unique to the United States, and similar laws exist in virtually every maritime country around the world, including regions in which Matson provides ocean transportation services. Any changes in such laws may have an impact on the services provided by Matson in those regions.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Rate Regulations and Fuel-Related Surcharges: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seeks to provide a 30-day notice to customers of any increases in general rates and other charges, and passes along decreases as soon as possible.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Matson’s Ocean Transportation services engaged in U.S.-foreign commerce are subject to the jurisdiction of the Federal Maritime Commission (“FMC”). The FMC is a federal independent regulatory agency that is responsible for the regulation of international ocean-borne transportation to and from the U.S.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applies a fuel-related surcharge rate to its Ocean Transportation customers. Matson’s fuel-related surcharge is correlated to market rates for fuel prices and other factors, and is intended primarily to help Matson recover fuel-related expenses.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Environmental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to the vessel emission regulations discussed above, Matson’s operations are required to comply with other environmental regulations and requirements including the Oil Pollution Act of 1990, the Comprehensive Environmental Response Compensation &amp; Liability Act of 1980, the Rivers and Harbors Act of 1899, the Clean Water Act, the Invasive Species Act and the Clean Air Act. Matson is also subject to state regulations affecting terminal and vessel emissions, such as the requirement to shut down vessel generator engines while at berth at California ports and switch to shore electrical power or achieve equivalent emissions reductions. The Company actively monitors its operations for compliance with these and other regulations.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more information on Matson’s environmental stewardship initiatives, including its environmental goals, see Matson’s Sustainability Report and other information available at https://www.matson.com/sustainability.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6" w:name="LOGISTICSSEGMENT_439429"/>
      <w:bookmarkStart w:id="37" w:name="LOGISTICSSEGMENT_439429"/>
      <w:bookmarkEnd w:id="37"/>
    </w:p>
    <w:tbl>
      <w:tblPr>
        <w:tblW w:w="2691" w:type="dxa"/>
        <w:jc w:val="left"/>
        <w:tblInd w:w="0" w:type="dxa"/>
        <w:tblLayout w:type="fixed"/>
        <w:tblCellMar>
          <w:top w:w="0" w:type="dxa"/>
          <w:left w:w="0" w:type="dxa"/>
          <w:bottom w:w="0" w:type="dxa"/>
          <w:right w:w="0" w:type="dxa"/>
        </w:tblCellMar>
      </w:tblPr>
      <w:tblGrid>
        <w:gridCol w:w="124"/>
        <w:gridCol w:w="331"/>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(2)</w:t>
            </w:r>
          </w:p>
        </w:tc>
        <w:tc>
          <w:tcPr>
            <w:tcW w:w="223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LOGISTICS SEGMENT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Logistics Services: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Logistics provides the following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Transportation Brokerage Services:</w:t>
      </w:r>
      <w:r>
        <w:rPr>
          <w:rFonts w:ascii="Times New Roman;Times;serif" w:hAnsi="Times New Roman;Times;serif"/>
          <w:sz w:val="20"/>
        </w:rPr>
        <w:t xml:space="preserve"> Matson Logistics provides intermodal rail, highway, and other third-party logistics services for North American customers and international ocean carrier customers, including MatNav. Matson Logistics creates significant benefits and value for its customers through volume purchases of rail, motor carrier and ocean transportation services, augmented by services such as shipment tracking and tracing, accessibility to its owned fleet of 53-foot intermodal containers and single-vendor invoicing. Matson Logistics operates customer service centers and has sales offices throughout North America.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Freight Forwarding Services:</w:t>
      </w:r>
      <w:r>
        <w:rPr>
          <w:rFonts w:ascii="Times New Roman;Times;serif" w:hAnsi="Times New Roman;Times;serif"/>
          <w:sz w:val="20"/>
        </w:rPr>
        <w:t xml:space="preserve"> Matson Logistics provides Freight Forwarding services primarily to the Alaska market through its wholly-owned subsidiary, Span Intermediate, LLC (“Span Alaska”). Span Alaska’s business aggregates LCL freight at its cross-dock facilities in Auburn, Washington for consolidation and shipment to its service center in Anchorage and a network of other facilities in Alaska. Span Alaska also provides trucking services to its Auburn cross-dock facilities and from its Alaska-based cross-dock facilities to final customer destinations in Alaska.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Warehousing Services:</w:t>
      </w:r>
      <w:r>
        <w:rPr>
          <w:rFonts w:ascii="Times New Roman;Times;serif" w:hAnsi="Times New Roman;Times;serif"/>
          <w:sz w:val="20"/>
        </w:rPr>
        <w:t>  Matson Logistics operates two warehouses in Georgia and two warehouses in Northern California providing warehousing, trans-loading, value-added packaging and distribution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Supply Chain Management and Other Services:</w:t>
      </w:r>
      <w:r>
        <w:rPr>
          <w:rFonts w:ascii="Times New Roman;Times;serif" w:hAnsi="Times New Roman;Times;serif"/>
          <w:sz w:val="20"/>
        </w:rPr>
        <w:t xml:space="preserve"> Matson Logistics provides customers with a variety of logistics services including purchase order management, booking services, customs brokerage, LCL and full container load NVOCC freight forwarding services. Matson Logistics has supply chain operations in North America, China and other Asian countries, and other locations.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 Logistics’ operating costs include transportation costs, transportation brokerage expenses, agency commissions, leases of warehouses, cross-dock and other facility operating costs, wages and other related costs, and other operating overhead.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 Logistics competes with hundreds of local, regional, national and international companies that provide transportation and third-party logistics services. The industry is highly fragmented and, therefore, competition varies by geography and areas of service.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Matson Logistics’ Transportation Brokerage services compete most directly with C.H. Robinson Worldwide, Hub Group, RXO and other freight brokers and intermodal marketing companies, and asset-invested market leaders such as J.B. Hunt. Matson Logistics competes by relying on the depth, scale and scope of its customer relationships; vendor relationships and rates; network capacity; real-time visibility into the movement of customers’ goods; and other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solutions. Additionally, while Matson Logistics primarily provides surface transportation brokerage, it also competes to a lesser degree with other forms of transportation for the movement of cargo such as air freight.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Logistics’ Freight Forwarding services compete most directly with a variety of freight forwarding companies that operate within Alaska including Carlile, Lynden and Odyssey.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Customer Concentration: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Logistics serves customers in numerous industries. The Company’s 10 largest logistics customers account for approximately 17 percent of the Company’s Logistics revenue. For additional information on Logistics revenues for the years ended December 31, 2025, 2024 and 2023, see Note 2 to the Consolidated Financial Statements in Item 8 of Part II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Logistics’ businesses experience seasonality in demand for their services as follows: (i) Transportation Brokerage services generally sees elevated truckload and intermodal shipment activity starting in the second quarter of each year, culminating in a peak season throughout the third quarter; (ii) Freight Forwarding services experiences seasonal trends similar to Matson’s Ocean Transportation Alaska service; and (iii) Supply Chain Management and other services demand is generally stronger in the second and third quarters similar to Matson’s Ocean Transportation China service.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 w:name="EMPLOYEESANDLABORRELATIONS_707006"/>
      <w:bookmarkStart w:id="39" w:name="EMPLOYEESANDLABORRELATIONS_707006"/>
      <w:bookmarkEnd w:id="39"/>
    </w:p>
    <w:tbl>
      <w:tblPr>
        <w:tblW w:w="4052" w:type="dxa"/>
        <w:jc w:val="left"/>
        <w:tblInd w:w="0" w:type="dxa"/>
        <w:tblLayout w:type="fixed"/>
        <w:tblCellMar>
          <w:top w:w="0" w:type="dxa"/>
          <w:left w:w="0" w:type="dxa"/>
          <w:bottom w:w="0" w:type="dxa"/>
          <w:right w:w="0" w:type="dxa"/>
        </w:tblCellMar>
      </w:tblPr>
      <w:tblGrid>
        <w:gridCol w:w="301"/>
        <w:gridCol w:w="375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37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LABOR RELATIONS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Human Capital Strategy:</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support of Matson’s vision to be a great place to work, the Company focuses on a variety of human capital programs that have been developed to attract, retain and motivate its employee workforce. As a company that operates in various global locations, the Company’s human capital programs are designed to reflect the unique market practices in each geographic location. The Company’s success depends in part on employing a diverse, talented and engaged workforce that reflects its local communities, supports an environment of high standards and performance, and thrives in the Company’s collaborative and respectful culture.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Matson had 4,170 employees worldwide, of which 161 employees were based in international locations and 2,843 employees were covered by collective bargaining agreements with unions. These numbers include seagoing personnel who rotate through billets (as described below) and temporary employees, but do not include employees of SSAT or other non-employee affiliates such as agents and contractors. The composition of Matson’s workforce by geography is as follows: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495425" cy="1188085"/>
            <wp:effectExtent l="0" t="0" r="0" b="0"/>
            <wp:docPr id="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 descr=""/>
                    <pic:cNvPicPr>
                      <a:picLocks noChangeAspect="1" noChangeArrowheads="1"/>
                    </pic:cNvPicPr>
                  </pic:nvPicPr>
                  <pic:blipFill>
                    <a:blip r:embed="rId2"/>
                    <a:stretch>
                      <a:fillRect/>
                    </a:stretch>
                  </pic:blipFill>
                  <pic:spPr bwMode="auto">
                    <a:xfrm>
                      <a:off x="0" y="0"/>
                      <a:ext cx="1495425" cy="118808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Matson’s fleet of active vessels requires 329 billets to operate. Each billet corresponds to a position on a vessel that typically is filled by two or more employees because seagoing personnel rotate between active sea-duty and time ashore. These amounts exclude billets related to Matson’s foreign-flagged chartered vessels where the vessel owner is responsible for its seagoing personnel.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part of its overall human capital strategy, Matson continues to focus on developing and promoting equal employment opportunities, particularly for leadership positions. The Company utilizes both internal and external learning and development programs to encourage and promote career opportunities for employees. Matson is also focused on driving greater awareness of and interest in careers in the maritime and logistics sectors to support a more diverse talent pool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the long-term to help proactively address gaps in market skills and talent to serve our future needs. Matson makes all employment decisions based on merit without regard to an individual’s race, gender, or other protected characteristics.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color w:val="0D0D0D"/>
          <w:sz w:val="20"/>
        </w:rPr>
      </w:pPr>
      <w:r>
        <w:rPr>
          <w:rFonts w:ascii="Times New Roman;Times;serif" w:hAnsi="Times New Roman;Times;serif"/>
          <w:b/>
          <w:i/>
          <w:color w:val="0D0D0D"/>
          <w:sz w:val="20"/>
        </w:rPr>
        <w:t>Total Rewards Programs:</w:t>
      </w:r>
    </w:p>
    <w:p>
      <w:pPr>
        <w:pStyle w:val="TextBody"/>
        <w:bidi w:val="0"/>
        <w:spacing w:before="0" w:after="0"/>
        <w:ind w:left="0" w:right="0" w:hanging="0"/>
        <w:jc w:val="left"/>
        <w:rPr>
          <w:color w:val="0D0D0D"/>
        </w:rPr>
      </w:pPr>
      <w:r>
        <w:rPr>
          <w:color w:val="0D0D0D"/>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provides a highly competitive and balanced total rewards program designed to attract, retain and motivate its employees. While factors such as job, location and business unit ultimately determine plans for which an employee may be eligible, the Company’s total rewards offering includes market competitive base salaries, cash and equity incentives, recognition awards, health and welfare benefits, and employee and employer funded retirement plans. The Company believes that management level positions should have a portion of pay aligned with its short- and long-term business objectives. Accordingly, the Company’s total rewards program contains several pay-for-performance components tied to individual, business unit and Company performance, as well as Matson’s stock price performance.</w:t>
      </w:r>
    </w:p>
    <w:p>
      <w:pPr>
        <w:pStyle w:val="TextBody"/>
        <w:bidi w:val="0"/>
        <w:spacing w:before="0" w:after="0"/>
        <w:ind w:left="0" w:right="0" w:hanging="0"/>
        <w:jc w:val="left"/>
        <w:rPr>
          <w:color w:val="0D0D0D"/>
        </w:rPr>
      </w:pPr>
      <w:r>
        <w:rPr>
          <w:color w:val="0D0D0D"/>
        </w:rPr>
        <w:t>​</w:t>
      </w:r>
    </w:p>
    <w:p>
      <w:pPr>
        <w:pStyle w:val="TextBody"/>
        <w:bidi w:val="0"/>
        <w:spacing w:before="0" w:after="0"/>
        <w:ind w:left="0" w:right="0" w:hanging="0"/>
        <w:jc w:val="left"/>
        <w:rPr>
          <w:rFonts w:ascii="Times New Roman;Times;serif" w:hAnsi="Times New Roman;Times;serif"/>
          <w:b/>
          <w:i/>
          <w:color w:val="0D0D0D"/>
          <w:sz w:val="20"/>
        </w:rPr>
      </w:pPr>
      <w:r>
        <w:rPr>
          <w:rFonts w:ascii="Times New Roman;Times;serif" w:hAnsi="Times New Roman;Times;serif"/>
          <w:b/>
          <w:i/>
          <w:color w:val="0D0D0D"/>
          <w:sz w:val="20"/>
        </w:rPr>
        <w:t>Succession and Career Planning: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Matson’s workforce is characterized by uniquely skilled, long-tenured employees. To create career pathways for future leaders while planning for the loss of retiring employees, the Company takes a proactive approach to succession and career planning. The Company focuses on providing the next generation of promising talent with the tools they need to build their own careers at Matson. In 2025, 53 percent of open positions were filled with internal candidates. The Company also provided nearly 4,500 hours of employee training and professional development training, and tuition reimbursement programs, while giving annual performance reviews to its non-union workforce.</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141412"/>
          <w:sz w:val="20"/>
        </w:rPr>
        <w:t>For more information on Matson’s human capital programs, see Matson’s Sustainability Report which is available at https://</w:t>
      </w:r>
      <w:r>
        <w:rPr>
          <w:rFonts w:ascii="Times New Roman;Times;serif" w:hAnsi="Times New Roman;Times;serif"/>
          <w:sz w:val="20"/>
        </w:rPr>
        <w:t>www.matson.com/sustainability</w:t>
      </w:r>
      <w:r>
        <w:rPr>
          <w:rFonts w:ascii="Times New Roman;Times;serif" w:hAnsi="Times New Roman;Times;serif"/>
          <w:color w:val="141412"/>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Bargaining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Matson’s shoreside and seagoing employees are represented by a variety of unions. Matson has collective bargaining agreements with these unions that expire at various dates in the future. As shown in the chart below, Matson’s shoreside and seagoing union employees comprise 68 percent of Matson’s global workforce.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543685" cy="1143635"/>
            <wp:effectExtent l="0" t="0" r="0" b="0"/>
            <wp:docPr id="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 descr=""/>
                    <pic:cNvPicPr>
                      <a:picLocks noChangeAspect="1" noChangeArrowheads="1"/>
                    </pic:cNvPicPr>
                  </pic:nvPicPr>
                  <pic:blipFill>
                    <a:blip r:embed="rId3"/>
                    <a:stretch>
                      <a:fillRect/>
                    </a:stretch>
                  </pic:blipFill>
                  <pic:spPr bwMode="auto">
                    <a:xfrm>
                      <a:off x="0" y="0"/>
                      <a:ext cx="1543685" cy="114363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and SSAT are also members of the Pacific Maritime Association (“PMA”), which on behalf of its members negotiates collective bargaining agreements with the International Longshore and Warehouse Union (“ILWU”) on the U.S. West Coast. The PMA/ILWU collective bargaining agreements cover substantially all U.S. West Coast longshore labor. ILWU employees employed by SSAT are not included in the chart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Multi-employer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contributes to several multi-employer pension and post-retirement plans. Matson has no present intention of withdrawing from and does not anticipate the termination of any of the multi-employer pension plans to which it contributes (see Notes 11 and 12 to the Consolidated Financial Statements in Item 8 of Part II below for a discussion of withdrawal liabilities under certain multi-employer pension plans).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40" w:name="AVAILABLEINFORMATION_687073"/>
      <w:bookmarkStart w:id="41" w:name="AVAILABLEINFORMATION_687073"/>
      <w:bookmarkEnd w:id="41"/>
    </w:p>
    <w:tbl>
      <w:tblPr>
        <w:tblW w:w="3077" w:type="dxa"/>
        <w:jc w:val="left"/>
        <w:tblInd w:w="0" w:type="dxa"/>
        <w:tblLayout w:type="fixed"/>
        <w:tblCellMar>
          <w:top w:w="0" w:type="dxa"/>
          <w:left w:w="0" w:type="dxa"/>
          <w:bottom w:w="0" w:type="dxa"/>
          <w:right w:w="0" w:type="dxa"/>
        </w:tblCellMar>
      </w:tblPr>
      <w:tblGrid>
        <w:gridCol w:w="301"/>
        <w:gridCol w:w="277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7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amended, as soon as reasonably practicable after it electronically files such material with, or furnishes them to, the U.S. Securities and Exchange Commission (“SEC”). The address of Matson’s Internet website is www.matson.com. This website and other websites included in this document are provided for convenience only, and the contents of such websites do not constitute a part of and are not incorporated by reference into this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SEC maintains an Internet website that contains reports, proxy and information statements, and other information regarding Matson and other issuers that file electronically with the SEC. The address of the SEC’s Internet website is www.sec.gov.</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2" w:name="ITEM1A_52776"/>
      <w:bookmarkStart w:id="43" w:name="_b47b1b02_6a8a_4e2d_a1f3_bd84bba6065a"/>
      <w:bookmarkEnd w:id="42"/>
      <w:bookmarkEnd w:id="43"/>
      <w:r>
        <w:rPr>
          <w:rFonts w:ascii="Times New Roman;Times;serif" w:hAnsi="Times New Roman;Times;serif"/>
          <w:b/>
          <w:sz w:val="20"/>
        </w:rPr>
        <w:t>ITEM 1A. RISK FACTORS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material risks, events and uncertainties may make an investment in the Company speculative or risky and should be reviewed carefully. The Company faces the material risks set forth below; however, the description below does not purport to include all risks the Company faces, and additional risks or uncertainties that are currently unknown or are not currently believed to be material may occur or become material.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The occurrence of these or the risks and uncertainties described below may, in ways the Company may not be able to accurately predict, recognize or mitigate, adversely affect the Company’s business, competitive environment, strategy, financial condition, results of operations, cash flow, liquidity, demand, revenue, growth, prospects, reputation or stock price. All forward-looking statements made in this Form 10-K are qualified by the risks and uncertainties described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Risks Related to the Jones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Repeal, invalidation, substantial amendment, or waiver of the Jones Act or changes in its application would have an adverse effect on the Company’s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Merchant Marine Act of 1920 (commonly referred to as the Jones Act) regulates all interstate and intrastate marine commerce within the U.S. From time to time, various interests have sought to repeal, amend or waive the Jones Act. For example, in February 2025, a lawsuit was filed in the U.S. District Court for the District of Columbia challenging the Jones Act, arguing that it violates the Port Preference Clause of the U.S. Constitution; the Company has intervened in this lawsuit and believes this lawsuit is without merit. If the Jones Act were to be repealed, invalidated, substantially amended or waived and, as a consequence, competitors were to enter the Hawaii or Alaska markets with lower operating costs by utilizing their ability to acquire and operate foreign-flagged and foreign-built vessels and/or being exempt from other U.S. regulations, the Company’s business would be adversely affected. In addition, the Company’s position as a U.S. citizen operator of Jones Act vessels would be negatively impacted if periodic efforts and attempts by foreign interests, including recent campaigns by foreign governments, to circumvent or repeal certain aspects of the Jones Act were successful. If maritime cabotage services were included in international trade agreements, or if the restrictions contained in the Jones Act were otherwise altered, the shipping of cargo between covered U.S. ports could be opened to foreign-flagged or foreign-built vessels, which could have other adverse impacts to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Company’s business would be adversely affected if the Company were determined not to be a U.S. citizen under the Jones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provisions of the Company’s articles of incorporation protect the Company’s ability to maintain its status as a U.S. citizen under the Jones Act. If non-U.S. citizens were able to defeat such articles of incorporation restrictions and own, in the aggregate, more than 25 percent of the Company’s common stock, the Company would no longer be considered a U.S. citizen under the Jones Act. Such an event could result in the Company’s ineligibility to engage in coastwise trade and the imposition of substantial penalties against the Company, including seizure or forfeiture of its vessels.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Related to the Company’s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Changes in macroeconomic conditions, geopolitical developments, or governmental policies have affected and could in the future affect the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transportation industry in which the Company operates has been and could in the future be impacted by macroeconomic fluctuations, volatility, downturns, inflation, recessions, interest rates and other economic shifts or market instabilities, including due to instability in financial institutions, as well as the development of and changes in governmental policies, relations, priorities and budgeting constraints, and uncertainties resulting from the U.S. political environment, including increased political polarization and the potential for political gridlock (such as a shutdown of the U.S. federal government), and geopolitical developments across the jurisdictions in which it operates. For example, there have been increases in geopolitical and trade tensions among a number of the world’s major economies, including the United States’ imposition of tariffs and the imposition by other countries of new or increased tariffs. These tensions have resulted in measures by governments, including reciprocal tariffs, port entry fees, non-tariff trade barriers, and sanctions, including the use of export control restrictions and sanctions against certain countries and individual companies. In the past, the U.S. Trade Representative has imposed entry fees on certain Chinese-owned, -operated, or -built vessels entering U.S. ports and additional duties on cranes, certain chassis and spare parts. China has also imposed port entry fees on certain U.S.-owned or operated, or U.S.-flagged vessels entering Chinese ports. These actions and uncertainty regarding domestic and foreign tariff policy, including uncertainty associated with the scope, level, magnitude, duration and product range of tariffs, have, and may continue to have, an adverse economic impact in the markets in which the Company operates and could result in a reduced demand for the Company’s services.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adverse economic conditions can also impact the Company’s customers’ business levels and needs. Within the U.S., a weakening of economic drivers in Hawaii, Alaska or Guam, which include tourism, military spending, construction, personal income growth and employment, the weakening of consumer confidence, market demand, the economy in the U.S. Mainland, inflation, interest rates, recession, increased political polarization and the potential for political gridlock, and the effect of a change in the strength of the U.S. dollar against other foreign currencies has reduced and could in the future reduce the demand for goods, adversely affecting inland and ocean transportation volume or rates. In addition, overcapacity in the global or transpacific ocean transportation markets, a change in the cost of goods or currency exchange rates, pressure from U.S. or foreign governments, and changes in tariff policies or international trade policies and related uncertainties could adversely affect freight volume and rates in the Company’s China services. Additionally, fluctuations in the price of oil could further impact the Alaskan economy, which in turn could impact the Company’s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shipping industry is competitive, and the Company has been and may continue to be impacted by new or increased competition.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faced and may continue to face new competition by established or start-up shipping operators that enter into the Company’s markets. The shipping industry is competitive with limited barriers to entry. Ocean carriers can shift vessels in and out of tradelanes or charter vessels to manage capacity and meet customer demands. The Company also competes with air freight carriers, some of which are able to offer more attractive schedules and services, or to increase capacity. The entry of a new competitor or the addition of new vessels or capacity by existing competitors on any of the Company’s existing routes could result in a significant increase in available shipping capacity that could have an adverse effect on the Company’s volume and rates.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loss of or damage to key customer relationships may adversely affect the Company’s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businesses are dependent on their relationships with customers and derive a significant portion of their revenues from the Company’s largest customers. The Company’s business relies on its relationships with the U.S. military, freight forwarders and non-vessel owning common carriers, large retailers and consumer goods manufacturers, as well as other larger customers. For more information regarding the Company’s significant customers, see the discussion in Part I, Item 1 of this Annual Report. The loss of or damage to any of these key relationships may adversely affect the Company’s business and revenue.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 is dependent upon key vendors and third parties for equipment, capacity, facilities, infrastructure and services essential to operate its business, and if the Company fails to secure sufficient third-party services, its business could be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businesses are dependent upon key vendors who provide terminal, rail, truck, agent and ocean transportation services. Service structures and relationships with these parties are important in the Company’s intermodal business, as well as in the China, Guam, Micronesia, Japan, Alaska export and South Pacific services. If the Company cannot reliably secure sufficient transportation equipment, capacity or services from these third parties at reasonable prices or rates to meet its or its customers’ needs and schedules, or if there are changes to the costs of such services, customers may seek to have their transportation and logistics needs met by others on a temporary or permanent basis. If this were to occur, the Company’s business, financial condition, results of operations and cash flow could be adversely affected. The loss of or damage to any of these key relationships may also adversely affect the Company’s business and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 increase in fuel prices, changes in the Company’s ability to collect fuel-related surcharges, and/or the cost or limited availability of required fuels may adversely affect the Company’s profits.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Fuel, including LNG fuels and biofuels, is a significant operating expense for the Company’s Ocean Transportation business. The price and supply of fuel are difficult to predict and fluctuate based on events beyond the Company’s control, including impacts from global macroeconomic conditions, geopolitical events and governmental policies. Increases in the price of fuel may adversely affect the Company’s results of operations. Any such increases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surcharges may adversely affect the Company’s competitive position and may not correspond exactly with the timing of increases in fuel expense. Changes in the Company’s ability to collect fuel-related surcharges, including recovery of all or most fuel-related expenses, also may adversely affect its results of operations.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development of alternative fuels (such as low- or carbon-neutral fuels), including the necessary infrastructure and technology to utilize such fuels, is still in early experimental stages. There is significant uncertainty as to when, if at all, these alternative fuels will become commercially available or viable at a reasonable cost and in sufficient quantities, and whether Matson will be able to utilize or have access to these alternative fuels (or any such alternative fuels developed in the future) in a timely and cost-effective manner. In addition, advances in fuel technology could require Matson to incur significant capital costs to utilize any such technologies (including, for example, efforts to accelerate building of new vessels, retrofit existing vessels, retire vessels early or make reserve vessels unusable) and Matson may be unable to equip its vessels with these technologies on a timely basis, if at all. It is also uncertain to what extent charter vessel owners may be willing to experiment with, or make the necessary investments to utilize, alternative fuels.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Evolving regulations and stakeholder expectations related to sustainability matters exposes the Company to heightened scrutiny, additional costs, operational challenges and a number of risks.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regulators, investors, advisory firms, employees, customers, suppliers, governments and certain other stakeholders have increased their focus and scrutiny on sustainability matters and related corporate practices, disclosures and initiatives. Evolving regulations in certain of the jurisdictions in which the Company operates and stakeholder expectations may impact the Company’s reputation, business and attractiveness as an investment, employer or business partner to the extent the Company – including its initiatives, goals and reporting – fails to satisfy or is perceived to fail to satisfy those regulations and expectations, including as a result of any third-party rating or assessment. The adoption and expansion of related legislation and regulations have also resulted and may again result in increased capital expenditures and compliance, operational and other costs to the Company. For example, the state of California has adopted greenhouse gas and climate change disclosure requirements. Compliance with these rules and regulations could require significant effort and resources and result in changes to the Company’s current GHG emission reduction goals.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sustainability and related initiatives are aspirational and based on standards and frameworks for presenting and measuring progress that are not harmonized and are still developing, assumptions that may change, disclosure controls and procedures that continue to evolve, and technological, policy and other progress and changes outside of our control (particularly those relating to the development of alternative fuels). The Company’s use, interpretation or application of disclosure frameworks and standards may change from time to time or differ from those of others. This may result in a lack of consistent or meaningful comparative data from period to period or between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and other companies in the same industry. The Company’s sustainability initiatives and goals, including human capital practices, may not satisfy all stakeholders and could impact the attraction and retention of investors, customers and employees, legal enforcement or reputation risk, as well as the Company’s willingness to do business with other companies or customers or their willingness to do business with the Company. Efforts to achieve or accurately track the Company’s initiatives and goals face numerous risks and may be untimely, be unsuccessful, result in additional costs or experience delays, and as a result may have an adverse impact on the Company, including its brand, reputation, financial performance and growth and stock price, and may expose the Company to increased scrutiny from the investment community as well as enforcement authorities.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 may not be timely or successful in completing its fleet upgrade initiatives, which may result in significant costs and adversely impact the Company’s ability to meet its emission reduction goals.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four commissioned Aloha and Kanaloa class vessels include dual fuel capable engines that can run on low sulfur fuel oil or LNG. The Company has completed the installation of tanks, piping and cryogenic equipment on its two Aloha class vessels, </w:t>
      </w:r>
      <w:r>
        <w:rPr>
          <w:rFonts w:ascii="Times New Roman;Times;serif" w:hAnsi="Times New Roman;Times;serif"/>
          <w:i/>
          <w:sz w:val="20"/>
        </w:rPr>
        <w:t>Daniel K. Inouye</w:t>
      </w:r>
      <w:r>
        <w:rPr>
          <w:rFonts w:ascii="Times New Roman;Times;serif" w:hAnsi="Times New Roman;Times;serif"/>
          <w:sz w:val="20"/>
        </w:rPr>
        <w:t xml:space="preserve"> and </w:t>
      </w:r>
      <w:r>
        <w:rPr>
          <w:rFonts w:ascii="Times New Roman;Times;serif" w:hAnsi="Times New Roman;Times;serif"/>
          <w:i/>
          <w:sz w:val="20"/>
        </w:rPr>
        <w:t>Kaimana Hila</w:t>
      </w:r>
      <w:r>
        <w:rPr>
          <w:rFonts w:ascii="Times New Roman;Times;serif" w:hAnsi="Times New Roman;Times;serif"/>
          <w:sz w:val="20"/>
        </w:rPr>
        <w:t xml:space="preserve">, and re-engined </w:t>
      </w:r>
      <w:r>
        <w:rPr>
          <w:rFonts w:ascii="Times New Roman;Times;serif" w:hAnsi="Times New Roman;Times;serif"/>
          <w:i/>
          <w:sz w:val="20"/>
        </w:rPr>
        <w:t>Manukai</w:t>
      </w:r>
      <w:r>
        <w:rPr>
          <w:rFonts w:ascii="Times New Roman;Times;serif" w:hAnsi="Times New Roman;Times;serif"/>
          <w:sz w:val="20"/>
        </w:rPr>
        <w:t xml:space="preserve"> to operate on LNG. In addition, construction has begun on three new LNG-ready Aloha Class vessels. The Company has made and anticipates making significant capital expenditures in connection with these fleet initiatives. The Company may incur additional operating costs to the extent use of LNG presents new maintenance requirements or unforeseen complications.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investments in LNG-ready vessels, whether on their own or in addition to other Company initiatives, may be insufficient to meet the Company’s previously announced GHG emission reduction goals on a timely basis or at all. There is no guarantee that the Company will be able to secure LNG via bunker barges or other methods on the U.S. West Coast or in China in sufficient amounts to fuel its vessels or at a reasonable cost, as increased demand for LNG could decrease available supply of LNG and increase prices. Governments have in the past and may again in the future impose tariffs on LNG that also may increase supply costs. As a result of these risks, the Company may not fully realize the benefits of these investments.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Company’s vessel construction agreements with Philly Shipyard subject the Company to risks.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1, 2022, MatNav and Philly Shipyard entered into vessel construction agreements pursuant to which Philly Shipyard will construct three new 3,400-TEU Aloha Class dual-fuel capable containerships, with expected delivery dates during the first quarter 2027, the third quarter 2027 and the second quarter 2028. Failure of any party to the vessel construction agreements to fulfill its obligations under the agreements could have an adverse effect on the Company’s financial condition and results of operations. Such a failure could happen for a variety of reasons, including but not limited to (i) delivery delays, (ii) delivery of vessels that fail to meet any of the required operating specifications (for example, capacity, fuel efficiency or speed), (iii) events in South Korea that prevent one or more significant subcontractors to Philly Shipyard from performing, (iv) loss of key personnel at either Philly Shipyard or any of its subcontractors, (v) work stoppages or other labor disruptions that may occur as a result of the failure of Philly Shipyard to negotiate collective bargaining agreements with its unions, (vi) the insolvency of, or the refusal or inability to perform for any reason, by Philly Shipyard or any of its subcontractors, (vii) the ability of Hanwha Ocean and Hanwha Systems (collectively, “Hanwha”) to integrate Philly Shipyard successfully into their global operations, or (viii) delays in the construction of vessels scheduled to be completed before the Company’s vessels. Significant delays in the delivery of the new vessels could limit our ability to replace aging vessels in the Alaska service without substantial modifications and delay the Company’s ability to upsize the CLX service, which could also have an adverse impact on the Company’s business, financial condition, results of operations and cash flow.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Company’s operations are susceptible to weather, natural disasters, maritime accidents, spill events and other physical and operating risks.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maritime transportation company, the Company’s operations are vulnerable to delay, disruptions and loss of life and property as a result of weather, natural disasters, bad weather at sea (including increased storm severity), lightning strikes, wildfires, heat waves, lava flows, hurricanes, typhoons, tsunamis, droughts, windstorms, floods and earthquakes. The Company’s operations are also vulnerable to risks related to the operation of ocean-going vessels, including risks of potential marine accidents, or disasters, including grounding, fires, explosions, collisions, mechanical failures, human error, maintenance issues, latent defects, oil or other spill or environmental accidents, whale strikes, war, terrorism and piracy, lost or damaged cargo, delays, injury and loss of life. Changing macroeconomic and geopolitical conditions, including geopolitical conflict, may also result in increased attacks on vessels, piracy or terrorism.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Such events could interfere with the Company’s ability to provide on-time scheduled service, require evacuation of personnel or stoppage of services, or impact the Company’s customer’s operations, resulting in increased expenses and potential loss of business associated with such events. In addition, severe weather and natural disasters can result in interference with the Company’s or its partners’ terminal operations. These impacts could be particularly acute in Hawaii and Alaska given the local economies’ dependence on these ports for ocean cargo, and in ports such as Dutch Harbor and Kodiak, Alaska where the Company is dependent on a single crane. The occurrence of any of these events may result in damage to or loss of terminals, port facilities and infrastructure, cranes, vessels, containers, cargo and other equipment, increased maintenance expense, loss of life or physical injury to its employees or people, pollution, or the slow down or suspension of operations. For example, damage to the Company’s vessels could require repair at a dry-docking facility. The costs of repairs may be substantial which may adversely affect the Company’s business, financial condition, results of operation and cash flow. Further, the Company may be unable to find space at a suitable dry-docking facility, the vessels may be forced to wait for space or be towed to a different facility, all of which could result in additional expenses and delays, and may adversely affect the Company’s business. These events can also expose the Company to reputational harm and liability for resulting damages, including for loss of life and property, and possible penalties that, pursuant to typical maritime industry policies, it must pay and then seek reimbursement from its insurer. Affected vessels may also be removed from service and thus would be unavailable for income-generating activity.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is no assurance that our efforts to mitigate the impact of these risks, including from severe weather or other events on our operations, will be effective. Although we take measures that we believe are reasonable to mitigate these risks, it is not practicable to eliminate such risks altogether. The Company’s casualty and liability insurance policies are generally subject to large retentions and deductibles and may not cover all losses the Company may incur.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 may be impacted by transitional and other risks arising from climate change.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may be impacted by transitional and other risks arising from climate change and the global shift toward a low carbon future. Organizational, industrial and governmental shifts in operations as well as legal and regulatory requirements to reduce or eliminate emissions and/or increase efficiency, or any amendments, modifications or changes in the interpretation, application or enforcement of any such operations or requirements, may require the Company to increase expenditures, make changes to existing infrastructure, vessels and equipment, limit the speed at which the Company’s vessels are permitted to travel, and make other changes to its business model. For example, the maritime industry is moving toward deployment of clean energy technologies and use of electricity powered by renewable energy sources to power terminal operations as a way to reduce shoreside GHG emissions. As the Company and SSAT increase their reliance on the power grid at terminals, including for cold-ironing and ground service fleets, the Company may experience increased risks related to power outages, brown outs or black outs. The likelihood of these risks is compounded by uncertainties regarding the reliability of renewable energy sources as well as any increased frequency of extreme weather events that may disrupt the generation or transmission of electricity.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compliance with regulations such as the IMO’s CII requirements, or any amendments, modifications or changes in the interpretation, application or enforcement of any such requirements or regulations, may create schedule disruptions and could require Matson’s fleet to slow down if efficiency improvements or transitions to alternative fuels together are not enough to reduce GHG emissions sufficiently, thus impacting Matson’s expedited business model and competitive advantage.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environmental requirements for vessel performance and operation could also require the Company to accelerate the building of new vessels, increase the construction costs for new vessels and equipment to accommodate even newer technology as it emerges while today’s technology becomes obsolete, initiate unexpected retrofit projects for existing vessels, retire older vessels earlier than expected, or render reserve vessels unusable. If these outcomes were to occur, the Company’s business, financial condition, results of operations and cash flow could be adversely affected.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 faces risks related to actual or threatened health epidemics, outbreaks of disease, pandemics or other major health crises, which could significantly disrupt the Company’s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business has in the past, and could in the future, be impacted adversely by outbreaks of disease, the effects of public health epidemics, pandemics or other major heath crises (which the Company refers to collectively as public health crises), such as the COVID-19 pandemic. Actual or threatened public health crises can have a number of adverse impacts, including volatility in the global economy, impacts to the Company’s customers’ business operations, reduced tourism in the markets the Company serves, potential restrictions on employee travel, or significant disruptions in ocean-borne transportation of goods, logistics demand and supply chain activity, caused by a variety of factors such as quarantines, factory and office closures, port closures, or other government-imposed restrictions, any of which can adversely impact the Company’s business, financial condition, results of operation and cash flow.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Company’s significant operating agreements and leases could be renewed/replaced on less favorable terms or may not be renewed/replaced on acceptable terms, if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significant operating agreements and leases entered into by the Company in the course of its operations, including those related to terminals, chartered vessels, bonded and unbonded container yards, cross-dock facilities, warehouses and offices as well as those entered into with SSAT, expire at various points in time and may not be renewed/replaced with comparable assets with the specifications necessary for the Company’s or SSAT’s businesses or could be renewed/replaced on less favorable terms, if at all, thereby adversely affecting the Company’s business, financial condition, results of operations and cash flow.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The Company may face unexpected dry-docking or repair costs for its vessels.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routinely engages shipyards to drydock its vessels for regulatory compliance and to provide repair and maintenance, and capital enhancements. Vessels may also have to be drydocked or repaired at sea in the event of accidents or other unforeseen damage. Unexpected dry-dockings or repairs could require the Company to activate a reserve vessel, purchase additional fuel and operate a less-efficient, smaller vessel for a period of time. The Company also operates a number of older active and reserve vessels that may require more frequent and extensive maintenance. The cost of repairs is difficult to predict and can be substantial. In addition, the time when a vessel is out of service for maintenance is determined by a number of factors, including regulatory deadlines, market conditions, shipyard availability, shipyard location, availability of employees and repairmen, and customer requirements, and accordingly, the length of time that a vessel may be out of service may be longer than anticipated, which could adversely affect the Company’s business, financial condition, results of operations and cash flow. The timing and expense required for repairs could be exacerbated by compliance with the U.S. Department of Transportation Maritime Administration and Jones Act requirements.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 is involved in a joint venture and is subject to risks associated with joint venture relationships.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involved in a terminal joint venture with SSAT (and through SSAT, other joint ventures at various U.S. West Coast terminals), and may initiate future joint venture projects. A joint venture involves certain risks for the Company such as: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lack of voting control over the joint venture, including the risk that the joint venture takes actions resulting in reputational harm to the Company;</w:t>
            </w:r>
          </w:p>
        </w:tc>
      </w:tr>
    </w:tbl>
    <w:tbl>
      <w:tblPr>
        <w:tblW w:w="8147" w:type="dxa"/>
        <w:jc w:val="left"/>
        <w:tblInd w:w="0" w:type="dxa"/>
        <w:tblLayout w:type="fixed"/>
        <w:tblCellMar>
          <w:top w:w="0" w:type="dxa"/>
          <w:left w:w="0" w:type="dxa"/>
          <w:bottom w:w="0" w:type="dxa"/>
          <w:right w:w="0" w:type="dxa"/>
        </w:tblCellMar>
      </w:tblPr>
      <w:tblGrid>
        <w:gridCol w:w="271"/>
        <w:gridCol w:w="7876"/>
      </w:tblGrid>
      <w:tr>
        <w:trPr/>
        <w:tc>
          <w:tcPr>
            <w:tcW w:w="271" w:type="dxa"/>
            <w:tcBorders/>
            <w:vAlign w:val="center"/>
          </w:tcPr>
          <w:p>
            <w:pPr>
              <w:pStyle w:val="TableContents"/>
              <w:bidi w:val="0"/>
              <w:spacing w:before="0" w:after="283"/>
              <w:jc w:val="left"/>
              <w:rPr/>
            </w:pPr>
            <w:r>
              <w:rPr/>
              <w:t>●</w:t>
            </w:r>
          </w:p>
        </w:tc>
        <w:tc>
          <w:tcPr>
            <w:tcW w:w="7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Misalignment or inconsistency of interests between the Company and the joint venture partner;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the joint venture partner to fund its share of capital or fulfill its other commitments, including the risk that the joint venture partner could become bankrupt;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difficulties and financial losses, including from abandonment or termination of terminal lease agreements, at the joint venture, which may lead to SSAT writing down assets or incurring impairment charges.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 Furthermore, the Company’s results of operations have been and may continue to be impacted by lower share of income from SSAT, including as a result of declines in lift volume due to reduced carrier volume into U.S. West Coast ports or increases in SSAT’s operating costs.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 is subject to risks associated with conducting business in foreign markets.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Matson’s China service and other international services are subject to risks associated with conducting business in foreign markets, which include: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associated with operating in foreign countries and developing relationships with foreign companies, business associates and governments, including as a result of cultural differences;</w:t>
            </w:r>
          </w:p>
        </w:tc>
      </w:tr>
    </w:tbl>
    <w:tbl>
      <w:tblPr>
        <w:tblW w:w="9497" w:type="dxa"/>
        <w:jc w:val="left"/>
        <w:tblInd w:w="0" w:type="dxa"/>
        <w:tblLayout w:type="fixed"/>
        <w:tblCellMar>
          <w:top w:w="0" w:type="dxa"/>
          <w:left w:w="0" w:type="dxa"/>
          <w:bottom w:w="0" w:type="dxa"/>
          <w:right w:w="0" w:type="dxa"/>
        </w:tblCellMar>
      </w:tblPr>
      <w:tblGrid>
        <w:gridCol w:w="271"/>
        <w:gridCol w:w="9226"/>
      </w:tblGrid>
      <w:tr>
        <w:trPr/>
        <w:tc>
          <w:tcPr>
            <w:tcW w:w="271" w:type="dxa"/>
            <w:tcBorders/>
            <w:vAlign w:val="center"/>
          </w:tcPr>
          <w:p>
            <w:pPr>
              <w:pStyle w:val="TableContents"/>
              <w:bidi w:val="0"/>
              <w:spacing w:before="0" w:after="283"/>
              <w:jc w:val="left"/>
              <w:rPr/>
            </w:pPr>
            <w:r>
              <w:rPr/>
              <w:t>●</w:t>
            </w:r>
          </w:p>
        </w:tc>
        <w:tc>
          <w:tcPr>
            <w:tcW w:w="9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foreign operations, including dynamic employment and immigration laws;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comply with U.S. and foreign legal and regulatory restrictions, including anti-corruption laws such as the Foreign Corrupt Practices Act;</w:t>
            </w:r>
          </w:p>
        </w:tc>
      </w:tr>
    </w:tbl>
    <w:tbl>
      <w:tblPr>
        <w:tblW w:w="6227" w:type="dxa"/>
        <w:jc w:val="left"/>
        <w:tblInd w:w="0" w:type="dxa"/>
        <w:tblLayout w:type="fixed"/>
        <w:tblCellMar>
          <w:top w:w="0" w:type="dxa"/>
          <w:left w:w="0" w:type="dxa"/>
          <w:bottom w:w="0" w:type="dxa"/>
          <w:right w:w="0" w:type="dxa"/>
        </w:tblCellMar>
      </w:tblPr>
      <w:tblGrid>
        <w:gridCol w:w="271"/>
        <w:gridCol w:w="5956"/>
      </w:tblGrid>
      <w:tr>
        <w:trPr/>
        <w:tc>
          <w:tcPr>
            <w:tcW w:w="271" w:type="dxa"/>
            <w:tcBorders/>
            <w:vAlign w:val="center"/>
          </w:tcPr>
          <w:p>
            <w:pPr>
              <w:pStyle w:val="TableContents"/>
              <w:bidi w:val="0"/>
              <w:spacing w:before="0" w:after="283"/>
              <w:jc w:val="left"/>
              <w:rPr/>
            </w:pPr>
            <w:r>
              <w:rPr/>
              <w:t>●</w:t>
            </w:r>
          </w:p>
        </w:tc>
        <w:tc>
          <w:tcPr>
            <w:tcW w:w="5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having continued access to existing port facilities or feeder vessels;</w:t>
            </w:r>
          </w:p>
        </w:tc>
      </w:tr>
    </w:tbl>
    <w:tbl>
      <w:tblPr>
        <w:tblW w:w="8732" w:type="dxa"/>
        <w:jc w:val="left"/>
        <w:tblInd w:w="0" w:type="dxa"/>
        <w:tblLayout w:type="fixed"/>
        <w:tblCellMar>
          <w:top w:w="0" w:type="dxa"/>
          <w:left w:w="0" w:type="dxa"/>
          <w:bottom w:w="0" w:type="dxa"/>
          <w:right w:w="0" w:type="dxa"/>
        </w:tblCellMar>
      </w:tblPr>
      <w:tblGrid>
        <w:gridCol w:w="271"/>
        <w:gridCol w:w="8461"/>
      </w:tblGrid>
      <w:tr>
        <w:trPr/>
        <w:tc>
          <w:tcPr>
            <w:tcW w:w="271" w:type="dxa"/>
            <w:tcBorders/>
            <w:vAlign w:val="center"/>
          </w:tcPr>
          <w:p>
            <w:pPr>
              <w:pStyle w:val="TableContents"/>
              <w:bidi w:val="0"/>
              <w:spacing w:before="0" w:after="283"/>
              <w:jc w:val="left"/>
              <w:rPr/>
            </w:pPr>
            <w:r>
              <w:rPr/>
              <w:t>●</w:t>
            </w:r>
          </w:p>
        </w:tc>
        <w:tc>
          <w:tcPr>
            <w:tcW w:w="8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manage changes in the cost of goods or currency exchange rate fluctuations;</w:t>
            </w:r>
          </w:p>
        </w:tc>
      </w:tr>
    </w:tbl>
    <w:tbl>
      <w:tblPr>
        <w:tblW w:w="3572" w:type="dxa"/>
        <w:jc w:val="left"/>
        <w:tblInd w:w="0" w:type="dxa"/>
        <w:tblLayout w:type="fixed"/>
        <w:tblCellMar>
          <w:top w:w="0" w:type="dxa"/>
          <w:left w:w="0" w:type="dxa"/>
          <w:bottom w:w="0" w:type="dxa"/>
          <w:right w:w="0" w:type="dxa"/>
        </w:tblCellMar>
      </w:tblPr>
      <w:tblGrid>
        <w:gridCol w:w="271"/>
        <w:gridCol w:w="3301"/>
      </w:tblGrid>
      <w:tr>
        <w:trPr/>
        <w:tc>
          <w:tcPr>
            <w:tcW w:w="271" w:type="dxa"/>
            <w:tcBorders/>
            <w:vAlign w:val="center"/>
          </w:tcPr>
          <w:p>
            <w:pPr>
              <w:pStyle w:val="TableContents"/>
              <w:bidi w:val="0"/>
              <w:spacing w:before="0" w:after="283"/>
              <w:jc w:val="left"/>
              <w:rPr/>
            </w:pPr>
            <w:r>
              <w:rPr/>
              <w:t>●</w:t>
            </w:r>
          </w:p>
        </w:tc>
        <w:tc>
          <w:tcPr>
            <w:tcW w:w="3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and economic instability;</w:t>
            </w:r>
          </w:p>
        </w:tc>
      </w:tr>
    </w:tbl>
    <w:tbl>
      <w:tblPr>
        <w:tblW w:w="9362" w:type="dxa"/>
        <w:jc w:val="left"/>
        <w:tblInd w:w="0" w:type="dxa"/>
        <w:tblLayout w:type="fixed"/>
        <w:tblCellMar>
          <w:top w:w="0" w:type="dxa"/>
          <w:left w:w="0" w:type="dxa"/>
          <w:bottom w:w="0" w:type="dxa"/>
          <w:right w:w="0" w:type="dxa"/>
        </w:tblCellMar>
      </w:tblPr>
      <w:tblGrid>
        <w:gridCol w:w="271"/>
        <w:gridCol w:w="9091"/>
      </w:tblGrid>
      <w:tr>
        <w:trPr/>
        <w:tc>
          <w:tcPr>
            <w:tcW w:w="271" w:type="dxa"/>
            <w:tcBorders/>
            <w:vAlign w:val="center"/>
          </w:tcPr>
          <w:p>
            <w:pPr>
              <w:pStyle w:val="TableContents"/>
              <w:bidi w:val="0"/>
              <w:spacing w:before="0" w:after="283"/>
              <w:jc w:val="left"/>
              <w:rPr/>
            </w:pPr>
            <w:r>
              <w:rPr/>
              <w:t>●</w:t>
            </w:r>
          </w:p>
        </w:tc>
        <w:tc>
          <w:tcPr>
            <w:tcW w:w="90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Economic downturns or slower growth in the local markets or geographic areas in which we conduct business;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Dynamics involving U.S. trade relations with other countries, including uncertainty associated with the scope, level, magnitude, duration and product range</w:t>
            </w:r>
            <w:r>
              <w:rPr>
                <w:caps w:val="false"/>
                <w:smallCaps w:val="false"/>
              </w:rPr>
              <w:t xml:space="preserve"> </w:t>
            </w:r>
            <w:r>
              <w:rPr>
                <w:rFonts w:ascii="Times New Roman;Times;serif" w:hAnsi="Times New Roman;Times;serif"/>
                <w:b w:val="false"/>
                <w:i w:val="false"/>
                <w:caps w:val="false"/>
                <w:smallCaps w:val="false"/>
                <w:sz w:val="20"/>
              </w:rPr>
              <w:t xml:space="preserve">of tariffs, port entry fees, non-tariff trade barriers or sanctions, including the use of export control restrictions and sanctions against certain countries and individual companies, or other retaliatory governmental actions, and responsive actions taken by the Company’s customers, including with respect to their supply chains; </w:t>
            </w:r>
          </w:p>
        </w:tc>
      </w:tr>
    </w:tbl>
    <w:tbl>
      <w:tblPr>
        <w:tblW w:w="10172" w:type="dxa"/>
        <w:jc w:val="left"/>
        <w:tblInd w:w="0" w:type="dxa"/>
        <w:tblLayout w:type="fixed"/>
        <w:tblCellMar>
          <w:top w:w="0" w:type="dxa"/>
          <w:left w:w="0" w:type="dxa"/>
          <w:bottom w:w="0" w:type="dxa"/>
          <w:right w:w="0" w:type="dxa"/>
        </w:tblCellMar>
      </w:tblPr>
      <w:tblGrid>
        <w:gridCol w:w="271"/>
        <w:gridCol w:w="9901"/>
      </w:tblGrid>
      <w:tr>
        <w:trPr/>
        <w:tc>
          <w:tcPr>
            <w:tcW w:w="271"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offer a differentiated service for which customers are willing to pay a significant premium; and</w:t>
            </w:r>
          </w:p>
        </w:tc>
      </w:tr>
    </w:tbl>
    <w:tbl>
      <w:tblPr>
        <w:tblW w:w="9362" w:type="dxa"/>
        <w:jc w:val="left"/>
        <w:tblInd w:w="0" w:type="dxa"/>
        <w:tblLayout w:type="fixed"/>
        <w:tblCellMar>
          <w:top w:w="0" w:type="dxa"/>
          <w:left w:w="0" w:type="dxa"/>
          <w:bottom w:w="0" w:type="dxa"/>
          <w:right w:w="0" w:type="dxa"/>
        </w:tblCellMar>
      </w:tblPr>
      <w:tblGrid>
        <w:gridCol w:w="271"/>
        <w:gridCol w:w="9091"/>
      </w:tblGrid>
      <w:tr>
        <w:trPr/>
        <w:tc>
          <w:tcPr>
            <w:tcW w:w="271" w:type="dxa"/>
            <w:tcBorders/>
            <w:vAlign w:val="center"/>
          </w:tcPr>
          <w:p>
            <w:pPr>
              <w:pStyle w:val="TableContents"/>
              <w:bidi w:val="0"/>
              <w:spacing w:before="0" w:after="283"/>
              <w:jc w:val="left"/>
              <w:rPr/>
            </w:pPr>
            <w:r>
              <w:rPr/>
              <w:t>●</w:t>
            </w:r>
          </w:p>
        </w:tc>
        <w:tc>
          <w:tcPr>
            <w:tcW w:w="90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preferences to diversify supply chains away from, or otherwise limit sourcing from, certain countries.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4" w:name="_Hlk217305350"/>
      <w:bookmarkEnd w:id="44"/>
      <w:r>
        <w:rPr>
          <w:rFonts w:ascii="Times New Roman;Times;serif" w:hAnsi="Times New Roman;Times;serif"/>
          <w:b/>
          <w:sz w:val="20"/>
        </w:rPr>
        <w:t xml:space="preserve">The Company’s terminals in Hawaii and Alaska require modernization.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has completed the first phase of renovating and modernizing its Sand Island terminal in Honolulu Harbor. However, significant upgrades remain, including the long-term expansion program at the Sand Island terminal and projects to improve resiliency to risks from events such as severe weather and natural disasters. While reconstruction of the Port of Alaska has begun, significant upgrades are needed to improve operational safety and efficiency, accommodate modern shipping operations, and improve resiliency, including to risks due to severe weather events and natural disasters. For example, the aging cranes and dock facilities of the port are increasingly exposed to the risk of failure due to corrosion, deterioration, and the loss of load-bearing capacity particularly in the event of extreme seismic events or other natural disasters. The Company has purchased three used utility-powered cranes for the new terminal to replace the aging cranes. Regulatory, construction or other delays or cost overruns related to the expansion and modernization of the terminals as well as delays or cost overruns related to the refurbishing, delivery and commissioning of the cranes, could have an adverse impact on the Company’s business plans, financial condition, results of operations and cash flow. In addition, the terminal modernization programs may not result in improved operational productivity or improved resiliency to severe weather events, extreme seismic events or other natural disasters or generate expected returns.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Heightened security measures, war, actual or threatened terrorist attacks, efforts to combat terrorism and other acts of violence may adversely impact the Company’s operations and profitability.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 terrorist attacks and other acts of violence may cause consumer confidence and spending to decrease, or may affect the ability or willingness of tourists to travel to Hawaii, Guam or Alaska, thereby adversely affecting those economies and the Company. Wars or terrorism could impact global supply chains due to changes in vessel routing, product sourcing decisions, or governmental sanctions or restrictions. Additionally, acts of war and future terrorist attacks could increase volatility in the U.S. and worldwide financial markets. Acts of war or terrorism may also be directed at the Company’s shipping operations or may cause the U.S. government to take control of Matson’s vessels for military operations. Heightened security measures, including customs inspections and related procedures in countries of origin and destination, potentially slow the movement and increase the cost of freight through U.S. or foreign ports, across borders or on U.S. or foreign railroads or highways.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Acquisitions may have an adverse effect on the Company’s business.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growth strategy includes expansion through acquisitions, but there is no assurance that the Company will be successful in identifying, negotiating or consummating any future acquisitions. Even if suitable candidates are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identified, such transactions may result in regulatory scrutiny, litigation or difficulties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Related to Employees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Work stoppages or other labor disruptions caused by the Company’s unionized workers and other workers or their unions in related industries could adversely affect the Company’s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significant portion of Matson’s employees are covered by collective bargaining agreements. Furthermore, the Company relies on the services of third parties, including SSAT, which employ persons covered by collective bargaining agreements. For additional information on collective bargaining agreements with unions, see Part I, Item 1, Subheading C. Employees and Labor Relations of this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Previously, the Company has been adversely affected by actions taken by employees of the Company or other companies in related industries against efforts by management of the Company or other companies to control labor costs, restrain wage or benefit increases or modify work practices. In the past, strikes, slow-downs and disruptions have occurred as a result of the failure of Matson or other companies in its industry to negotiate collective bargaining agreements with such unions successfully.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any slow-downs, strikes, lock-outs or other disruptions, including limits on the availability of labor through trade union hiring halls, have had and in the future, particularly in years when collective bargaining agreements are being negotiated, could have an adverse impact on Matson’s or SSAT’s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of the Company’s key personnel or failure to adequately manage human capital could adversely affect its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future success depends, in significant part, upon the continued services of its key personnel and skilled employees, including its senior management, as well as key personnel at its joint venture partners. The permanent or temporary loss of the services of key personnel could adversely affect the Company’s future operating results because of such employees’ experience with and knowledge of the Company’s business and customer relationships. If key personnel and skilled employees depart or are unable or unwilling to work, the Company’s ability to execute its business model could be impaired to the extent it cannot replace such personnel or sufficiently train new personnel in a timely manner. In addition, the Company may incur significant costs to replace these employees. Whether the Company can meet its labor needs is subject to a variety of pressures, including market compensation and benefit levels, which may be impacted by pressure within the industry to increase wages, including due to the threat of a labor strike; the availability of labor, which may be impacted by national and global labor trends including higher-than-normal levels of individuals leaving the workforce and industry trends including aging workforces that may reduce the available pool of skilled workers; a mismatch of skills or experience to support the evolving needs of the Company’s business; and employee expectations or desire for changes in the work environment. In addition, the Company’s workforce is aging, and within the next few years an increasing number of employees will be eligible to retire, which may result in a period of higher turnover rates than we have historically experienced and could amplify these challenges. The Company does not maintain key person insurance on any of its key personnel.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investments in and efforts to manage its human capital and maintain a desirable workplace culture, including to create a safe and healthy work environment, and foster a rewarding workplace for employee development and advancement, may not be successful in identifying, attracting, developing, motivating, retaining, competing for or replacing qualified personnel. These efforts and the Company’s reputation may also be impacted by any failure or perceived failure to meet or timely progress on publicly disclosed human capital-related goals and initiatives, or to compare favorably with the progress or goals of its industry or peers, and stakeholders may have differing views on these goals and initiatives.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Risks Related to Information Technology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the Company is not able to use its information technology and communications systems effectively, the Company’s ability to conduct business might be negatively impacted.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highly dependent on the proper functioning of its information technology systems to enable operations and compete effectively. The Company regularly updates its information technology systems or implements new systems, which could cause substantial business interruption. There is no assurance that the systems upgrades or new systems will meet the Company’s current or future business needs, or that they will operate as designed. In addition, adoption of new and rapid changes in technology, such as the rise in artificial intelligence (“AI”) applications, may impact the transportation and logistics industry. If Matson does not appropriately adapt its operations to these new technologies as quickly or effectively as its competitors, the Company’s business could be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information technology systems also rely on third-party service providers for access to the Internet, satellite-based communications systems, the electric grid, database storage facilities and telecommunications providers. The Company has no control over the operations of these third-party service providers. In the past, disruptions in the Company’s third-party service providers have impacted the Company’s operations, including the Company’s ability to book and manage freight, stow vessels, and process customs declarations. Some of the Company’s employees work from home or remotely, increasing the Company’s dependence on its information technology systems and third-party providers during those times. If the Company’s information technology and communications systems experience reliability issues, integration or compatibility concerns or if the Company’s third-party providers are unable to perform effectively or experience disruptions, cyber attacks or failures, there could be an adverse impact on the availability and functioning of the Company’s information technology and communications systems, which could lead to business disruption or inefficiencies, reputational harm or loss of customers.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Company’s information technology systems have in the past and may in the future be exposed to cybersecurity risks and other disruptions that could impair the Company’s ability to operate and adversely affect its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relies extensively on its information technology systems and third-party service providers in many aspects of its business,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The Company’s practices, policies and other efforts, including as described in Part I, Item 1C of this Annual Report, may not be sufficient to prevent, detect or remediate all cybersecurity risks or other disruptions, and the Company and its service providers have in the past experienced and may in the future experience cybersecurity incidents, disruptions, threats and vulnerabilities such as malware (including computer viruses and ransomware), software bugs, denial-of-service attacks, phishing, spoofing, deep fakes, identity-based attacks, code injection attacks, cyber terrorism, sabotage, circumvention of security systems (whether physical or virtual), malfeasance, breaches due to employee error, natural disasters, accidents, power disruptions or loss, telecommunications failure, unauthorized access or other catastrophic events or failures at the Company’s facilities, aboard its vessels or at third-party locations. In addition, as AI capabilities improve and are increasingly adopted, cybersecurity attacks perpetrated through the use of AI may proliferate, leading to an increase in the frequency, speed, scale and automation of such attacks.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failure, breach or unauthorized access to the Company’s systems or those of third parties on which the Company relies could result in the loss of confidential, sensitive or proprietary information, interruptions in its service or production or otherwise impact the Company’s ability to conduct business operations, and potentially could result in reductions in revenue and profits, damage to its reputation or liability.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Related to Financial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deterioration of the Company’s credit profile, disruptions of the credit markets or higher interest rates could restrict its ability to access the debt capital markets or increase the cost of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Deterioration in the Company’s credit profile may have an adverse effect on the Company’s ability to access the private or public debt markets and also may increase its borrowing costs. If the Company’s credit profile deteriorates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facility to support its operations when required, any volatility or disruption in the credit and financial markets or other development that prevents the Company from accessing funds (for example, a lender that does not fulfill its lending obligation) or renewing its revolving credit facility could have an adverse effect on the Company’s financial condition, results of operation and cash flow. Additionally, the Company’s credit agreements generally include an increase in borrowing rates if the Company’s credit profile deteriorates. Furthermore, the Company incurs interest under its revolving credit facility based on floating rates. Floating rate debt creates higher debt service requirements as market interest rates increase, as was the case in connection with the U.S. Federal Reserve’s interest rate increases in 2022 and 2023, and high interest rates can adversely affect the Company’s cash flow and results of operations. Disruptions to the credit markets as a result of macroeconomic, geopolitical, or financial market developments could increase the Company’s cost of capital and limit the Company’s access to capital.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credit facilities contain certain restrictive financial covenants, the most restrictive of which include a maximum ratio of debt to earnings before interest, taxes, depreciation and amortization (“EBITDA”) and certain limitations on additional priority debt.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Company’s effective income tax rate may vary.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CCF deductions, non-deductible expenses, and expenses eligible for tax credits; changes in the mix of earnings among countries with varying tax rates; changes to the allowable amounts of foreign-derived deduction eligible income; and changes in the Company’s corporate structure, including potential acquisitions. These factors may result in periodic revisions to the Company’s effective income tax rate, which could affect the Company’s financial condition, results of operations and cash flow.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the value of pension assets, or a change in pension law or key assumptions, may adversely affect the Company’s financial performance.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financial condition, results of operations and cash flow.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 may have exposure under its multi-employer pension and post-retirement plans in which it participates that extends beyond its funding obligation with respect to the Company’s employees.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this Annual Report). Based on the limited information available from plan administrators, which the Company cannot independently validate, the Company believes that its portion of the contingent liability in the case of a full withdrawal or termination may be material to its financial condition, results of operations and cash flow.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any of the multi-employer plans to which the Company contributes fails to satisfy the minimum funding requirements, the Internal Revenue Service will impose certain penalties and taxes on the Company and other contributing employers.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Related to Legal, Regulatory and Compliance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an ocean transportation and logistics services company, the Company is subject to numerous safety, environmental, and other laws and regulations that impact the Company’s operations, are costly to comply with and expose the Company to liability.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including its vessels and terminals, is subject to numerous federal, state and local laws and regulations, including those related to safety, cabotage, equipment standards and government rates. In addition, the Company is subject to environmental laws and regulations, including those relating to air quality initiatives at port locations; air emissions; use of shore power at California ports; wastewater discharges; management of storm water; the storage, transportation, handling, emission and disposal of solid and hazardous materials, oil and oil related products, hazardous substances and wastes; the investigation and remediation of contamination and liability for damages to the environment; health, safety and the protection of the environment and natural resources; and climate change, including any regulations, mandates or restrictions related to GHG emissions, such as a potential carbon tax, and energy use. Any changes in applicable laws and regulations, including their enforcement, interpretation or implementation that result in more stringent requirements than currently anticipated, as well as any new laws and regulations that are adopted could impose significant additional costs and limitations on the Company’s ability to operate. Mitigation strategies or contingency plans to remain in compliance with applicable laws and regulations may be unsuccessful, result in additional costs or experience delays. Such costs may not be recoverable through increased payments from customers. For a discussion of specific laws and regulations, see Part I, Item 1 of this Annual Report.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state and local laws and regulations require us to obtain certificates of financial responsibility and to adopt procedures for oil and hazardous substance spill prevention, response and clean up, among other requirements impacting the Company’s business. In complying with applicable laws and regulations, the Company has incurred expenses and may incur material future costs and expenses related to vessel and equipment modifications, new equipment, higher-priced fuel, changes in operating practices and procedures, tracking emissions, changing routes, adopting or modifying energy sources and undergoing additional oversight inspections, all of which could adversely affect the Company’s financial condition, results of operations and cash flow. For example, Matson’s vessels operate within emissions control areas, and the Company’s U.S. flagged vessels generally must be maintained “in class” and are subject to periodic inspections by the American Bureau of Shipping or similar classification societies. They also must be periodically inspected by, or on behalf of, the United States Coast Guard. The Company’s vessels’ operating certificates and licenses are renewed periodically during the required annual surveys of the vessels, but there is no assurance that the Company’s programs and policies will be sufficient to have such certificates and licenses renewed. The EPA also requires vessels to obtain coverage under a general permit and to comply with inspection, monitoring, discharge, recordkeeping and reporting requirements.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laws and regulations provide for substantial fines, sanctions, as well as criminal and civil penalties and significant environmental liabilities, in the event of any violations of, or non-compliance with, their requirements (including any waivers, permits or recordkeeping and other reporting requirements). Any vessel-generated pollution from incidents in U.S. waters within three nautical miles, and in some cases, within the 200-mile exclusive economic zone, for example, could expose us to such fines or penalties.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 is subject to, and may in the future be subject to, disputes, legal or other proceedings, and government inquiries or investigations that could have an adverse effect on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nature of the Company’s business exposes it to the potential for disputes, legal or other proceedings, and government inquiries or investigations relating to antitrust matters, labor and employment matters, personal injury, loss of life and property damage, environmental, shore power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5" w:name="UNRESOLVEDSTAFFCOMMENTS_772374"/>
      <w:bookmarkStart w:id="46" w:name="ITEM1B_239403"/>
      <w:bookmarkStart w:id="47" w:name="_9052b852_7dc5_41f0_a453_f3c29c7d0f67"/>
      <w:bookmarkEnd w:id="45"/>
      <w:bookmarkEnd w:id="46"/>
      <w:bookmarkEnd w:id="47"/>
      <w:r>
        <w:rPr>
          <w:rFonts w:ascii="Times New Roman;Times;serif" w:hAnsi="Times New Roman;Times;serif"/>
          <w:b/>
          <w:sz w:val="20"/>
        </w:rPr>
        <w:t>ITEM 1B. UNRESOLVED STAFF COMMENTS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8" w:name="ITEM1CCYBERSECURITY_12783"/>
      <w:bookmarkStart w:id="49" w:name="_5b9e6828_978e_4135_8671_ea424464e93f"/>
      <w:bookmarkEnd w:id="48"/>
      <w:bookmarkEnd w:id="49"/>
      <w:r>
        <w:rPr>
          <w:rFonts w:ascii="Times New Roman;Times;serif" w:hAnsi="Times New Roman;Times;serif"/>
          <w:b/>
          <w:sz w:val="20"/>
        </w:rPr>
        <w:t>ITEM 1C. CYBERSECURITY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Risk management and strategy: </w:t>
      </w:r>
      <w:r>
        <w:rPr>
          <w:rFonts w:ascii="Times New Roman;Times;serif" w:hAnsi="Times New Roman;Times;serif"/>
          <w:sz w:val="20"/>
        </w:rPr>
        <w:t xml:space="preserve">Matson’s information security, internal audit, business continuity and risk management teams help to identify and assess cyber and information security threats and vulnerabilities, and establish the appropriate business systems, preventive controls and risk mitigation strategies. The main objectives of Matson’s approach to cyber and information security are to protect confidential information while maintaining data integrity and availability; support legal and regulatory compliance; and prevent disruptions to business operations. The Company regularly enhances its systems, controls and strategies in an effort to guard against security breaches and unauthorized access to Matson systems or data and develops policies to guide the appropriate handling and protection of sensitive information by Matson. This includes managing third-party supply chain risks with its key vendors and business partners. It also maintains incident response and remediation plans which provide that cybersecurity incidents be communicated to the Company’s senior leaders who are responsible for assessing the risks associated with a cybersecurity incident and initiating the Company’s incident response plan. The Company’s incident response and remediation plans are further supported by ongoing security monitoring services as well as a dedicated management team focused on business continuity to help support operations and mitigate disruptions should a breach, unauthorized access or other disruption event occur. In addition, the Company has implemented a zero trust network access framework that includes key security controls designed to help protect Matson employees and contractors with access to Matson systems against phishing and brute force password attacks.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risk management process occurs throughout the organization, but is facilitated through a risk management steering committee comprised of senior management whose members meet regularly to identify and address specific significant risks. At least twice a year, management assesses and categorizes key risks based on their potential impact to the Company and the likelihood of the risk occurring as part of Matson’s enterprise risk management (“ERM”) program. The ERM program includes regular cyber and information security risk assessments conducted by independent, third-party cybersecurity professionals, including assessors, consultants, auditors and penetration testers. Results from these risk assessments, along with remediation recommendations, are provided to executive leadership and the Company’s Board of Directors (the “Board”). The Board also consults with outside advisors and experts, when appropriate, to anticipate future threats and trends, and their impact on the Company’s risk environment. In addition, the Company utilizes third-party audits to test its cybersecurity systems, incident response and remediation plans to help spot vulnerabilities and improve its ability to respond to unexpected events. For more information on Matson’s ERM program, see “—</w:t>
      </w:r>
      <w:r>
        <w:rPr>
          <w:rFonts w:ascii="Times New Roman;Times;serif" w:hAnsi="Times New Roman;Times;serif"/>
          <w:i/>
          <w:sz w:val="20"/>
        </w:rPr>
        <w:t>Governance</w:t>
      </w:r>
      <w:r>
        <w:rPr>
          <w:rFonts w:ascii="Times New Roman;Times;serif" w:hAnsi="Times New Roman;Times;serif"/>
          <w:sz w:val="20"/>
        </w:rPr>
        <w:t>”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part of its approach, the Company conducts varied due diligence on its key technology vendors to review their cybersecurity risk profiles and scores. This includes pre-contract award due diligence reviews of such vendors and cyber and information security requirements within its vendor contracts. Additionally, the Company leverages independent, third-party services to monitor the cyber and information security posture of key suppliers and vendors. The Company’s quarterly information security update to the Chief Executive Officer and Chief Financial Officer includes an update on the results of these reviews.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Training, education and awareness-building are mechanisms Matson uses to help embed a strong culture of cyber and information security within its workplace. The Company’s long-term aim is to have a workforce with high-functioning knowledge of cybersecurity. In furtherance of this aim, the Company conducts training annually for employees that addresses cyber and information security, and holds additional training typically at least three times per year for specific topics such as data and email security. Furthermore, Matson requires enhanced training for employees with access to particularly sensitive information or critical systems. The Company also has specific escalation processes and resources in place for employees to raise a concern should they notice anything suspicious.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design of Matson’s information technology systems is informed in part by the following third-party frameworks or standards: </w:t>
      </w:r>
    </w:p>
    <w:p>
      <w:pPr>
        <w:pStyle w:val="TextBody"/>
        <w:bidi w:val="0"/>
        <w:spacing w:before="0" w:after="0"/>
        <w:ind w:left="360" w:right="0" w:hanging="0"/>
        <w:jc w:val="left"/>
        <w:rPr/>
      </w:pPr>
      <w:r>
        <w:rPr/>
        <w:t>●</w:t>
      </w:r>
      <w:r>
        <w:rPr>
          <w:rFonts w:ascii="Times New Roman;Times;serif" w:hAnsi="Times New Roman;Times;serif"/>
          <w:sz w:val="20"/>
        </w:rPr>
        <w:t>ISO 27001</w:t>
      </w:r>
    </w:p>
    <w:p>
      <w:pPr>
        <w:pStyle w:val="TextBody"/>
        <w:bidi w:val="0"/>
        <w:spacing w:before="0" w:after="0"/>
        <w:ind w:left="360" w:right="0" w:hanging="0"/>
        <w:jc w:val="left"/>
        <w:rPr/>
      </w:pPr>
      <w:r>
        <w:rPr/>
        <w:t>●</w:t>
      </w:r>
      <w:r>
        <w:rPr>
          <w:rFonts w:ascii="Times New Roman;Times;serif" w:hAnsi="Times New Roman;Times;serif"/>
          <w:sz w:val="20"/>
        </w:rPr>
        <w:t>NIST Cybersecurity Framework</w:t>
      </w:r>
    </w:p>
    <w:p>
      <w:pPr>
        <w:pStyle w:val="TextBody"/>
        <w:bidi w:val="0"/>
        <w:spacing w:before="0" w:after="0"/>
        <w:ind w:left="360" w:right="0" w:hanging="0"/>
        <w:jc w:val="left"/>
        <w:rPr/>
      </w:pPr>
      <w:r>
        <w:rPr/>
        <w:t>●</w:t>
      </w:r>
      <w:r>
        <w:rPr>
          <w:rFonts w:ascii="Times New Roman;Times;serif" w:hAnsi="Times New Roman;Times;serif"/>
          <w:sz w:val="20"/>
        </w:rPr>
        <w:t>NIST 800-171</w:t>
      </w:r>
    </w:p>
    <w:p>
      <w:pPr>
        <w:pStyle w:val="TextBody"/>
        <w:bidi w:val="0"/>
        <w:spacing w:before="0" w:after="0"/>
        <w:ind w:left="360" w:right="0" w:hanging="0"/>
        <w:jc w:val="left"/>
        <w:rPr/>
      </w:pPr>
      <w:r>
        <w:rPr/>
        <w:t>●</w:t>
      </w:r>
      <w:r>
        <w:rPr>
          <w:rFonts w:ascii="Times New Roman;Times;serif" w:hAnsi="Times New Roman;Times;serif"/>
          <w:sz w:val="20"/>
        </w:rPr>
        <w:t>Cybersecurity Maturity Model Certification (“CMMC”) 2.0</w:t>
      </w:r>
    </w:p>
    <w:p>
      <w:pPr>
        <w:pStyle w:val="TextBody"/>
        <w:bidi w:val="0"/>
        <w:spacing w:before="0" w:after="0"/>
        <w:ind w:left="360" w:right="0" w:hanging="0"/>
        <w:jc w:val="left"/>
        <w:rPr/>
      </w:pPr>
      <w:r>
        <w:rPr/>
        <w:t>●</w:t>
      </w:r>
      <w:r>
        <w:rPr>
          <w:rFonts w:ascii="Times New Roman;Times;serif" w:hAnsi="Times New Roman;Times;serif"/>
          <w:sz w:val="20"/>
        </w:rPr>
        <w:t>NIST 800-82</w:t>
      </w:r>
    </w:p>
    <w:p>
      <w:pPr>
        <w:pStyle w:val="TextBody"/>
        <w:bidi w:val="0"/>
        <w:spacing w:before="0" w:after="0"/>
        <w:ind w:left="360" w:right="0" w:hanging="0"/>
        <w:jc w:val="left"/>
        <w:rPr/>
      </w:pPr>
      <w:r>
        <w:rPr/>
        <w:t>●</w:t>
      </w:r>
      <w:r>
        <w:rPr>
          <w:rFonts w:ascii="Times New Roman;Times;serif" w:hAnsi="Times New Roman;Times;serif"/>
          <w:sz w:val="20"/>
        </w:rPr>
        <w:t>DFARS 252.204-7012</w:t>
      </w:r>
    </w:p>
    <w:p>
      <w:pPr>
        <w:pStyle w:val="TextBody"/>
        <w:bidi w:val="0"/>
        <w:spacing w:before="0" w:after="0"/>
        <w:ind w:left="360" w:right="0" w:hanging="0"/>
        <w:jc w:val="left"/>
        <w:rPr/>
      </w:pPr>
      <w:r>
        <w:rPr/>
        <w:t>●</w:t>
      </w:r>
      <w:r>
        <w:rPr>
          <w:rFonts w:ascii="Times New Roman;Times;serif" w:hAnsi="Times New Roman;Times;serif"/>
          <w:sz w:val="20"/>
        </w:rPr>
        <w:t>IMO MSC-FAL.1/Circ.3/Rev.3</w:t>
      </w:r>
    </w:p>
    <w:p>
      <w:pPr>
        <w:pStyle w:val="TextBody"/>
        <w:bidi w:val="0"/>
        <w:spacing w:before="0" w:after="0"/>
        <w:ind w:left="360" w:right="0" w:hanging="0"/>
        <w:jc w:val="left"/>
        <w:rPr/>
      </w:pPr>
      <w:r>
        <w:rPr/>
        <w:t>●</w:t>
      </w:r>
      <w:r>
        <w:rPr>
          <w:rFonts w:ascii="Times New Roman;Times;serif" w:hAnsi="Times New Roman;Times;serif"/>
          <w:sz w:val="20"/>
        </w:rPr>
        <w:t>United States Coast Guard – Final Rule: Cybersecurity in the Marine Transportation System (“MTS”)</w:t>
      </w:r>
    </w:p>
    <w:p>
      <w:pPr>
        <w:pStyle w:val="TextBody"/>
        <w:bidi w:val="0"/>
        <w:spacing w:before="0" w:after="0"/>
        <w:ind w:left="360" w:right="0" w:hanging="0"/>
        <w:jc w:val="left"/>
        <w:rPr/>
      </w:pPr>
      <w:r>
        <w:rPr/>
        <w:t>●</w:t>
      </w:r>
      <w:r>
        <w:rPr>
          <w:rFonts w:ascii="Times New Roman;Times;serif" w:hAnsi="Times New Roman;Times;serif"/>
          <w:sz w:val="20"/>
        </w:rPr>
        <w:t>BIMCO’s Guidelines for Cyber Security Onboard Ships</w:t>
      </w:r>
    </w:p>
    <w:p>
      <w:pPr>
        <w:pStyle w:val="TextBody"/>
        <w:bidi w:val="0"/>
        <w:ind w:left="360" w:right="0" w:hanging="0"/>
        <w:jc w:val="left"/>
        <w:rPr/>
      </w:pPr>
      <w:r>
        <w:rPr/>
        <w:t>●</w:t>
      </w:r>
      <w:r>
        <w:rPr>
          <w:rFonts w:ascii="Times New Roman;Times;serif" w:hAnsi="Times New Roman;Times;serif"/>
          <w:sz w:val="20"/>
        </w:rPr>
        <w:t>IAPH’s Cybersecurity Guidelines for Ports and Port Facilities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Matson participates in the following organizations in its effort to better understand best practices and advance its systems and policies over time:</w:t>
      </w:r>
    </w:p>
    <w:p>
      <w:pPr>
        <w:pStyle w:val="TextBody"/>
        <w:bidi w:val="0"/>
        <w:spacing w:before="0" w:after="0"/>
        <w:ind w:left="360" w:right="0" w:hanging="0"/>
        <w:jc w:val="left"/>
        <w:rPr/>
      </w:pPr>
      <w:r>
        <w:rPr/>
        <w:t>●</w:t>
      </w:r>
      <w:r>
        <w:rPr>
          <w:rFonts w:ascii="Times New Roman;Times;serif" w:hAnsi="Times New Roman;Times;serif"/>
          <w:sz w:val="20"/>
        </w:rPr>
        <w:t>National Security Administration (“NSA”)’s Cybersecurity Collaboration Center</w:t>
      </w:r>
    </w:p>
    <w:p>
      <w:pPr>
        <w:pStyle w:val="TextBody"/>
        <w:bidi w:val="0"/>
        <w:spacing w:before="0" w:after="0"/>
        <w:ind w:left="360" w:right="0" w:hanging="0"/>
        <w:jc w:val="left"/>
        <w:rPr/>
      </w:pPr>
      <w:r>
        <w:rPr/>
        <w:t>●</w:t>
      </w:r>
      <w:r>
        <w:rPr>
          <w:rFonts w:ascii="Times New Roman;Times;serif" w:hAnsi="Times New Roman;Times;serif"/>
          <w:sz w:val="20"/>
        </w:rPr>
        <w:t>U.S. Cybersecurity and Infrastructure Security Agency’s Critical Partnership</w:t>
      </w:r>
    </w:p>
    <w:p>
      <w:pPr>
        <w:pStyle w:val="TextBody"/>
        <w:bidi w:val="0"/>
        <w:spacing w:before="0" w:after="0"/>
        <w:ind w:left="360" w:right="0" w:hanging="0"/>
        <w:jc w:val="left"/>
        <w:rPr/>
      </w:pPr>
      <w:r>
        <w:rPr/>
        <w:t>●</w:t>
      </w:r>
      <w:r>
        <w:rPr>
          <w:rFonts w:ascii="Times New Roman;Times;serif" w:hAnsi="Times New Roman;Times;serif"/>
          <w:sz w:val="20"/>
        </w:rPr>
        <w:t xml:space="preserve">Federal Bureau of Investigation (“FBI”) InfraGard </w:t>
      </w:r>
    </w:p>
    <w:p>
      <w:pPr>
        <w:pStyle w:val="TextBody"/>
        <w:bidi w:val="0"/>
        <w:spacing w:before="0" w:after="0"/>
        <w:ind w:left="360" w:right="0" w:hanging="0"/>
        <w:jc w:val="left"/>
        <w:rPr/>
      </w:pPr>
      <w:r>
        <w:rPr/>
        <w:t>●</w:t>
      </w:r>
      <w:r>
        <w:rPr>
          <w:rFonts w:ascii="Times New Roman;Times;serif" w:hAnsi="Times New Roman;Times;serif"/>
          <w:sz w:val="20"/>
        </w:rPr>
        <w:t>U.S. Coast Guard Area Maritime Security Committees and Cybersecurity Subcommittees</w:t>
      </w:r>
    </w:p>
    <w:p>
      <w:pPr>
        <w:pStyle w:val="TextBody"/>
        <w:bidi w:val="0"/>
        <w:spacing w:before="0" w:after="0"/>
        <w:ind w:left="360" w:right="0" w:hanging="0"/>
        <w:jc w:val="left"/>
        <w:rPr/>
      </w:pPr>
      <w:r>
        <w:rPr/>
        <w:t>●</w:t>
      </w:r>
      <w:r>
        <w:rPr>
          <w:rFonts w:ascii="Times New Roman;Times;serif" w:hAnsi="Times New Roman;Times;serif"/>
          <w:sz w:val="20"/>
        </w:rPr>
        <w:t>Cyber-Hawaii</w:t>
      </w:r>
    </w:p>
    <w:p>
      <w:pPr>
        <w:pStyle w:val="TextBody"/>
        <w:bidi w:val="0"/>
        <w:ind w:left="360" w:right="0" w:hanging="0"/>
        <w:jc w:val="left"/>
        <w:rPr/>
      </w:pPr>
      <w:r>
        <w:rPr/>
        <w:t>●</w:t>
      </w:r>
      <w:r>
        <w:rPr>
          <w:rFonts w:ascii="Times New Roman;Times;serif" w:hAnsi="Times New Roman;Times;serif"/>
          <w:sz w:val="20"/>
        </w:rPr>
        <w:t xml:space="preserve">Maritime Transportation System Information Sharing and Analysis Center (“MTS-ISAC”)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 the beginning of the last fiscal year, Matson has not identified risks from known cybersecurity threats, including as a result of any prior cybersecurity incidents, that have materially affected the Company, but the Company faces certain ongoing cybersecurity risks threats that, if realized, are reasonably likely to materially affect the Company. For more information on the risks and impacts of these matters to Matson, see Part I, Item 1A. Risk Factors – “</w:t>
      </w:r>
      <w:r>
        <w:rPr>
          <w:rFonts w:ascii="Times New Roman;Times;serif" w:hAnsi="Times New Roman;Times;serif"/>
          <w:i/>
          <w:sz w:val="20"/>
        </w:rPr>
        <w:t>The Company’s information technology systems have in the past and may in the future be exposed to cybersecurity risks and other disruptions that could impair the Company’s ability to operate and adversely affect its business.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Governance: </w:t>
      </w:r>
      <w:r>
        <w:rPr>
          <w:rFonts w:ascii="Times New Roman;Times;serif" w:hAnsi="Times New Roman;Times;serif"/>
          <w:sz w:val="20"/>
        </w:rPr>
        <w:t>The Board has oversight of the Company’s risk management process, which includes overseeing our process for identifying, assessing and mitigating significant financial, operational, legal, strategic, and other risks that may affect the Company. These risks include, among other things, risks related to cybersecurity and information security. Risk oversight plays a role in major Board decisions, and the evaluation of key risks is a core part of the decision-making process – from guidance on strategy to review of major capital expenditures.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Board administers its oversight role in part through its committees. The Audit Committee is responsible for overseeing and reviewing cyber and information security risks, policies and programs and reviews the Company’s risk assessment, risk management and compliance policies twice a year. Senior leaders, including Matson’s Chief Information Officer, review the Company’s cybersecurity program with the Board at least annually, and the Chief Information Officer meets with the Audit Committee at least twice per year. Matson’s information security efforts are led by its Chief Information Officer, who has over 25 years of experience in enterprise software development, infrastructure and management, and its Chief Information Security Officer, who is a Certified Information Systems Security Professional, Certified Information Systems Auditor, and is AWS Certified. The Chief Information Officer and the Chief Information Security Officer provide regular briefings to the Chief Executive Officer, the Chief Financial Officer, the Board, and the Audit Committee. In addition, the Corporate Compliance Committee, comprised of business unit leaders, helps oversee cybersecurity initiatives and reports twice per year to the Audit Committee. These processes are part of the risk management processes described in the risk management and strategy section above.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Audit Committee also oversees Matson’s ERM program, which includes cyber and information security risks. The ERM process, which follows the Committee of Sponsoring Organization Framework, is designed to promote visibility to the Board and management of critical risks and risk mitigation strategies across various time frames, including the short-, medium- and long-term. Risk mitigation efforts are integrated into strategic plans and budgets. The Chief Financial Officer and the head of internal audit review the Company’s risk management activities with the Audit Committee and the Board on a regular basis. Management also regularly updates the full Board at and between Board meetings on the ERM program and other risk-related matters. In addition, executive sessions of the Board, which are led by the Lead Independent Director, have focused on certain risk oversight topics from time to time. The Lead Independent Director consults with the Chairman of the Board regarding risk-focused topics at Board meetings.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0" w:name="PROPERTIES_750759"/>
      <w:bookmarkStart w:id="51" w:name="ITEM2_434270"/>
      <w:bookmarkStart w:id="52" w:name="ITEM2_PROPERTIES_112949"/>
      <w:bookmarkStart w:id="53" w:name="_2695bb69_55ac_4391_8d30_921e33b3faca"/>
      <w:bookmarkEnd w:id="50"/>
      <w:bookmarkEnd w:id="51"/>
      <w:bookmarkEnd w:id="52"/>
      <w:bookmarkEnd w:id="53"/>
      <w:r>
        <w:rPr>
          <w:rFonts w:ascii="Times New Roman;Times;serif" w:hAnsi="Times New Roman;Times;serif"/>
          <w:b/>
          <w:sz w:val="20"/>
        </w:rPr>
        <w:t>ITEM 2. PROPERTIES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leases terminal facilities including berth, yard, office, storage spaces and off-dock container yards. Material facilities used by the Company’s Ocean Transportation segment include the following:</w:t>
      </w:r>
    </w:p>
    <w:p>
      <w:pPr>
        <w:pStyle w:val="TextBody"/>
        <w:bidi w:val="0"/>
        <w:spacing w:before="0" w:after="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1861"/>
        <w:gridCol w:w="346"/>
        <w:gridCol w:w="2041"/>
        <w:gridCol w:w="346"/>
        <w:gridCol w:w="706"/>
        <w:gridCol w:w="39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81735" cy="175260"/>
                      <wp:effectExtent l="0" t="0" r="0" b="0"/>
                      <wp:wrapNone/>
                      <wp:docPr id="61" name="Frame59"/>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2"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96035" cy="175260"/>
                      <wp:effectExtent l="0" t="0" r="0" b="0"/>
                      <wp:wrapNone/>
                      <wp:docPr id="63" name="Frame6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4"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48310" cy="175260"/>
                      <wp:effectExtent l="0" t="0" r="0" b="0"/>
                      <wp:wrapNone/>
                      <wp:docPr id="65" name="Frame6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48285" cy="175260"/>
                      <wp:effectExtent l="0" t="0" r="0" b="0"/>
                      <wp:wrapNone/>
                      <wp:docPr id="66" name="Frame6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Terminal Location</w:t>
            </w:r>
          </w:p>
        </w:tc>
        <w:tc>
          <w:tcPr>
            <w:tcW w:w="346" w:type="dxa"/>
            <w:tcBorders/>
            <w:vAlign w:val="center"/>
          </w:tcPr>
          <w:p>
            <w:pPr>
              <w:pStyle w:val="TableContents"/>
              <w:bidi w:val="0"/>
              <w:spacing w:before="0" w:after="0"/>
              <w:ind w:left="0" w:right="0" w:hanging="0"/>
              <w:jc w:val="left"/>
              <w:rPr/>
            </w:pPr>
            <w:r>
              <w:rPr/>
              <w:t>  ​ ​ ​</w:t>
            </w:r>
          </w:p>
        </w:tc>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Facility</w:t>
            </w:r>
          </w:p>
        </w:tc>
        <w:tc>
          <w:tcPr>
            <w:tcW w:w="346" w:type="dxa"/>
            <w:tcBorders/>
            <w:vAlign w:val="center"/>
          </w:tcPr>
          <w:p>
            <w:pPr>
              <w:pStyle w:val="TableContents"/>
              <w:bidi w:val="0"/>
              <w:spacing w:before="0" w:after="0"/>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Acreage</w:t>
            </w:r>
          </w:p>
        </w:tc>
        <w:tc>
          <w:tcPr>
            <w:tcW w:w="391" w:type="dxa"/>
            <w:tcBorders/>
            <w:vAlign w:val="center"/>
          </w:tcPr>
          <w:p>
            <w:pPr>
              <w:pStyle w:val="TableContents"/>
              <w:bidi w:val="0"/>
              <w:spacing w:before="0" w:after="0"/>
              <w:ind w:left="0" w:right="0" w:hanging="0"/>
              <w:jc w:val="left"/>
              <w:rPr/>
            </w:pPr>
            <w:r>
              <w:rPr/>
              <w:t>  ​ ​ ​</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Honolulu, Hawaii</w:t>
            </w:r>
          </w:p>
        </w:tc>
        <w:tc>
          <w:tcPr>
            <w:tcW w:w="3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Terminal facility</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Anchorage, Alaska</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Terminal facility</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91" w:type="dxa"/>
            <w:tcBorders/>
            <w:vAlign w:val="center"/>
          </w:tcPr>
          <w:p>
            <w:pPr>
              <w:pStyle w:val="TableContents"/>
              <w:bidi w:val="0"/>
              <w:spacing w:before="0" w:after="0"/>
              <w:ind w:left="0" w:right="0" w:hanging="0"/>
              <w:jc w:val="left"/>
              <w:rPr/>
            </w:pPr>
            <w:r>
              <w:rPr/>
              <w:t> </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Dutch Harbor, Alaska</w:t>
            </w:r>
          </w:p>
        </w:tc>
        <w:tc>
          <w:tcPr>
            <w:tcW w:w="3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Terminal facility</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Tacoma, Washington</w:t>
            </w:r>
          </w:p>
        </w:tc>
        <w:tc>
          <w:tcPr>
            <w:tcW w:w="34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Terminal facility</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1"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Kodiak, Alaska</w:t>
            </w:r>
          </w:p>
        </w:tc>
        <w:tc>
          <w:tcPr>
            <w:tcW w:w="3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Terminal facility</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Polaris Point, Guam</w:t>
            </w:r>
          </w:p>
        </w:tc>
        <w:tc>
          <w:tcPr>
            <w:tcW w:w="34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Terminal storage</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91" w:type="dxa"/>
            <w:tcBorders/>
            <w:vAlign w:val="center"/>
          </w:tcPr>
          <w:p>
            <w:pPr>
              <w:pStyle w:val="TableContents"/>
              <w:bidi w:val="0"/>
              <w:spacing w:before="0" w:after="0"/>
              <w:ind w:left="0" w:right="0" w:hanging="0"/>
              <w:jc w:val="left"/>
              <w:rPr/>
            </w:pPr>
            <w:r>
              <w:rPr/>
              <w:t> </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Carson, California</w:t>
            </w:r>
          </w:p>
        </w:tc>
        <w:tc>
          <w:tcPr>
            <w:tcW w:w="346" w:type="dxa"/>
            <w:tcBorders/>
            <w:shd w:fill="CCEEFF" w:val="clear"/>
            <w:vAlign w:val="center"/>
          </w:tcPr>
          <w:p>
            <w:pPr>
              <w:pStyle w:val="TableContents"/>
              <w:bidi w:val="0"/>
              <w:spacing w:before="0" w:after="0"/>
              <w:ind w:left="0" w:right="0" w:hanging="0"/>
              <w:jc w:val="left"/>
              <w:rPr/>
            </w:pPr>
            <w:r>
              <w:rPr/>
              <w:t>​</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Off-dock container yard</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9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other primary terminal facilities located at the ports of Oakland and Long Beach, California, and Tacoma, Washington are leased by SSAT.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material facilities used by the Company’s Logistics segment include the following:</w:t>
      </w:r>
    </w:p>
    <w:p>
      <w:pPr>
        <w:pStyle w:val="TextBody"/>
        <w:bidi w:val="0"/>
        <w:spacing w:before="0" w:after="0"/>
        <w:ind w:left="0" w:right="0" w:hanging="0"/>
        <w:jc w:val="left"/>
        <w:rPr/>
      </w:pPr>
      <w:r>
        <w:rPr/>
        <w:t>​</w:t>
      </w:r>
    </w:p>
    <w:tbl>
      <w:tblPr>
        <w:tblW w:w="5791" w:type="dxa"/>
        <w:jc w:val="left"/>
        <w:tblInd w:w="0" w:type="dxa"/>
        <w:tblLayout w:type="fixed"/>
        <w:tblCellMar>
          <w:top w:w="0" w:type="dxa"/>
          <w:left w:w="0" w:type="dxa"/>
          <w:bottom w:w="0" w:type="dxa"/>
          <w:right w:w="0" w:type="dxa"/>
        </w:tblCellMar>
      </w:tblPr>
      <w:tblGrid>
        <w:gridCol w:w="1921"/>
        <w:gridCol w:w="346"/>
        <w:gridCol w:w="1726"/>
        <w:gridCol w:w="346"/>
        <w:gridCol w:w="1261"/>
        <w:gridCol w:w="19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19835" cy="175260"/>
                      <wp:effectExtent l="0" t="0" r="0" b="0"/>
                      <wp:wrapNone/>
                      <wp:docPr id="67" name="Frame65"/>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8"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096010" cy="175260"/>
                      <wp:effectExtent l="0" t="0" r="0" b="0"/>
                      <wp:wrapNone/>
                      <wp:docPr id="69" name="Frame6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0"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800735" cy="175260"/>
                      <wp:effectExtent l="0" t="0" r="0" b="0"/>
                      <wp:wrapNone/>
                      <wp:docPr id="71" name="Frame6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1285" cy="175260"/>
                      <wp:effectExtent l="0" t="0" r="0" b="0"/>
                      <wp:wrapNone/>
                      <wp:docPr id="72" name="Frame7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Material Facilities</w:t>
            </w:r>
          </w:p>
        </w:tc>
        <w:tc>
          <w:tcPr>
            <w:tcW w:w="346" w:type="dxa"/>
            <w:tcBorders/>
            <w:vAlign w:val="center"/>
          </w:tcPr>
          <w:p>
            <w:pPr>
              <w:pStyle w:val="TableContents"/>
              <w:bidi w:val="0"/>
              <w:spacing w:before="0" w:after="0"/>
              <w:ind w:left="0" w:right="0" w:hanging="0"/>
              <w:jc w:val="left"/>
              <w:rPr/>
            </w:pPr>
            <w:r>
              <w:rPr/>
              <w:t>  ​ ​ ​</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Facility</w:t>
            </w:r>
          </w:p>
        </w:tc>
        <w:tc>
          <w:tcPr>
            <w:tcW w:w="346" w:type="dxa"/>
            <w:tcBorders/>
            <w:vAlign w:val="center"/>
          </w:tcPr>
          <w:p>
            <w:pPr>
              <w:pStyle w:val="TableContents"/>
              <w:bidi w:val="0"/>
              <w:spacing w:before="0" w:after="0"/>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Square Footage</w:t>
            </w:r>
          </w:p>
        </w:tc>
        <w:tc>
          <w:tcPr>
            <w:tcW w:w="191" w:type="dxa"/>
            <w:tcBorders/>
            <w:vAlign w:val="center"/>
          </w:tcPr>
          <w:p>
            <w:pPr>
              <w:pStyle w:val="TableContents"/>
              <w:bidi w:val="0"/>
              <w:spacing w:before="0" w:after="0"/>
              <w:ind w:left="0" w:right="0" w:hanging="0"/>
              <w:jc w:val="left"/>
              <w:rPr/>
            </w:pPr>
            <w:r>
              <w:rPr/>
              <w:t> </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Leased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Pooler, Georgia</w:t>
            </w:r>
          </w:p>
        </w:tc>
        <w:tc>
          <w:tcPr>
            <w:tcW w:w="34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Warehouse</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710,844</w:t>
            </w:r>
          </w:p>
        </w:tc>
        <w:tc>
          <w:tcPr>
            <w:tcW w:w="191" w:type="dxa"/>
            <w:tcBorders/>
            <w:vAlign w:val="center"/>
          </w:tcPr>
          <w:p>
            <w:pPr>
              <w:pStyle w:val="TableContents"/>
              <w:bidi w:val="0"/>
              <w:spacing w:before="0" w:after="0"/>
              <w:ind w:left="0" w:right="0" w:hanging="0"/>
              <w:jc w:val="lef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Oakland, California</w:t>
            </w:r>
          </w:p>
        </w:tc>
        <w:tc>
          <w:tcPr>
            <w:tcW w:w="34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Warehouse</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Pooler, Georgia</w:t>
            </w:r>
          </w:p>
        </w:tc>
        <w:tc>
          <w:tcPr>
            <w:tcW w:w="34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Warehouse</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324,832</w:t>
            </w:r>
          </w:p>
        </w:tc>
        <w:tc>
          <w:tcPr>
            <w:tcW w:w="191" w:type="dxa"/>
            <w:tcBorders/>
            <w:vAlign w:val="center"/>
          </w:tcPr>
          <w:p>
            <w:pPr>
              <w:pStyle w:val="TableContents"/>
              <w:bidi w:val="0"/>
              <w:spacing w:before="0" w:after="0"/>
              <w:ind w:left="0" w:right="0" w:hanging="0"/>
              <w:jc w:val="lef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Oakland, California</w:t>
            </w:r>
          </w:p>
        </w:tc>
        <w:tc>
          <w:tcPr>
            <w:tcW w:w="34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Warehouse</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Auburn, Washington</w:t>
            </w:r>
          </w:p>
        </w:tc>
        <w:tc>
          <w:tcPr>
            <w:tcW w:w="34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 / Cross-dock</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51,250</w:t>
            </w:r>
          </w:p>
        </w:tc>
        <w:tc>
          <w:tcPr>
            <w:tcW w:w="191" w:type="dxa"/>
            <w:tcBorders/>
            <w:vAlign w:val="center"/>
          </w:tcPr>
          <w:p>
            <w:pPr>
              <w:pStyle w:val="TableContents"/>
              <w:bidi w:val="0"/>
              <w:spacing w:before="0" w:after="0"/>
              <w:ind w:left="0" w:right="0" w:hanging="0"/>
              <w:jc w:val="lef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Auburn, Washington</w:t>
            </w:r>
          </w:p>
        </w:tc>
        <w:tc>
          <w:tcPr>
            <w:tcW w:w="34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 / Cross-dock</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Owned facilities:</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Anchorage, Alaska</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 / Cross-dock</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Fairbanks, Alaska</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 / Cross-dock</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4" w:name="LEGALPROCEEDINGS_175956"/>
      <w:bookmarkStart w:id="55" w:name="ITEM3_158087"/>
      <w:bookmarkStart w:id="56" w:name="ITEM3_LEGALPROCEEDINGS_112958"/>
      <w:bookmarkStart w:id="57" w:name="_c7847241_e4de_4a55_8feb_832e947b4253"/>
      <w:bookmarkEnd w:id="54"/>
      <w:bookmarkEnd w:id="55"/>
      <w:bookmarkEnd w:id="56"/>
      <w:bookmarkEnd w:id="57"/>
      <w:r>
        <w:rPr>
          <w:rFonts w:ascii="Times New Roman;Times;serif" w:hAnsi="Times New Roman;Times;serif"/>
          <w:b/>
          <w:sz w:val="20"/>
        </w:rPr>
        <w:t>ITEM 3.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Environmental Matters: </w:t>
      </w:r>
      <w:r>
        <w:rPr>
          <w:rFonts w:ascii="Times New Roman;Times;serif" w:hAnsi="Times New Roman;Times;serif"/>
          <w:sz w:val="20"/>
        </w:rPr>
        <w:t>The Company faces certain risks that could result in material expenditures related to environmental remediation. The Company believes that based on all information currently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SEC rules, with respect to administrative or judicial proceedings involving the environment, the Company has determined that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8" w:name="MINESAFETYDISCLOSURES_340633"/>
      <w:bookmarkStart w:id="59" w:name="ITEM4_231954"/>
      <w:bookmarkStart w:id="60" w:name="ITEM4_MINESAFETYDISCLOSURES_113004"/>
      <w:bookmarkStart w:id="61" w:name="_63fea2fd_8f5b_43cf_85f1_ea10be75c7bd"/>
      <w:bookmarkEnd w:id="58"/>
      <w:bookmarkEnd w:id="59"/>
      <w:bookmarkEnd w:id="60"/>
      <w:bookmarkEnd w:id="61"/>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2" w:name="PARTII_113009"/>
      <w:bookmarkStart w:id="63" w:name="_fa93b1cf_5cb8_4b6c_a8d7_74b782263f7e"/>
      <w:bookmarkEnd w:id="62"/>
      <w:bookmarkEnd w:id="63"/>
      <w:r>
        <w:rPr>
          <w:rFonts w:ascii="Times New Roman;Times;serif" w:hAnsi="Times New Roman;Times;serif"/>
          <w:b/>
          <w:sz w:val="20"/>
        </w:rPr>
        <w:t>PART II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64" w:name="ITEM5_MARKETFORREGISTRANTSCOMMON_113013"/>
      <w:bookmarkStart w:id="65" w:name="MARKETFORREGISTRANTSCOMMON_496286"/>
      <w:bookmarkStart w:id="66" w:name="ITEM5_342987"/>
      <w:bookmarkEnd w:id="64"/>
      <w:bookmarkEnd w:id="65"/>
      <w:bookmarkEnd w:id="66"/>
      <w:r>
        <w:rPr>
          <w:rFonts w:ascii="Times New Roman;Times;serif" w:hAnsi="Times New Roman;Times;serif"/>
          <w:b/>
          <w:sz w:val="20"/>
        </w:rPr>
        <w:t>ITEM 5. MARKET FOR REGISTRANT’S COMMON EQUITY, RELATED STOCKHOLDER MATTERS</w:t>
      </w:r>
      <w:r>
        <w:rPr>
          <w:rFonts w:ascii="Times New Roman;Times;serif" w:hAnsi="Times New Roman;Times;serif"/>
          <w:sz w:val="20"/>
        </w:rPr>
        <w:t xml:space="preserve"> </w:t>
      </w:r>
      <w:r>
        <w:rPr>
          <w:rFonts w:ascii="Times New Roman;Times;serif" w:hAnsi="Times New Roman;Times;serif"/>
          <w:b/>
          <w:sz w:val="20"/>
        </w:rPr>
        <w:t>AND ISSUER PURCHASES OF EQUITY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General Information: </w:t>
      </w:r>
      <w:r>
        <w:rPr>
          <w:rFonts w:ascii="Times New Roman;Times;serif" w:hAnsi="Times New Roman;Times;serif"/>
          <w:sz w:val="20"/>
        </w:rPr>
        <w:t>Matson’s common stock is traded on the New York Stock Exchange under the stock ticker symbol “MATX”. As of February 13, 2026, there were 1,720 shareholders of record of Matson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Stockholder Return Performance Graph and Trading Information:</w:t>
      </w:r>
      <w:r>
        <w:rPr>
          <w:rFonts w:ascii="Times New Roman;Times;serif" w:hAnsi="Times New Roman;Times;serif"/>
          <w:sz w:val="20"/>
        </w:rPr>
        <w:t xml:space="preserve"> The following information in this Item 5 shall not be deemed filed for purposes of Section 18 of the Securities Exchange Act of 1934, nor shall it be deemed incorporated by reference in any filing under the Securities Act of 1933.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2025. The graph is a historical representation of past performance only and is not necessarily indicative of future performance.</w:t>
      </w:r>
    </w:p>
    <w:p>
      <w:pPr>
        <w:pStyle w:val="TextBody"/>
        <w:bidi w:val="0"/>
        <w:spacing w:before="0" w:after="0"/>
        <w:ind w:left="0" w:right="0" w:hanging="0"/>
        <w:jc w:val="left"/>
        <w:rPr/>
      </w:pPr>
      <w:r>
        <w:rPr/>
        <w:t>​</w:t>
      </w:r>
    </w:p>
    <w:p>
      <w:pPr>
        <w:pStyle w:val="TextBody"/>
        <w:bidi w:val="0"/>
        <w:spacing w:before="200" w:after="0"/>
        <w:ind w:left="0" w:right="0" w:hanging="0"/>
        <w:jc w:val="center"/>
        <w:rPr/>
      </w:pPr>
      <w:r>
        <w:rPr/>
        <w:drawing>
          <wp:inline distT="0" distB="0" distL="0" distR="0">
            <wp:extent cx="5481320" cy="4389120"/>
            <wp:effectExtent l="0" t="0" r="0" b="0"/>
            <wp:docPr id="7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 descr=""/>
                    <pic:cNvPicPr>
                      <a:picLocks noChangeAspect="1" noChangeArrowheads="1"/>
                    </pic:cNvPicPr>
                  </pic:nvPicPr>
                  <pic:blipFill>
                    <a:blip r:embed="rId4"/>
                    <a:stretch>
                      <a:fillRect/>
                    </a:stretch>
                  </pic:blipFill>
                  <pic:spPr bwMode="auto">
                    <a:xfrm>
                      <a:off x="0" y="0"/>
                      <a:ext cx="5481320" cy="438912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graph above represents $100 invested on December 31, 2020 in the Company’s stock or the indicated index, including reinvestment of dividends.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volume averaged 384,675 shares a day in 2025, compared with 271,862 shares a day in 2024 and 274,339 shares a day in 2023, as reported by the New York Stock Exchange.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Dividends per share of common stock declared by the Company for each fiscal quarter during 2025, 2024 and 2023 were as follows:</w:t>
      </w:r>
    </w:p>
    <w:tbl>
      <w:tblPr>
        <w:tblW w:w="4139" w:type="dxa"/>
        <w:jc w:val="left"/>
        <w:tblInd w:w="0" w:type="dxa"/>
        <w:tblLayout w:type="fixed"/>
        <w:tblCellMar>
          <w:top w:w="0" w:type="dxa"/>
          <w:left w:w="0" w:type="dxa"/>
          <w:bottom w:w="0" w:type="dxa"/>
          <w:right w:w="0" w:type="dxa"/>
        </w:tblCellMar>
      </w:tblPr>
      <w:tblGrid>
        <w:gridCol w:w="1516"/>
        <w:gridCol w:w="109"/>
        <w:gridCol w:w="211"/>
        <w:gridCol w:w="466"/>
        <w:gridCol w:w="146"/>
        <w:gridCol w:w="211"/>
        <w:gridCol w:w="466"/>
        <w:gridCol w:w="146"/>
        <w:gridCol w:w="211"/>
        <w:gridCol w:w="466"/>
        <w:gridCol w:w="19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62660" cy="175260"/>
                      <wp:effectExtent l="0" t="0" r="0" b="0"/>
                      <wp:wrapNone/>
                      <wp:docPr id="74" name="Frame7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95910" cy="175260"/>
                      <wp:effectExtent l="0" t="0" r="0" b="0"/>
                      <wp:wrapNone/>
                      <wp:docPr id="77" name="Frame7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2710" cy="175260"/>
                      <wp:effectExtent l="0" t="0" r="0" b="0"/>
                      <wp:wrapNone/>
                      <wp:docPr id="78" name="Frame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95910" cy="175260"/>
                      <wp:effectExtent l="0" t="0" r="0" b="0"/>
                      <wp:wrapNone/>
                      <wp:docPr id="80" name="Frame7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2710" cy="175260"/>
                      <wp:effectExtent l="0" t="0" r="0" b="0"/>
                      <wp:wrapNone/>
                      <wp:docPr id="81" name="Frame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95910" cy="175260"/>
                      <wp:effectExtent l="0" t="0" r="0" b="0"/>
                      <wp:wrapNone/>
                      <wp:docPr id="83" name="Frame8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1285" cy="175260"/>
                      <wp:effectExtent l="0" t="0" r="0" b="0"/>
                      <wp:wrapNone/>
                      <wp:docPr id="84" name="Frame8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Dividends Declared</w:t>
            </w:r>
          </w:p>
        </w:tc>
        <w:tc>
          <w:tcPr>
            <w:tcW w:w="109"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 Quarter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Second Quarter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191" w:type="dxa"/>
            <w:tcBorders/>
            <w:vAlign w:val="center"/>
          </w:tcPr>
          <w:p>
            <w:pPr>
              <w:pStyle w:val="TableContents"/>
              <w:bidi w:val="0"/>
              <w:spacing w:before="0" w:after="0"/>
              <w:ind w:left="0" w:right="0" w:hanging="0"/>
              <w:jc w:val="lef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 Quarter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Fourth Quarter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191" w:type="dxa"/>
            <w:tcBorders/>
            <w:vAlign w:val="center"/>
          </w:tcPr>
          <w:p>
            <w:pPr>
              <w:pStyle w:val="TableContents"/>
              <w:bidi w:val="0"/>
              <w:spacing w:before="0" w:after="0"/>
              <w:ind w:left="0" w:right="0" w:hanging="0"/>
              <w:jc w:val="lef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Board declared a cash dividend of $0.36 per share for the first quarter 2026, payable on March 5, 2026 to shareholders of record on February 5, 2026. Although Matson expects to continue paying quarterly cash dividends on its common stock, the declaration and payment of dividends are subject to the discretion of the Board and depends upon Matson’s financial condition, results of operations, cash flow requirements and other factors deemed relevant by the Board.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Repurchase of Shares: </w:t>
      </w:r>
      <w:r>
        <w:rPr>
          <w:rFonts w:ascii="Times New Roman;Times;serif" w:hAnsi="Times New Roman;Times;serif"/>
          <w:sz w:val="20"/>
        </w:rPr>
        <w:t>The following is a summary of common stock repurchased by the Company during the three months ended December 31, 2025:</w:t>
      </w:r>
    </w:p>
    <w:tbl>
      <w:tblPr>
        <w:tblW w:w="9184" w:type="dxa"/>
        <w:jc w:val="left"/>
        <w:tblInd w:w="0" w:type="dxa"/>
        <w:tblLayout w:type="fixed"/>
        <w:tblCellMar>
          <w:top w:w="0" w:type="dxa"/>
          <w:left w:w="0" w:type="dxa"/>
          <w:bottom w:w="0" w:type="dxa"/>
          <w:right w:w="0" w:type="dxa"/>
        </w:tblCellMar>
      </w:tblPr>
      <w:tblGrid>
        <w:gridCol w:w="2026"/>
        <w:gridCol w:w="346"/>
        <w:gridCol w:w="1321"/>
        <w:gridCol w:w="346"/>
        <w:gridCol w:w="285"/>
        <w:gridCol w:w="915"/>
        <w:gridCol w:w="346"/>
        <w:gridCol w:w="1561"/>
        <w:gridCol w:w="346"/>
        <w:gridCol w:w="1501"/>
        <w:gridCol w:w="19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86510" cy="175260"/>
                      <wp:effectExtent l="0" t="0" r="0" b="0"/>
                      <wp:wrapNone/>
                      <wp:docPr id="85" name="Frame82"/>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38835" cy="175260"/>
                      <wp:effectExtent l="0" t="0" r="0" b="0"/>
                      <wp:wrapNone/>
                      <wp:docPr id="87" name="Frame8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80975" cy="175260"/>
                      <wp:effectExtent l="0" t="0" r="0" b="0"/>
                      <wp:wrapNone/>
                      <wp:docPr id="89" name="Frame8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81025" cy="175260"/>
                      <wp:effectExtent l="0" t="0" r="0" b="0"/>
                      <wp:wrapNone/>
                      <wp:docPr id="90" name="Frame87"/>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91235" cy="175260"/>
                      <wp:effectExtent l="0" t="0" r="0" b="0"/>
                      <wp:wrapNone/>
                      <wp:docPr id="92" name="Frame89"/>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53135" cy="175260"/>
                      <wp:effectExtent l="0" t="0" r="0" b="0"/>
                      <wp:wrapNone/>
                      <wp:docPr id="94" name="Frame9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1285" cy="175260"/>
                      <wp:effectExtent l="0" t="0" r="0" b="0"/>
                      <wp:wrapNone/>
                      <wp:docPr id="95" name="Frame9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c>
          <w:tcPr>
            <w:tcW w:w="191" w:type="dxa"/>
            <w:tcBorders/>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c>
          <w:tcPr>
            <w:tcW w:w="191" w:type="dxa"/>
            <w:tcBorders/>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w:t>
            </w:r>
          </w:p>
        </w:tc>
        <w:tc>
          <w:tcPr>
            <w:tcW w:w="191" w:type="dxa"/>
            <w:tcBorders/>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c>
          <w:tcPr>
            <w:tcW w:w="191" w:type="dxa"/>
            <w:tcBorders/>
            <w:vAlign w:val="center"/>
          </w:tcPr>
          <w:p>
            <w:pPr>
              <w:pStyle w:val="TableContents"/>
              <w:bidi w:val="0"/>
              <w:spacing w:before="0" w:after="0"/>
              <w:ind w:left="0" w:right="0" w:hanging="0"/>
              <w:jc w:val="left"/>
              <w:rPr/>
            </w:pPr>
            <w:r>
              <w:rPr/>
              <w:t> </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 (2)</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191" w:type="dxa"/>
            <w:tcBorders/>
            <w:vAlign w:val="center"/>
          </w:tcPr>
          <w:p>
            <w:pPr>
              <w:pStyle w:val="TableContents"/>
              <w:bidi w:val="0"/>
              <w:spacing w:before="0" w:after="0"/>
              <w:ind w:left="0" w:right="0" w:hanging="0"/>
              <w:jc w:val="left"/>
              <w:rPr/>
            </w:pPr>
            <w:r>
              <w:rPr/>
              <w:t>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337,401</w:t>
            </w:r>
          </w:p>
        </w:tc>
        <w:tc>
          <w:tcPr>
            <w:tcW w:w="34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95.55</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337,401</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1,518,555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 – 30, 2025</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187,920</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106.30</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187,920</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1,330,635</w:t>
            </w:r>
          </w:p>
        </w:tc>
        <w:tc>
          <w:tcPr>
            <w:tcW w:w="191"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1 –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207,500</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120.65</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207,500</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1,123,135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732,821</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105.41</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732,821</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June 24, 2021, Matson’s Board approved a share repurchase program of up to 3.0 million shares of common stock, with subsequent approvals for the addition of 3.0 million shares on each of January 27, 2022, August 23, 2022 and April 27, 2023 and February 27, 2025, for an aggregate total authorization of 15.0 million shares of common stock. The share repurchase program expires on December 31, 2027. Shares will be repurchased in the open market from time to time, and may be made pursuant to a trading plan in accordance with Rule 10b5-1 of the Security Exchange Act of 1934.</w:t>
            </w:r>
          </w:p>
        </w:tc>
      </w:tr>
    </w:tbl>
    <w:tbl>
      <w:tblPr>
        <w:tblW w:w="6737" w:type="dxa"/>
        <w:jc w:val="left"/>
        <w:tblInd w:w="0" w:type="dxa"/>
        <w:tblLayout w:type="fixed"/>
        <w:tblCellMar>
          <w:top w:w="0" w:type="dxa"/>
          <w:left w:w="0" w:type="dxa"/>
          <w:bottom w:w="0" w:type="dxa"/>
          <w:right w:w="0" w:type="dxa"/>
        </w:tblCellMar>
      </w:tblPr>
      <w:tblGrid>
        <w:gridCol w:w="331"/>
        <w:gridCol w:w="64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shares withheld for employee taxes upon vesting of stock-based awards.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7" w:name="ITEM6REMOVEDANDRESERVED_719448"/>
      <w:bookmarkStart w:id="68" w:name="_e3e2119a_e9a2_4a7b_86b1_ed547c537605"/>
      <w:bookmarkEnd w:id="67"/>
      <w:bookmarkEnd w:id="68"/>
      <w:r>
        <w:rPr>
          <w:rFonts w:ascii="Times New Roman;Times;serif" w:hAnsi="Times New Roman;Times;serif"/>
          <w:b/>
          <w:sz w:val="20"/>
        </w:rPr>
        <w:t>ITEM 6. REMOVED AND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69" w:name="ITEM7_MANAGEMENTSDISCUSSIONANDAN_113025"/>
      <w:bookmarkStart w:id="70" w:name="MANAGEMENTSDISCUSSIONANDANALYSISOF_84227"/>
      <w:bookmarkStart w:id="71" w:name="ITEM7_484937"/>
      <w:bookmarkStart w:id="72" w:name="_009b4295_9f76_4c4a_8bcc_b2e816c52c0e"/>
      <w:bookmarkEnd w:id="69"/>
      <w:bookmarkEnd w:id="70"/>
      <w:bookmarkEnd w:id="71"/>
      <w:bookmarkEnd w:id="72"/>
      <w:r>
        <w:rPr>
          <w:rFonts w:ascii="Times New Roman;Times;serif" w:hAnsi="Times New Roman;Times;serif"/>
          <w:b/>
          <w:sz w:val="20"/>
        </w:rPr>
        <w:t>ITEM 7.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 AND 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2026 or future years, including such references included under “Fourth Quarter 2025 Discussion and Outlook for 2026,” as well as statements generally identified through the inclusion of words such as “anticipate,” “believe,” “can,” “commit,” “estimate,” “expect,” “focus,” “goal,” “hope,” “intend,” “may,” “plan,” “seek,” “should,” “target,”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 Item 1A under the caption “Risk Factors” of this Annual Report on Form 10-K, which section is incorporated herein by reference, and elsewhere in this report.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assists in understanding the changes in the Company’s Consolidated Financial Statements from year to year, the primary factors that accounted for those changes, and how certain accounting principles, policies and estimates affected the Company’s Consolidated Financial Statements. The MD&amp;A is provided as a supplement to the Consolidated Financial Statements and the accompanying notes to the Consolidated Financial Statements in Item 8 of Part II below, and should be read in conjunction with the entirety of the Company’s Annual Report on Form 10-K and other reports on Forms 10-Q and 8-K, and other publicly available information. Discussion and analysis of the financial condition and results of operations of Matson for the year ended December 31, 2024 compared with the year ended December 31, 2023 can be found in Part II, Item 7 of the Company’s </w:t>
      </w:r>
      <w:hyperlink r:id="rId5">
        <w:r>
          <w:rPr>
            <w:rStyle w:val="InternetLink"/>
            <w:rFonts w:ascii="Times New Roman;Times;serif" w:hAnsi="Times New Roman;Times;serif"/>
            <w:b w:val="false"/>
            <w:i w:val="false"/>
            <w:caps w:val="false"/>
            <w:smallCaps w:val="false"/>
            <w:sz w:val="20"/>
          </w:rPr>
          <w:t>Annual Report on Form 10-K for the year ended December 31, 2024, filed with the SEC on February 28,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MD&amp;A is presented in the following sections:</w:t>
      </w:r>
    </w:p>
    <w:p>
      <w:pPr>
        <w:pStyle w:val="TextBody"/>
        <w:bidi w:val="0"/>
        <w:spacing w:before="0" w:after="0"/>
        <w:ind w:left="0" w:right="0" w:hanging="0"/>
        <w:jc w:val="left"/>
        <w:rPr/>
      </w:pPr>
      <w:r>
        <w:rPr/>
        <w:t>​</w:t>
      </w:r>
    </w:p>
    <w:tbl>
      <w:tblPr>
        <w:tblW w:w="3171" w:type="dxa"/>
        <w:jc w:val="left"/>
        <w:tblInd w:w="0" w:type="dxa"/>
        <w:tblLayout w:type="fixed"/>
        <w:tblCellMar>
          <w:top w:w="28" w:type="dxa"/>
          <w:left w:w="28" w:type="dxa"/>
          <w:bottom w:w="28" w:type="dxa"/>
          <w:right w:w="28" w:type="dxa"/>
        </w:tblCellMar>
      </w:tblPr>
      <w:tblGrid>
        <w:gridCol w:w="124"/>
        <w:gridCol w:w="28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Financial Information</w:t>
            </w:r>
          </w:p>
        </w:tc>
      </w:tr>
    </w:tbl>
    <w:tbl>
      <w:tblPr>
        <w:tblW w:w="4941" w:type="dxa"/>
        <w:jc w:val="left"/>
        <w:tblInd w:w="0" w:type="dxa"/>
        <w:tblLayout w:type="fixed"/>
        <w:tblCellMar>
          <w:top w:w="28" w:type="dxa"/>
          <w:left w:w="28" w:type="dxa"/>
          <w:bottom w:w="28" w:type="dxa"/>
          <w:right w:w="28" w:type="dxa"/>
        </w:tblCellMar>
      </w:tblPr>
      <w:tblGrid>
        <w:gridCol w:w="124"/>
        <w:gridCol w:w="28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 2025 Discussion and Outlook for 2026</w:t>
            </w:r>
          </w:p>
        </w:tc>
      </w:tr>
    </w:tbl>
    <w:tbl>
      <w:tblPr>
        <w:tblW w:w="3441" w:type="dxa"/>
        <w:jc w:val="left"/>
        <w:tblInd w:w="0" w:type="dxa"/>
        <w:tblLayout w:type="fixed"/>
        <w:tblCellMar>
          <w:top w:w="28" w:type="dxa"/>
          <w:left w:w="28" w:type="dxa"/>
          <w:bottom w:w="28" w:type="dxa"/>
          <w:right w:w="28" w:type="dxa"/>
        </w:tblCellMar>
      </w:tblPr>
      <w:tblGrid>
        <w:gridCol w:w="124"/>
        <w:gridCol w:w="28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Results of Operations</w:t>
            </w:r>
          </w:p>
        </w:tc>
      </w:tr>
    </w:tbl>
    <w:tbl>
      <w:tblPr>
        <w:tblW w:w="5091" w:type="dxa"/>
        <w:jc w:val="left"/>
        <w:tblInd w:w="0" w:type="dxa"/>
        <w:tblLayout w:type="fixed"/>
        <w:tblCellMar>
          <w:top w:w="28" w:type="dxa"/>
          <w:left w:w="28" w:type="dxa"/>
          <w:bottom w:w="28" w:type="dxa"/>
          <w:right w:w="28" w:type="dxa"/>
        </w:tblCellMar>
      </w:tblPr>
      <w:tblGrid>
        <w:gridCol w:w="124"/>
        <w:gridCol w:w="28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Operating Revenue and Income by Segment</w:t>
            </w:r>
          </w:p>
        </w:tc>
      </w:tr>
    </w:tbl>
    <w:tbl>
      <w:tblPr>
        <w:tblW w:w="3201" w:type="dxa"/>
        <w:jc w:val="left"/>
        <w:tblInd w:w="0" w:type="dxa"/>
        <w:tblLayout w:type="fixed"/>
        <w:tblCellMar>
          <w:top w:w="28" w:type="dxa"/>
          <w:left w:w="28" w:type="dxa"/>
          <w:bottom w:w="28" w:type="dxa"/>
          <w:right w:w="28" w:type="dxa"/>
        </w:tblCellMar>
      </w:tblPr>
      <w:tblGrid>
        <w:gridCol w:w="124"/>
        <w:gridCol w:w="28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and Capital Resources</w:t>
            </w:r>
          </w:p>
        </w:tc>
      </w:tr>
    </w:tbl>
    <w:tbl>
      <w:tblPr>
        <w:tblW w:w="6006" w:type="dxa"/>
        <w:jc w:val="left"/>
        <w:tblInd w:w="0" w:type="dxa"/>
        <w:tblLayout w:type="fixed"/>
        <w:tblCellMar>
          <w:top w:w="28" w:type="dxa"/>
          <w:left w:w="28" w:type="dxa"/>
          <w:bottom w:w="28" w:type="dxa"/>
          <w:right w:w="28" w:type="dxa"/>
        </w:tblCellMar>
      </w:tblPr>
      <w:tblGrid>
        <w:gridCol w:w="124"/>
        <w:gridCol w:w="28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Contingencies and Off-Balance Sheet Arrangements</w:t>
            </w:r>
          </w:p>
        </w:tc>
      </w:tr>
    </w:tbl>
    <w:tbl>
      <w:tblPr>
        <w:tblW w:w="3006" w:type="dxa"/>
        <w:jc w:val="left"/>
        <w:tblInd w:w="0" w:type="dxa"/>
        <w:tblLayout w:type="fixed"/>
        <w:tblCellMar>
          <w:top w:w="28" w:type="dxa"/>
          <w:left w:w="28" w:type="dxa"/>
          <w:bottom w:w="28" w:type="dxa"/>
          <w:right w:w="28" w:type="dxa"/>
        </w:tblCellMar>
      </w:tblPr>
      <w:tblGrid>
        <w:gridCol w:w="124"/>
        <w:gridCol w:w="28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Accounting Estimates</w:t>
            </w:r>
          </w:p>
        </w:tc>
      </w:tr>
    </w:tbl>
    <w:tbl>
      <w:tblPr>
        <w:tblW w:w="1671" w:type="dxa"/>
        <w:jc w:val="left"/>
        <w:tblInd w:w="0" w:type="dxa"/>
        <w:tblLayout w:type="fixed"/>
        <w:tblCellMar>
          <w:top w:w="28" w:type="dxa"/>
          <w:left w:w="28" w:type="dxa"/>
          <w:bottom w:w="28" w:type="dxa"/>
          <w:right w:w="28" w:type="dxa"/>
        </w:tblCellMar>
      </w:tblPr>
      <w:tblGrid>
        <w:gridCol w:w="124"/>
        <w:gridCol w:w="286"/>
        <w:gridCol w:w="126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Matters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HISTORICAL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comparative selected financial information of the Company is presented for each of the past five years ended December 31, 2025. The information should be read in conjunction with Item 8, “Financial Statements and Supplementary Data.” All fiscal years include 52 weeks, except for the year ended December 31, 2021 which includes 53 weeks (a description of the Company’s fiscal year is included in Note 2 to the Consolidated Financial Statements in Item 8 of Part II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74"/>
        <w:gridCol w:w="346"/>
        <w:gridCol w:w="196"/>
        <w:gridCol w:w="646"/>
        <w:gridCol w:w="346"/>
        <w:gridCol w:w="196"/>
        <w:gridCol w:w="646"/>
        <w:gridCol w:w="346"/>
        <w:gridCol w:w="196"/>
        <w:gridCol w:w="646"/>
        <w:gridCol w:w="346"/>
        <w:gridCol w:w="196"/>
        <w:gridCol w:w="646"/>
        <w:gridCol w:w="346"/>
        <w:gridCol w:w="196"/>
        <w:gridCol w:w="646"/>
        <w:gridCol w:w="191"/>
      </w:tblGrid>
      <w:tr>
        <w:trPr/>
        <w:tc>
          <w:tcPr>
            <w:tcW w:w="4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586990" cy="175260"/>
                      <wp:effectExtent l="0" t="0" r="0" b="0"/>
                      <wp:wrapNone/>
                      <wp:docPr id="96" name="Frame93"/>
                      <a:graphic xmlns:a="http://schemas.openxmlformats.org/drawingml/2006/main">
                        <a:graphicData uri="http://schemas.microsoft.com/office/word/2010/wordprocessingShape">
                          <wps:wsp>
                            <wps:cNvSpPr txBox="1"/>
                            <wps:spPr>
                              <a:xfrm>
                                <a:off x="0" y="0"/>
                                <a:ext cx="2586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4460" cy="175260"/>
                      <wp:effectExtent l="0" t="0" r="0" b="0"/>
                      <wp:wrapNone/>
                      <wp:docPr id="98"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10210" cy="175260"/>
                      <wp:effectExtent l="0" t="0" r="0" b="0"/>
                      <wp:wrapNone/>
                      <wp:docPr id="99" name="Frame9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4460" cy="175260"/>
                      <wp:effectExtent l="0" t="0" r="0" b="0"/>
                      <wp:wrapNone/>
                      <wp:docPr id="101" name="Frame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10210" cy="175260"/>
                      <wp:effectExtent l="0" t="0" r="0" b="0"/>
                      <wp:wrapNone/>
                      <wp:docPr id="102" name="Frame9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4" name="Frame1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10210" cy="175260"/>
                      <wp:effectExtent l="0" t="0" r="0" b="0"/>
                      <wp:wrapNone/>
                      <wp:docPr id="105" name="Frame10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7" name="Frame1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10210" cy="175260"/>
                      <wp:effectExtent l="0" t="0" r="0" b="0"/>
                      <wp:wrapNone/>
                      <wp:docPr id="108" name="Frame10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10" name="Frame1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10210" cy="175260"/>
                      <wp:effectExtent l="0" t="0" r="0" b="0"/>
                      <wp:wrapNone/>
                      <wp:docPr id="111" name="Frame10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1285" cy="175260"/>
                      <wp:effectExtent l="0" t="0" r="0" b="0"/>
                      <wp:wrapNone/>
                      <wp:docPr id="112" name="Frame10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left"/>
              <w:rPr/>
            </w:pPr>
            <w:r>
              <w:rPr/>
              <w:t> </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Operating Revenue: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Ocean Transportation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3,132.8</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Revenue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3,925.3</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Operating and Net Income: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Ocean Transportation (1)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Logistics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(243.9)</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Capital Expenditures (2):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Ocean Transportation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322.4</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Capital Expenditures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325.3</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Ocean Transportation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Logistics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Amortization — Ocean Transportation</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Per Share in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21.67</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per share declared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December 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282.4</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Construction Fund (“CCF”) (3)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Debt (before deferred loan fees deduction) (4)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629.0</w:t>
            </w:r>
          </w:p>
        </w:tc>
        <w:tc>
          <w:tcPr>
            <w:tcW w:w="191" w:type="dxa"/>
            <w:tcBorders/>
            <w:vAlign w:val="center"/>
          </w:tcPr>
          <w:p>
            <w:pPr>
              <w:pStyle w:val="TableContents"/>
              <w:bidi w:val="0"/>
              <w:spacing w:before="0" w:after="0"/>
              <w:ind w:left="0" w:right="0" w:hanging="0"/>
              <w:jc w:val="left"/>
              <w:rPr/>
            </w:pPr>
            <w:r>
              <w:rPr/>
              <w:t>​</w:t>
            </w:r>
          </w:p>
        </w:tc>
      </w:tr>
      <w:tr>
        <w:trPr/>
        <w:tc>
          <w:tcPr>
            <w:tcW w:w="40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outstanding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Ocean Transportation segment includes $32.5 million, $(1.0) million, $2.2 million, $83.1 million and $56.3 million of equity in income/(loss) from the Company’s investment in SSAT for 2025, 2024, 2023, 2022 and 2021, respectively.</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Capital expenditures represent amounts included in cash flows from investing activities in the Company’s Consolidated Statements of Cash Flows for the years presented.</w:t>
            </w:r>
          </w:p>
        </w:tc>
      </w:tr>
    </w:tbl>
    <w:tbl>
      <w:tblPr>
        <w:tblW w:w="7727" w:type="dxa"/>
        <w:jc w:val="left"/>
        <w:tblInd w:w="0" w:type="dxa"/>
        <w:tblLayout w:type="fixed"/>
        <w:tblCellMar>
          <w:top w:w="0" w:type="dxa"/>
          <w:left w:w="0" w:type="dxa"/>
          <w:bottom w:w="0" w:type="dxa"/>
          <w:right w:w="0" w:type="dxa"/>
        </w:tblCellMar>
      </w:tblPr>
      <w:tblGrid>
        <w:gridCol w:w="331"/>
        <w:gridCol w:w="739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7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Company’s Capital Construction Fund is described in Note 7 to the Consolidated Financial Statements in Item 8 of Part II.</w:t>
            </w:r>
          </w:p>
        </w:tc>
      </w:tr>
    </w:tbl>
    <w:tbl>
      <w:tblPr>
        <w:tblW w:w="6437" w:type="dxa"/>
        <w:jc w:val="left"/>
        <w:tblInd w:w="0" w:type="dxa"/>
        <w:tblLayout w:type="fixed"/>
        <w:tblCellMar>
          <w:top w:w="0" w:type="dxa"/>
          <w:left w:w="0" w:type="dxa"/>
          <w:bottom w:w="0" w:type="dxa"/>
          <w:right w:w="0" w:type="dxa"/>
        </w:tblCellMar>
      </w:tblPr>
      <w:tblGrid>
        <w:gridCol w:w="331"/>
        <w:gridCol w:w="61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6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Company’s debt is described in Note 8 to the Consolidated Financial Statements in Item 8 of Part II.</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FOURTH QUARTER 2025 DISCUSSION AND OUTLOOK FOR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Ocean Transportation: </w:t>
      </w:r>
      <w:r>
        <w:rPr>
          <w:rFonts w:ascii="Times New Roman;Times;serif" w:hAnsi="Times New Roman;Times;serif"/>
          <w:sz w:val="20"/>
        </w:rPr>
        <w:t>The Company’s container volume in the Hawaii service in the fourth quarter 2025 was 0.6 percent higher year-over-year primarily due to higher general demand. Hawaii’s economy remains sluggish as softer tourism and ongoing inflationary pressures, including elevated interest rates, more than offset strength in construction activity. The Company expects volume in full year 2026 to be comparable to the level achieved in 2025, reflecting similar economic conditions and stable market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China, the Company’s container volume in the fourth quarter 2025 decreased 7.2 percent year-over-year. The Company saw higher than expected freight rates and volume driven by strong e-commerce and e-goods demand. The Company benefited from strong freight demand in its key customer segments as well as a more stable trading environment in the Transpacific tradelane as a result of the U.S.-China trade and economic deal announced on October 30, 2025, which reduced uncertainty regarding tariffs, port entry fees, global trade and other geopolitical factors. In the first quarter 2026, the Company expects lower volume compared to the prior year period. The Company expects volume in full year 2026 to be modestly higher than the level achieved in 2025 based on our expectations of continued solid U.S. consumer demand and a stable trading environment in the Transpacific tradelane.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Guam, the Company’s container volume in the fourth quarter 2025 increased 4.4 percent year-over-year primarily due to higher general demand. In the near term, the Company expects Guam’s economy to moderate reflecting a challenging tourism environment. For full year 2026, the Company expects volume to be comparable to the level achieved last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Alaska, the Company’s container volume for the fourth quarter 2025 decreased 3.3 percent year-over-year. The decrease was primarily due to one less northbound sailing compared to the year ago period, partially offset by higher export seafood volume on AAX. In the near term, the Company expects continued economic growth in Alaska supported by a low unemployment rate, jobs growth and continued oil and gas exploration and production activity. For full year 2026, the Company expects volume to be comparable to the level achieved last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contribution in the fourth quarter 2025 from the Company’s SSAT joint venture investment was $9.3 million, or $18.8 million higher than fourth quarter 2024. The increase was primarily due to an impairment charge related to the write-down of a terminal operating lease asset at SSAT which impacted fourth quarter 2024 operating income, net income and diluted earnings per share by $18.4 million, $14.0 million and $0.42 per share, respectively. For full year 2026, the Company expects the contribution from SSAT to be comparable to the $32.5 million achieved in full year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the outlook trends noted above, the Company expects Ocean Transportation operating income for the first quarter 2026 to be approximately $50 million. For full year 2026, the Company expects Ocean Transportation operating income to approach the level achieved in full year 2025. For 2026 compared to 2025, the Company also expects to see a more normal operating income seasonality pattern with second and third quarters being the strongest relative to the first and fourth quarters.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In the fourth quarter 2025, operating income for the Company’s Logistics segment was $7.7 million, or $2.4 million lower compared to the level achieved in the fourth quarter 2024. The decrease was primarily due to a lower contribution from supply chain management. For the first quarter 2026, the Company expects Logistics operating income to be modestly lower than the $8.5 million achieved in the first quarter 2025. For full year 2026, the Company expects Logistics operating income to approach the $44.2 million achieved in full year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Income:</w:t>
      </w:r>
      <w:r>
        <w:rPr>
          <w:rFonts w:ascii="Times New Roman;Times;serif" w:hAnsi="Times New Roman;Times;serif"/>
          <w:sz w:val="20"/>
        </w:rPr>
        <w:t xml:space="preserve"> For the first quarter 2026, the Company expects consolidated operating income to be lower than the $82.1 million achieved in the first quarter 2025. For full year 2026, the Company expects consolidated operating income to approach the level achieved in full year 2025 based on our expectations of continued solid U.S. consumer demand and a stable trading environment.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Depreciation and Amortization:</w:t>
      </w:r>
      <w:r>
        <w:rPr>
          <w:rFonts w:ascii="Times New Roman;Times;serif" w:hAnsi="Times New Roman;Times;serif"/>
          <w:sz w:val="20"/>
        </w:rPr>
        <w:t xml:space="preserve"> For full year 2026, the Company expects depreciation and amortization expense to be approximately $210 million, inclusive of dry-docking amortization of approximately $35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The Company expects interest income for the full year 2026 to be approximately $15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xml:space="preserve"> The Company expects interest expense for the full year 2026 to be approximately $6 million.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bookmarkStart w:id="73" w:name="_Hlk179577062"/>
      <w:bookmarkEnd w:id="73"/>
      <w:r>
        <w:rPr>
          <w:rFonts w:ascii="Times New Roman;Times;serif" w:hAnsi="Times New Roman;Times;serif"/>
          <w:i/>
          <w:sz w:val="20"/>
        </w:rPr>
        <w:t xml:space="preserve">Other Income (Expense): </w:t>
      </w:r>
      <w:r>
        <w:rPr>
          <w:rFonts w:ascii="Times New Roman;Times;serif" w:hAnsi="Times New Roman;Times;serif"/>
          <w:sz w:val="20"/>
        </w:rPr>
        <w:t>The Company expects full year 2026 other income (expense) to be approximately $7 million in income, which is attributable to the amortization of certain components of net periodic benefit costs or gains related to the Company’s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the fourth quarter 2025, the Company’s effective tax rate was 5.2 percent and benefited from a one-time tax adjustment of $18.5 million, or $0.59 per share, related to the Company’s deferred tax assets and liabilities. For the full year 2025, the Company’s effective tax rate was 16.7 percent. For the full year 2026, the Company expects its effective tax rate to be approximately 21.0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Capital and Vessel Dry-docking Expenditures:</w:t>
      </w:r>
      <w:r>
        <w:rPr>
          <w:rFonts w:ascii="Times New Roman;Times;serif" w:hAnsi="Times New Roman;Times;serif"/>
          <w:sz w:val="20"/>
        </w:rPr>
        <w:t xml:space="preserve"> For the full year 2025, the Company made capital expenditure payments excluding new vessel construction expenditures of $149.1 million, new vessel construction expenditures (including capitalized interest and owner’s items) of $244.3 million, and dry-docking payments of $49.4 million. For the full year 2026, the Company expects to make other capital expenditure payments, including maintenance capital expenditures, of approximately $150 to $170 million, new vessel construction expenditures (including capitalized interest and owner’s items) of approximately $425 million, and dry-docking payments of approximately $45 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analysis of the financial results of operations of Matson for the years ended December 31, 2025 and 2024 should be read in conjunction with the Consolidated Financial Statements in Item 8 of Part II below.</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Results: 2025 compared with 2024:</w:t>
      </w:r>
    </w:p>
    <w:tbl>
      <w:tblPr>
        <w:tblW w:w="8668" w:type="dxa"/>
        <w:jc w:val="left"/>
        <w:tblInd w:w="0" w:type="dxa"/>
        <w:tblLayout w:type="fixed"/>
        <w:tblCellMar>
          <w:top w:w="0" w:type="dxa"/>
          <w:left w:w="0" w:type="dxa"/>
          <w:bottom w:w="0" w:type="dxa"/>
          <w:right w:w="0" w:type="dxa"/>
        </w:tblCellMar>
      </w:tblPr>
      <w:tblGrid>
        <w:gridCol w:w="3481"/>
        <w:gridCol w:w="346"/>
        <w:gridCol w:w="211"/>
        <w:gridCol w:w="841"/>
        <w:gridCol w:w="346"/>
        <w:gridCol w:w="211"/>
        <w:gridCol w:w="841"/>
        <w:gridCol w:w="346"/>
        <w:gridCol w:w="211"/>
        <w:gridCol w:w="586"/>
        <w:gridCol w:w="346"/>
        <w:gridCol w:w="58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210435" cy="175260"/>
                      <wp:effectExtent l="0" t="0" r="0" b="0"/>
                      <wp:wrapNone/>
                      <wp:docPr id="113" name="Frame110"/>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34035" cy="175260"/>
                      <wp:effectExtent l="0" t="0" r="0" b="0"/>
                      <wp:wrapNone/>
                      <wp:docPr id="116" name="Frame11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34035" cy="175260"/>
                      <wp:effectExtent l="0" t="0" r="0" b="0"/>
                      <wp:wrapNone/>
                      <wp:docPr id="119" name="Frame11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72110" cy="175260"/>
                      <wp:effectExtent l="0" t="0" r="0" b="0"/>
                      <wp:wrapNone/>
                      <wp:docPr id="122" name="Frame11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72110" cy="175260"/>
                      <wp:effectExtent l="0" t="0" r="0" b="0"/>
                      <wp:wrapNone/>
                      <wp:docPr id="124" name="Frame12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0660" cy="175260"/>
                      <wp:effectExtent l="0" t="0" r="0" b="0"/>
                      <wp:wrapNone/>
                      <wp:docPr id="125" name="Frame1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2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7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3,344.5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3,421.8</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346" w:type="dxa"/>
            <w:tcBorders/>
            <w:shd w:fill="CCEEFF" w:val="clear"/>
            <w:vAlign w:val="center"/>
          </w:tcPr>
          <w:p>
            <w:pPr>
              <w:pStyle w:val="TableContents"/>
              <w:bidi w:val="0"/>
              <w:spacing w:before="0" w:after="0"/>
              <w:ind w:left="0" w:right="0" w:hanging="0"/>
              <w:jc w:val="left"/>
              <w:rPr/>
            </w:pPr>
            <w:r>
              <w:rPr/>
              <w:t>  ​ ​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Fiscal Year: </w:t>
      </w:r>
      <w:r>
        <w:rPr>
          <w:rFonts w:ascii="Times New Roman;Times;serif" w:hAnsi="Times New Roman;Times;serif"/>
          <w:sz w:val="20"/>
        </w:rPr>
        <w:t>Fiscal years ended December 31, 2025 and 2024 include 52 weeks.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Revenue</w:t>
      </w:r>
      <w:r>
        <w:rPr>
          <w:rFonts w:ascii="Times New Roman;Times;serif" w:hAnsi="Times New Roman;Times;serif"/>
          <w:sz w:val="20"/>
        </w:rPr>
        <w:t xml:space="preserve"> for the year ended December 31, 2025 decreased $77.3 million, or 2.3 percent, compared to the prior year. The decrease was due to a decrease in Ocean Transportation revenue of $74.2 million and a decrease in Logistics revenue of $3.1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Operating Costs and Expenses </w:t>
      </w:r>
      <w:r>
        <w:rPr>
          <w:rFonts w:ascii="Times New Roman;Times;serif" w:hAnsi="Times New Roman;Times;serif"/>
          <w:sz w:val="20"/>
        </w:rPr>
        <w:t>for the year ended December 31, 2025 decreased $25.8 million, or 0.9 percent, compared to the prior year. The decrease was due to a decrease in Ocean Transportation operating costs and expenses of $28.9 million which was partially offset by an increase in Logistics operating costs and expenses of $3.1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Operating Income </w:t>
      </w:r>
      <w:r>
        <w:rPr>
          <w:rFonts w:ascii="Times New Roman;Times;serif" w:hAnsi="Times New Roman;Times;serif"/>
          <w:sz w:val="20"/>
        </w:rPr>
        <w:t>for the year ended December 31, 2025 decreased $51.5 million, or 9.3 percent, compared to the prior year. The decrease was due to a decrease in Ocean Transportation operating income of $45.3 million and a decrease in Logistics operating income of $6.2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reasons for changes in operating revenue, operating costs and expenses, and operating income are described below, by business segment, in “Analysis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 xml:space="preserve">was $31.7 million for the year ended December 31, 2025, compared to $48.3 million in the prior year. The interest income for the year ended December 31, 2024 included interest of $10.2 million earned on a federal income tax refund. Excluding that amount, the decrease in interest income was due to a decreased amount of cash and cash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equivalent accounts, and cash on deposit and investments within the CCF that were invested in interest bearing accounts during the year ended December 31, 2025, compared to the prior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Interest Expense </w:t>
      </w:r>
      <w:r>
        <w:rPr>
          <w:rFonts w:ascii="Times New Roman;Times;serif" w:hAnsi="Times New Roman;Times;serif"/>
          <w:sz w:val="20"/>
        </w:rPr>
        <w:t>was $6.8 million for the year ended December 31, 2025, compared to $7.5 million in the prior year. The decrease in interest expense was due to lower outstanding debt, offset by capitalized interest related to the construction of new vessels during the year ended December 31, 2025, compared to the prior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Other Income (Expense), net </w:t>
      </w:r>
      <w:r>
        <w:rPr>
          <w:rFonts w:ascii="Times New Roman;Times;serif" w:hAnsi="Times New Roman;Times;serif"/>
          <w:sz w:val="20"/>
        </w:rPr>
        <w:t xml:space="preserve">was $9.1 million for the year ended December 31, 2025, compared to $7.3 million in the prior year, and relates to the amortization of certain components of net periodic benefit costs or gains related to the Company’s pension and post-retirement plans. The increase in other income (expense) was due to an increase in the amortization of favorable adjustments reflected in the Company’s pension and post-retirement plan liabilities.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for the year ended December 31, 2025 were $89.0 million, or 16.7 percent of income before income taxes, compared to $123.0 million, or 20.5 percent of income before income taxes in the prior year. The effective tax rate for the year ended December 31, 2025 benefited from a one-time adjustment of $18.5 million or 3.5 percent related to the Company’s deferred tax assets and liabilities. Excluding this adjustment, the effective tax rate for the year ended December 31, 2025 would have been 20.1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Net Income </w:t>
      </w:r>
      <w:r>
        <w:rPr>
          <w:rFonts w:ascii="Times New Roman;Times;serif" w:hAnsi="Times New Roman;Times;serif"/>
          <w:sz w:val="20"/>
        </w:rPr>
        <w:t>during the year ended December 31, 2025 decreased $31.6 million, or 6.6 percent, to $444.8 million, compared to the prior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analysis of operating revenue and income by segment for the years ended December 31, 2025 and 2024 should be read in conjunction with the Company’s reportable segments information included in Note 3 to the Consolidated Financial Statements in Item 8 of Part II.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Ocean Transportation:</w:t>
      </w:r>
      <w:r>
        <w:rPr>
          <w:rFonts w:ascii="Times New Roman;Times;serif" w:hAnsi="Times New Roman;Times;serif"/>
          <w:sz w:val="20"/>
        </w:rPr>
        <w:t xml:space="preserve"> </w:t>
      </w:r>
      <w:r>
        <w:rPr>
          <w:rFonts w:ascii="Times New Roman;Times;serif" w:hAnsi="Times New Roman;Times;serif"/>
          <w:b/>
          <w:sz w:val="20"/>
        </w:rPr>
        <w:t>2025 compared with 2024:</w:t>
      </w:r>
    </w:p>
    <w:tbl>
      <w:tblPr>
        <w:tblW w:w="9148" w:type="dxa"/>
        <w:jc w:val="left"/>
        <w:tblInd w:w="0" w:type="dxa"/>
        <w:tblLayout w:type="fixed"/>
        <w:tblCellMar>
          <w:top w:w="0" w:type="dxa"/>
          <w:left w:w="0" w:type="dxa"/>
          <w:bottom w:w="0" w:type="dxa"/>
          <w:right w:w="0" w:type="dxa"/>
        </w:tblCellMar>
      </w:tblPr>
      <w:tblGrid>
        <w:gridCol w:w="3916"/>
        <w:gridCol w:w="346"/>
        <w:gridCol w:w="211"/>
        <w:gridCol w:w="841"/>
        <w:gridCol w:w="346"/>
        <w:gridCol w:w="211"/>
        <w:gridCol w:w="841"/>
        <w:gridCol w:w="346"/>
        <w:gridCol w:w="211"/>
        <w:gridCol w:w="796"/>
        <w:gridCol w:w="286"/>
        <w:gridCol w:w="481"/>
        <w:gridCol w:w="31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486660" cy="175260"/>
                      <wp:effectExtent l="0" t="0" r="0" b="0"/>
                      <wp:wrapNone/>
                      <wp:docPr id="126" name="Frame123"/>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4035" cy="175260"/>
                      <wp:effectExtent l="0" t="0" r="0" b="0"/>
                      <wp:wrapNone/>
                      <wp:docPr id="129" name="Frame12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34035" cy="175260"/>
                      <wp:effectExtent l="0" t="0" r="0" b="0"/>
                      <wp:wrapNone/>
                      <wp:docPr id="132" name="Frame12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05460" cy="175260"/>
                      <wp:effectExtent l="0" t="0" r="0" b="0"/>
                      <wp:wrapNone/>
                      <wp:docPr id="135" name="Frame1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1610" cy="175260"/>
                      <wp:effectExtent l="0" t="0" r="0" b="0"/>
                      <wp:wrapNone/>
                      <wp:docPr id="136" name="Frame13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05435" cy="175260"/>
                      <wp:effectExtent l="0" t="0" r="0" b="0"/>
                      <wp:wrapNone/>
                      <wp:docPr id="137" name="Frame13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0660" cy="175260"/>
                      <wp:effectExtent l="0" t="0" r="0" b="0"/>
                      <wp:wrapNone/>
                      <wp:docPr id="138" name="Frame1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7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0"/>
              <w:ind w:left="0" w:right="0" w:hanging="0"/>
              <w:jc w:val="left"/>
              <w:rPr/>
            </w:pPr>
            <w:r>
              <w:rPr/>
              <w:t> </w:t>
            </w:r>
          </w:p>
        </w:tc>
      </w:tr>
      <w:tr>
        <w:trPr/>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7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286" w:type="dxa"/>
            <w:tcBorders/>
            <w:shd w:fill="CCEEFF" w:val="clear"/>
            <w:vAlign w:val="center"/>
          </w:tcPr>
          <w:p>
            <w:pPr>
              <w:pStyle w:val="TableContents"/>
              <w:bidi w:val="0"/>
              <w:spacing w:before="0" w:after="0"/>
              <w:ind w:left="0" w:right="0" w:hanging="0"/>
              <w:jc w:val="left"/>
              <w:rPr/>
            </w:pPr>
            <w:r>
              <w:rPr/>
              <w:t>  ​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28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28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286" w:type="dxa"/>
            <w:tcBorders/>
            <w:shd w:fill="CCEEFF" w:val="clear"/>
            <w:vAlign w:val="center"/>
          </w:tcPr>
          <w:p>
            <w:pPr>
              <w:pStyle w:val="TableContents"/>
              <w:bidi w:val="0"/>
              <w:spacing w:before="0" w:after="0"/>
              <w:ind w:left="0" w:right="0" w:hanging="0"/>
              <w:jc w:val="righ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286"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(13,700)</w:t>
            </w:r>
          </w:p>
        </w:tc>
        <w:tc>
          <w:tcPr>
            <w:tcW w:w="286" w:type="dxa"/>
            <w:tcBorders/>
            <w:shd w:fill="CCEEFF" w:val="clear"/>
            <w:vAlign w:val="center"/>
          </w:tcPr>
          <w:p>
            <w:pPr>
              <w:pStyle w:val="TableContents"/>
              <w:bidi w:val="0"/>
              <w:spacing w:before="0" w:after="0"/>
              <w:ind w:left="0" w:right="0" w:hanging="0"/>
              <w:jc w:val="righ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286"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286" w:type="dxa"/>
            <w:tcBorders/>
            <w:shd w:fill="CCEEFF" w:val="clear"/>
            <w:vAlign w:val="center"/>
          </w:tcPr>
          <w:p>
            <w:pPr>
              <w:pStyle w:val="TableContents"/>
              <w:bidi w:val="0"/>
              <w:spacing w:before="0" w:after="0"/>
              <w:ind w:left="0" w:right="0" w:hanging="0"/>
              <w:jc w:val="righ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4277" w:type="dxa"/>
        <w:jc w:val="left"/>
        <w:tblInd w:w="0" w:type="dxa"/>
        <w:tblLayout w:type="fixed"/>
        <w:tblCellMar>
          <w:top w:w="0" w:type="dxa"/>
          <w:left w:w="0" w:type="dxa"/>
          <w:bottom w:w="0" w:type="dxa"/>
          <w:right w:w="0" w:type="dxa"/>
        </w:tblCellMar>
      </w:tblPr>
      <w:tblGrid>
        <w:gridCol w:w="331"/>
        <w:gridCol w:w="39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China and other Asia origins.</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decreased $74.2 million, or 2.6 percent, during the year ended December 31, 2025, compared with the year ended December 31, 2024. The decrease was primarily due to lower volume in China.</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container volume increased 1.6 percent primarily due to higher general demand and the dry-docking of a competitor’s vessel in the first half of 2025; Alaska volume increased 1.7 percent primarily due to higher export seafood volume on AAX, partially offset by one less northbound sailing; China volume decreased 9.5 percent primarily due to the difficult trading environment in the Transpacific in the last three quarters of 2025 marked by continued uncertainty and volatility arising from tariffs and global trade; Guam volume decreased 4.3 percent primarily due to lower general demand; and Other containers volume increased 1.2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decreased $45.3 million, or 9.0 percent, during the year ended December 31, 2025, compared with the year ended December 31, 2024. The decrease was primarily due to a lower contribution from China, partially offset by a higher contribution from SSAT.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$32.5 million during the year ended December 31, 2025, compared to a loss of $1.0 million during the year ended December 31, 2024. The increase was primarily due to an impairment charge related to the write-down of a terminal operating lease asset at SSAT in the year ago period which impacted operating income by $18.4 million and higher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Logistics:</w:t>
      </w:r>
      <w:r>
        <w:rPr>
          <w:rFonts w:ascii="Times New Roman;Times;serif" w:hAnsi="Times New Roman;Times;serif"/>
          <w:sz w:val="20"/>
        </w:rPr>
        <w:t xml:space="preserve"> </w:t>
      </w:r>
      <w:r>
        <w:rPr>
          <w:rFonts w:ascii="Times New Roman;Times;serif" w:hAnsi="Times New Roman;Times;serif"/>
          <w:b/>
          <w:sz w:val="20"/>
        </w:rPr>
        <w:t>2025 compared with 2024:</w:t>
      </w:r>
    </w:p>
    <w:tbl>
      <w:tblPr>
        <w:tblW w:w="7228" w:type="dxa"/>
        <w:jc w:val="left"/>
        <w:tblInd w:w="0" w:type="dxa"/>
        <w:tblLayout w:type="fixed"/>
        <w:tblCellMar>
          <w:top w:w="0" w:type="dxa"/>
          <w:left w:w="0" w:type="dxa"/>
          <w:bottom w:w="0" w:type="dxa"/>
          <w:right w:w="0" w:type="dxa"/>
        </w:tblCellMar>
      </w:tblPr>
      <w:tblGrid>
        <w:gridCol w:w="2506"/>
        <w:gridCol w:w="346"/>
        <w:gridCol w:w="211"/>
        <w:gridCol w:w="691"/>
        <w:gridCol w:w="346"/>
        <w:gridCol w:w="211"/>
        <w:gridCol w:w="691"/>
        <w:gridCol w:w="346"/>
        <w:gridCol w:w="211"/>
        <w:gridCol w:w="481"/>
        <w:gridCol w:w="286"/>
        <w:gridCol w:w="586"/>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591310" cy="175260"/>
                      <wp:effectExtent l="0" t="0" r="0" b="0"/>
                      <wp:wrapNone/>
                      <wp:docPr id="139" name="Frame13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8785" cy="175260"/>
                      <wp:effectExtent l="0" t="0" r="0" b="0"/>
                      <wp:wrapNone/>
                      <wp:docPr id="142" name="Frame1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45" name="Frame1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05435" cy="175260"/>
                      <wp:effectExtent l="0" t="0" r="0" b="0"/>
                      <wp:wrapNone/>
                      <wp:docPr id="148" name="Frame14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1610" cy="175260"/>
                      <wp:effectExtent l="0" t="0" r="0" b="0"/>
                      <wp:wrapNone/>
                      <wp:docPr id="149" name="Frame1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72110" cy="175260"/>
                      <wp:effectExtent l="0" t="0" r="0" b="0"/>
                      <wp:wrapNone/>
                      <wp:docPr id="150" name="Frame1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0660" cy="175260"/>
                      <wp:effectExtent l="0" t="0" r="0" b="0"/>
                      <wp:wrapNone/>
                      <wp:docPr id="151" name="Frame1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86" w:type="dxa"/>
            <w:tcBorders/>
            <w:shd w:fill="CCEEFF" w:val="clear"/>
            <w:vAlign w:val="center"/>
          </w:tcPr>
          <w:p>
            <w:pPr>
              <w:pStyle w:val="TableContents"/>
              <w:bidi w:val="0"/>
              <w:spacing w:before="0" w:after="0"/>
              <w:ind w:left="0" w:right="0" w:hanging="0"/>
              <w:jc w:val="left"/>
              <w:rPr/>
            </w:pPr>
            <w:r>
              <w:rPr/>
              <w:t>  ​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8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0.6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28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decreased $3.1 million, or 0.5 percent, during the year ended December 31, 2025, compared with the year ended December 31, 2024. The decrease was primarily due to lower revenue in transportation brokerage and supply chain management, partially offset by higher revenue in freight forwarding.</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$6.2 million, or 12.3 percent, during the year ended December 31, 2025, compared with the year ended December 31, 2024. The decrease was primarily due to lower contributions from freight forwarding and transportation brokerage.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primary sources of liquidity are its cash flows generated from operating activities and its debt. Sources of liquidity available to the Company as of December 31, 2025 compared to December 31, 2024, were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Cash and Cash Equivalents, Restricted Cash and Accounts Receivable</w:t>
      </w:r>
      <w:r>
        <w:rPr>
          <w:rFonts w:ascii="Times New Roman;Times;serif" w:hAnsi="Times New Roman;Times;serif"/>
          <w:b/>
          <w:sz w:val="20"/>
        </w:rPr>
        <w:t>:</w:t>
      </w:r>
      <w:r>
        <w:rPr>
          <w:rFonts w:ascii="Times New Roman;Times;serif" w:hAnsi="Times New Roman;Times;serif"/>
          <w:sz w:val="20"/>
        </w:rPr>
        <w:t xml:space="preserve"> Cash and cash equivalents, restricted cash and accounts receivable, net as of December 31, 2025 and 2024 were as follows:</w:t>
      </w:r>
    </w:p>
    <w:p>
      <w:pPr>
        <w:pStyle w:val="TextBody"/>
        <w:bidi w:val="0"/>
        <w:spacing w:before="0" w:after="0"/>
        <w:ind w:left="0" w:right="0" w:hanging="0"/>
        <w:jc w:val="left"/>
        <w:rPr/>
      </w:pPr>
      <w:r>
        <w:rPr/>
        <w:t>​</w:t>
      </w:r>
    </w:p>
    <w:tbl>
      <w:tblPr>
        <w:tblW w:w="8541" w:type="dxa"/>
        <w:jc w:val="left"/>
        <w:tblInd w:w="0" w:type="dxa"/>
        <w:tblLayout w:type="fixed"/>
        <w:tblCellMar>
          <w:top w:w="0" w:type="dxa"/>
          <w:left w:w="0" w:type="dxa"/>
          <w:bottom w:w="0" w:type="dxa"/>
          <w:right w:w="0" w:type="dxa"/>
        </w:tblCellMar>
      </w:tblPr>
      <w:tblGrid>
        <w:gridCol w:w="4846"/>
        <w:gridCol w:w="346"/>
        <w:gridCol w:w="211"/>
        <w:gridCol w:w="571"/>
        <w:gridCol w:w="346"/>
        <w:gridCol w:w="211"/>
        <w:gridCol w:w="571"/>
        <w:gridCol w:w="346"/>
        <w:gridCol w:w="211"/>
        <w:gridCol w:w="691"/>
        <w:gridCol w:w="191"/>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077210" cy="175260"/>
                      <wp:effectExtent l="0" t="0" r="0" b="0"/>
                      <wp:wrapNone/>
                      <wp:docPr id="152" name="Frame149"/>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62585" cy="175260"/>
                      <wp:effectExtent l="0" t="0" r="0" b="0"/>
                      <wp:wrapNone/>
                      <wp:docPr id="155" name="Frame1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62585" cy="175260"/>
                      <wp:effectExtent l="0" t="0" r="0" b="0"/>
                      <wp:wrapNone/>
                      <wp:docPr id="158" name="Frame1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38785" cy="175260"/>
                      <wp:effectExtent l="0" t="0" r="0" b="0"/>
                      <wp:wrapNone/>
                      <wp:docPr id="161" name="Frame1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21285" cy="175260"/>
                      <wp:effectExtent l="0" t="0" r="0" b="0"/>
                      <wp:wrapNone/>
                      <wp:docPr id="162" name="Frame15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91" w:type="dxa"/>
            <w:tcBorders/>
            <w:vAlign w:val="center"/>
          </w:tcPr>
          <w:p>
            <w:pPr>
              <w:pStyle w:val="TableContents"/>
              <w:bidi w:val="0"/>
              <w:spacing w:before="0" w:after="0"/>
              <w:ind w:left="0" w:right="0" w:hanging="0"/>
              <w:jc w:val="left"/>
              <w:rPr/>
            </w:pPr>
            <w:r>
              <w:rPr/>
              <w:t>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left"/>
              <w:rPr/>
            </w:pPr>
            <w:r>
              <w:rPr/>
              <w:t> </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 and investments account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Eligible accounts receivable of $82.3 million and $178.1 million at December 31, 2025 and 2024, respectively, were assigned to the CCF. For additional information on the CCF, see Note 7 to the Consolidated Financial Statements.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Company’s cash and cash equivalents and restricted cash for the years ended December 31, 2025, 2024 and 2023 were as follows:</w:t>
      </w:r>
    </w:p>
    <w:tbl>
      <w:tblPr>
        <w:tblW w:w="10205" w:type="dxa"/>
        <w:jc w:val="left"/>
        <w:tblInd w:w="0" w:type="dxa"/>
        <w:tblLayout w:type="fixed"/>
        <w:tblCellMar>
          <w:top w:w="0" w:type="dxa"/>
          <w:left w:w="0" w:type="dxa"/>
          <w:bottom w:w="0" w:type="dxa"/>
          <w:right w:w="0" w:type="dxa"/>
        </w:tblCellMar>
      </w:tblPr>
      <w:tblGrid>
        <w:gridCol w:w="4000"/>
        <w:gridCol w:w="346"/>
        <w:gridCol w:w="211"/>
        <w:gridCol w:w="674"/>
        <w:gridCol w:w="346"/>
        <w:gridCol w:w="211"/>
        <w:gridCol w:w="674"/>
        <w:gridCol w:w="346"/>
        <w:gridCol w:w="211"/>
        <w:gridCol w:w="674"/>
        <w:gridCol w:w="346"/>
        <w:gridCol w:w="211"/>
        <w:gridCol w:w="674"/>
        <w:gridCol w:w="346"/>
        <w:gridCol w:w="211"/>
        <w:gridCol w:w="724"/>
      </w:tblGrid>
      <w:tr>
        <w:trPr/>
        <w:tc>
          <w:tcPr>
            <w:tcW w:w="4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540000" cy="175260"/>
                      <wp:effectExtent l="0" t="0" r="0" b="0"/>
                      <wp:wrapNone/>
                      <wp:docPr id="163" name="Frame160"/>
                      <a:graphic xmlns:a="http://schemas.openxmlformats.org/drawingml/2006/main">
                        <a:graphicData uri="http://schemas.microsoft.com/office/word/2010/wordprocessingShape">
                          <wps:wsp>
                            <wps:cNvSpPr txBox="1"/>
                            <wps:spPr>
                              <a:xfrm>
                                <a:off x="0" y="0"/>
                                <a:ext cx="2540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27990" cy="175260"/>
                      <wp:effectExtent l="0" t="0" r="0" b="0"/>
                      <wp:wrapNone/>
                      <wp:docPr id="166" name="Frame163"/>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27990" cy="175260"/>
                      <wp:effectExtent l="0" t="0" r="0" b="0"/>
                      <wp:wrapNone/>
                      <wp:docPr id="169" name="Frame16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7990" cy="175260"/>
                      <wp:effectExtent l="0" t="0" r="0" b="0"/>
                      <wp:wrapNone/>
                      <wp:docPr id="172" name="Frame169"/>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27990" cy="175260"/>
                      <wp:effectExtent l="0" t="0" r="0" b="0"/>
                      <wp:wrapNone/>
                      <wp:docPr id="175" name="Frame172"/>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59740" cy="175260"/>
                      <wp:effectExtent l="0" t="0" r="0" b="0"/>
                      <wp:wrapNone/>
                      <wp:docPr id="178" name="Frame175"/>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5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0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2025-2024</w:t>
            </w:r>
          </w:p>
        </w:tc>
        <w:tc>
          <w:tcPr>
            <w:tcW w:w="346" w:type="dxa"/>
            <w:tcBorders/>
            <w:vAlign w:val="center"/>
          </w:tcPr>
          <w:p>
            <w:pPr>
              <w:pStyle w:val="TableContents"/>
              <w:bidi w:val="0"/>
              <w:spacing w:before="0" w:after="0"/>
              <w:ind w:left="0" w:right="0" w:hanging="0"/>
              <w:jc w:val="left"/>
              <w:rPr/>
            </w:pPr>
            <w:r>
              <w:rPr/>
              <w:t>  ​ ​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2024-2023</w:t>
            </w:r>
          </w:p>
        </w:tc>
      </w:tr>
      <w:tr>
        <w:trPr/>
        <w:tc>
          <w:tcPr>
            <w:tcW w:w="40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257.3</w:t>
            </w:r>
          </w:p>
        </w:tc>
      </w:tr>
      <w:tr>
        <w:trPr/>
        <w:tc>
          <w:tcPr>
            <w:tcW w:w="40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 (2)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w:t>
            </w:r>
          </w:p>
        </w:tc>
      </w:tr>
      <w:tr>
        <w:trPr/>
        <w:tc>
          <w:tcPr>
            <w:tcW w:w="40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w:t>
            </w:r>
          </w:p>
        </w:tc>
      </w:tr>
      <w:tr>
        <w:trPr/>
        <w:tc>
          <w:tcPr>
            <w:tcW w:w="40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247.9</w:t>
            </w:r>
          </w:p>
        </w:tc>
      </w:tr>
      <w:tr>
        <w:trPr/>
        <w:tc>
          <w:tcPr>
            <w:tcW w:w="40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(117.4)</w:t>
            </w:r>
          </w:p>
        </w:tc>
      </w:tr>
      <w:tr>
        <w:trPr/>
        <w:tc>
          <w:tcPr>
            <w:tcW w:w="40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end of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130.5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1" w:type="dxa"/>
            <w:tcBorders/>
            <w:vAlign w:val="center"/>
          </w:tcPr>
          <w:p>
            <w:pPr>
              <w:pStyle w:val="TableContents"/>
              <w:bidi w:val="0"/>
              <w:spacing w:before="0" w:after="283"/>
              <w:jc w:val="left"/>
              <w:rPr/>
            </w:pPr>
            <w:r>
              <w:rPr>
                <w:rFonts w:ascii="Times New Roman;Times;serif" w:hAnsi="Times New Roman;Times;serif"/>
                <w:b w:val="false"/>
                <w:i/>
                <w:sz w:val="20"/>
              </w:rPr>
              <w:t xml:space="preserve">Changes in Net Cash Provided by Operating Activities: </w:t>
            </w:r>
            <w:r>
              <w:rPr>
                <w:rFonts w:ascii="Times New Roman;Times;serif" w:hAnsi="Times New Roman;Times;serif"/>
                <w:b w:val="false"/>
                <w:i w:val="false"/>
                <w:caps w:val="false"/>
                <w:smallCaps w:val="false"/>
                <w:sz w:val="20"/>
              </w:rPr>
              <w:t>Changes in net cash provided by operating activities for the years ended December 31, 2025, 2024 and 2023 were as follows:</w:t>
            </w:r>
          </w:p>
        </w:tc>
      </w:tr>
    </w:tbl>
    <w:tbl>
      <w:tblPr>
        <w:tblW w:w="7275" w:type="dxa"/>
        <w:jc w:val="left"/>
        <w:tblInd w:w="0" w:type="dxa"/>
        <w:tblLayout w:type="fixed"/>
        <w:tblCellMar>
          <w:top w:w="0" w:type="dxa"/>
          <w:left w:w="0" w:type="dxa"/>
          <w:bottom w:w="0" w:type="dxa"/>
          <w:right w:w="0" w:type="dxa"/>
        </w:tblCellMar>
      </w:tblPr>
      <w:tblGrid>
        <w:gridCol w:w="4951"/>
        <w:gridCol w:w="346"/>
        <w:gridCol w:w="211"/>
        <w:gridCol w:w="691"/>
        <w:gridCol w:w="146"/>
        <w:gridCol w:w="221"/>
        <w:gridCol w:w="709"/>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143885" cy="175260"/>
                      <wp:effectExtent l="0" t="0" r="0" b="0"/>
                      <wp:wrapNone/>
                      <wp:docPr id="179" name="Frame176"/>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38785" cy="175260"/>
                      <wp:effectExtent l="0" t="0" r="0" b="0"/>
                      <wp:wrapNone/>
                      <wp:docPr id="182" name="Frame1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2710" cy="175260"/>
                      <wp:effectExtent l="0" t="0" r="0" b="0"/>
                      <wp:wrapNone/>
                      <wp:docPr id="183" name="Frame1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40335" cy="175260"/>
                      <wp:effectExtent l="0" t="0" r="0" b="0"/>
                      <wp:wrapNone/>
                      <wp:docPr id="184" name="Frame18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50215" cy="175260"/>
                      <wp:effectExtent l="0" t="0" r="0" b="0"/>
                      <wp:wrapNone/>
                      <wp:docPr id="185" name="Frame182"/>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2025-2024</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2024-2023</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1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1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related changes,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and distribution from SSAT,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1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accruals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1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 and liabilities,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1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amortization of 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1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deferred dry-docking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w:t>
            </w:r>
          </w:p>
        </w:tc>
        <w:tc>
          <w:tcPr>
            <w:tcW w:w="1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257.3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SSAT was $32.5 million for the year ended December 31, 2025, compared to a loss from SSAT of $1.0 million in the prior year, which included the Company’s portion of an impairment charge of $18.4 million related to the write-down of a terminal operating lease asset. Excluding this impairment charge, the increase in income from SSAT was due to higher operating profits generated by SSAT during the year ended December 31, 2025 due to increased lift volume. No impairment charge was recorded by SSAT during the year ended December 31, 2025. Cash dividends received from SSAT was $21.0 million for the year ended December 31, 2025, compared to $14.0 million in the prior year. Cash distributions from SSAT are dependent on the level of cash available for distribution after consideration of SSAT’s operational and capital needs. Changes in accounts receivable were primarily due to the timing of collections associated with those receivables. Changes in prepaid expenses and other assets were primarily due to a decrease in prepaid income tax receivables at December 31, 2024 due to a refund of $118.6 million related to the Company’s 2021 federal tax return that was received during the year ended December 31, 2024. Changes in accounts payable, accruals and other liabilities were primarily due to the timing of payments associated with those liabilities. Changes in operating lease assets and liabilities, net, were primarily due to new operating leases entered into during the year ended December 31, 2025, offset by lease payments and operating leases that expired during the same year. Deferred dry-docking payments were $49.4 million for the year ended December 31, 2025, compared to $30.2 million in the prior year. The increase in deferred dry-docking payments was due to an increase in vessel drydock related activities during the year ended December 31, 2025. Changes in other long-term liabilities primarily related to payments of pension and post-retirement liabilities, and multi-employer liabilities.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8" w:type="dxa"/>
            <w:tcBorders/>
            <w:vAlign w:val="center"/>
          </w:tcPr>
          <w:p>
            <w:pPr>
              <w:pStyle w:val="TableContents"/>
              <w:bidi w:val="0"/>
              <w:spacing w:before="0" w:after="283"/>
              <w:jc w:val="left"/>
              <w:rPr/>
            </w:pPr>
            <w:r>
              <w:rPr>
                <w:rFonts w:ascii="Times New Roman;Times;serif" w:hAnsi="Times New Roman;Times;serif"/>
                <w:b w:val="false"/>
                <w:i/>
                <w:sz w:val="20"/>
              </w:rPr>
              <w:t>Changes in Net Cash Used in Investing Activities:</w:t>
            </w:r>
            <w:r>
              <w:rPr>
                <w:caps w:val="false"/>
                <w:smallCaps w:val="false"/>
              </w:rPr>
              <w:t xml:space="preserve"> </w:t>
            </w:r>
            <w:r>
              <w:rPr>
                <w:rFonts w:ascii="Times New Roman;Times;serif" w:hAnsi="Times New Roman;Times;serif"/>
                <w:b w:val="false"/>
                <w:i w:val="false"/>
                <w:caps w:val="false"/>
                <w:smallCaps w:val="false"/>
                <w:sz w:val="20"/>
              </w:rPr>
              <w:t>Changes in net cash used in investing activities for the years ended December 31, 2025, 2024 and 2023 were as follows:</w:t>
            </w:r>
          </w:p>
        </w:tc>
      </w:tr>
    </w:tbl>
    <w:tbl>
      <w:tblPr>
        <w:tblW w:w="7830" w:type="dxa"/>
        <w:jc w:val="left"/>
        <w:tblInd w:w="0" w:type="dxa"/>
        <w:tblLayout w:type="fixed"/>
        <w:tblCellMar>
          <w:top w:w="0" w:type="dxa"/>
          <w:left w:w="0" w:type="dxa"/>
          <w:bottom w:w="0" w:type="dxa"/>
          <w:right w:w="0" w:type="dxa"/>
        </w:tblCellMar>
      </w:tblPr>
      <w:tblGrid>
        <w:gridCol w:w="5506"/>
        <w:gridCol w:w="346"/>
        <w:gridCol w:w="211"/>
        <w:gridCol w:w="691"/>
        <w:gridCol w:w="146"/>
        <w:gridCol w:w="233"/>
        <w:gridCol w:w="697"/>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496310" cy="175260"/>
                      <wp:effectExtent l="0" t="0" r="0" b="0"/>
                      <wp:wrapNone/>
                      <wp:docPr id="186" name="Frame183"/>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38785" cy="175260"/>
                      <wp:effectExtent l="0" t="0" r="0" b="0"/>
                      <wp:wrapNone/>
                      <wp:docPr id="189" name="Frame1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2710" cy="175260"/>
                      <wp:effectExtent l="0" t="0" r="0" b="0"/>
                      <wp:wrapNone/>
                      <wp:docPr id="190" name="Frame1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7955" cy="175260"/>
                      <wp:effectExtent l="0" t="0" r="0" b="0"/>
                      <wp:wrapNone/>
                      <wp:docPr id="191" name="Frame18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42595" cy="175260"/>
                      <wp:effectExtent l="0" t="0" r="0" b="0"/>
                      <wp:wrapNone/>
                      <wp:docPr id="192" name="Frame189"/>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2025-2024</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2024-2023</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and interest into the CCF</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Withdrawals from CCF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c>
          <w:tcPr>
            <w:tcW w:w="1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construction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c>
          <w:tcPr>
            <w:tcW w:w="1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(excluding vessel construction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1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 net,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asset 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1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31, 2025, cash deposits into the CCF included $100.7 million from the repurchase of assigned accounts receivables and $17.9 million of interest income, compared to $50.0 million of cash deposits, $53.8 million from the repurchase of assigned accounts receivable and $16.9 million of interest income in the prior year, respectively. During the year ended December 31, 2025, cash withdrawals from the CCF for the payment of vessel construction milestone payments were $237.3 million, compared to $89.6 million in the prior year. Capitalized vessel construction expenditures were $244.3 million for the year ended December 31, 2025, compared to $95.6 million in the prior year. The increase in capitalized vessel construction expenditures was due to the timing of milestone payments related to the Company’s fleet renewal program. Capital expenditures (excluding vessel construction expenditures) were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$149.1 million for the year ended December 31, 2025, compared to $214.5 million for the prior year. Capital expenditures for the year ended December 31, 2024 included costs associated with LNG installations and the reengining of an existing vessel, which were completed during that year. No comparable costs were incurred during the year ended December 31, 2025. Capital expenditures (excluding vessel construction expenditures) during the year ended December 31, 2025 included the purchase of containers, chassis and other terminal equipment to support the Company’s operating activities.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9" w:type="dxa"/>
            <w:tcBorders/>
            <w:vAlign w:val="center"/>
          </w:tcPr>
          <w:p>
            <w:pPr>
              <w:pStyle w:val="TableContents"/>
              <w:bidi w:val="0"/>
              <w:spacing w:before="0" w:after="283"/>
              <w:jc w:val="left"/>
              <w:rPr/>
            </w:pPr>
            <w:r>
              <w:rPr>
                <w:rFonts w:ascii="Times New Roman;Times;serif" w:hAnsi="Times New Roman;Times;serif"/>
                <w:b w:val="false"/>
                <w:i/>
                <w:sz w:val="20"/>
              </w:rPr>
              <w:t xml:space="preserve">Changes in Net Cash Used in Financing Activities: </w:t>
            </w:r>
            <w:r>
              <w:rPr>
                <w:rFonts w:ascii="Times New Roman;Times;serif" w:hAnsi="Times New Roman;Times;serif"/>
                <w:b w:val="false"/>
                <w:i w:val="false"/>
                <w:caps w:val="false"/>
                <w:smallCaps w:val="false"/>
                <w:sz w:val="20"/>
              </w:rPr>
              <w:t>Changes in net cash used in financing activities for the years ended December 31, 2025, 2024 and 2023 were as follows:</w:t>
            </w:r>
          </w:p>
        </w:tc>
      </w:tr>
    </w:tbl>
    <w:tbl>
      <w:tblPr>
        <w:tblW w:w="8100" w:type="dxa"/>
        <w:jc w:val="left"/>
        <w:tblInd w:w="0" w:type="dxa"/>
        <w:tblLayout w:type="fixed"/>
        <w:tblCellMar>
          <w:top w:w="0" w:type="dxa"/>
          <w:left w:w="0" w:type="dxa"/>
          <w:bottom w:w="0" w:type="dxa"/>
          <w:right w:w="0" w:type="dxa"/>
        </w:tblCellMar>
      </w:tblPr>
      <w:tblGrid>
        <w:gridCol w:w="5776"/>
        <w:gridCol w:w="346"/>
        <w:gridCol w:w="211"/>
        <w:gridCol w:w="691"/>
        <w:gridCol w:w="146"/>
        <w:gridCol w:w="233"/>
        <w:gridCol w:w="697"/>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667760" cy="175260"/>
                      <wp:effectExtent l="0" t="0" r="0" b="0"/>
                      <wp:wrapNone/>
                      <wp:docPr id="193" name="Frame190"/>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260"/>
                      <wp:effectExtent l="0" t="0" r="0" b="0"/>
                      <wp:wrapNone/>
                      <wp:docPr id="196" name="Frame1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2710" cy="175260"/>
                      <wp:effectExtent l="0" t="0" r="0" b="0"/>
                      <wp:wrapNone/>
                      <wp:docPr id="197" name="Frame1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47955" cy="175260"/>
                      <wp:effectExtent l="0" t="0" r="0" b="0"/>
                      <wp:wrapNone/>
                      <wp:docPr id="198" name="Frame19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42595" cy="175260"/>
                      <wp:effectExtent l="0" t="0" r="0" b="0"/>
                      <wp:wrapNone/>
                      <wp:docPr id="199" name="Frame196"/>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2025-2024</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2024-2023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Matson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1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fixed interest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withheld for taxes related to settlement of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of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1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paid $303.3 million to repurchase common stock during the year ended December 31, 2025, compared to $199.1 million in the prior year. The Company did not issue any new fixed interest debt during the years ended December 31, 2025 and 2024. The Company paid $39.7 million of scheduled fixed interest debt principal payments in each of the years ended December 31, 2025 and 2024. The value of shares withheld by the Company for taxes related to the settlement of restricted stock units was $16.4 million for the year ended December 31, 2025, compared to $17.6 million in the prior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w:t>
      </w:r>
      <w:r>
        <w:rPr>
          <w:rFonts w:ascii="Times New Roman;Times;serif" w:hAnsi="Times New Roman;Times;serif"/>
          <w:sz w:val="20"/>
        </w:rPr>
        <w:t xml:space="preserve"> The Company utilizes its CCF to fund milestone payments for the construction of new vessels. The Company’s CCF is described in Note 7 to the Consolidated Financial Statements. Cash on deposit and investments in the CCF as of December 31, 2025 and 2024 were as follows:</w:t>
      </w:r>
    </w:p>
    <w:p>
      <w:pPr>
        <w:pStyle w:val="TextBody"/>
        <w:bidi w:val="0"/>
        <w:spacing w:before="0" w:after="0"/>
        <w:ind w:left="0" w:right="0" w:hanging="0"/>
        <w:jc w:val="left"/>
        <w:rPr/>
      </w:pPr>
      <w:r>
        <w:rPr/>
        <w:t>​</w:t>
      </w:r>
    </w:p>
    <w:tbl>
      <w:tblPr>
        <w:tblW w:w="8815" w:type="dxa"/>
        <w:jc w:val="left"/>
        <w:tblInd w:w="0" w:type="dxa"/>
        <w:tblLayout w:type="fixed"/>
        <w:tblCellMar>
          <w:top w:w="0" w:type="dxa"/>
          <w:left w:w="0" w:type="dxa"/>
          <w:bottom w:w="0" w:type="dxa"/>
          <w:right w:w="0" w:type="dxa"/>
        </w:tblCellMar>
      </w:tblPr>
      <w:tblGrid>
        <w:gridCol w:w="6691"/>
        <w:gridCol w:w="109"/>
        <w:gridCol w:w="211"/>
        <w:gridCol w:w="571"/>
        <w:gridCol w:w="346"/>
        <w:gridCol w:w="211"/>
        <w:gridCol w:w="676"/>
      </w:tblGrid>
      <w:tr>
        <w:trPr/>
        <w:tc>
          <w:tcPr>
            <w:tcW w:w="6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248785" cy="175260"/>
                      <wp:effectExtent l="0" t="0" r="0" b="0"/>
                      <wp:wrapNone/>
                      <wp:docPr id="200" name="Frame197"/>
                      <a:graphic xmlns:a="http://schemas.openxmlformats.org/drawingml/2006/main">
                        <a:graphicData uri="http://schemas.microsoft.com/office/word/2010/wordprocessingShape">
                          <wps:wsp>
                            <wps:cNvSpPr txBox="1"/>
                            <wps:spPr>
                              <a:xfrm>
                                <a:off x="0" y="0"/>
                                <a:ext cx="424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62585" cy="175260"/>
                      <wp:effectExtent l="0" t="0" r="0" b="0"/>
                      <wp:wrapNone/>
                      <wp:docPr id="203" name="Frame2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29260" cy="175260"/>
                      <wp:effectExtent l="0" t="0" r="0" b="0"/>
                      <wp:wrapNone/>
                      <wp:docPr id="206" name="Frame2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 - Cash and cash equivalents, and investments account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on deposit in the CCF is invested in a U.S. Treasury obligations fund with daily liquidity. The CCF decreased by $109.9 million during the year ended December 31, 2025 due to vessel milestone payments of $237.3 million paid during the year ended December 31, 2025, offset by $100.7 million of cash deposited into the CCF for the repurchase of assigned accounts receivable, and interest income and investment accretion earned in the CCF.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xml:space="preserve"> The Company utilizes a mix of fixed and variable debt for liquidity and to fund the Company’s operations. The Company’s debt is described in Note 8 to the Consolidated Financial Statements in Item 8 of Part II. Total debt as of December 31, 2025 and 2024 is as follows:</w:t>
      </w:r>
    </w:p>
    <w:tbl>
      <w:tblPr>
        <w:tblW w:w="8867" w:type="dxa"/>
        <w:jc w:val="left"/>
        <w:tblInd w:w="0" w:type="dxa"/>
        <w:tblLayout w:type="fixed"/>
        <w:tblCellMar>
          <w:top w:w="0" w:type="dxa"/>
          <w:left w:w="0" w:type="dxa"/>
          <w:bottom w:w="0" w:type="dxa"/>
          <w:right w:w="0" w:type="dxa"/>
        </w:tblCellMar>
      </w:tblPr>
      <w:tblGrid>
        <w:gridCol w:w="5551"/>
        <w:gridCol w:w="109"/>
        <w:gridCol w:w="211"/>
        <w:gridCol w:w="571"/>
        <w:gridCol w:w="346"/>
        <w:gridCol w:w="211"/>
        <w:gridCol w:w="571"/>
        <w:gridCol w:w="346"/>
        <w:gridCol w:w="211"/>
        <w:gridCol w:w="586"/>
        <w:gridCol w:w="154"/>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524885" cy="175260"/>
                      <wp:effectExtent l="0" t="0" r="0" b="0"/>
                      <wp:wrapNone/>
                      <wp:docPr id="207" name="Frame204"/>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62585" cy="175260"/>
                      <wp:effectExtent l="0" t="0" r="0" b="0"/>
                      <wp:wrapNone/>
                      <wp:docPr id="210" name="Frame2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62585" cy="175260"/>
                      <wp:effectExtent l="0" t="0" r="0" b="0"/>
                      <wp:wrapNone/>
                      <wp:docPr id="213" name="Frame2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72110" cy="175260"/>
                      <wp:effectExtent l="0" t="0" r="0" b="0"/>
                      <wp:wrapNone/>
                      <wp:docPr id="216" name="Frame21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97790" cy="175260"/>
                      <wp:effectExtent l="0" t="0" r="0" b="0"/>
                      <wp:wrapNone/>
                      <wp:docPr id="217" name="Frame21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54" w:type="dxa"/>
            <w:tcBorders/>
            <w:vAlign w:val="center"/>
          </w:tcPr>
          <w:p>
            <w:pPr>
              <w:pStyle w:val="TableContents"/>
              <w:bidi w:val="0"/>
              <w:spacing w:before="0" w:after="0"/>
              <w:ind w:left="0" w:right="0" w:hanging="0"/>
              <w:jc w:val="left"/>
              <w:rPr/>
            </w:pPr>
            <w:r>
              <w:rPr/>
              <w:t>​</w: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54"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interest debt - Revolving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interest debt - Title XI debt and private placement term loans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154"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(excluding deferred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debt decreased by $39.7 million during the year ended December 31, 2025 compared to the prior year. The decrease in fixed interest debt was due to the scheduled debt repayments made during the year ended December 31, 2025. As of December 31, 2025, the Company had $544.3 million of unused capacity under the revolving credit facility, with a maturity date of July 23, 2030.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Working Capital:</w:t>
      </w:r>
      <w:r>
        <w:rPr>
          <w:rFonts w:ascii="Times New Roman;Times;serif" w:hAnsi="Times New Roman;Times;serif"/>
          <w:sz w:val="20"/>
        </w:rPr>
        <w:t xml:space="preserve"> The Company had a working capital deficit of $55.5 million at December 31, 2025, compared to a working capital surplus of $49.2 million at December 31, 2024. Working capital is primarily impacted by the amount of net cash provided by operating activities, the amount of capital expenditures, the amount and timing of collections associated with accounts receivable, prepaid expenses and other assets, and the amount and timing of payments associated with accounts payable, accruals, income taxes, debt and other liabilities. The decrease in the Company’s working capital during the year ended December 31, 2025 was due to a decrease in cash provided by operating activities and higher capital expenditures during the year.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Expenditures:</w:t>
      </w:r>
      <w:r>
        <w:rPr>
          <w:rFonts w:ascii="Times New Roman;Times;serif" w:hAnsi="Times New Roman;Times;serif"/>
          <w:sz w:val="20"/>
        </w:rPr>
        <w:t xml:space="preserve"> The Company expects to make the following capital expenditures during the years ending December 31, 2026, 2027 and 2028: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94"/>
        <w:gridCol w:w="346"/>
        <w:gridCol w:w="972"/>
        <w:gridCol w:w="346"/>
        <w:gridCol w:w="972"/>
        <w:gridCol w:w="346"/>
        <w:gridCol w:w="972"/>
        <w:gridCol w:w="157"/>
      </w:tblGrid>
      <w:tr>
        <w:trPr/>
        <w:tc>
          <w:tcPr>
            <w:tcW w:w="6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869690" cy="175260"/>
                      <wp:effectExtent l="0" t="0" r="0" b="0"/>
                      <wp:wrapNone/>
                      <wp:docPr id="218" name="Frame215"/>
                      <a:graphic xmlns:a="http://schemas.openxmlformats.org/drawingml/2006/main">
                        <a:graphicData uri="http://schemas.microsoft.com/office/word/2010/wordprocessingShape">
                          <wps:wsp>
                            <wps:cNvSpPr txBox="1"/>
                            <wps:spPr>
                              <a:xfrm>
                                <a:off x="0" y="0"/>
                                <a:ext cx="3869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17220" cy="175260"/>
                      <wp:effectExtent l="0" t="0" r="0" b="0"/>
                      <wp:wrapNone/>
                      <wp:docPr id="220" name="Frame217"/>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17220" cy="175260"/>
                      <wp:effectExtent l="0" t="0" r="0" b="0"/>
                      <wp:wrapNone/>
                      <wp:docPr id="222" name="Frame219"/>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17220" cy="175260"/>
                      <wp:effectExtent l="0" t="0" r="0" b="0"/>
                      <wp:wrapNone/>
                      <wp:docPr id="224" name="Frame221"/>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99695" cy="175260"/>
                      <wp:effectExtent l="0" t="0" r="0" b="0"/>
                      <wp:wrapNone/>
                      <wp:docPr id="225" name="Frame222"/>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0"/>
              <w:ind w:left="0" w:right="0" w:hanging="0"/>
              <w:jc w:val="left"/>
              <w:rPr/>
            </w:pPr>
            <w:r>
              <w:rPr/>
              <w:t>  ​ ​ ​</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157" w:type="dxa"/>
            <w:tcBorders/>
            <w:vAlign w:val="center"/>
          </w:tcPr>
          <w:p>
            <w:pPr>
              <w:pStyle w:val="TableContents"/>
              <w:bidi w:val="0"/>
              <w:spacing w:before="0" w:after="0"/>
              <w:ind w:left="0" w:right="0" w:hanging="0"/>
              <w:jc w:val="left"/>
              <w:rPr/>
            </w:pPr>
            <w:r>
              <w:rPr/>
              <w:t>​</w:t>
            </w:r>
          </w:p>
        </w:tc>
      </w:tr>
      <w:tr>
        <w:trPr/>
        <w:tc>
          <w:tcPr>
            <w:tcW w:w="60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milestone payments and related costs, owner’s items and change orders</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$425 </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$205 </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$25 </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60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and other capital expenditures</w:t>
            </w:r>
          </w:p>
        </w:tc>
        <w:tc>
          <w:tcPr>
            <w:tcW w:w="346" w:type="dxa"/>
            <w:tcBorders/>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150 - 170</w:t>
            </w:r>
          </w:p>
        </w:tc>
        <w:tc>
          <w:tcPr>
            <w:tcW w:w="346" w:type="dxa"/>
            <w:tcBorders/>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100 - 120</w:t>
            </w:r>
          </w:p>
        </w:tc>
        <w:tc>
          <w:tcPr>
            <w:tcW w:w="346" w:type="dxa"/>
            <w:tcBorders/>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100 - 120</w:t>
            </w:r>
          </w:p>
        </w:tc>
        <w:tc>
          <w:tcPr>
            <w:tcW w:w="157" w:type="dxa"/>
            <w:tcBorders/>
            <w:vAlign w:val="center"/>
          </w:tcPr>
          <w:p>
            <w:pPr>
              <w:pStyle w:val="TableContents"/>
              <w:bidi w:val="0"/>
              <w:spacing w:before="0" w:after="0"/>
              <w:ind w:left="0" w:right="0" w:hanging="0"/>
              <w:jc w:val="left"/>
              <w:rPr/>
            </w:pPr>
            <w:r>
              <w:rPr/>
              <w:t>​</w:t>
            </w:r>
          </w:p>
        </w:tc>
      </w:tr>
      <w:tr>
        <w:trPr/>
        <w:tc>
          <w:tcPr>
            <w:tcW w:w="60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Estimated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$575 - $595</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$305 - $325</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$125 - $145</w:t>
            </w:r>
          </w:p>
        </w:tc>
        <w:tc>
          <w:tcPr>
            <w:tcW w:w="157"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vessel construction milestone payments and related costs (including owner’s items and change orders) are for the Company’s construction of three new Aloha class vessels with expected delivery dates during the first quarter 2027, the third quarter 2027 and the second quarter 2028. Future construction milestone payments are expected to be financed with cash currently on deposit in the Company’s CCF, cash and cash equivalents on the Consolidated Balance Sheets, cash flows generated from future operations, borrowings available under the Company’s unsecured revolving credit facility or additional debt financings.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and other capital expenditures include amounts that the Company expects to spend on various capital projects, including capital expenditures related to the second and third phase of its program to modernize and renovate its terminal facility at Sand Island, Honolulu, Hawaii, repurchases of leased equipment, vessel capital maintenance and annual equipment purchases to support the Company’s operations. The Company expects to fund capital expenditures with cash and cash equivalents on the Consolidated Balance Sheets and through cash flows generated from future operating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year ended December 31, 2025, the Company repurchased approximately 2.7 million shares for a total cost of $307.4 million. The remaining number of shares that may be repurchased under the Company’s stock repurchase program was approximately 1.1 million shares at December 31, 2025.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CONTINGENCIES AND OFF-BALANCE SHEET ARRANGEMENTS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Commitments and Contingencies: </w:t>
      </w:r>
      <w:r>
        <w:rPr>
          <w:rFonts w:ascii="Times New Roman;Times;serif" w:hAnsi="Times New Roman;Times;serif"/>
          <w:sz w:val="20"/>
        </w:rPr>
        <w:t>A description of other commitments and contingencies is set forth in Note 9, Note 11 and Note 17 to the Consolidated Financial Statements in Item 8 of Part II below, and is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Off-balance Sheet Arrangements:</w:t>
      </w:r>
      <w:r>
        <w:rPr>
          <w:rFonts w:ascii="Times New Roman;Times;serif" w:hAnsi="Times New Roman;Times;serif"/>
          <w:sz w:val="20"/>
        </w:rPr>
        <w:t xml:space="preserve"> The Company is not currently party to any off-balance sheet arrangements that have, or are reasonably likely to have, a current or future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significant accounting policies are described in Note 2 to the Consolidated Financial Statements in Item 8 of Part II below.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in making accounting estimates about future events that may affect the amounts reported in the Consolidated Financial Statements and accompanying notes. Future events and their effects cannot be determined with certainty and actual results will, inevitably, differ from those accounting estimates. These differences could be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the Company could have used different estimates; and (ii) changes in those accounting estimates would have had a material impact on the financial condition or results of operations of the Company. The critical accounting policies and estimates considered in the preparation of the Company’s Consolidated Financial Statements are described below.</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Long-Lived Assets, Intangible Assets and Goodwill:</w:t>
      </w:r>
      <w:r>
        <w:rPr>
          <w:rFonts w:ascii="Times New Roman;Times;serif" w:hAnsi="Times New Roman;Times;serif"/>
          <w:sz w:val="20"/>
        </w:rPr>
        <w:t xml:space="preserve"> The Company evaluates its long-lived assets, 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Long-lived Assets and Finite-lived Intangible Assets: </w:t>
      </w:r>
      <w:r>
        <w:rPr>
          <w:rFonts w:ascii="Times New Roman;Times;serif" w:hAnsi="Times New Roman;Times;serif"/>
          <w:sz w:val="20"/>
        </w:rPr>
        <w:t xml:space="preserve">Long-lived assets and finite-lived intangible assets are grouped at the lowest level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and finite-lived intangible assets for impairment and determined that there was no impairment for the years ended December 31, 2025, 2024, and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Indefinite-life Intangible Assets and Goodwill:</w:t>
      </w:r>
      <w:r>
        <w:rPr>
          <w:rFonts w:ascii="Times New Roman;Times;serif" w:hAnsi="Times New Roman;Times;serif"/>
          <w:sz w:val="20"/>
        </w:rPr>
        <w:t xml:space="preserve"> The Company’s indefinite-life intangible assets include goodwill and a trade name, and are grouped at the lowest level reporting unit for which identifiable cash flows are available. In estimating the fair value of a reporting unit, the Company uses a combination of a discounted cash flow model and fair value based on market multiples of EBITDA. The discounted cash flow approach requires the Company to use a number of assumptions, including market factors specific to the business, the amount and timing of estimated future cash flows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makes judgments about the comparability of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 The Company has evaluated its indefinite-life intangible assets and goodwill for impairment and determined that there was no impairment for the years ended December 31, 2025, 2024, and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Insurance Related Liabilities:</w:t>
      </w:r>
      <w:r>
        <w:rPr>
          <w:rFonts w:ascii="Times New Roman;Times;serif" w:hAnsi="Times New Roman;Times;serif"/>
          <w:sz w:val="20"/>
        </w:rPr>
        <w:t xml:space="preserve"> The Company purchases insurance with deductibles or self-insured retentions to mitigate significant risks that it is exposed to. Such insurance includes, but is not limited to, employee health, workers’ compensation, marine liability, cybersecurity, auto liability and physical damage to property and equipment. For certain risks, the Company elects to not purchase insurance because of the excessive cost of such insurance, the perceived remoteness of the risk or insurance coverage is not commercially available. The Company retains the risk of loss for insurance deductibles and self-insured retentions, for amounts that exceed the limits of the Company’s insurance policies, and for other risks not covered by insurance.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When estimating its reserves for retained risks and related liabilities, the Company considers a number of factors, including historical claims experience, demographic factors, current trends, and analyses provided by independent third parties. Periodically, management reviews its assumptions and estimates used to determine the adequacy of the Company’s reserves for retained risks and other related liabilities. The Company’s retained risks and other related liabilities contain uncertainties because management is required to apply judgment and make long-term assumptions to estimate the ultimate cost to settle reported claims, and of claims incurred but not reported, as of the balance sheet date. Insurance related liabilities were $43.1 million and $52.8 million at December 31, 2025 and 2024, respectively. The Company’s estimate of insurance related liabilities could change if management uses different assumptions or if different conditions occur in future periods, however the Company does not expect any such change would have a material impact on the Company’s financial condition, results of operations or cash flows.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Pension and Post-Retirement Plans:</w:t>
      </w:r>
      <w:r>
        <w:rPr>
          <w:rFonts w:ascii="Times New Roman;Times;serif" w:hAnsi="Times New Roman;Times;serif"/>
          <w:sz w:val="20"/>
        </w:rPr>
        <w:t xml:space="preserve"> The estimation of the Company’s pension and post-retirement benefit expenses and liabilities requires the Company to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materially affect the Company’s financial condition or its future operating results. The effects of changing assumptions are included in unamortized net gains and losses, which directly affect accumulated other comprehensive income (loss). Additionally, these unamortized gains and losses are amortized and reclassified to income (loss) over future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information about the Company’s pension and post-retirement plans and assumptions used is included in Note 11 to the Consolidated Financial Statements in Item 8 of Part II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Income Taxes:</w:t>
      </w:r>
      <w:r>
        <w:rPr>
          <w:rFonts w:ascii="Times New Roman;Times;serif" w:hAnsi="Times New Roman;Times;serif"/>
          <w:sz w:val="20"/>
        </w:rPr>
        <w:t xml:space="preserve"> The Company’s income tax expense requires the Company to make various judgments and estimates. These judgments and estimates are applied in the calculation of taxable income, tax credits, tax benefits, CCF related tax deductions, foreign-derived deduction eligible income and other tax deductions, and in the calculation of certain deferred tax assets and liabilities, which arise from differences in the timing of recognition of revenue, costs and expenses for tax purposes. The calculation of deferred tax assets and liabilities may be impacted by various factors including but not limited to changes in tax rates; changes in tax laws, regulations, rulings and interpretations of existing tax laws; and changes in the evaluation of the Company’s ability to realize deferred tax assets including operating loss and tax credit carryforwards in future years. Significant changes to these judgments and estimates may result in an increase or decrease to the Company’s income taxes in a subsequent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information about the Company’s income taxes is included in Note 10 to the Consolidated Financial Statements in Item 8 of Part II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New Accounting Pronouncements:</w:t>
      </w:r>
      <w:r>
        <w:rPr>
          <w:rFonts w:ascii="Times New Roman;Times;serif" w:hAnsi="Times New Roman;Times;serif"/>
          <w:sz w:val="20"/>
        </w:rPr>
        <w:t xml:space="preserve"> See Note 2 to the Consolidated Financial Statements in Item 8 of Part II below for additional information on new accounting pronouncements.</w:t>
      </w:r>
    </w:p>
    <w:p>
      <w:pPr>
        <w:pStyle w:val="TextBody"/>
        <w:bidi w:val="0"/>
        <w:spacing w:before="0" w:after="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74" w:name="QUANTITATIVEANDQUALITATIVEDISCLOSURESABO"/>
      <w:bookmarkStart w:id="75" w:name="ITEM7A_793356"/>
      <w:bookmarkStart w:id="76" w:name="ITEM7A_QUANTITATIVEANDQUALITATIV_102019"/>
      <w:bookmarkStart w:id="77" w:name="_a4b72ccb_7702_4136_be0a_15105ec7ad8a"/>
      <w:bookmarkEnd w:id="74"/>
      <w:bookmarkEnd w:id="75"/>
      <w:bookmarkEnd w:id="76"/>
      <w:bookmarkEnd w:id="77"/>
      <w:r>
        <w:rPr>
          <w:rFonts w:ascii="Times New Roman;Times;serif" w:hAnsi="Times New Roman;Times;serif"/>
          <w:b/>
          <w:sz w:val="20"/>
        </w:rPr>
        <w:t>ITEM 7A.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78" w:name="_363717"/>
      <w:bookmarkEnd w:id="78"/>
      <w:r>
        <w:rPr>
          <w:rFonts w:ascii="Times New Roman;Times;serif" w:hAnsi="Times New Roman;Times;serif"/>
          <w:i/>
          <w:sz w:val="20"/>
        </w:rPr>
        <w:t>Debt and Interest Rate Risks:</w:t>
      </w:r>
      <w:r>
        <w:rPr>
          <w:rFonts w:ascii="Times New Roman;Times;serif" w:hAnsi="Times New Roman;Times;serif"/>
          <w:sz w:val="20"/>
        </w:rPr>
        <w:t xml:space="preserve"> The Company is exposed to changes in interest rates, primarily as a result of its borrowing and investing activities used to maintain liquidity and to fund business operations, including borrowings under its revolving credit facility, private placement term loans and Title XI debt. In order to manage its exposure to changes in interest rates, the Company utilizes a balanced mix of both fixed-rate and variable-rate debt with various maturity dates. The nature and amount of the Company’s outstanding debt are expected to fluctuate as a result of future business requirements, market conditions and other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than in certain events of default, the Company is not obligated to prepay its variable and fixed rate debt prior to maturity. For fixed rate debt, changes in market interest rates would not affect the Company’s financial condition, results of operations or cash flows.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information about the Company’s debt is included in Note 8 to the Consolidated Financial Statements in Item 8 of Part II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Investment Risks: </w:t>
      </w:r>
      <w:r>
        <w:rPr>
          <w:rFonts w:ascii="Times New Roman;Times;serif" w:hAnsi="Times New Roman;Times;serif"/>
          <w:sz w:val="20"/>
        </w:rPr>
        <w:t>The Company invests excess cash in short-term money market funds that purchase government securities, corporate debt securities or other deposit products. These money market funds and deposits maintain a weighted average maturity of less than 90 days. A one percent change in interest rates is not expected to have a material impact on the fair value of these investments or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may invest funds on deposit in the CCF in money market funds, U.S. Treasury Obligation Funds or other eligible credit-based investments for maturities of up to three years. A one percent change in interest rates is not expected to have a material impact on the fair value of these investments or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Foreign Currency Risks: </w:t>
      </w:r>
      <w:r>
        <w:rPr>
          <w:rFonts w:ascii="Times New Roman;Times;serif" w:hAnsi="Times New Roman;Times;serif"/>
          <w:sz w:val="20"/>
        </w:rPr>
        <w:t xml:space="preserve">The Company has no material exposure to foreign currency risks, although it is indirectly affected by changes in currency rates to the extent that changes in rates affect tourism in Hawaii, Guam, Alaska and other locations. Transactions related to the Company’s China and Japan services are primarily denominated in U.S. dollars, and therefore, a one percent change in the Chinese Yuan or Japanese Yen exchange rate would not have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material effect on the Company’s results of operations. Transactions related to the Company’s South Pacific service are primarily denominated in New Zealand dollars. A one percent change in the New Zealand dollar exchange rate is not expected to have a material effect on the Company’s financial condition, results of operations or cash flows.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9" w:name="FINANCIALSTATEMENTSANDSUPPLEMENTARYDATA_"/>
      <w:bookmarkStart w:id="80" w:name="ITEM8_661405"/>
      <w:bookmarkStart w:id="81" w:name="_31926fba_a0f6_4c9c_a633_9bd56012d55c"/>
      <w:bookmarkEnd w:id="79"/>
      <w:bookmarkEnd w:id="80"/>
      <w:bookmarkEnd w:id="81"/>
      <w:r>
        <w:rPr>
          <w:rFonts w:ascii="Times New Roman;Times;serif" w:hAnsi="Times New Roman;Times;serif"/>
          <w:b/>
          <w:sz w:val="20"/>
        </w:rPr>
        <w:t>ITEM 8. FINANCIAL STATEMENTS AND SUPPLEMENTARY DATA</w:t>
      </w:r>
    </w:p>
    <w:p>
      <w:pPr>
        <w:pStyle w:val="TextBody"/>
        <w:bidi w:val="0"/>
        <w:spacing w:before="0" w:after="0"/>
        <w:ind w:left="0" w:right="0" w:hanging="0"/>
        <w:jc w:val="left"/>
        <w:rPr/>
      </w:pPr>
      <w:r>
        <w:rPr/>
        <w:t>​</w:t>
      </w:r>
    </w:p>
    <w:tbl>
      <w:tblPr>
        <w:tblW w:w="9398" w:type="dxa"/>
        <w:jc w:val="left"/>
        <w:tblInd w:w="0" w:type="dxa"/>
        <w:tblLayout w:type="fixed"/>
        <w:tblCellMar>
          <w:top w:w="0" w:type="dxa"/>
          <w:left w:w="0" w:type="dxa"/>
          <w:bottom w:w="0" w:type="dxa"/>
          <w:right w:w="0" w:type="dxa"/>
        </w:tblCellMar>
      </w:tblPr>
      <w:tblGrid>
        <w:gridCol w:w="4642"/>
        <w:gridCol w:w="717"/>
        <w:gridCol w:w="3468"/>
        <w:gridCol w:w="571"/>
      </w:tblGrid>
      <w:tr>
        <w:trPr/>
        <w:tc>
          <w:tcPr>
            <w:tcW w:w="535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402965" cy="175260"/>
                      <wp:effectExtent l="0" t="0" r="0" b="0"/>
                      <wp:wrapNone/>
                      <wp:docPr id="226" name="Frame223"/>
                      <a:graphic xmlns:a="http://schemas.openxmlformats.org/drawingml/2006/main">
                        <a:graphicData uri="http://schemas.microsoft.com/office/word/2010/wordprocessingShape">
                          <wps:wsp>
                            <wps:cNvSpPr txBox="1"/>
                            <wps:spPr>
                              <a:xfrm>
                                <a:off x="0" y="0"/>
                                <a:ext cx="340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02180" cy="175260"/>
                      <wp:effectExtent l="0" t="0" r="0" b="0"/>
                      <wp:wrapNone/>
                      <wp:docPr id="227" name="Frame224"/>
                      <a:graphic xmlns:a="http://schemas.openxmlformats.org/drawingml/2006/main">
                        <a:graphicData uri="http://schemas.microsoft.com/office/word/2010/wordprocessingShape">
                          <wps:wsp>
                            <wps:cNvSpPr txBox="1"/>
                            <wps:spPr>
                              <a:xfrm>
                                <a:off x="0" y="0"/>
                                <a:ext cx="2202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585" cy="29210"/>
                      <wp:effectExtent l="0" t="0" r="0" b="0"/>
                      <wp:wrapNone/>
                      <wp:docPr id="228" name="Frame225"/>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359" w:type="dxa"/>
            <w:gridSpan w:val="2"/>
            <w:tcBorders/>
            <w:vAlign w:val="center"/>
          </w:tcPr>
          <w:p>
            <w:pPr>
              <w:pStyle w:val="TableContents"/>
              <w:bidi w:val="0"/>
              <w:spacing w:before="0" w:after="0"/>
              <w:ind w:left="0" w:right="0" w:hanging="0"/>
              <w:jc w:val="left"/>
              <w:rPr/>
            </w:pPr>
            <w:r>
              <w:rPr/>
              <w:t>​</w:t>
            </w:r>
          </w:p>
        </w:tc>
        <w:tc>
          <w:tcPr>
            <w:tcW w:w="3468"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827" w:type="dxa"/>
            <w:gridSpan w:val="3"/>
            <w:tcBorders/>
            <w:vAlign w:val="center"/>
          </w:tcPr>
          <w:p>
            <w:pPr>
              <w:pStyle w:val="TableContents"/>
              <w:pBdr/>
              <w:bidi w:val="0"/>
              <w:spacing w:before="0" w:after="0"/>
              <w:ind w:left="0" w:right="0" w:hanging="0"/>
              <w:jc w:val="left"/>
              <w:rPr/>
            </w:pPr>
            <w:hyperlink w:anchor="MANAGEMENTSANNUALREPORTONINTERNALCONTROL">
              <w:r>
                <w:rPr>
                  <w:rStyle w:val="InternetLink"/>
                  <w:rFonts w:ascii="Times New Roman;Times;serif" w:hAnsi="Times New Roman;Times;serif"/>
                  <w:b w:val="false"/>
                  <w:i w:val="false"/>
                  <w:caps w:val="false"/>
                  <w:smallCaps w:val="false"/>
                  <w:sz w:val="20"/>
                  <w:shd w:fill="FFFFFF" w:val="clear"/>
                </w:rPr>
                <w:t>Management’s Annual Report on Internal Control Over Financial Reporting</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827" w:type="dxa"/>
            <w:gridSpan w:val="3"/>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shd w:fill="FFFFFF" w:val="clear"/>
                </w:rPr>
                <w:t>Report of Independent Registered Public Accounting Firm</w:t>
              </w:r>
            </w:hyperlink>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(PCAOB ID No. 34)</w:t>
            </w: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827" w:type="dxa"/>
            <w:gridSpan w:val="3"/>
            <w:tcBorders/>
            <w:vAlign w:val="center"/>
          </w:tcPr>
          <w:p>
            <w:pPr>
              <w:pStyle w:val="TableContents"/>
              <w:pBdr/>
              <w:bidi w:val="0"/>
              <w:spacing w:before="0" w:after="0"/>
              <w:ind w:left="0" w:right="0" w:hanging="0"/>
              <w:jc w:val="left"/>
              <w:rPr/>
            </w:pPr>
            <w:hyperlink w:anchor="COMPREHENSIVEINCOME_546819">
              <w:r>
                <w:rPr>
                  <w:rStyle w:val="InternetLink"/>
                  <w:rFonts w:ascii="Times New Roman;Times;serif" w:hAnsi="Times New Roman;Times;serif"/>
                  <w:b w:val="false"/>
                  <w:i w:val="false"/>
                  <w:caps w:val="false"/>
                  <w:smallCaps w:val="false"/>
                  <w:sz w:val="20"/>
                  <w:shd w:fill="FFFFFF" w:val="clear"/>
                </w:rPr>
                <w:t>Consolidated Statements of Income and Comprehensive Income</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827" w:type="dxa"/>
            <w:gridSpan w:val="3"/>
            <w:tcBorders/>
            <w:vAlign w:val="center"/>
          </w:tcPr>
          <w:p>
            <w:pPr>
              <w:pStyle w:val="TableContents"/>
              <w:pBdr/>
              <w:bidi w:val="0"/>
              <w:spacing w:before="0" w:after="0"/>
              <w:ind w:left="0" w:right="0" w:hanging="0"/>
              <w:jc w:val="left"/>
              <w:rPr/>
            </w:pPr>
            <w:hyperlink w:anchor="BALANCESHEETS_283230">
              <w:r>
                <w:rPr>
                  <w:rStyle w:val="InternetLink"/>
                  <w:rFonts w:ascii="Times New Roman;Times;serif" w:hAnsi="Times New Roman;Times;serif"/>
                  <w:b w:val="false"/>
                  <w:i w:val="false"/>
                  <w:caps w:val="false"/>
                  <w:smallCaps w:val="false"/>
                  <w:sz w:val="20"/>
                  <w:shd w:fill="FFFFFF" w:val="clear"/>
                </w:rPr>
                <w:t>Consolidated Balance Sheets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8827" w:type="dxa"/>
            <w:gridSpan w:val="3"/>
            <w:tcBorders/>
            <w:vAlign w:val="center"/>
          </w:tcPr>
          <w:p>
            <w:pPr>
              <w:pStyle w:val="TableContents"/>
              <w:pBdr/>
              <w:bidi w:val="0"/>
              <w:spacing w:before="0" w:after="0"/>
              <w:ind w:left="0" w:right="0" w:hanging="0"/>
              <w:jc w:val="left"/>
              <w:rPr/>
            </w:pPr>
            <w:hyperlink w:anchor="CASHFLOWS_951987">
              <w:r>
                <w:rPr>
                  <w:rStyle w:val="InternetLink"/>
                  <w:rFonts w:ascii="Times New Roman;Times;serif" w:hAnsi="Times New Roman;Times;serif"/>
                  <w:b w:val="false"/>
                  <w:i w:val="false"/>
                  <w:caps w:val="false"/>
                  <w:smallCaps w:val="false"/>
                  <w:sz w:val="20"/>
                  <w:shd w:fill="FFFFFF" w:val="clear"/>
                </w:rPr>
                <w:t>Consolidated Statements of Cash Flows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827" w:type="dxa"/>
            <w:gridSpan w:val="3"/>
            <w:tcBorders/>
            <w:vAlign w:val="center"/>
          </w:tcPr>
          <w:p>
            <w:pPr>
              <w:pStyle w:val="TableContents"/>
              <w:pBdr/>
              <w:bidi w:val="0"/>
              <w:spacing w:before="0" w:after="0"/>
              <w:ind w:left="0" w:right="0" w:hanging="0"/>
              <w:jc w:val="left"/>
              <w:rPr/>
            </w:pPr>
            <w:hyperlink w:anchor="SHAREHOLDERSEQUITY_21581">
              <w:r>
                <w:rPr>
                  <w:rStyle w:val="InternetLink"/>
                  <w:rFonts w:ascii="Times New Roman;Times;serif" w:hAnsi="Times New Roman;Times;serif"/>
                  <w:b w:val="false"/>
                  <w:i w:val="false"/>
                  <w:caps w:val="false"/>
                  <w:smallCaps w:val="false"/>
                  <w:sz w:val="20"/>
                  <w:shd w:fill="FFFFFF" w:val="clear"/>
                </w:rPr>
                <w:t>Consolidated Statements of Shareholders’ Equity</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8827" w:type="dxa"/>
            <w:gridSpan w:val="3"/>
            <w:tcBorders/>
            <w:vAlign w:val="center"/>
          </w:tcPr>
          <w:p>
            <w:pPr>
              <w:pStyle w:val="TableContents"/>
              <w:pBdr/>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827" w:type="dxa"/>
            <w:gridSpan w:val="3"/>
            <w:tcBorders/>
            <w:vAlign w:val="center"/>
          </w:tcPr>
          <w:p>
            <w:pPr>
              <w:pStyle w:val="TableContents"/>
              <w:pBdr/>
              <w:bidi w:val="0"/>
              <w:spacing w:before="0" w:after="0"/>
              <w:ind w:left="0" w:right="0" w:hanging="0"/>
              <w:jc w:val="left"/>
              <w:rPr/>
            </w:pPr>
            <w:hyperlink w:anchor="NOTESTOCONSOLIDATEDFINANCIALSTATEMENTS_2">
              <w:r>
                <w:rPr>
                  <w:rStyle w:val="InternetLink"/>
                  <w:rFonts w:ascii="Times New Roman;Times;serif" w:hAnsi="Times New Roman;Times;serif"/>
                  <w:b w:val="false"/>
                  <w:i w:val="false"/>
                  <w:caps w:val="false"/>
                  <w:smallCaps w:val="false"/>
                  <w:sz w:val="20"/>
                  <w:shd w:fill="FFFFFF" w:val="clear"/>
                </w:rPr>
                <w:t>Notes to Consolidated Financial Statements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4642" w:type="dxa"/>
            <w:tcBorders/>
            <w:vAlign w:val="center"/>
          </w:tcPr>
          <w:p>
            <w:pPr>
              <w:pStyle w:val="TableContents"/>
              <w:bidi w:val="0"/>
              <w:spacing w:before="0" w:after="0"/>
              <w:ind w:left="0" w:right="0" w:hanging="0"/>
              <w:jc w:val="left"/>
              <w:rPr/>
            </w:pPr>
            <w:hyperlink w:anchor="a1DESCRIPTIONOFTHEBUSINESS_129894">
              <w:r>
                <w:rPr>
                  <w:rStyle w:val="InternetLink"/>
                  <w:rFonts w:ascii="Times New Roman;Times;serif" w:hAnsi="Times New Roman;Times;serif"/>
                  <w:b w:val="false"/>
                  <w:i w:val="false"/>
                  <w:caps w:val="false"/>
                  <w:smallCaps w:val="false"/>
                  <w:sz w:val="20"/>
                </w:rPr>
                <w:t>1.</w:t>
              </w:r>
            </w:hyperlink>
          </w:p>
        </w:tc>
        <w:tc>
          <w:tcPr>
            <w:tcW w:w="4185" w:type="dxa"/>
            <w:gridSpan w:val="2"/>
            <w:tcBorders/>
            <w:vAlign w:val="center"/>
          </w:tcPr>
          <w:p>
            <w:pPr>
              <w:pStyle w:val="TableContents"/>
              <w:pBdr/>
              <w:bidi w:val="0"/>
              <w:spacing w:before="0" w:after="0"/>
              <w:ind w:left="0" w:right="0" w:hanging="0"/>
              <w:jc w:val="left"/>
              <w:rPr/>
            </w:pPr>
            <w:hyperlink w:anchor="a1DESCRIPTIONOFTHEBUSINESS_129894">
              <w:r>
                <w:rPr>
                  <w:rStyle w:val="InternetLink"/>
                  <w:rFonts w:ascii="Times New Roman;Times;serif" w:hAnsi="Times New Roman;Times;serif"/>
                  <w:b w:val="false"/>
                  <w:i w:val="false"/>
                  <w:caps w:val="false"/>
                  <w:smallCaps w:val="false"/>
                  <w:sz w:val="20"/>
                  <w:shd w:fill="FFFFFF" w:val="clear"/>
                </w:rPr>
                <w:t>Description of the Business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4642" w:type="dxa"/>
            <w:tcBorders/>
            <w:vAlign w:val="center"/>
          </w:tcPr>
          <w:p>
            <w:pPr>
              <w:pStyle w:val="TableContents"/>
              <w:bidi w:val="0"/>
              <w:spacing w:before="0" w:after="0"/>
              <w:ind w:left="0" w:right="0" w:hanging="0"/>
              <w:jc w:val="left"/>
              <w:rPr/>
            </w:pPr>
            <w:hyperlink w:anchor="a2SIGNIFICANTACCOUNTINGPOLICIES_513159">
              <w:r>
                <w:rPr>
                  <w:rStyle w:val="InternetLink"/>
                  <w:rFonts w:ascii="Times New Roman;Times;serif" w:hAnsi="Times New Roman;Times;serif"/>
                  <w:b w:val="false"/>
                  <w:i w:val="false"/>
                  <w:caps w:val="false"/>
                  <w:smallCaps w:val="false"/>
                  <w:sz w:val="20"/>
                </w:rPr>
                <w:t>2.</w:t>
              </w:r>
            </w:hyperlink>
          </w:p>
        </w:tc>
        <w:tc>
          <w:tcPr>
            <w:tcW w:w="4185" w:type="dxa"/>
            <w:gridSpan w:val="2"/>
            <w:tcBorders/>
            <w:vAlign w:val="center"/>
          </w:tcPr>
          <w:p>
            <w:pPr>
              <w:pStyle w:val="TableContents"/>
              <w:pBdr/>
              <w:bidi w:val="0"/>
              <w:spacing w:before="0" w:after="0"/>
              <w:ind w:left="0" w:right="0" w:hanging="0"/>
              <w:jc w:val="left"/>
              <w:rPr/>
            </w:pPr>
            <w:hyperlink w:anchor="a2SIGNIFICANTACCOUNTINGPOLICIES_513159">
              <w:r>
                <w:rPr>
                  <w:rStyle w:val="InternetLink"/>
                  <w:rFonts w:ascii="Times New Roman;Times;serif" w:hAnsi="Times New Roman;Times;serif"/>
                  <w:b w:val="false"/>
                  <w:i w:val="false"/>
                  <w:caps w:val="false"/>
                  <w:smallCaps w:val="false"/>
                  <w:sz w:val="20"/>
                  <w:shd w:fill="FFFFFF" w:val="clear"/>
                </w:rPr>
                <w:t>Significant Accounting Policies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4642" w:type="dxa"/>
            <w:tcBorders/>
            <w:vAlign w:val="center"/>
          </w:tcPr>
          <w:p>
            <w:pPr>
              <w:pStyle w:val="TableContents"/>
              <w:bidi w:val="0"/>
              <w:spacing w:before="0" w:after="0"/>
              <w:ind w:left="0" w:right="0" w:hanging="0"/>
              <w:jc w:val="left"/>
              <w:rPr/>
            </w:pPr>
            <w:hyperlink w:anchor="a3REPORTABLESEGMENTS_952046">
              <w:r>
                <w:rPr>
                  <w:rStyle w:val="InternetLink"/>
                  <w:rFonts w:ascii="Times New Roman;Times;serif" w:hAnsi="Times New Roman;Times;serif"/>
                  <w:b w:val="false"/>
                  <w:i w:val="false"/>
                  <w:caps w:val="false"/>
                  <w:smallCaps w:val="false"/>
                  <w:sz w:val="20"/>
                </w:rPr>
                <w:t>3.</w:t>
              </w:r>
            </w:hyperlink>
          </w:p>
        </w:tc>
        <w:tc>
          <w:tcPr>
            <w:tcW w:w="4185" w:type="dxa"/>
            <w:gridSpan w:val="2"/>
            <w:tcBorders/>
            <w:vAlign w:val="center"/>
          </w:tcPr>
          <w:p>
            <w:pPr>
              <w:pStyle w:val="TableContents"/>
              <w:pBdr/>
              <w:bidi w:val="0"/>
              <w:spacing w:before="0" w:after="0"/>
              <w:ind w:left="0" w:right="0" w:hanging="0"/>
              <w:jc w:val="left"/>
              <w:rPr/>
            </w:pPr>
            <w:hyperlink w:anchor="a3REPORTABLESEGMENTS_952046">
              <w:r>
                <w:rPr>
                  <w:rStyle w:val="InternetLink"/>
                  <w:rFonts w:ascii="Times New Roman;Times;serif" w:hAnsi="Times New Roman;Times;serif"/>
                  <w:b w:val="false"/>
                  <w:i w:val="false"/>
                  <w:caps w:val="false"/>
                  <w:smallCaps w:val="false"/>
                  <w:sz w:val="20"/>
                  <w:shd w:fill="FFFFFF" w:val="clear"/>
                </w:rPr>
                <w:t>Reportable Segments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4642" w:type="dxa"/>
            <w:tcBorders/>
            <w:vAlign w:val="center"/>
          </w:tcPr>
          <w:p>
            <w:pPr>
              <w:pStyle w:val="TableContents"/>
              <w:bidi w:val="0"/>
              <w:spacing w:before="0" w:after="0"/>
              <w:ind w:left="0" w:right="0" w:hanging="0"/>
              <w:jc w:val="left"/>
              <w:rPr/>
            </w:pPr>
            <w:hyperlink w:anchor="a4INVESTMENTINTERMINALJOINTVENTURE_40869">
              <w:r>
                <w:rPr>
                  <w:rStyle w:val="InternetLink"/>
                  <w:rFonts w:ascii="Times New Roman;Times;serif" w:hAnsi="Times New Roman;Times;serif"/>
                  <w:b w:val="false"/>
                  <w:i w:val="false"/>
                  <w:caps w:val="false"/>
                  <w:smallCaps w:val="false"/>
                  <w:sz w:val="20"/>
                </w:rPr>
                <w:t>4.</w:t>
              </w:r>
            </w:hyperlink>
          </w:p>
        </w:tc>
        <w:tc>
          <w:tcPr>
            <w:tcW w:w="4185" w:type="dxa"/>
            <w:gridSpan w:val="2"/>
            <w:tcBorders/>
            <w:vAlign w:val="center"/>
          </w:tcPr>
          <w:p>
            <w:pPr>
              <w:pStyle w:val="TableContents"/>
              <w:pBdr/>
              <w:bidi w:val="0"/>
              <w:spacing w:before="0" w:after="0"/>
              <w:ind w:left="0" w:right="0" w:hanging="0"/>
              <w:jc w:val="left"/>
              <w:rPr/>
            </w:pPr>
            <w:hyperlink w:anchor="a4INVESTMENTINTERMINALJOINTVENTURE_40869">
              <w:r>
                <w:rPr>
                  <w:rStyle w:val="InternetLink"/>
                  <w:rFonts w:ascii="Times New Roman;Times;serif" w:hAnsi="Times New Roman;Times;serif"/>
                  <w:b w:val="false"/>
                  <w:i w:val="false"/>
                  <w:caps w:val="false"/>
                  <w:smallCaps w:val="false"/>
                  <w:sz w:val="20"/>
                  <w:shd w:fill="FFFFFF" w:val="clear"/>
                </w:rPr>
                <w:t>Investment in SSAT</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4642" w:type="dxa"/>
            <w:tcBorders/>
            <w:vAlign w:val="center"/>
          </w:tcPr>
          <w:p>
            <w:pPr>
              <w:pStyle w:val="TableContents"/>
              <w:bidi w:val="0"/>
              <w:spacing w:before="0" w:after="0"/>
              <w:ind w:left="0" w:right="0" w:hanging="0"/>
              <w:jc w:val="left"/>
              <w:rPr/>
            </w:pPr>
            <w:hyperlink w:anchor="a5PROPERTYANDEQUIPMENT_789231">
              <w:r>
                <w:rPr>
                  <w:rStyle w:val="InternetLink"/>
                  <w:rFonts w:ascii="Times New Roman;Times;serif" w:hAnsi="Times New Roman;Times;serif"/>
                  <w:b w:val="false"/>
                  <w:i w:val="false"/>
                  <w:caps w:val="false"/>
                  <w:smallCaps w:val="false"/>
                  <w:sz w:val="20"/>
                </w:rPr>
                <w:t>5.</w:t>
              </w:r>
            </w:hyperlink>
          </w:p>
        </w:tc>
        <w:tc>
          <w:tcPr>
            <w:tcW w:w="4185" w:type="dxa"/>
            <w:gridSpan w:val="2"/>
            <w:tcBorders/>
            <w:vAlign w:val="center"/>
          </w:tcPr>
          <w:p>
            <w:pPr>
              <w:pStyle w:val="TableContents"/>
              <w:pBdr/>
              <w:bidi w:val="0"/>
              <w:spacing w:before="0" w:after="0"/>
              <w:ind w:left="0" w:right="0" w:hanging="0"/>
              <w:jc w:val="left"/>
              <w:rPr/>
            </w:pPr>
            <w:hyperlink w:anchor="a5PROPERTYANDEQUIPMENT_789231">
              <w:r>
                <w:rPr>
                  <w:rStyle w:val="InternetLink"/>
                  <w:rFonts w:ascii="Times New Roman;Times;serif" w:hAnsi="Times New Roman;Times;serif"/>
                  <w:b w:val="false"/>
                  <w:i w:val="false"/>
                  <w:caps w:val="false"/>
                  <w:smallCaps w:val="false"/>
                  <w:sz w:val="20"/>
                  <w:shd w:fill="FFFFFF" w:val="clear"/>
                </w:rPr>
                <w:t>Property and Equipment</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4642" w:type="dxa"/>
            <w:tcBorders/>
            <w:vAlign w:val="center"/>
          </w:tcPr>
          <w:p>
            <w:pPr>
              <w:pStyle w:val="TableContents"/>
              <w:bidi w:val="0"/>
              <w:spacing w:before="0" w:after="0"/>
              <w:ind w:left="0" w:right="0" w:hanging="0"/>
              <w:jc w:val="left"/>
              <w:rPr/>
            </w:pPr>
            <w:hyperlink w:anchor="a6GOODWILLANDINTANGIBLEASSETS_380716">
              <w:r>
                <w:rPr>
                  <w:rStyle w:val="InternetLink"/>
                  <w:rFonts w:ascii="Times New Roman;Times;serif" w:hAnsi="Times New Roman;Times;serif"/>
                  <w:b w:val="false"/>
                  <w:i w:val="false"/>
                  <w:caps w:val="false"/>
                  <w:smallCaps w:val="false"/>
                  <w:sz w:val="20"/>
                </w:rPr>
                <w:t>6.</w:t>
              </w:r>
            </w:hyperlink>
          </w:p>
        </w:tc>
        <w:tc>
          <w:tcPr>
            <w:tcW w:w="4185" w:type="dxa"/>
            <w:gridSpan w:val="2"/>
            <w:tcBorders/>
            <w:vAlign w:val="center"/>
          </w:tcPr>
          <w:p>
            <w:pPr>
              <w:pStyle w:val="TableContents"/>
              <w:pBdr/>
              <w:bidi w:val="0"/>
              <w:spacing w:before="0" w:after="0"/>
              <w:ind w:left="0" w:right="0" w:hanging="0"/>
              <w:jc w:val="left"/>
              <w:rPr/>
            </w:pPr>
            <w:hyperlink w:anchor="a6GOODWILLANDINTANGIBLEASSETS_380716">
              <w:r>
                <w:rPr>
                  <w:rStyle w:val="InternetLink"/>
                  <w:rFonts w:ascii="Times New Roman;Times;serif" w:hAnsi="Times New Roman;Times;serif"/>
                  <w:b w:val="false"/>
                  <w:i w:val="false"/>
                  <w:caps w:val="false"/>
                  <w:smallCaps w:val="false"/>
                  <w:sz w:val="20"/>
                  <w:shd w:fill="FFFFFF" w:val="clear"/>
                </w:rPr>
                <w:t>Goodwill and Intangible Assets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4642" w:type="dxa"/>
            <w:tcBorders/>
            <w:vAlign w:val="center"/>
          </w:tcPr>
          <w:p>
            <w:pPr>
              <w:pStyle w:val="TableContents"/>
              <w:bidi w:val="0"/>
              <w:spacing w:before="0" w:after="0"/>
              <w:ind w:left="0" w:right="0" w:hanging="0"/>
              <w:jc w:val="left"/>
              <w:rPr/>
            </w:pPr>
            <w:hyperlink w:anchor="a7CAPITALCONSTRUCTIONFUND_343778">
              <w:r>
                <w:rPr>
                  <w:rStyle w:val="InternetLink"/>
                  <w:rFonts w:ascii="Times New Roman;Times;serif" w:hAnsi="Times New Roman;Times;serif"/>
                  <w:b w:val="false"/>
                  <w:i w:val="false"/>
                  <w:caps w:val="false"/>
                  <w:smallCaps w:val="false"/>
                  <w:sz w:val="20"/>
                </w:rPr>
                <w:t>7.</w:t>
              </w:r>
            </w:hyperlink>
          </w:p>
        </w:tc>
        <w:tc>
          <w:tcPr>
            <w:tcW w:w="4185" w:type="dxa"/>
            <w:gridSpan w:val="2"/>
            <w:tcBorders/>
            <w:vAlign w:val="center"/>
          </w:tcPr>
          <w:p>
            <w:pPr>
              <w:pStyle w:val="TableContents"/>
              <w:pBdr/>
              <w:bidi w:val="0"/>
              <w:spacing w:before="0" w:after="0"/>
              <w:ind w:left="0" w:right="0" w:hanging="0"/>
              <w:jc w:val="left"/>
              <w:rPr/>
            </w:pPr>
            <w:hyperlink w:anchor="a7CAPITALCONSTRUCTIONFUND_343778">
              <w:r>
                <w:rPr>
                  <w:rStyle w:val="InternetLink"/>
                  <w:rFonts w:ascii="Times New Roman;Times;serif" w:hAnsi="Times New Roman;Times;serif"/>
                  <w:b w:val="false"/>
                  <w:i w:val="false"/>
                  <w:caps w:val="false"/>
                  <w:smallCaps w:val="false"/>
                  <w:sz w:val="20"/>
                  <w:shd w:fill="FFFFFF" w:val="clear"/>
                </w:rPr>
                <w:t>Capital Construction Fund</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4642" w:type="dxa"/>
            <w:tcBorders/>
            <w:vAlign w:val="center"/>
          </w:tcPr>
          <w:p>
            <w:pPr>
              <w:pStyle w:val="TableContents"/>
              <w:bidi w:val="0"/>
              <w:spacing w:before="0" w:after="0"/>
              <w:ind w:left="0" w:right="0" w:hanging="0"/>
              <w:jc w:val="left"/>
              <w:rPr/>
            </w:pPr>
            <w:hyperlink w:anchor="a8DEBT_898377">
              <w:r>
                <w:rPr>
                  <w:rStyle w:val="InternetLink"/>
                  <w:rFonts w:ascii="Times New Roman;Times;serif" w:hAnsi="Times New Roman;Times;serif"/>
                  <w:b w:val="false"/>
                  <w:i w:val="false"/>
                  <w:caps w:val="false"/>
                  <w:smallCaps w:val="false"/>
                  <w:sz w:val="20"/>
                </w:rPr>
                <w:t>8.</w:t>
              </w:r>
            </w:hyperlink>
          </w:p>
        </w:tc>
        <w:tc>
          <w:tcPr>
            <w:tcW w:w="4185" w:type="dxa"/>
            <w:gridSpan w:val="2"/>
            <w:tcBorders/>
            <w:vAlign w:val="center"/>
          </w:tcPr>
          <w:p>
            <w:pPr>
              <w:pStyle w:val="TableContents"/>
              <w:pBdr/>
              <w:bidi w:val="0"/>
              <w:spacing w:before="0" w:after="0"/>
              <w:ind w:left="0" w:right="0" w:hanging="0"/>
              <w:jc w:val="left"/>
              <w:rPr/>
            </w:pPr>
            <w:hyperlink w:anchor="a8DEBT_898377">
              <w:r>
                <w:rPr>
                  <w:rStyle w:val="InternetLink"/>
                  <w:rFonts w:ascii="Times New Roman;Times;serif" w:hAnsi="Times New Roman;Times;serif"/>
                  <w:b w:val="false"/>
                  <w:i w:val="false"/>
                  <w:caps w:val="false"/>
                  <w:smallCaps w:val="false"/>
                  <w:sz w:val="20"/>
                  <w:shd w:fill="FFFFFF" w:val="clear"/>
                </w:rPr>
                <w:t>Debt</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r>
      <w:tr>
        <w:trPr/>
        <w:tc>
          <w:tcPr>
            <w:tcW w:w="4642" w:type="dxa"/>
            <w:tcBorders/>
            <w:vAlign w:val="center"/>
          </w:tcPr>
          <w:p>
            <w:pPr>
              <w:pStyle w:val="TableContents"/>
              <w:bidi w:val="0"/>
              <w:spacing w:before="0" w:after="0"/>
              <w:ind w:left="0" w:right="0" w:hanging="0"/>
              <w:jc w:val="left"/>
              <w:rPr/>
            </w:pPr>
            <w:hyperlink w:anchor="a9LEASES_699746">
              <w:r>
                <w:rPr>
                  <w:rStyle w:val="InternetLink"/>
                  <w:rFonts w:ascii="Times New Roman;Times;serif" w:hAnsi="Times New Roman;Times;serif"/>
                  <w:b w:val="false"/>
                  <w:i w:val="false"/>
                  <w:caps w:val="false"/>
                  <w:smallCaps w:val="false"/>
                  <w:sz w:val="20"/>
                </w:rPr>
                <w:t>9.</w:t>
              </w:r>
            </w:hyperlink>
          </w:p>
        </w:tc>
        <w:tc>
          <w:tcPr>
            <w:tcW w:w="4185" w:type="dxa"/>
            <w:gridSpan w:val="2"/>
            <w:tcBorders/>
            <w:vAlign w:val="center"/>
          </w:tcPr>
          <w:p>
            <w:pPr>
              <w:pStyle w:val="TableContents"/>
              <w:pBdr/>
              <w:bidi w:val="0"/>
              <w:spacing w:before="0" w:after="0"/>
              <w:ind w:left="0" w:right="0" w:hanging="0"/>
              <w:jc w:val="left"/>
              <w:rPr/>
            </w:pPr>
            <w:hyperlink w:anchor="a9LEASES_699746">
              <w:r>
                <w:rPr>
                  <w:rStyle w:val="InternetLink"/>
                  <w:rFonts w:ascii="Times New Roman;Times;serif" w:hAnsi="Times New Roman;Times;serif"/>
                  <w:b w:val="false"/>
                  <w:i w:val="false"/>
                  <w:caps w:val="false"/>
                  <w:smallCaps w:val="false"/>
                  <w:sz w:val="20"/>
                  <w:shd w:fill="FFFFFF" w:val="clear"/>
                </w:rPr>
                <w:t>Leases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r>
      <w:tr>
        <w:trPr/>
        <w:tc>
          <w:tcPr>
            <w:tcW w:w="4642" w:type="dxa"/>
            <w:tcBorders/>
            <w:vAlign w:val="center"/>
          </w:tcPr>
          <w:p>
            <w:pPr>
              <w:pStyle w:val="TableContents"/>
              <w:bidi w:val="0"/>
              <w:spacing w:before="0" w:after="0"/>
              <w:ind w:left="0" w:right="0" w:hanging="0"/>
              <w:jc w:val="left"/>
              <w:rPr/>
            </w:pPr>
            <w:hyperlink w:anchor="a10INCOMETAXES_269654">
              <w:r>
                <w:rPr>
                  <w:rStyle w:val="InternetLink"/>
                  <w:rFonts w:ascii="Times New Roman;Times;serif" w:hAnsi="Times New Roman;Times;serif"/>
                  <w:b w:val="false"/>
                  <w:i w:val="false"/>
                  <w:caps w:val="false"/>
                  <w:smallCaps w:val="false"/>
                  <w:sz w:val="20"/>
                </w:rPr>
                <w:t>10.</w:t>
              </w:r>
            </w:hyperlink>
          </w:p>
        </w:tc>
        <w:tc>
          <w:tcPr>
            <w:tcW w:w="4185" w:type="dxa"/>
            <w:gridSpan w:val="2"/>
            <w:tcBorders/>
            <w:vAlign w:val="center"/>
          </w:tcPr>
          <w:p>
            <w:pPr>
              <w:pStyle w:val="TableContents"/>
              <w:pBdr/>
              <w:bidi w:val="0"/>
              <w:spacing w:before="0" w:after="0"/>
              <w:ind w:left="0" w:right="0" w:hanging="0"/>
              <w:jc w:val="left"/>
              <w:rPr/>
            </w:pPr>
            <w:hyperlink w:anchor="a10INCOMETAXES_269654">
              <w:r>
                <w:rPr>
                  <w:rStyle w:val="InternetLink"/>
                  <w:rFonts w:ascii="Times New Roman;Times;serif" w:hAnsi="Times New Roman;Times;serif"/>
                  <w:b w:val="false"/>
                  <w:i w:val="false"/>
                  <w:caps w:val="false"/>
                  <w:smallCaps w:val="false"/>
                  <w:sz w:val="20"/>
                  <w:shd w:fill="FFFFFF" w:val="clear"/>
                </w:rPr>
                <w:t>Income Taxes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4642" w:type="dxa"/>
            <w:tcBorders/>
            <w:vAlign w:val="center"/>
          </w:tcPr>
          <w:p>
            <w:pPr>
              <w:pStyle w:val="TableContents"/>
              <w:bidi w:val="0"/>
              <w:spacing w:before="0" w:after="0"/>
              <w:ind w:left="0" w:right="0" w:hanging="0"/>
              <w:jc w:val="left"/>
              <w:rPr/>
            </w:pPr>
            <w:hyperlink w:anchor="a11PENSIONANDPOSTRETIREMENTPLANS_828911">
              <w:r>
                <w:rPr>
                  <w:rStyle w:val="InternetLink"/>
                  <w:rFonts w:ascii="Times New Roman;Times;serif" w:hAnsi="Times New Roman;Times;serif"/>
                  <w:b w:val="false"/>
                  <w:i w:val="false"/>
                  <w:caps w:val="false"/>
                  <w:smallCaps w:val="false"/>
                  <w:sz w:val="20"/>
                </w:rPr>
                <w:t>11.</w:t>
              </w:r>
            </w:hyperlink>
          </w:p>
        </w:tc>
        <w:tc>
          <w:tcPr>
            <w:tcW w:w="4185" w:type="dxa"/>
            <w:gridSpan w:val="2"/>
            <w:tcBorders/>
            <w:vAlign w:val="center"/>
          </w:tcPr>
          <w:p>
            <w:pPr>
              <w:pStyle w:val="TableContents"/>
              <w:pBdr/>
              <w:bidi w:val="0"/>
              <w:spacing w:before="0" w:after="0"/>
              <w:ind w:left="0" w:right="0" w:hanging="0"/>
              <w:jc w:val="left"/>
              <w:rPr/>
            </w:pPr>
            <w:hyperlink w:anchor="a11PENSIONANDPOSTRETIREMENTPLANS_828911">
              <w:r>
                <w:rPr>
                  <w:rStyle w:val="InternetLink"/>
                  <w:rFonts w:ascii="Times New Roman;Times;serif" w:hAnsi="Times New Roman;Times;serif"/>
                  <w:b w:val="false"/>
                  <w:i w:val="false"/>
                  <w:caps w:val="false"/>
                  <w:smallCaps w:val="false"/>
                  <w:sz w:val="20"/>
                  <w:shd w:fill="FFFFFF" w:val="clear"/>
                </w:rPr>
                <w:t>Pension and Post-Retirement Plans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r>
      <w:tr>
        <w:trPr/>
        <w:tc>
          <w:tcPr>
            <w:tcW w:w="4642" w:type="dxa"/>
            <w:tcBorders/>
            <w:vAlign w:val="center"/>
          </w:tcPr>
          <w:p>
            <w:pPr>
              <w:pStyle w:val="TableContents"/>
              <w:bidi w:val="0"/>
              <w:spacing w:before="0" w:after="0"/>
              <w:ind w:left="0" w:right="0" w:hanging="0"/>
              <w:jc w:val="left"/>
              <w:rPr/>
            </w:pPr>
            <w:hyperlink w:anchor="a12MULTIEMPLOYERWITHDRAWALLIABILITY_1572">
              <w:r>
                <w:rPr>
                  <w:rStyle w:val="InternetLink"/>
                  <w:rFonts w:ascii="Times New Roman;Times;serif" w:hAnsi="Times New Roman;Times;serif"/>
                  <w:b w:val="false"/>
                  <w:i w:val="false"/>
                  <w:caps w:val="false"/>
                  <w:smallCaps w:val="false"/>
                  <w:sz w:val="20"/>
                </w:rPr>
                <w:t>12.</w:t>
              </w:r>
            </w:hyperlink>
          </w:p>
        </w:tc>
        <w:tc>
          <w:tcPr>
            <w:tcW w:w="4185" w:type="dxa"/>
            <w:gridSpan w:val="2"/>
            <w:tcBorders/>
            <w:vAlign w:val="center"/>
          </w:tcPr>
          <w:p>
            <w:pPr>
              <w:pStyle w:val="TableContents"/>
              <w:pBdr/>
              <w:bidi w:val="0"/>
              <w:spacing w:before="0" w:after="0"/>
              <w:ind w:left="0" w:right="0" w:hanging="0"/>
              <w:jc w:val="left"/>
              <w:rPr/>
            </w:pPr>
            <w:hyperlink w:anchor="a12MULTIEMPLOYERWITHDRAWALLIABILITY_1572">
              <w:r>
                <w:rPr>
                  <w:rStyle w:val="InternetLink"/>
                  <w:rFonts w:ascii="Times New Roman;Times;serif" w:hAnsi="Times New Roman;Times;serif"/>
                  <w:b w:val="false"/>
                  <w:i w:val="false"/>
                  <w:caps w:val="false"/>
                  <w:smallCaps w:val="false"/>
                  <w:sz w:val="20"/>
                  <w:shd w:fill="FFFFFF" w:val="clear"/>
                </w:rPr>
                <w:t>Multi-Employer Withdrawal Liabilities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r>
      <w:tr>
        <w:trPr/>
        <w:tc>
          <w:tcPr>
            <w:tcW w:w="4642" w:type="dxa"/>
            <w:tcBorders/>
            <w:vAlign w:val="center"/>
          </w:tcPr>
          <w:p>
            <w:pPr>
              <w:pStyle w:val="TableContents"/>
              <w:bidi w:val="0"/>
              <w:spacing w:before="0" w:after="0"/>
              <w:ind w:left="0" w:right="0" w:hanging="0"/>
              <w:jc w:val="left"/>
              <w:rPr/>
            </w:pPr>
            <w:hyperlink w:anchor="a13ACCUMULATEDOTHERCOMPREHENSIVEINCOMELO">
              <w:r>
                <w:rPr>
                  <w:rStyle w:val="InternetLink"/>
                  <w:rFonts w:ascii="Times New Roman;Times;serif" w:hAnsi="Times New Roman;Times;serif"/>
                  <w:b w:val="false"/>
                  <w:i w:val="false"/>
                  <w:caps w:val="false"/>
                  <w:smallCaps w:val="false"/>
                  <w:sz w:val="20"/>
                </w:rPr>
                <w:t>13.</w:t>
              </w:r>
            </w:hyperlink>
          </w:p>
        </w:tc>
        <w:tc>
          <w:tcPr>
            <w:tcW w:w="4185" w:type="dxa"/>
            <w:gridSpan w:val="2"/>
            <w:tcBorders/>
            <w:vAlign w:val="center"/>
          </w:tcPr>
          <w:p>
            <w:pPr>
              <w:pStyle w:val="TableContents"/>
              <w:bidi w:val="0"/>
              <w:spacing w:before="0" w:after="0"/>
              <w:ind w:left="0" w:right="0" w:hanging="0"/>
              <w:jc w:val="left"/>
              <w:rPr/>
            </w:pPr>
            <w:hyperlink w:anchor="a13ACCUMULATEDOTHERCOMPREHENSIVEINCOMELO">
              <w:r>
                <w:rPr>
                  <w:rStyle w:val="InternetLink"/>
                  <w:rFonts w:ascii="Times New Roman;Times;serif" w:hAnsi="Times New Roman;Times;serif"/>
                  <w:b w:val="false"/>
                  <w:i w:val="false"/>
                  <w:caps w:val="false"/>
                  <w:smallCaps w:val="false"/>
                  <w:sz w:val="20"/>
                  <w:shd w:fill="FFFFFF" w:val="clear"/>
                </w:rPr>
                <w:t>Accumulated Other Comprehensive Income (Loss)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r>
      <w:tr>
        <w:trPr/>
        <w:tc>
          <w:tcPr>
            <w:tcW w:w="4642" w:type="dxa"/>
            <w:tcBorders/>
            <w:vAlign w:val="center"/>
          </w:tcPr>
          <w:p>
            <w:pPr>
              <w:pStyle w:val="TableContents"/>
              <w:bidi w:val="0"/>
              <w:spacing w:before="0" w:after="0"/>
              <w:ind w:left="0" w:right="0" w:hanging="0"/>
              <w:jc w:val="left"/>
              <w:rPr/>
            </w:pPr>
            <w:hyperlink w:anchor="a14EARNINGSPERSHARE_521384">
              <w:r>
                <w:rPr>
                  <w:rStyle w:val="InternetLink"/>
                  <w:rFonts w:ascii="Times New Roman;Times;serif" w:hAnsi="Times New Roman;Times;serif"/>
                  <w:b w:val="false"/>
                  <w:i w:val="false"/>
                  <w:caps w:val="false"/>
                  <w:smallCaps w:val="false"/>
                  <w:sz w:val="20"/>
                </w:rPr>
                <w:t>14.</w:t>
              </w:r>
            </w:hyperlink>
          </w:p>
        </w:tc>
        <w:tc>
          <w:tcPr>
            <w:tcW w:w="4185" w:type="dxa"/>
            <w:gridSpan w:val="2"/>
            <w:tcBorders/>
            <w:vAlign w:val="center"/>
          </w:tcPr>
          <w:p>
            <w:pPr>
              <w:pStyle w:val="TableContents"/>
              <w:bidi w:val="0"/>
              <w:spacing w:before="0" w:after="0"/>
              <w:ind w:left="0" w:right="0" w:hanging="0"/>
              <w:jc w:val="left"/>
              <w:rPr/>
            </w:pPr>
            <w:hyperlink w:anchor="a14EARNINGSPERSHARE_521384">
              <w:r>
                <w:rPr>
                  <w:rStyle w:val="InternetLink"/>
                  <w:rFonts w:ascii="Times New Roman;Times;serif" w:hAnsi="Times New Roman;Times;serif"/>
                  <w:b w:val="false"/>
                  <w:i w:val="false"/>
                  <w:caps w:val="false"/>
                  <w:smallCaps w:val="false"/>
                  <w:sz w:val="20"/>
                  <w:shd w:fill="FFFFFF" w:val="clear"/>
                </w:rPr>
                <w:t>Earnings Per Share</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4642" w:type="dxa"/>
            <w:tcBorders/>
            <w:vAlign w:val="center"/>
          </w:tcPr>
          <w:p>
            <w:pPr>
              <w:pStyle w:val="TableContents"/>
              <w:bidi w:val="0"/>
              <w:spacing w:before="0" w:after="0"/>
              <w:ind w:left="0" w:right="0" w:hanging="0"/>
              <w:jc w:val="left"/>
              <w:rPr/>
            </w:pPr>
            <w:hyperlink w:anchor="a15SHAREDBASEDAWARDS_81471">
              <w:r>
                <w:rPr>
                  <w:rStyle w:val="InternetLink"/>
                  <w:rFonts w:ascii="Times New Roman;Times;serif" w:hAnsi="Times New Roman;Times;serif"/>
                  <w:b w:val="false"/>
                  <w:i w:val="false"/>
                  <w:caps w:val="false"/>
                  <w:smallCaps w:val="false"/>
                  <w:sz w:val="20"/>
                </w:rPr>
                <w:t>15.</w:t>
              </w:r>
            </w:hyperlink>
          </w:p>
        </w:tc>
        <w:tc>
          <w:tcPr>
            <w:tcW w:w="4185" w:type="dxa"/>
            <w:gridSpan w:val="2"/>
            <w:tcBorders/>
            <w:vAlign w:val="center"/>
          </w:tcPr>
          <w:p>
            <w:pPr>
              <w:pStyle w:val="TableContents"/>
              <w:bidi w:val="0"/>
              <w:spacing w:before="0" w:after="0"/>
              <w:ind w:left="0" w:right="0" w:hanging="0"/>
              <w:jc w:val="left"/>
              <w:rPr/>
            </w:pPr>
            <w:hyperlink w:anchor="a15SHAREDBASEDAWARDS_81471">
              <w:r>
                <w:rPr>
                  <w:rStyle w:val="InternetLink"/>
                  <w:rFonts w:ascii="Times New Roman;Times;serif" w:hAnsi="Times New Roman;Times;serif"/>
                  <w:b w:val="false"/>
                  <w:i w:val="false"/>
                  <w:caps w:val="false"/>
                  <w:smallCaps w:val="false"/>
                  <w:sz w:val="20"/>
                  <w:shd w:fill="FFFFFF" w:val="clear"/>
                </w:rPr>
                <w:t>Share-Based Awards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4642" w:type="dxa"/>
            <w:tcBorders/>
            <w:vAlign w:val="center"/>
          </w:tcPr>
          <w:p>
            <w:pPr>
              <w:pStyle w:val="TableContents"/>
              <w:bidi w:val="0"/>
              <w:spacing w:before="0" w:after="0"/>
              <w:ind w:left="0" w:right="0" w:hanging="0"/>
              <w:jc w:val="left"/>
              <w:rPr/>
            </w:pPr>
            <w:hyperlink w:anchor="a16FAIRVALUEOFFINANCIALINSTRUMENTS_1903">
              <w:r>
                <w:rPr>
                  <w:rStyle w:val="InternetLink"/>
                  <w:rFonts w:ascii="Times New Roman;Times;serif" w:hAnsi="Times New Roman;Times;serif"/>
                  <w:b w:val="false"/>
                  <w:i w:val="false"/>
                  <w:caps w:val="false"/>
                  <w:smallCaps w:val="false"/>
                  <w:sz w:val="20"/>
                </w:rPr>
                <w:t>16.</w:t>
              </w:r>
            </w:hyperlink>
          </w:p>
        </w:tc>
        <w:tc>
          <w:tcPr>
            <w:tcW w:w="4185" w:type="dxa"/>
            <w:gridSpan w:val="2"/>
            <w:tcBorders/>
            <w:vAlign w:val="center"/>
          </w:tcPr>
          <w:p>
            <w:pPr>
              <w:pStyle w:val="TableContents"/>
              <w:bidi w:val="0"/>
              <w:spacing w:before="0" w:after="0"/>
              <w:ind w:left="0" w:right="0" w:hanging="0"/>
              <w:jc w:val="left"/>
              <w:rPr/>
            </w:pPr>
            <w:hyperlink w:anchor="a16FAIRVALUEOFFINANCIALINSTRUMENTS_1903">
              <w:r>
                <w:rPr>
                  <w:rStyle w:val="InternetLink"/>
                  <w:rFonts w:ascii="Times New Roman;Times;serif" w:hAnsi="Times New Roman;Times;serif"/>
                  <w:b w:val="false"/>
                  <w:i w:val="false"/>
                  <w:caps w:val="false"/>
                  <w:smallCaps w:val="false"/>
                  <w:sz w:val="20"/>
                  <w:shd w:fill="FFFFFF" w:val="clear"/>
                </w:rPr>
                <w:t>Fair Value of Financial Instruments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r>
      <w:tr>
        <w:trPr/>
        <w:tc>
          <w:tcPr>
            <w:tcW w:w="4642" w:type="dxa"/>
            <w:tcBorders/>
            <w:vAlign w:val="center"/>
          </w:tcPr>
          <w:p>
            <w:pPr>
              <w:pStyle w:val="TableContents"/>
              <w:bidi w:val="0"/>
              <w:spacing w:before="0" w:after="0"/>
              <w:ind w:left="0" w:right="0" w:hanging="0"/>
              <w:jc w:val="left"/>
              <w:rPr/>
            </w:pPr>
            <w:hyperlink w:anchor="a17COMMITMENTSANDCONTINGENCIES_716468">
              <w:r>
                <w:rPr>
                  <w:rStyle w:val="InternetLink"/>
                  <w:rFonts w:ascii="Times New Roman;Times;serif" w:hAnsi="Times New Roman;Times;serif"/>
                  <w:b w:val="false"/>
                  <w:i w:val="false"/>
                  <w:caps w:val="false"/>
                  <w:smallCaps w:val="false"/>
                  <w:sz w:val="20"/>
                </w:rPr>
                <w:t>17.</w:t>
              </w:r>
            </w:hyperlink>
          </w:p>
        </w:tc>
        <w:tc>
          <w:tcPr>
            <w:tcW w:w="4185" w:type="dxa"/>
            <w:gridSpan w:val="2"/>
            <w:tcBorders/>
            <w:vAlign w:val="center"/>
          </w:tcPr>
          <w:p>
            <w:pPr>
              <w:pStyle w:val="TableContents"/>
              <w:pBdr/>
              <w:bidi w:val="0"/>
              <w:spacing w:before="0" w:after="0"/>
              <w:ind w:left="0" w:right="0" w:hanging="0"/>
              <w:jc w:val="left"/>
              <w:rPr/>
            </w:pPr>
            <w:hyperlink w:anchor="a17COMMITMENTSANDCONTINGENCIES_716468">
              <w:r>
                <w:rPr>
                  <w:rStyle w:val="InternetLink"/>
                  <w:rFonts w:ascii="Times New Roman;Times;serif" w:hAnsi="Times New Roman;Times;serif"/>
                  <w:b w:val="false"/>
                  <w:i w:val="false"/>
                  <w:caps w:val="false"/>
                  <w:smallCaps w:val="false"/>
                  <w:sz w:val="20"/>
                  <w:shd w:fill="FFFFFF" w:val="clear"/>
                </w:rPr>
                <w:t>Commitments and Contingencies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2" w:name="MANAGEMENTSANNUALREPORTONINTERNALCONTROL"/>
      <w:bookmarkStart w:id="83" w:name="_40539028_d2ed_446f_a394_6aeee5a9299f"/>
      <w:bookmarkEnd w:id="82"/>
      <w:bookmarkEnd w:id="83"/>
      <w:r>
        <w:rPr>
          <w:rFonts w:ascii="Times New Roman;Times;serif" w:hAnsi="Times New Roman;Times;serif"/>
          <w:b/>
          <w:sz w:val="20"/>
        </w:rPr>
        <w:t>MANAGEMENT’S ANNUAL REPORT ON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management of Matson, Inc. and subsidiaries (the “Company”) has the responsibility for establishing and maintaining adequate internal control over financial reporting. Internal control over financial reporting is defined in Rules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assets of the company;</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assessed the effectiveness of the Company’s internal control over financial reporting as of December 31, 2025. In making this assessment, management used the criteria set forth by the Committee of Sponsoring Organizations of the Treadway Commission (“COSO”) in </w:t>
      </w:r>
      <w:r>
        <w:rPr>
          <w:rFonts w:ascii="Times New Roman;Times;serif" w:hAnsi="Times New Roman;Times;serif"/>
          <w:i/>
          <w:sz w:val="20"/>
        </w:rPr>
        <w:t>Internal Control</w:t>
      </w:r>
      <w:r>
        <w:rPr>
          <w:rFonts w:ascii="Times New Roman;Times;serif" w:hAnsi="Times New Roman;Times;serif"/>
          <w:sz w:val="20"/>
        </w:rPr>
        <w:t xml:space="preserve"> — </w:t>
      </w:r>
      <w:r>
        <w:rPr>
          <w:rFonts w:ascii="Times New Roman;Times;serif" w:hAnsi="Times New Roman;Times;serif"/>
          <w:i/>
          <w:sz w:val="20"/>
        </w:rPr>
        <w:t>Integrated Framework (2013)</w:t>
      </w:r>
      <w:r>
        <w:rPr>
          <w:rFonts w:ascii="Times New Roman;Times;serif" w:hAnsi="Times New Roman;Times;serif"/>
          <w:sz w:val="20"/>
        </w:rPr>
        <w:t xml:space="preserve">. Based on its assessment, management believes that, as of December 31, 2025, the Company’s internal control over financial reporting is effective. The Company’s independent registered public accounting </w:t>
      </w:r>
      <w:r>
        <w:rPr>
          <w:rFonts w:ascii="Times New Roman;Times;serif" w:hAnsi="Times New Roman;Times;serif"/>
          <w:b w:val="false"/>
          <w:i w:val="false"/>
          <w:caps w:val="false"/>
          <w:smallCaps w:val="false"/>
          <w:sz w:val="20"/>
        </w:rPr>
        <w:t>firm</w:t>
      </w:r>
      <w:r>
        <w:rPr>
          <w:rFonts w:ascii="Times New Roman;Times;serif" w:hAnsi="Times New Roman;Times;serif"/>
          <w:sz w:val="20"/>
        </w:rPr>
        <w:t>, Deloitte &amp; Touche LLP, has issued an attestation report on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776" w:type="dxa"/>
        <w:jc w:val="left"/>
        <w:tblInd w:w="0" w:type="dxa"/>
        <w:tblLayout w:type="fixed"/>
        <w:tblCellMar>
          <w:top w:w="0" w:type="dxa"/>
          <w:left w:w="0" w:type="dxa"/>
          <w:bottom w:w="28" w:type="dxa"/>
          <w:right w:w="0" w:type="dxa"/>
        </w:tblCellMar>
      </w:tblPr>
      <w:tblGrid>
        <w:gridCol w:w="3226"/>
        <w:gridCol w:w="109"/>
        <w:gridCol w:w="4441"/>
      </w:tblGrid>
      <w:tr>
        <w:trPr/>
        <w:tc>
          <w:tcPr>
            <w:tcW w:w="3226"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4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32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r>
      <w:tr>
        <w:trPr/>
        <w:tc>
          <w:tcPr>
            <w:tcW w:w="32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32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2026</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left"/>
        <w:rPr>
          <w:rFonts w:ascii="Times New Roman;Times;serif" w:hAnsi="Times New Roman;Times;serif"/>
          <w:b/>
          <w:sz w:val="19"/>
        </w:rPr>
      </w:pPr>
      <w:bookmarkStart w:id="84" w:name="REPORTOFINDEPENDENTREGISTEREDPUBLICACCOU"/>
      <w:bookmarkStart w:id="85" w:name="_24ee3801_b4ab_40e1_9051_4dded09f37ab"/>
      <w:bookmarkEnd w:id="84"/>
      <w:bookmarkEnd w:id="85"/>
      <w:r>
        <w:rPr>
          <w:rFonts w:ascii="Times New Roman;Times;serif" w:hAnsi="Times New Roman;Times;serif"/>
          <w:b/>
          <w:sz w:val="19"/>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 the Board of Directors and the shareholders of Matson,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Opinions on the Financial Statements and Internal Control over Financial Reporting</w:t>
      </w:r>
      <w:r>
        <w:rPr>
          <w:rFonts w:ascii="Times New Roman;Times;serif" w:hAnsi="Times New Roman;Times;serif"/>
          <w:sz w:val="19"/>
        </w:rPr>
        <w:br/>
        <w:t xml:space="preserve">We have audited the accompanying consolidated balance sheets of Matson, Inc. and subsidiaries (the “Company”) as of December 31, 2025 and 2024, the related consolidated statements of income and comprehensive income, shareholders’ equity, and cash flows, for each of the three years in the period ended December 31, 2025, and the related notes (collectively referred to as the “financial statements”). We also have audited the Company’s internal control over financial reporting as of December 31, 2025, based on criteria established in </w:t>
      </w:r>
      <w:r>
        <w:rPr>
          <w:rFonts w:ascii="Times New Roman;Times;serif" w:hAnsi="Times New Roman;Times;serif"/>
          <w:i/>
          <w:sz w:val="19"/>
        </w:rPr>
        <w:t>Internal Control — Integrated Framework (2013)</w:t>
      </w:r>
      <w:r>
        <w:rPr>
          <w:rFonts w:ascii="Times New Roman;Times;serif" w:hAnsi="Times New Roman;Times;serif"/>
          <w:sz w:val="18"/>
        </w:rPr>
        <w:t xml:space="preserve"> </w:t>
      </w:r>
      <w:r>
        <w:rPr>
          <w:rFonts w:ascii="Times New Roman;Times;serif" w:hAnsi="Times New Roman;Times;serif"/>
          <w:sz w:val="19"/>
        </w:rPr>
        <w:t>issued by the Committee of Sponsoring Organizations of the Treadway Commission (“COSO”).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Times;serif" w:hAnsi="Times New Roman;Times;serif"/>
          <w:i/>
          <w:sz w:val="19"/>
        </w:rPr>
        <w:t>Internal Control — Integrated Framework (2013)</w:t>
      </w:r>
      <w:r>
        <w:rPr>
          <w:rFonts w:ascii="Times New Roman;Times;serif" w:hAnsi="Times New Roman;Times;serif"/>
          <w:sz w:val="18"/>
        </w:rPr>
        <w:t xml:space="preserve"> </w:t>
      </w:r>
      <w:r>
        <w:rPr>
          <w:rFonts w:ascii="Times New Roman;Times;serif" w:hAnsi="Times New Roman;Times;serif"/>
          <w:sz w:val="19"/>
        </w:rPr>
        <w:t>issued by COSO.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Basis for Opinions</w:t>
      </w:r>
      <w:r>
        <w:rPr>
          <w:rFonts w:ascii="Times New Roman;Times;serif" w:hAnsi="Times New Roman;Times;serif"/>
          <w:sz w:val="19"/>
        </w:rPr>
        <w:b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Definition and Limitations of Internal Control over Financial Reporting</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Critical Audit Matter</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The critical audit matter communicated below is a matter arising from the current-period audit of the financial statements that was communicated or required to be communicated to the audit committee and that (1) relates to accounts or disclosures that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19"/>
        </w:rPr>
      </w:pPr>
      <w:r>
        <w:rPr>
          <w:rFonts w:ascii="Times New Roman;Times;serif" w:hAnsi="Times New Roman;Times;serif"/>
          <w:b/>
          <w:i/>
          <w:sz w:val="19"/>
        </w:rPr>
        <w:t>Goodwill – Span Alaska Reporting Unit — Refer to Notes 2 and 6 to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19"/>
        </w:rPr>
      </w:pPr>
      <w:r>
        <w:rPr>
          <w:rFonts w:ascii="Times New Roman;Times;serif" w:hAnsi="Times New Roman;Times;serif"/>
          <w:i/>
          <w:sz w:val="19"/>
        </w:rPr>
        <w:t xml:space="preserve">Critical Audit Matter Description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The Company’s evaluation of goodwill for impairment involves the comparison of the fair value of each reporting unit to its carrying value. In estimating the fair value of a reporting unit, the Company uses a combination of a discounted cash flow model and fair value based on market multiples of earnings before interest, taxes, depreciation and amortization (“EBITDA”). The discounted cash flow approach requires the Company to make several business and valuation assumptions, including, but not limited to, those related to the discount rate. Changes in assumptions and estimates could have a material effect on either the fair value, the amount of any goodwill impairment charge, or both. The goodwill balance was $327.8 million as of December 31, 2025, of which $78.6 million is allocated to the Span Alaska reporting unit in the Logistics reportable segment, resulting from the acquisition of Span Intermediate, LLC (“Span Alaska”) in fiscal year 2016. The Company has evaluated its goodwill for impairment as part of its annual assessment in fiscal year 2025 and determined that the fair value of the Span Alaska reporting unit exceeded the carrying amount as of the date of the impairment review.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9"/>
        </w:rPr>
        <w:t>We identified goodwill related to Span Alaska as a critical audit matter because of the significant estimates and assumptions management made to estimate the fair value of the Span Alaska</w:t>
      </w:r>
      <w:r>
        <w:rPr>
          <w:rFonts w:ascii="Times New Roman;Times;serif" w:hAnsi="Times New Roman;Times;serif"/>
          <w:sz w:val="18"/>
        </w:rPr>
        <w:t xml:space="preserve"> </w:t>
      </w:r>
      <w:r>
        <w:rPr>
          <w:rFonts w:ascii="Times New Roman;Times;serif" w:hAnsi="Times New Roman;Times;serif"/>
          <w:sz w:val="19"/>
        </w:rPr>
        <w:t>reporting unit. Specifically, performing audit procedures to evaluate the reasonableness of management’s estimates and assumptions related to the selection of the discount rate required a high degree of auditor judgment and an increased extent of effort, including the need to involve our fair value specialists.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19"/>
        </w:rPr>
      </w:pPr>
      <w:r>
        <w:rPr>
          <w:rFonts w:ascii="Times New Roman;Times;serif" w:hAnsi="Times New Roman;Times;serif"/>
          <w:i/>
          <w:sz w:val="19"/>
        </w:rPr>
        <w:t>How the Critical Audit Matter Was Addressed in the Audit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Our audit procedures related to the selection of the discount rate for Span Alaska included the following, among others: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9"/>
              </w:rPr>
              <w:t>We tested the effectiveness of controls over management’s goodwill impairment evaluation, including those over the selection of the discount rate.</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6" w:name="Tc_LnmpqsGhRE2wg3iR4t3fPQ_5_0"/>
      <w:bookmarkStart w:id="87" w:name="Tc_kfdMWrMDuEuInNQ6a3L0zw_3_0"/>
      <w:bookmarkStart w:id="88" w:name="Tc_i4-9Aq_zaE-oF6AJk_t_aA_1_0"/>
      <w:bookmarkStart w:id="89" w:name="_2adb934c_4464_4727_b261_7962055d7d61"/>
      <w:bookmarkStart w:id="90" w:name="Tc_LnmpqsGhRE2wg3iR4t3fPQ_5_0"/>
      <w:bookmarkStart w:id="91" w:name="Tc_kfdMWrMDuEuInNQ6a3L0zw_3_0"/>
      <w:bookmarkStart w:id="92" w:name="Tc_i4-9Aq_zaE-oF6AJk_t_aA_1_0"/>
      <w:bookmarkStart w:id="93" w:name="_2adb934c_4464_4727_b261_7962055d7d61"/>
      <w:bookmarkEnd w:id="90"/>
      <w:bookmarkEnd w:id="91"/>
      <w:bookmarkEnd w:id="92"/>
      <w:bookmarkEnd w:id="93"/>
    </w:p>
    <w:tbl>
      <w:tblPr>
        <w:tblW w:w="9980" w:type="dxa"/>
        <w:jc w:val="left"/>
        <w:tblInd w:w="0" w:type="dxa"/>
        <w:tblLayout w:type="fixed"/>
        <w:tblCellMar>
          <w:top w:w="0" w:type="dxa"/>
          <w:left w:w="0" w:type="dxa"/>
          <w:bottom w:w="0" w:type="dxa"/>
          <w:right w:w="0" w:type="dxa"/>
        </w:tblCellMar>
      </w:tblPr>
      <w:tblGrid>
        <w:gridCol w:w="9826"/>
        <w:gridCol w:w="154"/>
      </w:tblGrid>
      <w:tr>
        <w:trPr/>
        <w:tc>
          <w:tcPr>
            <w:tcW w:w="982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9826" w:type="dxa"/>
            <w:tcBorders/>
            <w:vAlign w:val="center"/>
          </w:tcPr>
          <w:p>
            <w:pPr>
              <w:pStyle w:val="TableContents"/>
              <w:pBdr/>
              <w:bidi w:val="0"/>
              <w:spacing w:lineRule="atLeast" w:line="220" w:before="0" w:after="0"/>
              <w:ind w:left="0" w:right="0" w:hanging="0"/>
              <w:jc w:val="left"/>
              <w:rPr>
                <w:rFonts w:ascii="Times New Roman;Times;serif" w:hAnsi="Times New Roman;Times;serif"/>
                <w:sz w:val="19"/>
              </w:rPr>
            </w:pPr>
            <w:r>
              <w:rPr>
                <w:rFonts w:ascii="Times New Roman;Times;serif" w:hAnsi="Times New Roman;Times;serif"/>
                <w:sz w:val="19"/>
              </w:rPr>
              <w:t>/s/ Deloitte &amp; Touche LLP</w:t>
            </w:r>
          </w:p>
        </w:tc>
        <w:tc>
          <w:tcPr>
            <w:tcW w:w="154" w:type="dxa"/>
            <w:tcBorders/>
            <w:vAlign w:val="center"/>
          </w:tcPr>
          <w:p>
            <w:pPr>
              <w:pStyle w:val="TableContents"/>
              <w:bidi w:val="0"/>
              <w:spacing w:lineRule="atLeast" w:line="220" w:before="0" w:after="0"/>
              <w:ind w:left="0" w:right="0" w:hanging="0"/>
              <w:jc w:val="left"/>
              <w:rPr>
                <w:shd w:fill="FFFF00" w:val="clear"/>
              </w:rPr>
            </w:pPr>
            <w:r>
              <w:rPr>
                <w:shd w:fill="FFFF00" w:val="clear"/>
              </w:rPr>
              <w:t>​</w:t>
            </w:r>
          </w:p>
        </w:tc>
      </w:tr>
      <w:tr>
        <w:trPr/>
        <w:tc>
          <w:tcPr>
            <w:tcW w:w="9826" w:type="dxa"/>
            <w:tcBorders/>
            <w:vAlign w:val="center"/>
          </w:tcPr>
          <w:p>
            <w:pPr>
              <w:pStyle w:val="TableContents"/>
              <w:pBdr/>
              <w:bidi w:val="0"/>
              <w:spacing w:lineRule="atLeast" w:line="220" w:before="0" w:after="0"/>
              <w:ind w:left="0" w:right="0" w:hanging="0"/>
              <w:jc w:val="left"/>
              <w:rPr>
                <w:rFonts w:ascii="Times New Roman;Times;serif" w:hAnsi="Times New Roman;Times;serif"/>
                <w:sz w:val="19"/>
              </w:rPr>
            </w:pPr>
            <w:r>
              <w:rPr>
                <w:rFonts w:ascii="Times New Roman;Times;serif" w:hAnsi="Times New Roman;Times;serif"/>
                <w:sz w:val="19"/>
              </w:rPr>
              <w:t>Honolulu, Hawaii</w:t>
            </w:r>
          </w:p>
        </w:tc>
        <w:tc>
          <w:tcPr>
            <w:tcW w:w="154" w:type="dxa"/>
            <w:tcBorders/>
            <w:vAlign w:val="center"/>
          </w:tcPr>
          <w:p>
            <w:pPr>
              <w:pStyle w:val="TableContents"/>
              <w:bidi w:val="0"/>
              <w:spacing w:lineRule="atLeast" w:line="220" w:before="0" w:after="0"/>
              <w:ind w:left="0" w:right="0" w:hanging="0"/>
              <w:jc w:val="left"/>
              <w:rPr>
                <w:shd w:fill="FFFF00" w:val="clear"/>
              </w:rPr>
            </w:pPr>
            <w:r>
              <w:rPr>
                <w:shd w:fill="FFFF00" w:val="clear"/>
              </w:rPr>
              <w:t>​</w:t>
            </w:r>
          </w:p>
        </w:tc>
      </w:tr>
      <w:tr>
        <w:trPr/>
        <w:tc>
          <w:tcPr>
            <w:tcW w:w="9826" w:type="dxa"/>
            <w:tcBorders/>
            <w:vAlign w:val="center"/>
          </w:tcPr>
          <w:p>
            <w:pPr>
              <w:pStyle w:val="TableContents"/>
              <w:pBdr/>
              <w:bidi w:val="0"/>
              <w:spacing w:lineRule="atLeast" w:line="220" w:before="0" w:after="0"/>
              <w:ind w:left="0" w:right="0" w:hanging="0"/>
              <w:jc w:val="left"/>
              <w:rPr>
                <w:rFonts w:ascii="Times New Roman;Times;serif" w:hAnsi="Times New Roman;Times;serif"/>
                <w:sz w:val="19"/>
              </w:rPr>
            </w:pPr>
            <w:r>
              <w:rPr>
                <w:rFonts w:ascii="Times New Roman;Times;serif" w:hAnsi="Times New Roman;Times;serif"/>
                <w:sz w:val="19"/>
              </w:rPr>
              <w:t>February 27, 2026</w:t>
            </w:r>
          </w:p>
        </w:tc>
        <w:tc>
          <w:tcPr>
            <w:tcW w:w="154" w:type="dxa"/>
            <w:tcBorders/>
            <w:vAlign w:val="center"/>
          </w:tcPr>
          <w:p>
            <w:pPr>
              <w:pStyle w:val="TableContents"/>
              <w:bidi w:val="0"/>
              <w:spacing w:lineRule="atLeast" w:line="220" w:before="0" w:after="0"/>
              <w:ind w:left="0" w:right="0" w:hanging="0"/>
              <w:jc w:val="left"/>
              <w:rPr>
                <w:shd w:fill="FFFF00" w:val="clear"/>
              </w:rPr>
            </w:pPr>
            <w:r>
              <w:rPr>
                <w:shd w:fill="FFFF00" w:val="clear"/>
              </w:rPr>
              <w:t>​</w:t>
            </w:r>
          </w:p>
        </w:tc>
      </w:tr>
      <w:tr>
        <w:trPr/>
        <w:tc>
          <w:tcPr>
            <w:tcW w:w="9826" w:type="dxa"/>
            <w:tcBorders/>
            <w:vAlign w:val="center"/>
          </w:tcPr>
          <w:p>
            <w:pPr>
              <w:pStyle w:val="TableContents"/>
              <w:pBdr/>
              <w:bidi w:val="0"/>
              <w:spacing w:lineRule="atLeast" w:line="220" w:before="0" w:after="0"/>
              <w:ind w:left="0" w:right="0" w:hanging="0"/>
              <w:jc w:val="left"/>
              <w:rPr/>
            </w:pPr>
            <w:r>
              <w:rPr/>
              <w:t>​</w:t>
            </w:r>
          </w:p>
        </w:tc>
        <w:tc>
          <w:tcPr>
            <w:tcW w:w="154" w:type="dxa"/>
            <w:tcBorders/>
            <w:vAlign w:val="center"/>
          </w:tcPr>
          <w:p>
            <w:pPr>
              <w:pStyle w:val="TableContents"/>
              <w:bidi w:val="0"/>
              <w:spacing w:lineRule="atLeast" w:line="220" w:before="0" w:after="0"/>
              <w:ind w:left="0" w:right="0" w:hanging="0"/>
              <w:jc w:val="left"/>
              <w:rPr>
                <w:shd w:fill="FFFF00" w:val="clear"/>
              </w:rPr>
            </w:pPr>
            <w:r>
              <w:rPr>
                <w:shd w:fill="FFFF00" w:val="clear"/>
              </w:rPr>
              <w:t>​</w:t>
            </w:r>
          </w:p>
        </w:tc>
      </w:tr>
      <w:tr>
        <w:trPr/>
        <w:tc>
          <w:tcPr>
            <w:tcW w:w="9826" w:type="dxa"/>
            <w:tcBorders/>
            <w:vAlign w:val="center"/>
          </w:tcPr>
          <w:p>
            <w:pPr>
              <w:pStyle w:val="TableContents"/>
              <w:pBdr/>
              <w:bidi w:val="0"/>
              <w:spacing w:lineRule="atLeast" w:line="220" w:before="0" w:after="0"/>
              <w:ind w:left="0" w:right="0" w:hanging="0"/>
              <w:jc w:val="left"/>
              <w:rPr>
                <w:rFonts w:ascii="Times New Roman;Times;serif" w:hAnsi="Times New Roman;Times;serif"/>
                <w:sz w:val="19"/>
              </w:rPr>
            </w:pPr>
            <w:r>
              <w:rPr>
                <w:rFonts w:ascii="Times New Roman;Times;serif" w:hAnsi="Times New Roman;Times;serif"/>
                <w:sz w:val="19"/>
              </w:rPr>
              <w:t>We have served as the Company’s auditor since at least 1976; however, an earlier year could not be reliably determined.</w:t>
            </w:r>
          </w:p>
        </w:tc>
        <w:tc>
          <w:tcPr>
            <w:tcW w:w="154" w:type="dxa"/>
            <w:tcBorders/>
            <w:vAlign w:val="center"/>
          </w:tcPr>
          <w:p>
            <w:pPr>
              <w:pStyle w:val="TableContents"/>
              <w:bidi w:val="0"/>
              <w:spacing w:lineRule="atLeast" w:line="220"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4" w:name="_c4863140_48f2_4875_b3c4_4ab1a6eed23e"/>
      <w:bookmarkEnd w:id="94"/>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95" w:name="COMPREHENSIVEINCOME_546819"/>
      <w:bookmarkEnd w:id="95"/>
      <w:r>
        <w:rPr>
          <w:rFonts w:ascii="Times New Roman;Times;serif" w:hAnsi="Times New Roman;Times;serif"/>
          <w:b/>
          <w:sz w:val="20"/>
        </w:rPr>
        <w:t>CONSOLIDATED STATEMENTS OF INCOME AND COMPREHENSIVE INCOME</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6" w:name="Tc_Ks2EgbZlmkKsnGaRNQ2sIw_35_0"/>
      <w:bookmarkStart w:id="97" w:name="Tc_6NNdpVeCTUyjflRvviBr1Q_34_0"/>
      <w:bookmarkStart w:id="98" w:name="Tc_xnm3MNw1BEGTcNnDYup5mA_33_0"/>
      <w:bookmarkStart w:id="99" w:name="Tc_J7Mneb0Ah0OAXrXJypTaWA_31_8"/>
      <w:bookmarkStart w:id="100" w:name="Tc_UFzecZzUSkGsSjiUybQIMw_31_5"/>
      <w:bookmarkStart w:id="101" w:name="Tc_6CUkSZGCXkChUw2IFyMepg_31_2"/>
      <w:bookmarkStart w:id="102" w:name="Tc_w8glrlRj80-_IPS9w7c4-Q_31_0"/>
      <w:bookmarkStart w:id="103" w:name="Tc_n7MeWueSskKzGACXJwYpzQ_30_8"/>
      <w:bookmarkStart w:id="104" w:name="Tc_b5pfAvhl9kyt1dtt7R7eiw_30_5"/>
      <w:bookmarkStart w:id="105" w:name="Tc_QKqW-XjmW0ybJZblYzQfsg_30_2"/>
      <w:bookmarkStart w:id="106" w:name="Tc_EbavcW4Eiki7IbStVy4Aqw_30_0"/>
      <w:bookmarkStart w:id="107" w:name="Tc_GCuiKSZvrkqgUXMzBKXvEQ_28_8"/>
      <w:bookmarkStart w:id="108" w:name="Tc_h_aBcWS6GEG_-vZWhhIlcQ_28_5"/>
      <w:bookmarkStart w:id="109" w:name="Tc_xXSmM5My5kmE_6yMaGRg3Q_28_2"/>
      <w:bookmarkStart w:id="110" w:name="Tc_rPIvs6f5nk2jNTz2-LAaVw_28_0"/>
      <w:bookmarkStart w:id="111" w:name="Tc_ktiglzvs_EiBHsJlVTFTHw_27_0"/>
      <w:bookmarkStart w:id="112" w:name="Tc_eqktsE1CN0GCq3Ie35zOlA_26_0"/>
      <w:bookmarkStart w:id="113" w:name="Tc_BwsfgyCQa0uVA8238IasLQ_25_0"/>
      <w:bookmarkStart w:id="114" w:name="Tc_A7FR-kN2QkWGfizrOlun5Q_24_0"/>
      <w:bookmarkStart w:id="115" w:name="Tc_3AfB2lmnlkuYB9Za0dY6ZQ_23_8"/>
      <w:bookmarkStart w:id="116" w:name="Tc_5mS1Ye-LZkWpRHRRApFTuQ_23_5"/>
      <w:bookmarkStart w:id="117" w:name="Tc_eDS53Xap8UiyY1zzTAMdTQ_23_2"/>
      <w:bookmarkStart w:id="118" w:name="Tc_OVoEpAAaGk-wFaBrXGPOCA_23_0"/>
      <w:bookmarkStart w:id="119" w:name="Tc_TI5XDgivI0-n7JK5a5TUcA_22_0"/>
      <w:bookmarkStart w:id="120" w:name="Tc_7QbAJSt1YEioC3h2gmRscg_20_8"/>
      <w:bookmarkStart w:id="121" w:name="Tc_Xet3edDaJ0O-wYVVB46ZEQ_20_5"/>
      <w:bookmarkStart w:id="122" w:name="Tc_-VX2hGPcwkeJA3RAZ5kMtA_20_2"/>
      <w:bookmarkStart w:id="123" w:name="Tc_dVXDxoZ9OUiE88X3qkujcw_20_0"/>
      <w:bookmarkStart w:id="124" w:name="Tc_obFyWMQfAUSiKeJUbPg1VA_19_0"/>
      <w:bookmarkStart w:id="125" w:name="Tc_a-JprL13DUa8lKIcDwqAug_18_0"/>
      <w:bookmarkStart w:id="126" w:name="Tc_sQhJq_Q4eUmgwZYMsMTREQ_17_0"/>
      <w:bookmarkStart w:id="127" w:name="Tc_aNxBfHdOKEG_5lWIanOP4Q_16_0"/>
      <w:bookmarkStart w:id="128" w:name="Tc_TYY6SuPHPEO7mTNcwQfw0w_15_0"/>
      <w:bookmarkStart w:id="129" w:name="Tc_xtoIuptDtUawGejX-ps1Vw_14_0"/>
      <w:bookmarkStart w:id="130" w:name="Tc_tnErZL3bNka2EnYcCjnaUQ_12_0"/>
      <w:bookmarkStart w:id="131" w:name="Tc_ffBdIXAoUkS_kn5NJem_Tg_11_0"/>
      <w:bookmarkStart w:id="132" w:name="Tc_zO1IeZJqjEabZtYBZ2CIFQ_10_0"/>
      <w:bookmarkStart w:id="133" w:name="Tc_Lcdy0YKAJ0KfIOq2nTcgyQ_9_0"/>
      <w:bookmarkStart w:id="134" w:name="Tc_hXmg7XRdykK40s__tUGCoA_8_0"/>
      <w:bookmarkStart w:id="135" w:name="Tc_MK4vx1PD_UqB3eZ3hj5y3g_6_0"/>
      <w:bookmarkStart w:id="136" w:name="Tc_z98MHtDiXEKofgrU_dLfvg_5_0"/>
      <w:bookmarkStart w:id="137" w:name="Tc_LbLFpKxG8UaC0t-TgaIdjw_4_8"/>
      <w:bookmarkStart w:id="138" w:name="Tc_DnpVUOKmW0y4cJOEeOsKaw_4_5"/>
      <w:bookmarkStart w:id="139" w:name="Tc_NRiDEp3Y20eRlpJBcHpdEg_4_2"/>
      <w:bookmarkStart w:id="140" w:name="Tc_tJfv9SDAoEWOiRWEB3VxeA_4_0"/>
      <w:bookmarkStart w:id="141" w:name="Tc_l4fge-GBJ0aUntT5WSJQkw_3_0"/>
      <w:bookmarkStart w:id="142" w:name="Tc_fK11tB2GCUebQmNSiAqxeA_2_8"/>
      <w:bookmarkStart w:id="143" w:name="Tc_S3-Fg7G3X0OEKkijLfRB9A_2_5"/>
      <w:bookmarkStart w:id="144" w:name="Tc_NhVRAM5jp02TqypzcN_nrQ_2_2"/>
      <w:bookmarkStart w:id="145" w:name="Tc_NYs2flRxwUWd-_UxrIjcIA_2_0"/>
      <w:bookmarkStart w:id="146" w:name="Tc_NLHY5CUIs0eEXBD4vlymtw_1_2"/>
      <w:bookmarkStart w:id="147" w:name="_e7e00c4d_d3bb_4f81_96cf_630e533725cb"/>
      <w:bookmarkStart w:id="148" w:name="Tc_Ks2EgbZlmkKsnGaRNQ2sIw_35_0"/>
      <w:bookmarkStart w:id="149" w:name="Tc_6NNdpVeCTUyjflRvviBr1Q_34_0"/>
      <w:bookmarkStart w:id="150" w:name="Tc_xnm3MNw1BEGTcNnDYup5mA_33_0"/>
      <w:bookmarkStart w:id="151" w:name="Tc_J7Mneb0Ah0OAXrXJypTaWA_31_8"/>
      <w:bookmarkStart w:id="152" w:name="Tc_UFzecZzUSkGsSjiUybQIMw_31_5"/>
      <w:bookmarkStart w:id="153" w:name="Tc_6CUkSZGCXkChUw2IFyMepg_31_2"/>
      <w:bookmarkStart w:id="154" w:name="Tc_w8glrlRj80-_IPS9w7c4-Q_31_0"/>
      <w:bookmarkStart w:id="155" w:name="Tc_n7MeWueSskKzGACXJwYpzQ_30_8"/>
      <w:bookmarkStart w:id="156" w:name="Tc_b5pfAvhl9kyt1dtt7R7eiw_30_5"/>
      <w:bookmarkStart w:id="157" w:name="Tc_QKqW-XjmW0ybJZblYzQfsg_30_2"/>
      <w:bookmarkStart w:id="158" w:name="Tc_EbavcW4Eiki7IbStVy4Aqw_30_0"/>
      <w:bookmarkStart w:id="159" w:name="Tc_GCuiKSZvrkqgUXMzBKXvEQ_28_8"/>
      <w:bookmarkStart w:id="160" w:name="Tc_h_aBcWS6GEG_-vZWhhIlcQ_28_5"/>
      <w:bookmarkStart w:id="161" w:name="Tc_xXSmM5My5kmE_6yMaGRg3Q_28_2"/>
      <w:bookmarkStart w:id="162" w:name="Tc_rPIvs6f5nk2jNTz2-LAaVw_28_0"/>
      <w:bookmarkStart w:id="163" w:name="Tc_ktiglzvs_EiBHsJlVTFTHw_27_0"/>
      <w:bookmarkStart w:id="164" w:name="Tc_eqktsE1CN0GCq3Ie35zOlA_26_0"/>
      <w:bookmarkStart w:id="165" w:name="Tc_BwsfgyCQa0uVA8238IasLQ_25_0"/>
      <w:bookmarkStart w:id="166" w:name="Tc_A7FR-kN2QkWGfizrOlun5Q_24_0"/>
      <w:bookmarkStart w:id="167" w:name="Tc_3AfB2lmnlkuYB9Za0dY6ZQ_23_8"/>
      <w:bookmarkStart w:id="168" w:name="Tc_5mS1Ye-LZkWpRHRRApFTuQ_23_5"/>
      <w:bookmarkStart w:id="169" w:name="Tc_eDS53Xap8UiyY1zzTAMdTQ_23_2"/>
      <w:bookmarkStart w:id="170" w:name="Tc_OVoEpAAaGk-wFaBrXGPOCA_23_0"/>
      <w:bookmarkStart w:id="171" w:name="Tc_TI5XDgivI0-n7JK5a5TUcA_22_0"/>
      <w:bookmarkStart w:id="172" w:name="Tc_7QbAJSt1YEioC3h2gmRscg_20_8"/>
      <w:bookmarkStart w:id="173" w:name="Tc_Xet3edDaJ0O-wYVVB46ZEQ_20_5"/>
      <w:bookmarkStart w:id="174" w:name="Tc_-VX2hGPcwkeJA3RAZ5kMtA_20_2"/>
      <w:bookmarkStart w:id="175" w:name="Tc_dVXDxoZ9OUiE88X3qkujcw_20_0"/>
      <w:bookmarkStart w:id="176" w:name="Tc_obFyWMQfAUSiKeJUbPg1VA_19_0"/>
      <w:bookmarkStart w:id="177" w:name="Tc_a-JprL13DUa8lKIcDwqAug_18_0"/>
      <w:bookmarkStart w:id="178" w:name="Tc_sQhJq_Q4eUmgwZYMsMTREQ_17_0"/>
      <w:bookmarkStart w:id="179" w:name="Tc_aNxBfHdOKEG_5lWIanOP4Q_16_0"/>
      <w:bookmarkStart w:id="180" w:name="Tc_TYY6SuPHPEO7mTNcwQfw0w_15_0"/>
      <w:bookmarkStart w:id="181" w:name="Tc_xtoIuptDtUawGejX-ps1Vw_14_0"/>
      <w:bookmarkStart w:id="182" w:name="Tc_tnErZL3bNka2EnYcCjnaUQ_12_0"/>
      <w:bookmarkStart w:id="183" w:name="Tc_ffBdIXAoUkS_kn5NJem_Tg_11_0"/>
      <w:bookmarkStart w:id="184" w:name="Tc_zO1IeZJqjEabZtYBZ2CIFQ_10_0"/>
      <w:bookmarkStart w:id="185" w:name="Tc_Lcdy0YKAJ0KfIOq2nTcgyQ_9_0"/>
      <w:bookmarkStart w:id="186" w:name="Tc_hXmg7XRdykK40s__tUGCoA_8_0"/>
      <w:bookmarkStart w:id="187" w:name="Tc_MK4vx1PD_UqB3eZ3hj5y3g_6_0"/>
      <w:bookmarkStart w:id="188" w:name="Tc_z98MHtDiXEKofgrU_dLfvg_5_0"/>
      <w:bookmarkStart w:id="189" w:name="Tc_LbLFpKxG8UaC0t-TgaIdjw_4_8"/>
      <w:bookmarkStart w:id="190" w:name="Tc_DnpVUOKmW0y4cJOEeOsKaw_4_5"/>
      <w:bookmarkStart w:id="191" w:name="Tc_NRiDEp3Y20eRlpJBcHpdEg_4_2"/>
      <w:bookmarkStart w:id="192" w:name="Tc_tJfv9SDAoEWOiRWEB3VxeA_4_0"/>
      <w:bookmarkStart w:id="193" w:name="Tc_l4fge-GBJ0aUntT5WSJQkw_3_0"/>
      <w:bookmarkStart w:id="194" w:name="Tc_fK11tB2GCUebQmNSiAqxeA_2_8"/>
      <w:bookmarkStart w:id="195" w:name="Tc_S3-Fg7G3X0OEKkijLfRB9A_2_5"/>
      <w:bookmarkStart w:id="196" w:name="Tc_NhVRAM5jp02TqypzcN_nrQ_2_2"/>
      <w:bookmarkStart w:id="197" w:name="Tc_NYs2flRxwUWd-_UxrIjcIA_2_0"/>
      <w:bookmarkStart w:id="198" w:name="Tc_NLHY5CUIs0eEXBD4vlymtw_1_2"/>
      <w:bookmarkStart w:id="199" w:name="_e7e00c4d_d3bb_4f81_96cf_630e533725cb"/>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tbl>
      <w:tblPr>
        <w:tblW w:w="9696" w:type="dxa"/>
        <w:jc w:val="left"/>
        <w:tblInd w:w="0" w:type="dxa"/>
        <w:tblLayout w:type="fixed"/>
        <w:tblCellMar>
          <w:top w:w="0" w:type="dxa"/>
          <w:left w:w="0" w:type="dxa"/>
          <w:bottom w:w="0" w:type="dxa"/>
          <w:right w:w="0" w:type="dxa"/>
        </w:tblCellMar>
      </w:tblPr>
      <w:tblGrid>
        <w:gridCol w:w="5311"/>
        <w:gridCol w:w="346"/>
        <w:gridCol w:w="211"/>
        <w:gridCol w:w="841"/>
        <w:gridCol w:w="346"/>
        <w:gridCol w:w="211"/>
        <w:gridCol w:w="841"/>
        <w:gridCol w:w="346"/>
        <w:gridCol w:w="211"/>
        <w:gridCol w:w="841"/>
        <w:gridCol w:w="191"/>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372485" cy="175260"/>
                      <wp:effectExtent l="0" t="0" r="0" b="0"/>
                      <wp:wrapNone/>
                      <wp:docPr id="229" name="Frame226"/>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34035" cy="175260"/>
                      <wp:effectExtent l="0" t="0" r="0" b="0"/>
                      <wp:wrapNone/>
                      <wp:docPr id="232" name="Frame22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34035" cy="175260"/>
                      <wp:effectExtent l="0" t="0" r="0" b="0"/>
                      <wp:wrapNone/>
                      <wp:docPr id="235" name="Frame23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34035" cy="175260"/>
                      <wp:effectExtent l="0" t="0" r="0" b="0"/>
                      <wp:wrapNone/>
                      <wp:docPr id="238" name="Frame23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1285" cy="175260"/>
                      <wp:effectExtent l="0" t="0" r="0" b="0"/>
                      <wp:wrapNone/>
                      <wp:docPr id="239" name="Frame23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c>
          <w:tcPr>
            <w:tcW w:w="191" w:type="dxa"/>
            <w:tcBorders/>
            <w:vAlign w:val="center"/>
          </w:tcPr>
          <w:p>
            <w:pPr>
              <w:pStyle w:val="TableContents"/>
              <w:bidi w:val="0"/>
              <w:spacing w:before="0" w:after="0"/>
              <w:ind w:left="0" w:right="0" w:hanging="0"/>
              <w:jc w:val="left"/>
              <w:rPr/>
            </w:pPr>
            <w:r>
              <w:rPr/>
              <w:t> </w:t>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91" w:type="dxa"/>
            <w:tcBorders/>
            <w:vAlign w:val="center"/>
          </w:tcPr>
          <w:p>
            <w:pPr>
              <w:pStyle w:val="TableContents"/>
              <w:bidi w:val="0"/>
              <w:spacing w:before="0" w:after="0"/>
              <w:ind w:left="0" w:right="0" w:hanging="0"/>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2,477.0</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3,094.6</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SSAT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(2,751.8)</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Net of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pension and post-retirement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191"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0" w:name="_c827038d_c85e_4b6e_8c9c_17025f258e4f"/>
      <w:bookmarkEnd w:id="200"/>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01" w:name="BALANCESHEETS_283230"/>
      <w:bookmarkEnd w:id="201"/>
      <w:r>
        <w:rPr>
          <w:rFonts w:ascii="Times New Roman;Times;serif" w:hAnsi="Times New Roman;Times;serif"/>
          <w:b/>
          <w:sz w:val="20"/>
        </w:rPr>
        <w:t>CONSOLIDATED BALANCE SHEETS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02" w:name="Tc_vVKLSDPH0keXuCF9TVDwWQ_41_5"/>
      <w:bookmarkStart w:id="203" w:name="Tc_mED3hlndOE2ufkf0YoWPnw_41_2"/>
      <w:bookmarkStart w:id="204" w:name="Tc__6jNT_ja2kWT8YZYU7nvsw_41_0"/>
      <w:bookmarkStart w:id="205" w:name="Tc_rbEMnlJpeEapomL_WLRFGQ_40_0"/>
      <w:bookmarkStart w:id="206" w:name="Tc_N1-vFAy0akKWoduVsUs39A_39_0"/>
      <w:bookmarkStart w:id="207" w:name="Tc_STUP18NDWU2gV3j6TbJGrQ_38_0"/>
      <w:bookmarkStart w:id="208" w:name="Tc_rNjvayMkLEWxfFxQcINbQw_37_0"/>
      <w:bookmarkStart w:id="209" w:name="Tc_a4ctZDn5ck2xLP0wlWkDgw_36_0"/>
      <w:bookmarkStart w:id="210" w:name="Tc_tgkmsv-N6U2_aemkT8ldcA_35_0"/>
      <w:bookmarkStart w:id="211" w:name="Tc_yDQWaa22JE2XTUB3ESeHmQ_34_0"/>
      <w:bookmarkStart w:id="212" w:name="Tc_sdZV0CgR7k6-zwivWC3y0A_33_0"/>
      <w:bookmarkStart w:id="213" w:name="Tc_zpEcgVZBSUKU3twIU4eQbQ_32_0"/>
      <w:bookmarkStart w:id="214" w:name="Tc_JqWtosDfR0qQg_kt4n_5nQ_31_0"/>
      <w:bookmarkStart w:id="215" w:name="Tc_MkjknQK4aUOfaT_V328qfg_30_0"/>
      <w:bookmarkStart w:id="216" w:name="Tc_vowywC7f0k2eyuLi1HB6xA_29_0"/>
      <w:bookmarkStart w:id="217" w:name="Tc_oFhpqmq-_0uD8qoRYW4_3g_28_0"/>
      <w:bookmarkStart w:id="218" w:name="Tc_nAVUOx13p0uTYwRNxn_22w_27_0"/>
      <w:bookmarkStart w:id="219" w:name="Tc_ojjoIvQ8G0C4ikQ6Wyn9OQ_26_0"/>
      <w:bookmarkStart w:id="220" w:name="Tc_fqLJw22Yf0ujmIuj71ikoA_25_0"/>
      <w:bookmarkStart w:id="221" w:name="Tc_o2NRVQiC602XIs_bxwnzAw_24_0"/>
      <w:bookmarkStart w:id="222" w:name="Tc_-11USjPefUWfrbArhgniLw_23_5"/>
      <w:bookmarkStart w:id="223" w:name="Tc_0njbaFpdDkWMmWzGgwxsew_23_2"/>
      <w:bookmarkStart w:id="224" w:name="Tc_W5ZZEWUvBEe_CIL066PS0g_23_0"/>
      <w:bookmarkStart w:id="225" w:name="Tc_RLgSqh95MEqZHzlmGPASKQ_22_0"/>
      <w:bookmarkStart w:id="226" w:name="Tc_vfFQISmDh0iUWFfHzJ9IVA_21_0"/>
      <w:bookmarkStart w:id="227" w:name="Tc_qi9M9EPHSEmVGWYIiOxOFg_19_5"/>
      <w:bookmarkStart w:id="228" w:name="Tc_IN2LN2lflEO1xWt26H-99g_19_2"/>
      <w:bookmarkStart w:id="229" w:name="Tc_G-_nN2egpUCZOZwTzd9bJw_19_0"/>
      <w:bookmarkStart w:id="230" w:name="Tc_8XKeGMMenESH6cw4e7iStw_18_0"/>
      <w:bookmarkStart w:id="231" w:name="Tc_31JcHncuM0aSVfjTsEfg0g_17_0"/>
      <w:bookmarkStart w:id="232" w:name="Tc_QdWSQZ-j5UW50XaObluNCw_16_0"/>
      <w:bookmarkStart w:id="233" w:name="Tc_976YlHGXPkaIMp4nCmI3zQ_15_0"/>
      <w:bookmarkStart w:id="234" w:name="Tc_ntDsPyYcME-I6uBGBhec9w_14_0"/>
      <w:bookmarkStart w:id="235" w:name="Tc_L96pfHF510-wEnrl0QocFQ_13_0"/>
      <w:bookmarkStart w:id="236" w:name="Tc_m4eZ35YeHEqVqfE1jjSsyg_12_0"/>
      <w:bookmarkStart w:id="237" w:name="Tc_j6JrKkm2a0Ok0kFu8__PUQ_11_0"/>
      <w:bookmarkStart w:id="238" w:name="Tc_h8WONyob90uedJuzuRTJmg_10_0"/>
      <w:bookmarkStart w:id="239" w:name="Tc_X83h9BZe-EOq6PUIXvJtuQ_9_0"/>
      <w:bookmarkStart w:id="240" w:name="Tc_MLzFjJl5nkKNt9dVOJ9BJw_8_0"/>
      <w:bookmarkStart w:id="241" w:name="Tc_m9JUXgopuUiuon4MrZuyGw_7_0"/>
      <w:bookmarkStart w:id="242" w:name="Tc_mStZCU0aIESK4NLnn5W28g_6_0"/>
      <w:bookmarkStart w:id="243" w:name="Tc_bkjTLr3trkyaiOonwWGALg_5_5"/>
      <w:bookmarkStart w:id="244" w:name="Tc_sNxdPnAji0OnZJa37NXBrw_5_2"/>
      <w:bookmarkStart w:id="245" w:name="Tc_b67O5bwenkGqmqGnNK6JcA_5_0"/>
      <w:bookmarkStart w:id="246" w:name="Tc_TId-Y_pNq0asyD6qbjZ7Ng_4_0"/>
      <w:bookmarkStart w:id="247" w:name="Tc_AYga5QWO1ESO-ECxGsziIw_3_0"/>
      <w:bookmarkStart w:id="248" w:name="Tc_CauM18CncUC6uKQNwJ2itA_2_5"/>
      <w:bookmarkStart w:id="249" w:name="Tc_5sR65FByrEu_XPlThxmAww_2_2"/>
      <w:bookmarkStart w:id="250" w:name="Tc_o9uGfumePECyiGINT1n7Jg_2_0"/>
      <w:bookmarkStart w:id="251" w:name="Tc_T_UlU6dDoEibvjz7jyLwaA_1_2"/>
      <w:bookmarkStart w:id="252" w:name="_636a2ede_43a8_45ad_9f5d_7be3e8253ece"/>
      <w:bookmarkStart w:id="253" w:name="Tc_vVKLSDPH0keXuCF9TVDwWQ_41_5"/>
      <w:bookmarkStart w:id="254" w:name="Tc_mED3hlndOE2ufkf0YoWPnw_41_2"/>
      <w:bookmarkStart w:id="255" w:name="Tc__6jNT_ja2kWT8YZYU7nvsw_41_0"/>
      <w:bookmarkStart w:id="256" w:name="Tc_rbEMnlJpeEapomL_WLRFGQ_40_0"/>
      <w:bookmarkStart w:id="257" w:name="Tc_N1-vFAy0akKWoduVsUs39A_39_0"/>
      <w:bookmarkStart w:id="258" w:name="Tc_STUP18NDWU2gV3j6TbJGrQ_38_0"/>
      <w:bookmarkStart w:id="259" w:name="Tc_rNjvayMkLEWxfFxQcINbQw_37_0"/>
      <w:bookmarkStart w:id="260" w:name="Tc_a4ctZDn5ck2xLP0wlWkDgw_36_0"/>
      <w:bookmarkStart w:id="261" w:name="Tc_tgkmsv-N6U2_aemkT8ldcA_35_0"/>
      <w:bookmarkStart w:id="262" w:name="Tc_yDQWaa22JE2XTUB3ESeHmQ_34_0"/>
      <w:bookmarkStart w:id="263" w:name="Tc_sdZV0CgR7k6-zwivWC3y0A_33_0"/>
      <w:bookmarkStart w:id="264" w:name="Tc_zpEcgVZBSUKU3twIU4eQbQ_32_0"/>
      <w:bookmarkStart w:id="265" w:name="Tc_JqWtosDfR0qQg_kt4n_5nQ_31_0"/>
      <w:bookmarkStart w:id="266" w:name="Tc_MkjknQK4aUOfaT_V328qfg_30_0"/>
      <w:bookmarkStart w:id="267" w:name="Tc_vowywC7f0k2eyuLi1HB6xA_29_0"/>
      <w:bookmarkStart w:id="268" w:name="Tc_oFhpqmq-_0uD8qoRYW4_3g_28_0"/>
      <w:bookmarkStart w:id="269" w:name="Tc_nAVUOx13p0uTYwRNxn_22w_27_0"/>
      <w:bookmarkStart w:id="270" w:name="Tc_ojjoIvQ8G0C4ikQ6Wyn9OQ_26_0"/>
      <w:bookmarkStart w:id="271" w:name="Tc_fqLJw22Yf0ujmIuj71ikoA_25_0"/>
      <w:bookmarkStart w:id="272" w:name="Tc_o2NRVQiC602XIs_bxwnzAw_24_0"/>
      <w:bookmarkStart w:id="273" w:name="Tc_-11USjPefUWfrbArhgniLw_23_5"/>
      <w:bookmarkStart w:id="274" w:name="Tc_0njbaFpdDkWMmWzGgwxsew_23_2"/>
      <w:bookmarkStart w:id="275" w:name="Tc_W5ZZEWUvBEe_CIL066PS0g_23_0"/>
      <w:bookmarkStart w:id="276" w:name="Tc_RLgSqh95MEqZHzlmGPASKQ_22_0"/>
      <w:bookmarkStart w:id="277" w:name="Tc_vfFQISmDh0iUWFfHzJ9IVA_21_0"/>
      <w:bookmarkStart w:id="278" w:name="Tc_qi9M9EPHSEmVGWYIiOxOFg_19_5"/>
      <w:bookmarkStart w:id="279" w:name="Tc_IN2LN2lflEO1xWt26H-99g_19_2"/>
      <w:bookmarkStart w:id="280" w:name="Tc_G-_nN2egpUCZOZwTzd9bJw_19_0"/>
      <w:bookmarkStart w:id="281" w:name="Tc_8XKeGMMenESH6cw4e7iStw_18_0"/>
      <w:bookmarkStart w:id="282" w:name="Tc_31JcHncuM0aSVfjTsEfg0g_17_0"/>
      <w:bookmarkStart w:id="283" w:name="Tc_QdWSQZ-j5UW50XaObluNCw_16_0"/>
      <w:bookmarkStart w:id="284" w:name="Tc_976YlHGXPkaIMp4nCmI3zQ_15_0"/>
      <w:bookmarkStart w:id="285" w:name="Tc_ntDsPyYcME-I6uBGBhec9w_14_0"/>
      <w:bookmarkStart w:id="286" w:name="Tc_L96pfHF510-wEnrl0QocFQ_13_0"/>
      <w:bookmarkStart w:id="287" w:name="Tc_m4eZ35YeHEqVqfE1jjSsyg_12_0"/>
      <w:bookmarkStart w:id="288" w:name="Tc_j6JrKkm2a0Ok0kFu8__PUQ_11_0"/>
      <w:bookmarkStart w:id="289" w:name="Tc_h8WONyob90uedJuzuRTJmg_10_0"/>
      <w:bookmarkStart w:id="290" w:name="Tc_X83h9BZe-EOq6PUIXvJtuQ_9_0"/>
      <w:bookmarkStart w:id="291" w:name="Tc_MLzFjJl5nkKNt9dVOJ9BJw_8_0"/>
      <w:bookmarkStart w:id="292" w:name="Tc_m9JUXgopuUiuon4MrZuyGw_7_0"/>
      <w:bookmarkStart w:id="293" w:name="Tc_mStZCU0aIESK4NLnn5W28g_6_0"/>
      <w:bookmarkStart w:id="294" w:name="Tc_bkjTLr3trkyaiOonwWGALg_5_5"/>
      <w:bookmarkStart w:id="295" w:name="Tc_sNxdPnAji0OnZJa37NXBrw_5_2"/>
      <w:bookmarkStart w:id="296" w:name="Tc_b67O5bwenkGqmqGnNK6JcA_5_0"/>
      <w:bookmarkStart w:id="297" w:name="Tc_TId-Y_pNq0asyD6qbjZ7Ng_4_0"/>
      <w:bookmarkStart w:id="298" w:name="Tc_AYga5QWO1ESO-ECxGsziIw_3_0"/>
      <w:bookmarkStart w:id="299" w:name="Tc_CauM18CncUC6uKQNwJ2itA_2_5"/>
      <w:bookmarkStart w:id="300" w:name="Tc_5sR65FByrEu_XPlThxmAww_2_2"/>
      <w:bookmarkStart w:id="301" w:name="Tc_o9uGfumePECyiGINT1n7Jg_2_0"/>
      <w:bookmarkStart w:id="302" w:name="Tc_T_UlU6dDoEibvjz7jyLwaA_1_2"/>
      <w:bookmarkStart w:id="303" w:name="_636a2ede_43a8_45ad_9f5d_7be3e8253ece"/>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tbl>
      <w:tblPr>
        <w:tblW w:w="10205" w:type="dxa"/>
        <w:jc w:val="left"/>
        <w:tblInd w:w="0" w:type="dxa"/>
        <w:tblLayout w:type="fixed"/>
        <w:tblCellMar>
          <w:top w:w="0" w:type="dxa"/>
          <w:left w:w="0" w:type="dxa"/>
          <w:bottom w:w="0" w:type="dxa"/>
          <w:right w:w="0" w:type="dxa"/>
        </w:tblCellMar>
      </w:tblPr>
      <w:tblGrid>
        <w:gridCol w:w="7458"/>
        <w:gridCol w:w="346"/>
        <w:gridCol w:w="211"/>
        <w:gridCol w:w="721"/>
        <w:gridCol w:w="346"/>
        <w:gridCol w:w="211"/>
        <w:gridCol w:w="721"/>
        <w:gridCol w:w="191"/>
      </w:tblGrid>
      <w:tr>
        <w:trPr/>
        <w:tc>
          <w:tcPr>
            <w:tcW w:w="7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735830" cy="175260"/>
                      <wp:effectExtent l="0" t="0" r="0" b="0"/>
                      <wp:wrapNone/>
                      <wp:docPr id="240" name="Frame237"/>
                      <a:graphic xmlns:a="http://schemas.openxmlformats.org/drawingml/2006/main">
                        <a:graphicData uri="http://schemas.microsoft.com/office/word/2010/wordprocessingShape">
                          <wps:wsp>
                            <wps:cNvSpPr txBox="1"/>
                            <wps:spPr>
                              <a:xfrm>
                                <a:off x="0" y="0"/>
                                <a:ext cx="4735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57835" cy="175260"/>
                      <wp:effectExtent l="0" t="0" r="0" b="0"/>
                      <wp:wrapNone/>
                      <wp:docPr id="243" name="Frame24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57835" cy="175260"/>
                      <wp:effectExtent l="0" t="0" r="0" b="0"/>
                      <wp:wrapNone/>
                      <wp:docPr id="246" name="Frame2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1285" cy="175260"/>
                      <wp:effectExtent l="0" t="0" r="0" b="0"/>
                      <wp:wrapNone/>
                      <wp:docPr id="247" name="Frame24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191" w:type="dxa"/>
            <w:tcBorders/>
            <w:vAlign w:val="center"/>
          </w:tcPr>
          <w:p>
            <w:pPr>
              <w:pStyle w:val="TableContents"/>
              <w:bidi w:val="0"/>
              <w:spacing w:before="0" w:after="0"/>
              <w:ind w:left="0" w:right="0" w:hanging="0"/>
              <w:jc w:val="left"/>
              <w:rPr/>
            </w:pPr>
            <w:r>
              <w:rPr/>
              <w:t> </w:t>
            </w:r>
          </w:p>
        </w:tc>
      </w:tr>
      <w:tr>
        <w:trPr/>
        <w:tc>
          <w:tcPr>
            <w:tcW w:w="74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$8.6</w:t>
            </w:r>
            <w:r>
              <w:rPr>
                <w:rFonts w:ascii="Times New Roman;Times;serif" w:hAnsi="Times New Roman;Times;serif"/>
                <w:color w:val="FF0000"/>
                <w:sz w:val="20"/>
              </w:rPr>
              <w:t> </w:t>
            </w:r>
            <w:r>
              <w:rPr>
                <w:rFonts w:ascii="Times New Roman;Times;serif" w:hAnsi="Times New Roman;Times;serif"/>
                <w:sz w:val="20"/>
              </w:rPr>
              <w:t>million and $9.8 million,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609.6</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SSAT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costs,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3,985.8</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common stock without par value; authorized, 150 million shares ($0.75 stated value per share): 30.4 million and 33.0 million shares outstanding at December 31, 2025 and 2024,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2,652.0</w:t>
            </w:r>
          </w:p>
        </w:tc>
        <w:tc>
          <w:tcPr>
            <w:tcW w:w="191" w:type="dxa"/>
            <w:tcBorders/>
            <w:vAlign w:val="center"/>
          </w:tcPr>
          <w:p>
            <w:pPr>
              <w:pStyle w:val="TableContents"/>
              <w:bidi w:val="0"/>
              <w:spacing w:before="0" w:after="0"/>
              <w:ind w:left="0" w:right="0" w:hanging="0"/>
              <w:jc w:val="left"/>
              <w:rPr/>
            </w:pPr>
            <w:r>
              <w:rPr/>
              <w:t>​</w:t>
            </w:r>
          </w:p>
        </w:tc>
      </w:tr>
      <w:tr>
        <w:trPr/>
        <w:tc>
          <w:tcPr>
            <w:tcW w:w="7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4,595.4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4" w:name="_8ea66374_2037_43f7_b691_231a2eba69fb"/>
      <w:bookmarkEnd w:id="304"/>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305" w:name="CASHFLOWS_951987"/>
      <w:bookmarkEnd w:id="305"/>
      <w:r>
        <w:rPr>
          <w:rFonts w:ascii="Times New Roman;Times;serif" w:hAnsi="Times New Roman;Times;serif"/>
          <w:b/>
          <w:sz w:val="20"/>
        </w:rPr>
        <w:t>CONSOLIDATED STATEMENTS OF CASH FLOWS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06" w:name="Tc_KeI4Pvy4JEmfCma2zhaRjg_56_8"/>
      <w:bookmarkStart w:id="307" w:name="Tc_GEQ8PaR_H0u1KSOcjPUG1w_56_6"/>
      <w:bookmarkStart w:id="308" w:name="Tc_oXJcx_wuwU-kOoS739B5mw_56_5"/>
      <w:bookmarkStart w:id="309" w:name="Tc_TAslpSd5xEOJh0O8h_iohg_56_3"/>
      <w:bookmarkStart w:id="310" w:name="Tc_kuTSCXREekGyTPbOlReU4w_56_2"/>
      <w:bookmarkStart w:id="311" w:name="Tc_flKaTgItdE6kAXbsLXDQHQ_56_0"/>
      <w:bookmarkStart w:id="312" w:name="Tc_UVVt4GI9xki91diS2Ue2yA_55_8"/>
      <w:bookmarkStart w:id="313" w:name="Tc_F5FzpARbHkG5ny8zd1O_Fw_55_5"/>
      <w:bookmarkStart w:id="314" w:name="Tc_7KVnpaHyz0qT2rGhHd3sEg_55_2"/>
      <w:bookmarkStart w:id="315" w:name="Tc_5xk8YEhfukyqeIf0d5BO2A_55_0"/>
      <w:bookmarkStart w:id="316" w:name="Tc_OTJZAXHxuUy5e5CHo6OlrQ_54_0"/>
      <w:bookmarkStart w:id="317" w:name="Tc_NWxW_-AUwUCFHn5IJu2SaQ_52_8"/>
      <w:bookmarkStart w:id="318" w:name="Tc_8pt-u8y0gUS2iv-6DqcQMA_52_5"/>
      <w:bookmarkStart w:id="319" w:name="Tc_Q9xZrRg1Jkmg8e6Pj0gOSA_52_2"/>
      <w:bookmarkStart w:id="320" w:name="Tc__PLnBzY1YkqvQ7XoYznkVQ_52_0"/>
      <w:bookmarkStart w:id="321" w:name="Tc_k-yKkGwwJE2jhLqjByKz-w_51_8"/>
      <w:bookmarkStart w:id="322" w:name="Tc_TtWBF4MR_U6CLZ-THt_NpA_51_5"/>
      <w:bookmarkStart w:id="323" w:name="Tc_YZ3MCjD9jka6p7ojFHqIaQ_51_2"/>
      <w:bookmarkStart w:id="324" w:name="Tc_oSMa866D9UCE_qvjllIsfA_51_0"/>
      <w:bookmarkStart w:id="325" w:name="Tc_g6Y8zh4Js0KZVZso4kbGVA_50_0"/>
      <w:bookmarkStart w:id="326" w:name="Tc_erwlLwyXXEqtAPSwUlRiTA_48_8"/>
      <w:bookmarkStart w:id="327" w:name="Tc_z0DP6chmk0G6x0pTwxHYeg_48_5"/>
      <w:bookmarkStart w:id="328" w:name="Tc_z5xb6UvUkUaCHeSsZMSKXA_48_2"/>
      <w:bookmarkStart w:id="329" w:name="Tc_y-sgWTEyH0qufjX4IUtjHg_48_0"/>
      <w:bookmarkStart w:id="330" w:name="Tc_2ZVL-GWbF0Wc4DCUXvnbnw_47_6"/>
      <w:bookmarkStart w:id="331" w:name="Tc_s5HtS9MzfUiB8QGMNKAR9w_47_3"/>
      <w:bookmarkStart w:id="332" w:name="Tc_EeQl4Z-RcUWJqv7qcn7xcQ_47_0"/>
      <w:bookmarkStart w:id="333" w:name="Tc_h1-FbRR8Y0CssnkLBGl-jg_46_8"/>
      <w:bookmarkStart w:id="334" w:name="Tc_Ci1S4yMeGUGwev-NATrP9g_46_5"/>
      <w:bookmarkStart w:id="335" w:name="Tc_vPAoq9mFn0Kh2yt39AA8BQ_46_2"/>
      <w:bookmarkStart w:id="336" w:name="Tc_XyvmOJ1VLUOY0E9mphAwpw_46_0"/>
      <w:bookmarkStart w:id="337" w:name="Tc_eQ_Jss9B80asTLOtS-C28A_45_0"/>
      <w:bookmarkStart w:id="338" w:name="Tc_gNR8jPGuL0CIsYWUPTUk7g_43_8"/>
      <w:bookmarkStart w:id="339" w:name="Tc_sP1VUyNTX0eMeU9tsJVeDw_43_5"/>
      <w:bookmarkStart w:id="340" w:name="Tc_W9VwHvFhtE69_vPwZTZm_w_43_2"/>
      <w:bookmarkStart w:id="341" w:name="Tc_Bb3agR4mFUy5PiNEFsHEQA_43_0"/>
      <w:bookmarkStart w:id="342" w:name="Tc_vk_F52fN2E-wO7V1_-UmVA_42_0"/>
      <w:bookmarkStart w:id="343" w:name="Tc_bSUKgqGumUqWeWzDCH4f8A_41_0"/>
      <w:bookmarkStart w:id="344" w:name="Tc_O6y5-ATMsUi9WeUGNu_trA_39_0"/>
      <w:bookmarkStart w:id="345" w:name="Tc_v9sBJWQLrE6EWBc0MGp-YQ_38_0"/>
      <w:bookmarkStart w:id="346" w:name="Tc_bPJ_-GKVO0WH2MkpkIVhjA_37_0"/>
      <w:bookmarkStart w:id="347" w:name="Tc_zy2-x0L2OkCTsLg_9ornhA_36_0"/>
      <w:bookmarkStart w:id="348" w:name="Tc_k0zBJgY4n0mYQ41vqEzobQ_35_9"/>
      <w:bookmarkStart w:id="349" w:name="Tc_fNN54GX1H06CTZBZ6XWX3Q_35_6"/>
      <w:bookmarkStart w:id="350" w:name="Tc_l0mYaIkjpEW5kgkzmOQkVA_35_0"/>
      <w:bookmarkStart w:id="351" w:name="Tc_MHUEkHZOa0my_7qDEOVJwA_34_0"/>
      <w:bookmarkStart w:id="352" w:name="Tc_KlusxpX8l0a7qHx-5FbNug_33_0"/>
      <w:bookmarkStart w:id="353" w:name="Tc_0G-wuOf7dUC9lm7f1HPchA_31_0"/>
      <w:bookmarkStart w:id="354" w:name="Tc_Cjx7JOhfN0GzxPrcGRzA-Q_30_0"/>
      <w:bookmarkStart w:id="355" w:name="Tc_M33SIhFRJke96-YOHmZcRw_29_0"/>
      <w:bookmarkStart w:id="356" w:name="Tc_SNMYpM6kmUOvHsQi8zphnQ_28_3"/>
      <w:bookmarkStart w:id="357" w:name="Tc_f6qfgxrYaEa8VALIBeTz1w_28_0"/>
      <w:bookmarkStart w:id="358" w:name="Tc_YWDbiwuqCEivIK20cOmEcQ_27_0"/>
      <w:bookmarkStart w:id="359" w:name="Tc_ynSHgTzGkU-Pc5xYpZv-rQ_26_0"/>
      <w:bookmarkStart w:id="360" w:name="Tc_b950pLK5oEeAD2AsWsJfPw_25_0"/>
      <w:bookmarkStart w:id="361" w:name="Tc_tS8MtYrX9km8TOAIdhqTDQ_24_0"/>
      <w:bookmarkStart w:id="362" w:name="Tc_m_GzVX0YXk29PNpJLkSyqQ_22_0"/>
      <w:bookmarkStart w:id="363" w:name="Tc_3VWkRSc3lUuylqtgrFG25A_21_0"/>
      <w:bookmarkStart w:id="364" w:name="Tc_HitleeN4906519AGIKX8AA_20_0"/>
      <w:bookmarkStart w:id="365" w:name="Tc_uRWO2llik0uxQG6OOwKzxQ_19_0"/>
      <w:bookmarkStart w:id="366" w:name="Tc_fAyc6vdTt0u2WST5f6hKdg_18_0"/>
      <w:bookmarkStart w:id="367" w:name="Tc_y7Dc798KaE2ptkbHvLsQaw_17_0"/>
      <w:bookmarkStart w:id="368" w:name="Tc_GsfziBgZlEmUNrF1OBxHYw_16_0"/>
      <w:bookmarkStart w:id="369" w:name="Tc_TX7ABWQ5qUaKyL_LkvbphQ_15_0"/>
      <w:bookmarkStart w:id="370" w:name="Tc_u6aDpLWoBUyy9r5kZePjMQ_14_0"/>
      <w:bookmarkStart w:id="371" w:name="Tc_c-kDBIghU0Gu5jJKHU3tKg_13_0"/>
      <w:bookmarkStart w:id="372" w:name="Tc_-ThGlGkPmkWRTH3FIcJhXQ_12_9"/>
      <w:bookmarkStart w:id="373" w:name="Tc_Wzl9SacZV0ydAiXc9h4-HQ_12_0"/>
      <w:bookmarkStart w:id="374" w:name="Tc_bAKY2mxa4kakeHcwH13PFg_11_0"/>
      <w:bookmarkStart w:id="375" w:name="Tc_0Vjylbjq-kii1g6a0e455w_10_0"/>
      <w:bookmarkStart w:id="376" w:name="Tc_wzcdII1bhUiNNaVujGUETQ_9_0"/>
      <w:bookmarkStart w:id="377" w:name="Tc_skMYJI0P5k20CU-b0VwyTw_8_0"/>
      <w:bookmarkStart w:id="378" w:name="Tc_u5el8INISU6I9M5WAa3IHQ_7_0"/>
      <w:bookmarkStart w:id="379" w:name="Tc_ojzmt2_Nn0Owc7b4a6TX4w_6_0"/>
      <w:bookmarkStart w:id="380" w:name="Tc_tIUNg8gjtEm6HmPy6x7ZRA_5_0"/>
      <w:bookmarkStart w:id="381" w:name="Tc_z3aMSutm6Uq4EpyJOKNmrA_4_8"/>
      <w:bookmarkStart w:id="382" w:name="Tc_XLcJfkrhdEKaSd39uEJfPA_4_5"/>
      <w:bookmarkStart w:id="383" w:name="Tc_OANNnZ0TZ0KNPhSoFsvuSw_4_2"/>
      <w:bookmarkStart w:id="384" w:name="Tc_XPvpNLm_Zkeqqe7XR3fjWw_4_0"/>
      <w:bookmarkStart w:id="385" w:name="Tc_ZjyVECNA4kCyBWyH34vTxg_3_0"/>
      <w:bookmarkStart w:id="386" w:name="Tc_fqLu-iRDokWIr45VaviN7Q_2_8"/>
      <w:bookmarkStart w:id="387" w:name="Tc_swbXL-TyXUS4evQoWIG2cg_2_5"/>
      <w:bookmarkStart w:id="388" w:name="Tc_tiLtrR0A-EumchxzwKo8tg_2_2"/>
      <w:bookmarkStart w:id="389" w:name="Tc_fyb2clrWB0WLUFsOJf1xjA_2_0"/>
      <w:bookmarkStart w:id="390" w:name="Tc_YehDv-PqsEqSvOgbod6wlw_1_2"/>
      <w:bookmarkStart w:id="391" w:name="_2e36a68d_b9d5_406e_8b7a_a2214ab62e89"/>
      <w:bookmarkStart w:id="392" w:name="Tc_KeI4Pvy4JEmfCma2zhaRjg_56_8"/>
      <w:bookmarkStart w:id="393" w:name="Tc_GEQ8PaR_H0u1KSOcjPUG1w_56_6"/>
      <w:bookmarkStart w:id="394" w:name="Tc_oXJcx_wuwU-kOoS739B5mw_56_5"/>
      <w:bookmarkStart w:id="395" w:name="Tc_TAslpSd5xEOJh0O8h_iohg_56_3"/>
      <w:bookmarkStart w:id="396" w:name="Tc_kuTSCXREekGyTPbOlReU4w_56_2"/>
      <w:bookmarkStart w:id="397" w:name="Tc_flKaTgItdE6kAXbsLXDQHQ_56_0"/>
      <w:bookmarkStart w:id="398" w:name="Tc_UVVt4GI9xki91diS2Ue2yA_55_8"/>
      <w:bookmarkStart w:id="399" w:name="Tc_F5FzpARbHkG5ny8zd1O_Fw_55_5"/>
      <w:bookmarkStart w:id="400" w:name="Tc_7KVnpaHyz0qT2rGhHd3sEg_55_2"/>
      <w:bookmarkStart w:id="401" w:name="Tc_5xk8YEhfukyqeIf0d5BO2A_55_0"/>
      <w:bookmarkStart w:id="402" w:name="Tc_OTJZAXHxuUy5e5CHo6OlrQ_54_0"/>
      <w:bookmarkStart w:id="403" w:name="Tc_NWxW_-AUwUCFHn5IJu2SaQ_52_8"/>
      <w:bookmarkStart w:id="404" w:name="Tc_8pt-u8y0gUS2iv-6DqcQMA_52_5"/>
      <w:bookmarkStart w:id="405" w:name="Tc_Q9xZrRg1Jkmg8e6Pj0gOSA_52_2"/>
      <w:bookmarkStart w:id="406" w:name="Tc__PLnBzY1YkqvQ7XoYznkVQ_52_0"/>
      <w:bookmarkStart w:id="407" w:name="Tc_k-yKkGwwJE2jhLqjByKz-w_51_8"/>
      <w:bookmarkStart w:id="408" w:name="Tc_TtWBF4MR_U6CLZ-THt_NpA_51_5"/>
      <w:bookmarkStart w:id="409" w:name="Tc_YZ3MCjD9jka6p7ojFHqIaQ_51_2"/>
      <w:bookmarkStart w:id="410" w:name="Tc_oSMa866D9UCE_qvjllIsfA_51_0"/>
      <w:bookmarkStart w:id="411" w:name="Tc_g6Y8zh4Js0KZVZso4kbGVA_50_0"/>
      <w:bookmarkStart w:id="412" w:name="Tc_erwlLwyXXEqtAPSwUlRiTA_48_8"/>
      <w:bookmarkStart w:id="413" w:name="Tc_z0DP6chmk0G6x0pTwxHYeg_48_5"/>
      <w:bookmarkStart w:id="414" w:name="Tc_z5xb6UvUkUaCHeSsZMSKXA_48_2"/>
      <w:bookmarkStart w:id="415" w:name="Tc_y-sgWTEyH0qufjX4IUtjHg_48_0"/>
      <w:bookmarkStart w:id="416" w:name="Tc_2ZVL-GWbF0Wc4DCUXvnbnw_47_6"/>
      <w:bookmarkStart w:id="417" w:name="Tc_s5HtS9MzfUiB8QGMNKAR9w_47_3"/>
      <w:bookmarkStart w:id="418" w:name="Tc_EeQl4Z-RcUWJqv7qcn7xcQ_47_0"/>
      <w:bookmarkStart w:id="419" w:name="Tc_h1-FbRR8Y0CssnkLBGl-jg_46_8"/>
      <w:bookmarkStart w:id="420" w:name="Tc_Ci1S4yMeGUGwev-NATrP9g_46_5"/>
      <w:bookmarkStart w:id="421" w:name="Tc_vPAoq9mFn0Kh2yt39AA8BQ_46_2"/>
      <w:bookmarkStart w:id="422" w:name="Tc_XyvmOJ1VLUOY0E9mphAwpw_46_0"/>
      <w:bookmarkStart w:id="423" w:name="Tc_eQ_Jss9B80asTLOtS-C28A_45_0"/>
      <w:bookmarkStart w:id="424" w:name="Tc_gNR8jPGuL0CIsYWUPTUk7g_43_8"/>
      <w:bookmarkStart w:id="425" w:name="Tc_sP1VUyNTX0eMeU9tsJVeDw_43_5"/>
      <w:bookmarkStart w:id="426" w:name="Tc_W9VwHvFhtE69_vPwZTZm_w_43_2"/>
      <w:bookmarkStart w:id="427" w:name="Tc_Bb3agR4mFUy5PiNEFsHEQA_43_0"/>
      <w:bookmarkStart w:id="428" w:name="Tc_vk_F52fN2E-wO7V1_-UmVA_42_0"/>
      <w:bookmarkStart w:id="429" w:name="Tc_bSUKgqGumUqWeWzDCH4f8A_41_0"/>
      <w:bookmarkStart w:id="430" w:name="Tc_O6y5-ATMsUi9WeUGNu_trA_39_0"/>
      <w:bookmarkStart w:id="431" w:name="Tc_v9sBJWQLrE6EWBc0MGp-YQ_38_0"/>
      <w:bookmarkStart w:id="432" w:name="Tc_bPJ_-GKVO0WH2MkpkIVhjA_37_0"/>
      <w:bookmarkStart w:id="433" w:name="Tc_zy2-x0L2OkCTsLg_9ornhA_36_0"/>
      <w:bookmarkStart w:id="434" w:name="Tc_k0zBJgY4n0mYQ41vqEzobQ_35_9"/>
      <w:bookmarkStart w:id="435" w:name="Tc_fNN54GX1H06CTZBZ6XWX3Q_35_6"/>
      <w:bookmarkStart w:id="436" w:name="Tc_l0mYaIkjpEW5kgkzmOQkVA_35_0"/>
      <w:bookmarkStart w:id="437" w:name="Tc_MHUEkHZOa0my_7qDEOVJwA_34_0"/>
      <w:bookmarkStart w:id="438" w:name="Tc_KlusxpX8l0a7qHx-5FbNug_33_0"/>
      <w:bookmarkStart w:id="439" w:name="Tc_0G-wuOf7dUC9lm7f1HPchA_31_0"/>
      <w:bookmarkStart w:id="440" w:name="Tc_Cjx7JOhfN0GzxPrcGRzA-Q_30_0"/>
      <w:bookmarkStart w:id="441" w:name="Tc_M33SIhFRJke96-YOHmZcRw_29_0"/>
      <w:bookmarkStart w:id="442" w:name="Tc_SNMYpM6kmUOvHsQi8zphnQ_28_3"/>
      <w:bookmarkStart w:id="443" w:name="Tc_f6qfgxrYaEa8VALIBeTz1w_28_0"/>
      <w:bookmarkStart w:id="444" w:name="Tc_YWDbiwuqCEivIK20cOmEcQ_27_0"/>
      <w:bookmarkStart w:id="445" w:name="Tc_ynSHgTzGkU-Pc5xYpZv-rQ_26_0"/>
      <w:bookmarkStart w:id="446" w:name="Tc_b950pLK5oEeAD2AsWsJfPw_25_0"/>
      <w:bookmarkStart w:id="447" w:name="Tc_tS8MtYrX9km8TOAIdhqTDQ_24_0"/>
      <w:bookmarkStart w:id="448" w:name="Tc_m_GzVX0YXk29PNpJLkSyqQ_22_0"/>
      <w:bookmarkStart w:id="449" w:name="Tc_3VWkRSc3lUuylqtgrFG25A_21_0"/>
      <w:bookmarkStart w:id="450" w:name="Tc_HitleeN4906519AGIKX8AA_20_0"/>
      <w:bookmarkStart w:id="451" w:name="Tc_uRWO2llik0uxQG6OOwKzxQ_19_0"/>
      <w:bookmarkStart w:id="452" w:name="Tc_fAyc6vdTt0u2WST5f6hKdg_18_0"/>
      <w:bookmarkStart w:id="453" w:name="Tc_y7Dc798KaE2ptkbHvLsQaw_17_0"/>
      <w:bookmarkStart w:id="454" w:name="Tc_GsfziBgZlEmUNrF1OBxHYw_16_0"/>
      <w:bookmarkStart w:id="455" w:name="Tc_TX7ABWQ5qUaKyL_LkvbphQ_15_0"/>
      <w:bookmarkStart w:id="456" w:name="Tc_u6aDpLWoBUyy9r5kZePjMQ_14_0"/>
      <w:bookmarkStart w:id="457" w:name="Tc_c-kDBIghU0Gu5jJKHU3tKg_13_0"/>
      <w:bookmarkStart w:id="458" w:name="Tc_-ThGlGkPmkWRTH3FIcJhXQ_12_9"/>
      <w:bookmarkStart w:id="459" w:name="Tc_Wzl9SacZV0ydAiXc9h4-HQ_12_0"/>
      <w:bookmarkStart w:id="460" w:name="Tc_bAKY2mxa4kakeHcwH13PFg_11_0"/>
      <w:bookmarkStart w:id="461" w:name="Tc_0Vjylbjq-kii1g6a0e455w_10_0"/>
      <w:bookmarkStart w:id="462" w:name="Tc_wzcdII1bhUiNNaVujGUETQ_9_0"/>
      <w:bookmarkStart w:id="463" w:name="Tc_skMYJI0P5k20CU-b0VwyTw_8_0"/>
      <w:bookmarkStart w:id="464" w:name="Tc_u5el8INISU6I9M5WAa3IHQ_7_0"/>
      <w:bookmarkStart w:id="465" w:name="Tc_ojzmt2_Nn0Owc7b4a6TX4w_6_0"/>
      <w:bookmarkStart w:id="466" w:name="Tc_tIUNg8gjtEm6HmPy6x7ZRA_5_0"/>
      <w:bookmarkStart w:id="467" w:name="Tc_z3aMSutm6Uq4EpyJOKNmrA_4_8"/>
      <w:bookmarkStart w:id="468" w:name="Tc_XLcJfkrhdEKaSd39uEJfPA_4_5"/>
      <w:bookmarkStart w:id="469" w:name="Tc_OANNnZ0TZ0KNPhSoFsvuSw_4_2"/>
      <w:bookmarkStart w:id="470" w:name="Tc_XPvpNLm_Zkeqqe7XR3fjWw_4_0"/>
      <w:bookmarkStart w:id="471" w:name="Tc_ZjyVECNA4kCyBWyH34vTxg_3_0"/>
      <w:bookmarkStart w:id="472" w:name="Tc_fqLu-iRDokWIr45VaviN7Q_2_8"/>
      <w:bookmarkStart w:id="473" w:name="Tc_swbXL-TyXUS4evQoWIG2cg_2_5"/>
      <w:bookmarkStart w:id="474" w:name="Tc_tiLtrR0A-EumchxzwKo8tg_2_2"/>
      <w:bookmarkStart w:id="475" w:name="Tc_fyb2clrWB0WLUFsOJf1xjA_2_0"/>
      <w:bookmarkStart w:id="476" w:name="Tc_YehDv-PqsEqSvOgbod6wlw_1_2"/>
      <w:bookmarkStart w:id="477" w:name="_2e36a68d_b9d5_406e_8b7a_a2214ab62e89"/>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tbl>
      <w:tblPr>
        <w:tblW w:w="9306" w:type="dxa"/>
        <w:jc w:val="left"/>
        <w:tblInd w:w="0" w:type="dxa"/>
        <w:tblLayout w:type="fixed"/>
        <w:tblCellMar>
          <w:top w:w="0" w:type="dxa"/>
          <w:left w:w="0" w:type="dxa"/>
          <w:bottom w:w="0" w:type="dxa"/>
          <w:right w:w="0" w:type="dxa"/>
        </w:tblCellMar>
      </w:tblPr>
      <w:tblGrid>
        <w:gridCol w:w="5596"/>
        <w:gridCol w:w="346"/>
        <w:gridCol w:w="196"/>
        <w:gridCol w:w="631"/>
        <w:gridCol w:w="346"/>
        <w:gridCol w:w="196"/>
        <w:gridCol w:w="631"/>
        <w:gridCol w:w="346"/>
        <w:gridCol w:w="196"/>
        <w:gridCol w:w="631"/>
        <w:gridCol w:w="191"/>
      </w:tblGrid>
      <w:tr>
        <w:trP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553460" cy="175260"/>
                      <wp:effectExtent l="0" t="0" r="0" b="0"/>
                      <wp:wrapNone/>
                      <wp:docPr id="248" name="Frame245"/>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00685" cy="175260"/>
                      <wp:effectExtent l="0" t="0" r="0" b="0"/>
                      <wp:wrapNone/>
                      <wp:docPr id="251" name="Frame24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4460" cy="175260"/>
                      <wp:effectExtent l="0" t="0" r="0" b="0"/>
                      <wp:wrapNone/>
                      <wp:docPr id="253" name="Frame2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00685" cy="175260"/>
                      <wp:effectExtent l="0" t="0" r="0" b="0"/>
                      <wp:wrapNone/>
                      <wp:docPr id="254" name="Frame25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24460" cy="175260"/>
                      <wp:effectExtent l="0" t="0" r="0" b="0"/>
                      <wp:wrapNone/>
                      <wp:docPr id="256" name="Frame2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00685" cy="175260"/>
                      <wp:effectExtent l="0" t="0" r="0" b="0"/>
                      <wp:wrapNone/>
                      <wp:docPr id="257" name="Frame25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1285" cy="175260"/>
                      <wp:effectExtent l="0" t="0" r="0" b="0"/>
                      <wp:wrapNone/>
                      <wp:docPr id="258" name="Frame25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91" w:type="dxa"/>
            <w:tcBorders/>
            <w:vAlign w:val="center"/>
          </w:tcPr>
          <w:p>
            <w:pPr>
              <w:pStyle w:val="TableContents"/>
              <w:bidi w:val="0"/>
              <w:spacing w:before="0" w:after="0"/>
              <w:ind w:left="0" w:right="0" w:hanging="0"/>
              <w:jc w:val="left"/>
              <w:rPr/>
            </w:pPr>
            <w:r>
              <w:rPr/>
              <w:t> </w:t>
            </w:r>
          </w:p>
        </w:tc>
      </w:tr>
      <w:tr>
        <w:trPr/>
        <w:tc>
          <w:tcPr>
            <w:tcW w:w="5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297.1</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Reconciling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142.2</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Amortization of 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income taxes,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19.6</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(Gain) 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Loss from SSAT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Distributions from SSAT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dry-docking payments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(24.1)</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dry-docking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33.5</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 accruals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lease assets and liabilities,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(144.8)</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767.8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510.5</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Capitalized vessel construction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 expenditures (excluding vessel construction expenditures)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(195.5)</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disposal of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for asset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(12.4)</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interest deposits into Capital Construction Fund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Withdrawals from Capital Construction Fund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49.9</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Repayments of debt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(76.9)</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of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Dividends paid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(45.0)</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Repurchase of Matson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Tax withholding related to net share settlements of restricted stock units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(12.6)</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(289.7)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(Decrease) Increase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Cash Equivalents and Restricted Cash, Beginning of Year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253.7</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Cash Equivalents and Restricted Cash,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Reconciliation of Cash, Cash Equivalents, and Restricted Cash,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134.0</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Cash, Cash Equivalents and Restricted Cash, End of Year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136.3</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Supplemental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paid, net of capitalized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 paid, net of income tax refunds (see Note 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 expenditures included in accounts payable, accruals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payments for intangible asset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8" w:name="_e69089e3_ad07_4d57_8580_11eac91f4c34"/>
      <w:bookmarkEnd w:id="478"/>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479" w:name="SHAREHOLDERSEQUITY_21581"/>
      <w:bookmarkEnd w:id="479"/>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YEARS ENDED DECEMBER 31, 2025</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80" w:name="Tc_EGHMjsInjk2WJUadhQagQA_27_16"/>
      <w:bookmarkStart w:id="481" w:name="Tc_LNwSoywLxU6Jh4_Ol1-lIA_27_13"/>
      <w:bookmarkStart w:id="482" w:name="Tc_Gnw9fuVYPECx2aCZchIfIA_27_10"/>
      <w:bookmarkStart w:id="483" w:name="Tc_87lKwbCSf0u0zSCSBbTwtA_27_7"/>
      <w:bookmarkStart w:id="484" w:name="Tc__eLpry-9W0ilLj66qjGsrA_27_4"/>
      <w:bookmarkStart w:id="485" w:name="Tc_BgRCGabsD0O73RKZAVyJEw_27_0"/>
      <w:bookmarkStart w:id="486" w:name="Tc_OuBU9GSTm0G7FDMtfm13-A_26_11"/>
      <w:bookmarkStart w:id="487" w:name="Tc_s_DUbrCtsUCsmXtSU5Zs9g_26_8"/>
      <w:bookmarkStart w:id="488" w:name="Tc_QeQBLFT-ikm3wpUw1yugtA_26_5"/>
      <w:bookmarkStart w:id="489" w:name="Tc_m2cqIB_vEU-8mHQ-1MgvBg_26_2"/>
      <w:bookmarkStart w:id="490" w:name="Tc_siGyJT0wSE6lOF0HweeC0w_26_0"/>
      <w:bookmarkStart w:id="491" w:name="Tc_ahYQEkzlQEie5T4AdjCVYw_25_11"/>
      <w:bookmarkStart w:id="492" w:name="Tc_FOLikY1WpUm6xIflYmPiLA_25_0"/>
      <w:bookmarkStart w:id="493" w:name="Tc_D_VMzoB7BECesGqsELxV4A_24_14"/>
      <w:bookmarkStart w:id="494" w:name="Tc_v73jfdq6mEarhHuCkmECqQ_24_11"/>
      <w:bookmarkStart w:id="495" w:name="Tc_Q4L_GlfCEUyJwuUYzs-3JQ_24_0"/>
      <w:bookmarkStart w:id="496" w:name="Tc_QKev3lpnGESQnIaof4Q9Fg_23_14"/>
      <w:bookmarkStart w:id="497" w:name="Tc_2p3Mgi5W6UqvebdqIA3rIA_23_11"/>
      <w:bookmarkStart w:id="498" w:name="Tc_tg7ti4fHi0-ZWTKAJl-FTg_23_5"/>
      <w:bookmarkStart w:id="499" w:name="Tc_hbg__OR6R0WiUjSfeTGFLA_23_2"/>
      <w:bookmarkStart w:id="500" w:name="Tc_IKv9hxa58UOMATycGbWiMA_23_0"/>
      <w:bookmarkStart w:id="501" w:name="Tc_kwTn0Xgr5Eie1iolqYQpag_22_14"/>
      <w:bookmarkStart w:id="502" w:name="Tc_OUnytyry9ECIze-1Z0-zYw_22_8"/>
      <w:bookmarkStart w:id="503" w:name="Tc__-U_ae0zSUarZzKiMqLOYg_22_5"/>
      <w:bookmarkStart w:id="504" w:name="Tc_KlxLujN3oE-4TlNMncX9dQ_22_2"/>
      <w:bookmarkStart w:id="505" w:name="Tc_ELdzEOhpq06jcyJkaFyryA_22_0"/>
      <w:bookmarkStart w:id="506" w:name="Tc_cxwStqoj3kulWm2JNDwVxw_21_11"/>
      <w:bookmarkStart w:id="507" w:name="Tc_8IZf3y2MZkK5RZ5rXpikSg_21_8"/>
      <w:bookmarkStart w:id="508" w:name="Tc_DJKKVzBUmEWVgBiw9njJfw_21_5"/>
      <w:bookmarkStart w:id="509" w:name="Tc_fzrsigBzUka6yZ-d11w9OQ_21_2"/>
      <w:bookmarkStart w:id="510" w:name="Tc_jeq3SmDJAUqA9tmauOfMrA_21_0"/>
      <w:bookmarkStart w:id="511" w:name="Tc_IHblp1Vu40KHLNtcosePpQ_20_0"/>
      <w:bookmarkStart w:id="512" w:name="Tc_XbRwNw1RC02onZcfrtYrgA_19_11"/>
      <w:bookmarkStart w:id="513" w:name="Tc_aGrCE7CBW0GmqzBh5ru7Jg_19_8"/>
      <w:bookmarkStart w:id="514" w:name="Tc_EM0dVa59g0GHtWWYzDVQmQ_19_5"/>
      <w:bookmarkStart w:id="515" w:name="Tc_7_pSSdS1Uk-9oLd5I9laAg_19_2"/>
      <w:bookmarkStart w:id="516" w:name="Tc_uyjBW8WmEUK48v2gj87PtA_19_0"/>
      <w:bookmarkStart w:id="517" w:name="Tc_RJfMRII7LEGqEsfL1n__MA_18_11"/>
      <w:bookmarkStart w:id="518" w:name="Tc_1IxDq9XAykS-jNBsBnHp4A_18_8"/>
      <w:bookmarkStart w:id="519" w:name="Tc_A0SpJl8q7UOM_dR2lwebtg_18_5"/>
      <w:bookmarkStart w:id="520" w:name="Tc_vT1tP1MZv0qQAR0m59LH7g_18_2"/>
      <w:bookmarkStart w:id="521" w:name="Tc_9TSk7v503kyGp-FoT82olQ_18_0"/>
      <w:bookmarkStart w:id="522" w:name="Tc_ta_dmUKJU0-khmOEBfgvtQ_17_11"/>
      <w:bookmarkStart w:id="523" w:name="Tc_9nIZM_NL6UeWwmTUZg9mDA_17_0"/>
      <w:bookmarkStart w:id="524" w:name="Tc_B_cmbKUA_k219LkT6SY3Ng_16_14"/>
      <w:bookmarkStart w:id="525" w:name="Tc_OEQ7qn1kr0CkBs7MePtn7g_16_11"/>
      <w:bookmarkStart w:id="526" w:name="Tc_pRqKl4B6D0SdFVDdz9wn4g_16_0"/>
      <w:bookmarkStart w:id="527" w:name="Tc_UpECzG8zhEq12A-bT_fNoQ_15_14"/>
      <w:bookmarkStart w:id="528" w:name="Tc_7AqCYzqr_Eq8dNK5BWERDw_15_11"/>
      <w:bookmarkStart w:id="529" w:name="Tc_Gjxqer1rJE6aWibSQTPDGw_15_5"/>
      <w:bookmarkStart w:id="530" w:name="Tc_1ch5GDzVFUqVMWLjO7JtKw_15_2"/>
      <w:bookmarkStart w:id="531" w:name="Tc_QyVLt2Mka0yoB20K0VXtlA_15_0"/>
      <w:bookmarkStart w:id="532" w:name="Tc_oJ-mF2xuz0Wijb4PZhLpJA_14_14"/>
      <w:bookmarkStart w:id="533" w:name="Tc_eZd9nIoO7UqFoe05ymXwGA_14_8"/>
      <w:bookmarkStart w:id="534" w:name="Tc_uP-QnR-27k2KYtJYt2eJsQ_14_5"/>
      <w:bookmarkStart w:id="535" w:name="Tc_tS4T3H1JHE6VFxpG12txCw_14_2"/>
      <w:bookmarkStart w:id="536" w:name="Tc_X1S-DflKkEWniNOFA-NYfw_14_0"/>
      <w:bookmarkStart w:id="537" w:name="Tc_BVNgTT8TNkOCC3hTJhrBOw_13_11"/>
      <w:bookmarkStart w:id="538" w:name="Tc_3tgGROWTZEy155GglDrrcw_13_8"/>
      <w:bookmarkStart w:id="539" w:name="Tc_FMAeaOtmPkC6PRRgJTRgsA_13_5"/>
      <w:bookmarkStart w:id="540" w:name="Tc_7GB2frZtkkqScu9Q3sdV-Q_13_2"/>
      <w:bookmarkStart w:id="541" w:name="Tc_GJPl5mLkoEi1G48qpPGGeg_13_0"/>
      <w:bookmarkStart w:id="542" w:name="Tc_EbcO_Yj1O0GVLyFmkNyb1A_12_0"/>
      <w:bookmarkStart w:id="543" w:name="Tc_11cQ52HyCkWtSDecCdbezA_11_11"/>
      <w:bookmarkStart w:id="544" w:name="Tc_YXojFWKLmESSc4J7iI-20A_11_8"/>
      <w:bookmarkStart w:id="545" w:name="Tc_OKA8BZOStEWg7Rtguc8ZmA_11_5"/>
      <w:bookmarkStart w:id="546" w:name="Tc_N2TAjbD410isSs7uM6QIbg_11_2"/>
      <w:bookmarkStart w:id="547" w:name="Tc_D_mCvLjFJkKYbsw1iZHPwg_11_0"/>
      <w:bookmarkStart w:id="548" w:name="Tc_LCJb9WDuiUexziG0SAocbg_10_11"/>
      <w:bookmarkStart w:id="549" w:name="Tc_VVBitrPp80W3hdyOaiqgbw_10_0"/>
      <w:bookmarkStart w:id="550" w:name="Tc_EjnMlPz1WUyymEJPy8_wPg_9_11"/>
      <w:bookmarkStart w:id="551" w:name="Tc_zlDLezrSUkWXhMTLA6GzkA_9_0"/>
      <w:bookmarkStart w:id="552" w:name="Tc_gRjaFArRt0OC-rpPJYrIWA_8_14"/>
      <w:bookmarkStart w:id="553" w:name="Tc_hnODcBlvK0iFCDMEv6B4tg_8_11"/>
      <w:bookmarkStart w:id="554" w:name="Tc_pRFTrqZpvk-VbrOlV3RdLQ_8_5"/>
      <w:bookmarkStart w:id="555" w:name="Tc_OXdPVD5UO0em_uxdTxICAA_8_2"/>
      <w:bookmarkStart w:id="556" w:name="Tc_WE2sIOUGDkCUFeOaTosHbg_8_0"/>
      <w:bookmarkStart w:id="557" w:name="Tc_SJLcHaF0GkqGLZ3u2cTyXg_7_14"/>
      <w:bookmarkStart w:id="558" w:name="Tc_H3xTq37_lEy57-oXVlH34A_7_8"/>
      <w:bookmarkStart w:id="559" w:name="Tc_PkXNy9HYnkudfGNaqeo9bg_7_5"/>
      <w:bookmarkStart w:id="560" w:name="Tc_Vr8uut-6ckGe5Jq1KbC7xg_7_2"/>
      <w:bookmarkStart w:id="561" w:name="Tc_LB904WmopUOqkReD9Cxwhg_7_0"/>
      <w:bookmarkStart w:id="562" w:name="Tc_ZcbXHv9VaE-yrp7Jj4gtGg_6_11"/>
      <w:bookmarkStart w:id="563" w:name="Tc_OA768I9OQ0yZmEgSBcMVMA_6_8"/>
      <w:bookmarkStart w:id="564" w:name="Tc_2s0JvVmPLEiUtaOmo1Zigg_6_5"/>
      <w:bookmarkStart w:id="565" w:name="Tc_pB9hWz9nDk-yq3nYsm1HWg_6_2"/>
      <w:bookmarkStart w:id="566" w:name="Tc_dWMUhrWCckWNwODSUo_GPw_6_0"/>
      <w:bookmarkStart w:id="567" w:name="Tc_Pz6XHrNjX0uYOZfFhDhsbA_5_16"/>
      <w:bookmarkStart w:id="568" w:name="Tc_pN8TbmNzxUqODo8sW0rb5A_5_13"/>
      <w:bookmarkStart w:id="569" w:name="Tc_748tL4b6bUOYRLFVg-c0OQ_5_10"/>
      <w:bookmarkStart w:id="570" w:name="Tc_Y5B6miwomUOYJpsdJmKq9Q_5_7"/>
      <w:bookmarkStart w:id="571" w:name="Tc_og9kWRt610yUXqqJdyoxIQ_5_4"/>
      <w:bookmarkStart w:id="572" w:name="Tc_k_pYPNzLIEeZ68gDH7vc0Q_5_0"/>
      <w:bookmarkStart w:id="573" w:name="Tc_wiyFS8-wY0GDqfOLbVwcZw_4_16"/>
      <w:bookmarkStart w:id="574" w:name="Tc_yCbxFwLGYECmH3Hglr3w1w_4_13"/>
      <w:bookmarkStart w:id="575" w:name="Tc_VNd4yTikvUWqXgKSxUFgMw_4_10"/>
      <w:bookmarkStart w:id="576" w:name="Tc_t1JIhV5ezkiK69bd4-3bew_4_7"/>
      <w:bookmarkStart w:id="577" w:name="Tc_EJAgGGR1Bkys5ggd3-rPWQ_4_4"/>
      <w:bookmarkStart w:id="578" w:name="Tc_woKw3sK9h0ybgAS7H5bLsA_4_2"/>
      <w:bookmarkStart w:id="579" w:name="Tc_WSjcSiAD4keVMTxp1zx6ug_4_0"/>
      <w:bookmarkStart w:id="580" w:name="Tc_o2Op5ECe7kOIZDjewRD_8A_3_13"/>
      <w:bookmarkStart w:id="581" w:name="Tc_DVekx5OdRkSQUFJ0LTt0gQ_3_10"/>
      <w:bookmarkStart w:id="582" w:name="Tc_KWcJ8zR6BE2Y4oELp1uIfg_3_7"/>
      <w:bookmarkStart w:id="583" w:name="Tc_5THW9xa-80-a-4qcfXeAFA_3_4"/>
      <w:bookmarkStart w:id="584" w:name="Tc_sPmWwrwyhEOZDs7_EMv6Fw_2_10"/>
      <w:bookmarkStart w:id="585" w:name="Tc_vdS_tuN1kE2ZoInNmBGwhg_2_7"/>
      <w:bookmarkStart w:id="586" w:name="Tc_5iErBohUxE6gUrbabqkwJQ_2_2"/>
      <w:bookmarkStart w:id="587" w:name="Tc_TBsFK2pXRUaS6WjTMKFARg_1_10"/>
      <w:bookmarkStart w:id="588" w:name="_b50a42cc_0b25_4f7b_bcd3_f700ee181930"/>
      <w:bookmarkStart w:id="589" w:name="Tc_EGHMjsInjk2WJUadhQagQA_27_16"/>
      <w:bookmarkStart w:id="590" w:name="Tc_LNwSoywLxU6Jh4_Ol1-lIA_27_13"/>
      <w:bookmarkStart w:id="591" w:name="Tc_Gnw9fuVYPECx2aCZchIfIA_27_10"/>
      <w:bookmarkStart w:id="592" w:name="Tc_87lKwbCSf0u0zSCSBbTwtA_27_7"/>
      <w:bookmarkStart w:id="593" w:name="Tc__eLpry-9W0ilLj66qjGsrA_27_4"/>
      <w:bookmarkStart w:id="594" w:name="Tc_BgRCGabsD0O73RKZAVyJEw_27_0"/>
      <w:bookmarkStart w:id="595" w:name="Tc_OuBU9GSTm0G7FDMtfm13-A_26_11"/>
      <w:bookmarkStart w:id="596" w:name="Tc_s_DUbrCtsUCsmXtSU5Zs9g_26_8"/>
      <w:bookmarkStart w:id="597" w:name="Tc_QeQBLFT-ikm3wpUw1yugtA_26_5"/>
      <w:bookmarkStart w:id="598" w:name="Tc_m2cqIB_vEU-8mHQ-1MgvBg_26_2"/>
      <w:bookmarkStart w:id="599" w:name="Tc_siGyJT0wSE6lOF0HweeC0w_26_0"/>
      <w:bookmarkStart w:id="600" w:name="Tc_ahYQEkzlQEie5T4AdjCVYw_25_11"/>
      <w:bookmarkStart w:id="601" w:name="Tc_FOLikY1WpUm6xIflYmPiLA_25_0"/>
      <w:bookmarkStart w:id="602" w:name="Tc_D_VMzoB7BECesGqsELxV4A_24_14"/>
      <w:bookmarkStart w:id="603" w:name="Tc_v73jfdq6mEarhHuCkmECqQ_24_11"/>
      <w:bookmarkStart w:id="604" w:name="Tc_Q4L_GlfCEUyJwuUYzs-3JQ_24_0"/>
      <w:bookmarkStart w:id="605" w:name="Tc_QKev3lpnGESQnIaof4Q9Fg_23_14"/>
      <w:bookmarkStart w:id="606" w:name="Tc_2p3Mgi5W6UqvebdqIA3rIA_23_11"/>
      <w:bookmarkStart w:id="607" w:name="Tc_tg7ti4fHi0-ZWTKAJl-FTg_23_5"/>
      <w:bookmarkStart w:id="608" w:name="Tc_hbg__OR6R0WiUjSfeTGFLA_23_2"/>
      <w:bookmarkStart w:id="609" w:name="Tc_IKv9hxa58UOMATycGbWiMA_23_0"/>
      <w:bookmarkStart w:id="610" w:name="Tc_kwTn0Xgr5Eie1iolqYQpag_22_14"/>
      <w:bookmarkStart w:id="611" w:name="Tc_OUnytyry9ECIze-1Z0-zYw_22_8"/>
      <w:bookmarkStart w:id="612" w:name="Tc__-U_ae0zSUarZzKiMqLOYg_22_5"/>
      <w:bookmarkStart w:id="613" w:name="Tc_KlxLujN3oE-4TlNMncX9dQ_22_2"/>
      <w:bookmarkStart w:id="614" w:name="Tc_ELdzEOhpq06jcyJkaFyryA_22_0"/>
      <w:bookmarkStart w:id="615" w:name="Tc_cxwStqoj3kulWm2JNDwVxw_21_11"/>
      <w:bookmarkStart w:id="616" w:name="Tc_8IZf3y2MZkK5RZ5rXpikSg_21_8"/>
      <w:bookmarkStart w:id="617" w:name="Tc_DJKKVzBUmEWVgBiw9njJfw_21_5"/>
      <w:bookmarkStart w:id="618" w:name="Tc_fzrsigBzUka6yZ-d11w9OQ_21_2"/>
      <w:bookmarkStart w:id="619" w:name="Tc_jeq3SmDJAUqA9tmauOfMrA_21_0"/>
      <w:bookmarkStart w:id="620" w:name="Tc_IHblp1Vu40KHLNtcosePpQ_20_0"/>
      <w:bookmarkStart w:id="621" w:name="Tc_XbRwNw1RC02onZcfrtYrgA_19_11"/>
      <w:bookmarkStart w:id="622" w:name="Tc_aGrCE7CBW0GmqzBh5ru7Jg_19_8"/>
      <w:bookmarkStart w:id="623" w:name="Tc_EM0dVa59g0GHtWWYzDVQmQ_19_5"/>
      <w:bookmarkStart w:id="624" w:name="Tc_7_pSSdS1Uk-9oLd5I9laAg_19_2"/>
      <w:bookmarkStart w:id="625" w:name="Tc_uyjBW8WmEUK48v2gj87PtA_19_0"/>
      <w:bookmarkStart w:id="626" w:name="Tc_RJfMRII7LEGqEsfL1n__MA_18_11"/>
      <w:bookmarkStart w:id="627" w:name="Tc_1IxDq9XAykS-jNBsBnHp4A_18_8"/>
      <w:bookmarkStart w:id="628" w:name="Tc_A0SpJl8q7UOM_dR2lwebtg_18_5"/>
      <w:bookmarkStart w:id="629" w:name="Tc_vT1tP1MZv0qQAR0m59LH7g_18_2"/>
      <w:bookmarkStart w:id="630" w:name="Tc_9TSk7v503kyGp-FoT82olQ_18_0"/>
      <w:bookmarkStart w:id="631" w:name="Tc_ta_dmUKJU0-khmOEBfgvtQ_17_11"/>
      <w:bookmarkStart w:id="632" w:name="Tc_9nIZM_NL6UeWwmTUZg9mDA_17_0"/>
      <w:bookmarkStart w:id="633" w:name="Tc_B_cmbKUA_k219LkT6SY3Ng_16_14"/>
      <w:bookmarkStart w:id="634" w:name="Tc_OEQ7qn1kr0CkBs7MePtn7g_16_11"/>
      <w:bookmarkStart w:id="635" w:name="Tc_pRqKl4B6D0SdFVDdz9wn4g_16_0"/>
      <w:bookmarkStart w:id="636" w:name="Tc_UpECzG8zhEq12A-bT_fNoQ_15_14"/>
      <w:bookmarkStart w:id="637" w:name="Tc_7AqCYzqr_Eq8dNK5BWERDw_15_11"/>
      <w:bookmarkStart w:id="638" w:name="Tc_Gjxqer1rJE6aWibSQTPDGw_15_5"/>
      <w:bookmarkStart w:id="639" w:name="Tc_1ch5GDzVFUqVMWLjO7JtKw_15_2"/>
      <w:bookmarkStart w:id="640" w:name="Tc_QyVLt2Mka0yoB20K0VXtlA_15_0"/>
      <w:bookmarkStart w:id="641" w:name="Tc_oJ-mF2xuz0Wijb4PZhLpJA_14_14"/>
      <w:bookmarkStart w:id="642" w:name="Tc_eZd9nIoO7UqFoe05ymXwGA_14_8"/>
      <w:bookmarkStart w:id="643" w:name="Tc_uP-QnR-27k2KYtJYt2eJsQ_14_5"/>
      <w:bookmarkStart w:id="644" w:name="Tc_tS4T3H1JHE6VFxpG12txCw_14_2"/>
      <w:bookmarkStart w:id="645" w:name="Tc_X1S-DflKkEWniNOFA-NYfw_14_0"/>
      <w:bookmarkStart w:id="646" w:name="Tc_BVNgTT8TNkOCC3hTJhrBOw_13_11"/>
      <w:bookmarkStart w:id="647" w:name="Tc_3tgGROWTZEy155GglDrrcw_13_8"/>
      <w:bookmarkStart w:id="648" w:name="Tc_FMAeaOtmPkC6PRRgJTRgsA_13_5"/>
      <w:bookmarkStart w:id="649" w:name="Tc_7GB2frZtkkqScu9Q3sdV-Q_13_2"/>
      <w:bookmarkStart w:id="650" w:name="Tc_GJPl5mLkoEi1G48qpPGGeg_13_0"/>
      <w:bookmarkStart w:id="651" w:name="Tc_EbcO_Yj1O0GVLyFmkNyb1A_12_0"/>
      <w:bookmarkStart w:id="652" w:name="Tc_11cQ52HyCkWtSDecCdbezA_11_11"/>
      <w:bookmarkStart w:id="653" w:name="Tc_YXojFWKLmESSc4J7iI-20A_11_8"/>
      <w:bookmarkStart w:id="654" w:name="Tc_OKA8BZOStEWg7Rtguc8ZmA_11_5"/>
      <w:bookmarkStart w:id="655" w:name="Tc_N2TAjbD410isSs7uM6QIbg_11_2"/>
      <w:bookmarkStart w:id="656" w:name="Tc_D_mCvLjFJkKYbsw1iZHPwg_11_0"/>
      <w:bookmarkStart w:id="657" w:name="Tc_LCJb9WDuiUexziG0SAocbg_10_11"/>
      <w:bookmarkStart w:id="658" w:name="Tc_VVBitrPp80W3hdyOaiqgbw_10_0"/>
      <w:bookmarkStart w:id="659" w:name="Tc_EjnMlPz1WUyymEJPy8_wPg_9_11"/>
      <w:bookmarkStart w:id="660" w:name="Tc_zlDLezrSUkWXhMTLA6GzkA_9_0"/>
      <w:bookmarkStart w:id="661" w:name="Tc_gRjaFArRt0OC-rpPJYrIWA_8_14"/>
      <w:bookmarkStart w:id="662" w:name="Tc_hnODcBlvK0iFCDMEv6B4tg_8_11"/>
      <w:bookmarkStart w:id="663" w:name="Tc_pRFTrqZpvk-VbrOlV3RdLQ_8_5"/>
      <w:bookmarkStart w:id="664" w:name="Tc_OXdPVD5UO0em_uxdTxICAA_8_2"/>
      <w:bookmarkStart w:id="665" w:name="Tc_WE2sIOUGDkCUFeOaTosHbg_8_0"/>
      <w:bookmarkStart w:id="666" w:name="Tc_SJLcHaF0GkqGLZ3u2cTyXg_7_14"/>
      <w:bookmarkStart w:id="667" w:name="Tc_H3xTq37_lEy57-oXVlH34A_7_8"/>
      <w:bookmarkStart w:id="668" w:name="Tc_PkXNy9HYnkudfGNaqeo9bg_7_5"/>
      <w:bookmarkStart w:id="669" w:name="Tc_Vr8uut-6ckGe5Jq1KbC7xg_7_2"/>
      <w:bookmarkStart w:id="670" w:name="Tc_LB904WmopUOqkReD9Cxwhg_7_0"/>
      <w:bookmarkStart w:id="671" w:name="Tc_ZcbXHv9VaE-yrp7Jj4gtGg_6_11"/>
      <w:bookmarkStart w:id="672" w:name="Tc_OA768I9OQ0yZmEgSBcMVMA_6_8"/>
      <w:bookmarkStart w:id="673" w:name="Tc_2s0JvVmPLEiUtaOmo1Zigg_6_5"/>
      <w:bookmarkStart w:id="674" w:name="Tc_pB9hWz9nDk-yq3nYsm1HWg_6_2"/>
      <w:bookmarkStart w:id="675" w:name="Tc_dWMUhrWCckWNwODSUo_GPw_6_0"/>
      <w:bookmarkStart w:id="676" w:name="Tc_Pz6XHrNjX0uYOZfFhDhsbA_5_16"/>
      <w:bookmarkStart w:id="677" w:name="Tc_pN8TbmNzxUqODo8sW0rb5A_5_13"/>
      <w:bookmarkStart w:id="678" w:name="Tc_748tL4b6bUOYRLFVg-c0OQ_5_10"/>
      <w:bookmarkStart w:id="679" w:name="Tc_Y5B6miwomUOYJpsdJmKq9Q_5_7"/>
      <w:bookmarkStart w:id="680" w:name="Tc_og9kWRt610yUXqqJdyoxIQ_5_4"/>
      <w:bookmarkStart w:id="681" w:name="Tc_k_pYPNzLIEeZ68gDH7vc0Q_5_0"/>
      <w:bookmarkStart w:id="682" w:name="Tc_wiyFS8-wY0GDqfOLbVwcZw_4_16"/>
      <w:bookmarkStart w:id="683" w:name="Tc_yCbxFwLGYECmH3Hglr3w1w_4_13"/>
      <w:bookmarkStart w:id="684" w:name="Tc_VNd4yTikvUWqXgKSxUFgMw_4_10"/>
      <w:bookmarkStart w:id="685" w:name="Tc_t1JIhV5ezkiK69bd4-3bew_4_7"/>
      <w:bookmarkStart w:id="686" w:name="Tc_EJAgGGR1Bkys5ggd3-rPWQ_4_4"/>
      <w:bookmarkStart w:id="687" w:name="Tc_woKw3sK9h0ybgAS7H5bLsA_4_2"/>
      <w:bookmarkStart w:id="688" w:name="Tc_WSjcSiAD4keVMTxp1zx6ug_4_0"/>
      <w:bookmarkStart w:id="689" w:name="Tc_o2Op5ECe7kOIZDjewRD_8A_3_13"/>
      <w:bookmarkStart w:id="690" w:name="Tc_DVekx5OdRkSQUFJ0LTt0gQ_3_10"/>
      <w:bookmarkStart w:id="691" w:name="Tc_KWcJ8zR6BE2Y4oELp1uIfg_3_7"/>
      <w:bookmarkStart w:id="692" w:name="Tc_5THW9xa-80-a-4qcfXeAFA_3_4"/>
      <w:bookmarkStart w:id="693" w:name="Tc_sPmWwrwyhEOZDs7_EMv6Fw_2_10"/>
      <w:bookmarkStart w:id="694" w:name="Tc_vdS_tuN1kE2ZoInNmBGwhg_2_7"/>
      <w:bookmarkStart w:id="695" w:name="Tc_5iErBohUxE6gUrbabqkwJQ_2_2"/>
      <w:bookmarkStart w:id="696" w:name="Tc_TBsFK2pXRUaS6WjTMKFARg_1_10"/>
      <w:bookmarkStart w:id="697" w:name="_b50a42cc_0b25_4f7b_bcd3_f700ee181930"/>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tbl>
      <w:tblPr>
        <w:tblW w:w="10205" w:type="dxa"/>
        <w:jc w:val="left"/>
        <w:tblInd w:w="0" w:type="dxa"/>
        <w:tblLayout w:type="fixed"/>
        <w:tblCellMar>
          <w:top w:w="0" w:type="dxa"/>
          <w:left w:w="0" w:type="dxa"/>
          <w:bottom w:w="0" w:type="dxa"/>
          <w:right w:w="0" w:type="dxa"/>
        </w:tblCellMar>
      </w:tblPr>
      <w:tblGrid>
        <w:gridCol w:w="3076"/>
        <w:gridCol w:w="286"/>
        <w:gridCol w:w="586"/>
        <w:gridCol w:w="286"/>
        <w:gridCol w:w="211"/>
        <w:gridCol w:w="473"/>
        <w:gridCol w:w="286"/>
        <w:gridCol w:w="235"/>
        <w:gridCol w:w="636"/>
        <w:gridCol w:w="286"/>
        <w:gridCol w:w="404"/>
        <w:gridCol w:w="812"/>
        <w:gridCol w:w="286"/>
        <w:gridCol w:w="211"/>
        <w:gridCol w:w="721"/>
        <w:gridCol w:w="286"/>
        <w:gridCol w:w="211"/>
        <w:gridCol w:w="721"/>
        <w:gridCol w:w="192"/>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953260" cy="175260"/>
                      <wp:effectExtent l="0" t="0" r="0" b="0"/>
                      <wp:wrapNone/>
                      <wp:docPr id="259" name="Frame256"/>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81610" cy="175260"/>
                      <wp:effectExtent l="0" t="0" r="0" b="0"/>
                      <wp:wrapNone/>
                      <wp:docPr id="260" name="Frame25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72110" cy="175260"/>
                      <wp:effectExtent l="0" t="0" r="0" b="0"/>
                      <wp:wrapNone/>
                      <wp:docPr id="261" name="Frame25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81610" cy="175260"/>
                      <wp:effectExtent l="0" t="0" r="0" b="0"/>
                      <wp:wrapNone/>
                      <wp:docPr id="262" name="Frame2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00355" cy="175260"/>
                      <wp:effectExtent l="0" t="0" r="0" b="0"/>
                      <wp:wrapNone/>
                      <wp:docPr id="264" name="Frame261"/>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81610" cy="175260"/>
                      <wp:effectExtent l="0" t="0" r="0" b="0"/>
                      <wp:wrapNone/>
                      <wp:docPr id="265" name="Frame2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49225" cy="175260"/>
                      <wp:effectExtent l="0" t="0" r="0" b="0"/>
                      <wp:wrapNone/>
                      <wp:docPr id="266" name="Frame26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03860" cy="175260"/>
                      <wp:effectExtent l="0" t="0" r="0" b="0"/>
                      <wp:wrapNone/>
                      <wp:docPr id="267" name="Frame264"/>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81610" cy="175260"/>
                      <wp:effectExtent l="0" t="0" r="0" b="0"/>
                      <wp:wrapNone/>
                      <wp:docPr id="268" name="Frame26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56540" cy="175260"/>
                      <wp:effectExtent l="0" t="0" r="0" b="0"/>
                      <wp:wrapNone/>
                      <wp:docPr id="269" name="Frame26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15620" cy="175260"/>
                      <wp:effectExtent l="0" t="0" r="0" b="0"/>
                      <wp:wrapNone/>
                      <wp:docPr id="270" name="Frame267"/>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81610" cy="175260"/>
                      <wp:effectExtent l="0" t="0" r="0" b="0"/>
                      <wp:wrapNone/>
                      <wp:docPr id="271" name="Frame26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57835" cy="175260"/>
                      <wp:effectExtent l="0" t="0" r="0" b="0"/>
                      <wp:wrapNone/>
                      <wp:docPr id="273" name="Frame2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81610" cy="175260"/>
                      <wp:effectExtent l="0" t="0" r="0" b="0"/>
                      <wp:wrapNone/>
                      <wp:docPr id="274" name="Frame27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57835" cy="175260"/>
                      <wp:effectExtent l="0" t="0" r="0" b="0"/>
                      <wp:wrapNone/>
                      <wp:docPr id="276" name="Frame27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21920" cy="175260"/>
                      <wp:effectExtent l="0" t="0" r="0" b="0"/>
                      <wp:wrapNone/>
                      <wp:docPr id="277" name="Frame274"/>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55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8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8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6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Stated</w:t>
            </w:r>
          </w:p>
        </w:tc>
        <w:tc>
          <w:tcPr>
            <w:tcW w:w="28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28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8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center"/>
              <w:rPr/>
            </w:pPr>
            <w:r>
              <w:rPr/>
              <w:t> </w:t>
            </w:r>
          </w:p>
        </w:tc>
      </w:tr>
      <w:tr>
        <w:trPr/>
        <w:tc>
          <w:tcPr>
            <w:tcW w:w="3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286" w:type="dxa"/>
            <w:tcBorders/>
            <w:vAlign w:val="center"/>
          </w:tcPr>
          <w:p>
            <w:pPr>
              <w:pStyle w:val="TableContents"/>
              <w:bidi w:val="0"/>
              <w:spacing w:before="0" w:after="0"/>
              <w:ind w:left="0" w:right="0" w:hanging="0"/>
              <w:jc w:val="center"/>
              <w:rPr/>
            </w:pPr>
            <w:r>
              <w:rPr/>
              <w:t>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86" w:type="dxa"/>
            <w:tcBorders/>
            <w:vAlign w:val="center"/>
          </w:tcPr>
          <w:p>
            <w:pPr>
              <w:pStyle w:val="TableContents"/>
              <w:bidi w:val="0"/>
              <w:spacing w:before="0" w:after="0"/>
              <w:ind w:left="0" w:right="0" w:hanging="0"/>
              <w:jc w:val="center"/>
              <w:rPr/>
            </w:pPr>
            <w:r>
              <w:rPr/>
              <w:t>  ​ ​</w:t>
            </w:r>
          </w:p>
        </w:tc>
        <w:tc>
          <w:tcPr>
            <w:tcW w:w="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86" w:type="dxa"/>
            <w:tcBorders/>
            <w:vAlign w:val="center"/>
          </w:tcPr>
          <w:p>
            <w:pPr>
              <w:pStyle w:val="TableContents"/>
              <w:bidi w:val="0"/>
              <w:spacing w:before="0" w:after="0"/>
              <w:ind w:left="0" w:right="0" w:hanging="0"/>
              <w:jc w:val="center"/>
              <w:rPr/>
            </w:pPr>
            <w:r>
              <w:rPr/>
              <w:t>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86" w:type="dxa"/>
            <w:tcBorders/>
            <w:vAlign w:val="center"/>
          </w:tcPr>
          <w:p>
            <w:pPr>
              <w:pStyle w:val="TableContents"/>
              <w:bidi w:val="0"/>
              <w:spacing w:before="0" w:after="0"/>
              <w:ind w:left="0" w:right="0" w:hanging="0"/>
              <w:jc w:val="center"/>
              <w:rPr/>
            </w:pPr>
            <w:r>
              <w:rPr/>
              <w:t>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86" w:type="dxa"/>
            <w:tcBorders/>
            <w:vAlign w:val="center"/>
          </w:tcPr>
          <w:p>
            <w:pPr>
              <w:pStyle w:val="TableContents"/>
              <w:bidi w:val="0"/>
              <w:spacing w:before="0" w:after="0"/>
              <w:ind w:left="0" w:right="0" w:hanging="0"/>
              <w:jc w:val="center"/>
              <w:rPr/>
            </w:pPr>
            <w:r>
              <w:rPr/>
              <w:t>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86" w:type="dxa"/>
            <w:tcBorders/>
            <w:vAlign w:val="center"/>
          </w:tcPr>
          <w:p>
            <w:pPr>
              <w:pStyle w:val="TableContents"/>
              <w:bidi w:val="0"/>
              <w:spacing w:before="0" w:after="0"/>
              <w:ind w:left="0" w:right="0" w:hanging="0"/>
              <w:jc w:val="center"/>
              <w:rPr/>
            </w:pPr>
            <w:r>
              <w:rPr/>
              <w:t>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2" w:type="dxa"/>
            <w:tcBorders/>
            <w:vAlign w:val="center"/>
          </w:tcPr>
          <w:p>
            <w:pPr>
              <w:pStyle w:val="TableContents"/>
              <w:bidi w:val="0"/>
              <w:spacing w:before="0" w:after="0"/>
              <w:ind w:left="0" w:right="0" w:hanging="0"/>
              <w:jc w:val="center"/>
              <w:rPr/>
            </w:pPr>
            <w:r>
              <w:rPr/>
              <w:t> </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8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8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 of Matson common stock</w:t>
            </w:r>
          </w:p>
        </w:tc>
        <w:tc>
          <w:tcPr>
            <w:tcW w:w="28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8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($1.26 per share)</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28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28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2,089.7</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2,400.7</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28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28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8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 of Matson common stock</w:t>
            </w:r>
          </w:p>
        </w:tc>
        <w:tc>
          <w:tcPr>
            <w:tcW w:w="28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8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interest in SSAT (see Note 4)</w:t>
            </w:r>
          </w:p>
        </w:tc>
        <w:tc>
          <w:tcPr>
            <w:tcW w:w="28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($1.32 per share)</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28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28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2,337.1</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2,652.0</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28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28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8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28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 of Matson common stock</w:t>
            </w:r>
          </w:p>
        </w:tc>
        <w:tc>
          <w:tcPr>
            <w:tcW w:w="28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8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($1.40 per share)</w:t>
            </w:r>
          </w:p>
        </w:tc>
        <w:tc>
          <w:tcPr>
            <w:tcW w:w="28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192"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28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286" w:type="dxa"/>
            <w:tcBorders/>
            <w:shd w:fill="CCEEFF" w:val="clear"/>
            <w:vAlign w:val="center"/>
          </w:tcPr>
          <w:p>
            <w:pPr>
              <w:pStyle w:val="TableContents"/>
              <w:bidi w:val="0"/>
              <w:spacing w:before="0" w:after="0"/>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w:t>
            </w:r>
          </w:p>
        </w:tc>
        <w:tc>
          <w:tcPr>
            <w:tcW w:w="286"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2,439.4</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2,759.0</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left"/>
        <w:rPr>
          <w:rFonts w:ascii="Times New Roman;Times;serif" w:hAnsi="Times New Roman;Times;serif"/>
          <w:b/>
          <w:sz w:val="20"/>
        </w:rPr>
      </w:pPr>
      <w:bookmarkStart w:id="698" w:name="NOTESTOCONSOLIDATEDFINANCIALSTATEMENTS_2"/>
      <w:bookmarkEnd w:id="698"/>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99" w:name="a1DESCRIPTIONOFTHEBUSINESS_129894"/>
      <w:bookmarkStart w:id="700" w:name="a1DESCRIPTIONOFTHEBUSINESS_129894"/>
      <w:bookmarkEnd w:id="700"/>
    </w:p>
    <w:tbl>
      <w:tblPr>
        <w:tblW w:w="3512" w:type="dxa"/>
        <w:jc w:val="left"/>
        <w:tblInd w:w="0" w:type="dxa"/>
        <w:tblLayout w:type="fixed"/>
        <w:tblCellMar>
          <w:top w:w="0" w:type="dxa"/>
          <w:left w:w="0" w:type="dxa"/>
          <w:bottom w:w="0" w:type="dxa"/>
          <w:right w:w="0" w:type="dxa"/>
        </w:tblCellMar>
      </w:tblPr>
      <w:tblGrid>
        <w:gridCol w:w="271"/>
        <w:gridCol w:w="3241"/>
      </w:tblGrid>
      <w:tr>
        <w:trPr/>
        <w:tc>
          <w:tcPr>
            <w:tcW w:w="2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w:t>
            </w:r>
          </w:p>
        </w:tc>
        <w:tc>
          <w:tcPr>
            <w:tcW w:w="32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DESCRIPTION OF THE BUSINESS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 a holding company incorporated in the State of Hawaii, and its subsidiaries (“Matson” or the “Company”), is a leading provider of ocean transportation and logistics services. The Company consists of two segments, Ocean Transportation and Logistics. For financial information on the Company’s reportable segments for the three years ended December 31, 2025, see Note 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Ocean Transportation:</w:t>
      </w:r>
      <w:r>
        <w:rPr>
          <w:rFonts w:ascii="Times New Roman;Times;serif" w:hAnsi="Times New Roman;Times;serif"/>
          <w:sz w:val="20"/>
        </w:rPr>
        <w:t xml:space="preserve"> Matson’s Ocean Transportation business is conducted through Matson Navigation Company, Inc. (“MatNav”),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which includes cargo from other Asia origins,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in Hawaii and Alaska.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has a 35 percent ownership interest in SSA Terminals, LLC (“SSAT”), a joint venture between Matson Ventures, Inc., a wholly-owned subsidiary of MatNav, and SSA Ventures, Inc., a subsidiary of Carrix, Inc. SSAT currently provides terminal and stevedoring services to various carriers at seven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 (see Note 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Matson’s Logistics business is conducted through Matson Logistics, Inc. (“Matson Logistics”), a wholly-owned subsidiary of MatNav. Established in 1987, Matson Logistics extends the geographic reach of Matson’s transportation network throughout North America and Asia, and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01" w:name="a2SIGNIFICANTACCOUNTINGPOLICIES_513159"/>
      <w:bookmarkStart w:id="702" w:name="a2SIGNIFICANTACCOUNTINGPOLICIES_513159"/>
      <w:bookmarkEnd w:id="702"/>
    </w:p>
    <w:tbl>
      <w:tblPr>
        <w:tblW w:w="4037" w:type="dxa"/>
        <w:jc w:val="left"/>
        <w:tblInd w:w="0" w:type="dxa"/>
        <w:tblLayout w:type="fixed"/>
        <w:tblCellMar>
          <w:top w:w="0" w:type="dxa"/>
          <w:left w:w="0" w:type="dxa"/>
          <w:bottom w:w="0" w:type="dxa"/>
          <w:right w:w="0" w:type="dxa"/>
        </w:tblCellMar>
      </w:tblPr>
      <w:tblGrid>
        <w:gridCol w:w="271"/>
        <w:gridCol w:w="3766"/>
      </w:tblGrid>
      <w:tr>
        <w:trPr/>
        <w:tc>
          <w:tcPr>
            <w:tcW w:w="2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2.</w:t>
            </w:r>
          </w:p>
        </w:tc>
        <w:tc>
          <w:tcPr>
            <w:tcW w:w="376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SIGNIFICANT ACCOUNTING POLICIES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Principles of Consolidation:</w:t>
      </w:r>
      <w:r>
        <w:rPr>
          <w:rFonts w:ascii="Times New Roman;Times;serif" w:hAnsi="Times New Roman;Times;serif"/>
          <w:sz w:val="20"/>
        </w:rPr>
        <w:t xml:space="preserve"> The Consolidated Financial Statements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(see Note 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Fiscal Year:</w:t>
      </w:r>
      <w:r>
        <w:rPr>
          <w:rFonts w:ascii="Times New Roman;Times;serif" w:hAnsi="Times New Roman;Times;serif"/>
          <w:sz w:val="20"/>
        </w:rPr>
        <w:t xml:space="preserve"> The year end for Matson is December 31. The period end for MatNav occurred on the last Friday in December, except for certain Company subsidiaries whose period closed on December 31. Included in these Consolidated Financial Statements are 52 weeks in fiscal years 2025, 2024 and 2023 for MatNav.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Foreign Currency Transactions: </w:t>
      </w:r>
      <w:r>
        <w:rPr>
          <w:rFonts w:ascii="Times New Roman;Times;serif" w:hAnsi="Times New Roman;Times;serif"/>
          <w:sz w:val="20"/>
        </w:rPr>
        <w:t xml:space="preserve">The United States (U.S.) dollar is the functional currency for substantially all of the 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(gain) within shareholders’ equity. The Company translates the result of operations of its foreign subsidiaries at the average exchange rate during the respective periods. Gains and losses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03" w:name="Tc_RfkL4jUPn0G_W8iNwZZBXw_8_5"/>
      <w:bookmarkStart w:id="704" w:name="Tc_2uzrrBe5U06kAWGNOBGl5g_8_2"/>
      <w:bookmarkStart w:id="705" w:name="Tc_YuiWdAvnJEKjsLVN0CqSiw_8_0"/>
      <w:bookmarkStart w:id="706" w:name="Tc_p1GF2-h1TkqAh13xyCv75Q_7_0"/>
      <w:bookmarkStart w:id="707" w:name="Tc_E0nmEjU5Y0y9fHkLKmcOBQ_6_0"/>
      <w:bookmarkStart w:id="708" w:name="Tc_V3XALOlmOECSa4KgA1mzgA_5_0"/>
      <w:bookmarkStart w:id="709" w:name="Tc_kJSlP1mX80aGTlDORqjyvQ_4_0"/>
      <w:bookmarkStart w:id="710" w:name="Tc_BxSrbpTPZEuMMc6MOlXDHA_3_5"/>
      <w:bookmarkStart w:id="711" w:name="Tc_1YCYapfo8kK4MDPqUgLkeA_3_2"/>
      <w:bookmarkStart w:id="712" w:name="Tc_LKoZ9AqoZ0qBA6U-99v_aw_3_0"/>
      <w:bookmarkStart w:id="713" w:name="Tc_w-I8pOTfnEuLq9qSmZUYhw_2_5"/>
      <w:bookmarkStart w:id="714" w:name="Tc_MNBK_t9vwUmNSXFbygjYzg_2_2"/>
      <w:bookmarkStart w:id="715" w:name="Tc_vviO_RZAokeNPtxDemzOIA_2_0"/>
      <w:bookmarkStart w:id="716" w:name="Tc_kSbKNiVEREiPxStKQJxzJg_1_2"/>
      <w:bookmarkStart w:id="717" w:name="Tc_SRYtW6za0UWbIpyQ8DmCyg_5_11"/>
      <w:bookmarkStart w:id="718" w:name="Tc_BM3_b93mTUqOUgFghEd32g_5_8"/>
      <w:bookmarkStart w:id="719" w:name="Tc_WfPXFhLm6kigrZp3zf94fw_5_5"/>
      <w:bookmarkStart w:id="720" w:name="Tc_J-65jiAmYECaHPf31EdVKA_5_2"/>
      <w:bookmarkStart w:id="721" w:name="Tc_AHwTq0zoLUy_zLBkrye5GA_5_0"/>
      <w:bookmarkStart w:id="722" w:name="Tc_giSwXXdkiUeUQtr4I3iDhw_4_11"/>
      <w:bookmarkStart w:id="723" w:name="Tc_qlG1s2rzFEer-_dNnrGssg_4_8"/>
      <w:bookmarkStart w:id="724" w:name="Tc_dhMF5eadlESwEzUQhropsA_4_5"/>
      <w:bookmarkStart w:id="725" w:name="Tc_Fu53erd2sUOYXhlADKcYMQ_4_2"/>
      <w:bookmarkStart w:id="726" w:name="Tc_7uqoQfmU00-XadctLGKrUg_4_0"/>
      <w:bookmarkStart w:id="727" w:name="Tc_tiYL3b9L3ka3Dhq9YtEkKA_3_11"/>
      <w:bookmarkStart w:id="728" w:name="Tc_NvrPSsDc9kyE44PqFob2Ww_3_8"/>
      <w:bookmarkStart w:id="729" w:name="Tc_wzzfnaODNUCUlk2m5M5uag_3_5"/>
      <w:bookmarkStart w:id="730" w:name="Tc_pW6eMxbwuky5evdU63Sc6g_3_2"/>
      <w:bookmarkStart w:id="731" w:name="Tc_CwWZJ5Ac7EmOhxT1lMC-kw_3_0"/>
      <w:bookmarkStart w:id="732" w:name="Tc_EOT_ZLkUWUqFULDxxAbytA_2_11"/>
      <w:bookmarkStart w:id="733" w:name="Tc_LoX2HfDs_EOKminTiEcjcA_2_8"/>
      <w:bookmarkStart w:id="734" w:name="Tc_vGiJlieONU2eARNNMTCN2A_2_5"/>
      <w:bookmarkStart w:id="735" w:name="Tc_wmgAtfqt4kuWRwvBH2_pEw_2_2"/>
      <w:bookmarkStart w:id="736" w:name="Tc_Sao2mwbOqUCPoVCSBiifAQ_2_0"/>
      <w:bookmarkStart w:id="737" w:name="Tc_piuEsWMgLECPhDb_ydhmww_1_11"/>
      <w:bookmarkStart w:id="738" w:name="Tc_l6QHurGpL0e5h2CTd6-oXw_1_8"/>
      <w:bookmarkStart w:id="739" w:name="Tc_4SZB6F9IT0i251a2siVPgw_1_2"/>
      <w:bookmarkStart w:id="740" w:name="_9c823af2_bca9_4151_9999_1ba882f84d95"/>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r>
        <w:rPr>
          <w:rFonts w:ascii="Times New Roman;Times;serif" w:hAnsi="Times New Roman;Times;serif"/>
          <w:sz w:val="20"/>
        </w:rPr>
        <w:t>resulting from foreign currency transactions are included in Costs and Expenses in the Consolidated Statements of Income and Comprehensive Income.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Use of Estimates:</w:t>
      </w:r>
      <w:r>
        <w:rPr>
          <w:rFonts w:ascii="Times New Roman;Times;serif" w:hAnsi="Times New Roman;Times;serif"/>
          <w:sz w:val="20"/>
        </w:rPr>
        <w:t xml:space="preserve"> The preparation of the Consolidated Financial Statements in conformity with accounting principles generally accepted in the U.S. requires management to make estimates and assumptions that affect the amounts reported. Estimates and assumptions are used for, but not limited to: useful lives of property and equipment, impairment of investments; impairment of long-lived assets, intangible assets and goodwill; capitalized interest; allowance for credit losses; legal contingencies; insurance reserves and other related liabilities; accrual estimates; pension and post-retirement estimates; multi-employer withdrawal liabilities; operating lease assets and liabilities; estimates of income (loss) from SSAT including estimates for impairment charges; and income tax estimates. Future results could be materially affected if actual results differ from these estimates and assumptions.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Cash, Cash Equivalents and Restricted Cash:</w:t>
      </w:r>
      <w:r>
        <w:rPr>
          <w:rFonts w:ascii="Times New Roman;Times;serif" w:hAnsi="Times New Roman;Times;serif"/>
          <w:sz w:val="20"/>
        </w:rPr>
        <w:t xml:space="preserve"> Cash equivalents consist of highly-liquid investments with original maturities of three months or less. The Company carries these investments at cost, which approximates fair value. Cash is restricted when there is a contractual agreement that governs the use of or withdrawal of these funds.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Accounts Receivable, net: </w:t>
      </w:r>
      <w:r>
        <w:rPr>
          <w:rFonts w:ascii="Times New Roman;Times;serif" w:hAnsi="Times New Roman;Times;serif"/>
          <w:sz w:val="20"/>
        </w:rPr>
        <w:t xml:space="preserve">Accounts receivable represent amounts due from customers arising in the normal course of business, and are shown net of allowance for credit losses in the Consolidated Balance Sheets. Allowance for credit losses is established by management 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allowance for credit losses for the three years ended December 31, 2025, 2024 and 2023 were as follows:</w:t>
      </w:r>
    </w:p>
    <w:p>
      <w:pPr>
        <w:pStyle w:val="TextBody"/>
        <w:bidi w:val="0"/>
        <w:spacing w:before="0" w:after="0"/>
        <w:ind w:left="0" w:right="0" w:hanging="0"/>
        <w:jc w:val="left"/>
        <w:rPr/>
      </w:pPr>
      <w:r>
        <w:rPr/>
        <w:t>​</w:t>
      </w:r>
    </w:p>
    <w:tbl>
      <w:tblPr>
        <w:tblW w:w="7027" w:type="dxa"/>
        <w:jc w:val="left"/>
        <w:tblInd w:w="0" w:type="dxa"/>
        <w:tblLayout w:type="fixed"/>
        <w:tblCellMar>
          <w:top w:w="0" w:type="dxa"/>
          <w:left w:w="0" w:type="dxa"/>
          <w:bottom w:w="0" w:type="dxa"/>
          <w:right w:w="0" w:type="dxa"/>
        </w:tblCellMar>
      </w:tblPr>
      <w:tblGrid>
        <w:gridCol w:w="1381"/>
        <w:gridCol w:w="346"/>
        <w:gridCol w:w="444"/>
        <w:gridCol w:w="981"/>
        <w:gridCol w:w="346"/>
        <w:gridCol w:w="288"/>
        <w:gridCol w:w="657"/>
        <w:gridCol w:w="346"/>
        <w:gridCol w:w="285"/>
        <w:gridCol w:w="571"/>
        <w:gridCol w:w="346"/>
        <w:gridCol w:w="322"/>
        <w:gridCol w:w="714"/>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876935" cy="175260"/>
                      <wp:effectExtent l="0" t="0" r="0" b="0"/>
                      <wp:wrapNone/>
                      <wp:docPr id="278" name="Frame275"/>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81940" cy="175260"/>
                      <wp:effectExtent l="0" t="0" r="0" b="0"/>
                      <wp:wrapNone/>
                      <wp:docPr id="280" name="Frame277"/>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22935" cy="175260"/>
                      <wp:effectExtent l="0" t="0" r="0" b="0"/>
                      <wp:wrapNone/>
                      <wp:docPr id="281" name="Frame278"/>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82880" cy="175260"/>
                      <wp:effectExtent l="0" t="0" r="0" b="0"/>
                      <wp:wrapNone/>
                      <wp:docPr id="283" name="Frame280"/>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17195" cy="175260"/>
                      <wp:effectExtent l="0" t="0" r="0" b="0"/>
                      <wp:wrapNone/>
                      <wp:docPr id="284" name="Frame281"/>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80975" cy="175260"/>
                      <wp:effectExtent l="0" t="0" r="0" b="0"/>
                      <wp:wrapNone/>
                      <wp:docPr id="286" name="Frame28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62585" cy="175260"/>
                      <wp:effectExtent l="0" t="0" r="0" b="0"/>
                      <wp:wrapNone/>
                      <wp:docPr id="287" name="Frame2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4470" cy="175260"/>
                      <wp:effectExtent l="0" t="0" r="0" b="0"/>
                      <wp:wrapNone/>
                      <wp:docPr id="289" name="Frame286"/>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53390" cy="175260"/>
                      <wp:effectExtent l="0" t="0" r="0" b="0"/>
                      <wp:wrapNone/>
                      <wp:docPr id="290" name="Frame287"/>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Balance at </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Write-offs</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Balance at </w:t>
            </w:r>
          </w:p>
        </w:tc>
      </w:tr>
      <w:tr>
        <w:trPr/>
        <w:tc>
          <w:tcPr>
            <w:tcW w:w="1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 of Year</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 (1)</w:t>
            </w:r>
          </w:p>
        </w:tc>
        <w:tc>
          <w:tcPr>
            <w:tcW w:w="346" w:type="dxa"/>
            <w:tcBorders/>
            <w:vAlign w:val="center"/>
          </w:tcPr>
          <w:p>
            <w:pPr>
              <w:pStyle w:val="TableContents"/>
              <w:bidi w:val="0"/>
              <w:spacing w:before="0" w:after="0"/>
              <w:ind w:left="0" w:right="0" w:hanging="0"/>
              <w:jc w:val="center"/>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 of Year</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center"/>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center"/>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0"/>
              <w:ind w:left="0" w:right="0" w:hanging="0"/>
              <w:jc w:val="center"/>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vAlign w:val="center"/>
          </w:tcPr>
          <w:p>
            <w:pPr>
              <w:pStyle w:val="TableContents"/>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w:t>
            </w:r>
          </w:p>
        </w:tc>
      </w:tr>
    </w:tbl>
    <w:tbl>
      <w:tblPr>
        <w:tblW w:w="6287" w:type="dxa"/>
        <w:jc w:val="left"/>
        <w:tblInd w:w="0" w:type="dxa"/>
        <w:tblLayout w:type="fixed"/>
        <w:tblCellMar>
          <w:top w:w="0" w:type="dxa"/>
          <w:left w:w="0" w:type="dxa"/>
          <w:bottom w:w="0" w:type="dxa"/>
          <w:right w:w="0" w:type="dxa"/>
        </w:tblCellMar>
      </w:tblPr>
      <w:tblGrid>
        <w:gridCol w:w="331"/>
        <w:gridCol w:w="595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5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Expense is shown net of amounts recovered from previously reserved credit losses.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Prepaid Expenses and Other Assets: </w:t>
      </w:r>
      <w:r>
        <w:rPr>
          <w:rFonts w:ascii="Times New Roman;Times;serif" w:hAnsi="Times New Roman;Times;serif"/>
          <w:sz w:val="20"/>
        </w:rPr>
        <w:t>Prepaid expenses and other assets consist of the following at December 31, 2025 and 2024:</w:t>
      </w:r>
    </w:p>
    <w:p>
      <w:pPr>
        <w:pStyle w:val="TextBody"/>
        <w:bidi w:val="0"/>
        <w:spacing w:before="0" w:after="0"/>
        <w:ind w:left="0" w:right="0" w:hanging="0"/>
        <w:jc w:val="left"/>
        <w:rPr/>
      </w:pPr>
      <w:r>
        <w:rPr/>
        <w:t>​</w:t>
      </w:r>
    </w:p>
    <w:tbl>
      <w:tblPr>
        <w:tblW w:w="6528" w:type="dxa"/>
        <w:jc w:val="left"/>
        <w:tblInd w:w="0" w:type="dxa"/>
        <w:tblLayout w:type="fixed"/>
        <w:tblCellMar>
          <w:top w:w="0" w:type="dxa"/>
          <w:left w:w="0" w:type="dxa"/>
          <w:bottom w:w="0" w:type="dxa"/>
          <w:right w:w="0" w:type="dxa"/>
        </w:tblCellMar>
      </w:tblPr>
      <w:tblGrid>
        <w:gridCol w:w="4291"/>
        <w:gridCol w:w="346"/>
        <w:gridCol w:w="211"/>
        <w:gridCol w:w="466"/>
        <w:gridCol w:w="346"/>
        <w:gridCol w:w="211"/>
        <w:gridCol w:w="466"/>
        <w:gridCol w:w="191"/>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724785" cy="175260"/>
                      <wp:effectExtent l="0" t="0" r="0" b="0"/>
                      <wp:wrapNone/>
                      <wp:docPr id="291" name="Frame288"/>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95910" cy="175260"/>
                      <wp:effectExtent l="0" t="0" r="0" b="0"/>
                      <wp:wrapNone/>
                      <wp:docPr id="294" name="Frame29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95910" cy="175260"/>
                      <wp:effectExtent l="0" t="0" r="0" b="0"/>
                      <wp:wrapNone/>
                      <wp:docPr id="297" name="Frame29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21285" cy="175260"/>
                      <wp:effectExtent l="0" t="0" r="0" b="0"/>
                      <wp:wrapNone/>
                      <wp:docPr id="298" name="Frame29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91" w:type="dxa"/>
            <w:tcBorders/>
            <w:vAlign w:val="center"/>
          </w:tcPr>
          <w:p>
            <w:pPr>
              <w:pStyle w:val="TableContents"/>
              <w:bidi w:val="0"/>
              <w:spacing w:before="0" w:after="0"/>
              <w:ind w:left="0" w:right="0" w:hanging="0"/>
              <w:jc w:val="left"/>
              <w:rPr/>
            </w:pPr>
            <w:r>
              <w:rPr/>
              <w:t> </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Prepaid Expenses and Other Assets (in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fuel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 and insurance related receivables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prepaid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Deferred Loan Fees:</w:t>
      </w:r>
      <w:r>
        <w:rPr>
          <w:rFonts w:ascii="Times New Roman;Times;serif" w:hAnsi="Times New Roman;Times;serif"/>
          <w:sz w:val="20"/>
        </w:rPr>
        <w:t xml:space="preserve"> The Company records deferred loan fees, excluding those related to the revolving credit facility, as a reduction to Total Debt in the Company’s Consolidated Balance Sheets. These costs are being amortized over the life of the related debt using the effective interest method.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loan fees related to the Company’s revolving credit facility are recorded in other long-term assets in the Company’s Consolidated Balance Sheets and are amortized using the straight-line method, as the difference between that method and the use of the effective interest method is not material. Additional information on the Company’s deferred loan fees is included in Note 8.</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41" w:name="Tc_Hg8UPMTDyEyiCcsW1YCgMQ_5_0"/>
      <w:bookmarkStart w:id="742" w:name="Tc_JMp9BXF30keoGpSVhDjrZQ_4_0"/>
      <w:bookmarkStart w:id="743" w:name="Tc_AooUIDY4qUq995txiOQa_Q_3_0"/>
      <w:bookmarkStart w:id="744" w:name="Tc_qPjPcq2THkqluUbFcGyETw_2_0"/>
      <w:bookmarkStart w:id="745" w:name="Tc_6BNuwFN6PUuQq0D8TTprFQ_1_2"/>
      <w:bookmarkStart w:id="746" w:name="Tc_Sj88TXXBfk6tHR5kVdYGqw_1_0"/>
      <w:bookmarkStart w:id="747" w:name="Tc_njFEvFnVrkeg7q3cuJpExQ_7_5"/>
      <w:bookmarkStart w:id="748" w:name="Tc_HkhxHcauhEStAsUETKDV_Q_7_2"/>
      <w:bookmarkStart w:id="749" w:name="Tc_3mAOFOl2-U-RCKM03UDjUA_7_0"/>
      <w:bookmarkStart w:id="750" w:name="Tc_h5mdrVjVs0-ykOr3CCeukw_6_0"/>
      <w:bookmarkStart w:id="751" w:name="Tc_WS5e-5owq0e6hBaszDsYLQ_5_0"/>
      <w:bookmarkStart w:id="752" w:name="Tc_ct85POqBx0-eLuy53LPfEg_4_0"/>
      <w:bookmarkStart w:id="753" w:name="Tc_ZMXQ9-2l8EuxjaQ22UDiAw_3_5"/>
      <w:bookmarkStart w:id="754" w:name="Tc_OJQ8VWwj7E-3dPIeVHZz1Q_3_2"/>
      <w:bookmarkStart w:id="755" w:name="Tc_VjKFq3Ezr0KCWzYdXaw3rA_3_0"/>
      <w:bookmarkStart w:id="756" w:name="Tc_a2K_eb-9rECnXYbFlWbjQQ_2_5"/>
      <w:bookmarkStart w:id="757" w:name="Tc__gBLst6DpkmEEkAvO_CD8g_2_2"/>
      <w:bookmarkStart w:id="758" w:name="Tc_b38aRN7ksUCavdssI1L3bw_2_0"/>
      <w:bookmarkStart w:id="759" w:name="Tc_IX9UrU5M5kWvgAYLAU3JXw_1_2"/>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r>
        <w:rPr>
          <w:rFonts w:ascii="Times New Roman;Times;serif" w:hAnsi="Times New Roman;Times;serif"/>
          <w:i/>
          <w:sz w:val="20"/>
        </w:rPr>
        <w:t>Other Long-Term Assets:</w:t>
      </w:r>
      <w:r>
        <w:rPr>
          <w:rFonts w:ascii="Times New Roman;Times;serif" w:hAnsi="Times New Roman;Times;serif"/>
          <w:sz w:val="20"/>
        </w:rPr>
        <w:t xml:space="preserve"> Other long-term assets consist of the following at December 31, 2025 and 2024:</w:t>
      </w:r>
    </w:p>
    <w:p>
      <w:pPr>
        <w:pStyle w:val="TextBody"/>
        <w:bidi w:val="0"/>
        <w:spacing w:before="0" w:after="0"/>
        <w:ind w:left="0" w:right="0" w:hanging="0"/>
        <w:jc w:val="left"/>
        <w:rPr/>
      </w:pPr>
      <w:r>
        <w:rPr/>
        <w:t>​</w:t>
      </w:r>
    </w:p>
    <w:tbl>
      <w:tblPr>
        <w:tblW w:w="5043" w:type="dxa"/>
        <w:jc w:val="left"/>
        <w:tblInd w:w="0" w:type="dxa"/>
        <w:tblLayout w:type="fixed"/>
        <w:tblCellMar>
          <w:top w:w="0" w:type="dxa"/>
          <w:left w:w="0" w:type="dxa"/>
          <w:bottom w:w="0" w:type="dxa"/>
          <w:right w:w="0" w:type="dxa"/>
        </w:tblCellMar>
      </w:tblPr>
      <w:tblGrid>
        <w:gridCol w:w="2806"/>
        <w:gridCol w:w="346"/>
        <w:gridCol w:w="211"/>
        <w:gridCol w:w="466"/>
        <w:gridCol w:w="346"/>
        <w:gridCol w:w="211"/>
        <w:gridCol w:w="466"/>
        <w:gridCol w:w="191"/>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781810" cy="175260"/>
                      <wp:effectExtent l="0" t="0" r="0" b="0"/>
                      <wp:wrapNone/>
                      <wp:docPr id="299" name="Frame296"/>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95910" cy="175260"/>
                      <wp:effectExtent l="0" t="0" r="0" b="0"/>
                      <wp:wrapNone/>
                      <wp:docPr id="302" name="Frame29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95910" cy="175260"/>
                      <wp:effectExtent l="0" t="0" r="0" b="0"/>
                      <wp:wrapNone/>
                      <wp:docPr id="305" name="Frame30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1285" cy="175260"/>
                      <wp:effectExtent l="0" t="0" r="0" b="0"/>
                      <wp:wrapNone/>
                      <wp:docPr id="306" name="Frame30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Long-Term Assets (in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plan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and equipment spare parts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related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Property and Equipment:</w:t>
      </w:r>
      <w:r>
        <w:rPr>
          <w:rFonts w:ascii="Times New Roman;Times;serif" w:hAnsi="Times New Roman;Times;serif"/>
          <w:sz w:val="20"/>
        </w:rPr>
        <w:t xml:space="preserve"> Property and equipment is stated at cost, less accumulated depreciation and amortization. Property and equipment is depreciated using the straight-line method over the estimated useful lives of the assets. Leasehold improvements are amortized over the useful life of the asset or the applicable minimum term of the lease, whichever is shortest. The estimated useful lives of property and equipment range up to the following maximum lives:</w:t>
      </w:r>
    </w:p>
    <w:p>
      <w:pPr>
        <w:pStyle w:val="TextBody"/>
        <w:bidi w:val="0"/>
        <w:spacing w:before="0" w:after="0"/>
        <w:ind w:left="0" w:right="0" w:hanging="0"/>
        <w:jc w:val="left"/>
        <w:rPr/>
      </w:pPr>
      <w:r>
        <w:rPr/>
        <w:t>​</w:t>
      </w:r>
    </w:p>
    <w:tbl>
      <w:tblPr>
        <w:tblW w:w="4488" w:type="dxa"/>
        <w:jc w:val="left"/>
        <w:tblInd w:w="0" w:type="dxa"/>
        <w:tblLayout w:type="fixed"/>
        <w:tblCellMar>
          <w:top w:w="0" w:type="dxa"/>
          <w:left w:w="0" w:type="dxa"/>
          <w:bottom w:w="0" w:type="dxa"/>
          <w:right w:w="0" w:type="dxa"/>
        </w:tblCellMar>
      </w:tblPr>
      <w:tblGrid>
        <w:gridCol w:w="3316"/>
        <w:gridCol w:w="346"/>
        <w:gridCol w:w="82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05660" cy="175260"/>
                      <wp:effectExtent l="0" t="0" r="0" b="0"/>
                      <wp:wrapNone/>
                      <wp:docPr id="307" name="Frame30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0"/>
              <w:ind w:left="0" w:right="0" w:hanging="0"/>
              <w:jc w:val="left"/>
              <w:rPr/>
            </w:pPr>
            <w:r>
              <w:rPr/>
              <w:t>​</w: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Vessels</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years</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cranes</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 years</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Containers and chassis</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 years</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equipment and other property</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years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Capitalized Interest: </w:t>
      </w:r>
      <w:r>
        <w:rPr>
          <w:rFonts w:ascii="Times New Roman;Times;serif" w:hAnsi="Times New Roman;Times;serif"/>
          <w:sz w:val="20"/>
        </w:rPr>
        <w:t>The Company capitalizes interest costs during the period the qualified assets are being readied for their intended use. The Company determined that vessel construction costs are considered qualifying assets for the purposes of capitalizing interest on these assets. The amount of capitalized interest is calculated based on the amount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Consolidated Balance Sheets. During the years ended December 31, 2025, 2024 and 2023, the Company capitalized $4.0 million, $4.4 million and $2.6 million of interest related to the construction of new vessels,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Leases:</w:t>
      </w:r>
      <w:r>
        <w:rPr>
          <w:rFonts w:ascii="Times New Roman;Times;serif" w:hAnsi="Times New Roman;Times;serif"/>
          <w:sz w:val="20"/>
        </w:rPr>
        <w:t xml:space="preserve"> Accounting Standards Codification (“ASC”) 842, </w:t>
      </w:r>
      <w:r>
        <w:rPr>
          <w:rFonts w:ascii="Times New Roman;Times;serif" w:hAnsi="Times New Roman;Times;serif"/>
          <w:i/>
          <w:sz w:val="20"/>
        </w:rPr>
        <w:t>Leases</w:t>
      </w:r>
      <w:r>
        <w:rPr>
          <w:rFonts w:ascii="Times New Roman;Times;serif" w:hAnsi="Times New Roman;Times;serif"/>
          <w:sz w:val="20"/>
        </w:rPr>
        <w:t xml:space="preserve"> (“ASC 842”) requires lessees to record leases on their balance sheets but recognize the expenses in their income statements. ASC 842 states that a lessee would recognize a lease liability for the obligation to make lease payments, and a right-of-use asset for the underlying leased asset for the period of the lease term. Additional information on the Company’s leases is included in Note 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Deferred Dry-docking Costs:</w:t>
      </w:r>
      <w:r>
        <w:rPr>
          <w:rFonts w:ascii="Times New Roman;Times;serif" w:hAnsi="Times New Roman;Times;serif"/>
          <w:sz w:val="20"/>
        </w:rPr>
        <w:t xml:space="preserve"> U.S. flagged vessels must meet specified seaworthiness standards established by U.S. Coast 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flagged vessels are required to meet applicable classification society rules and their own local standards for seaworthiness, which also mandate vessels to undergo two dry-docking inspections every five years.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estimated date of the next required dry-docking, which is usually over a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five-year period. Amortization of deferred dry-docking costs are charged to operating expenses of the Ocean Transportation segment in the Consolidated Statements of Income and Comprehensive Income. Routine vessel maintenance and repairs are charged to expense as incurred.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Goodwill and Intangible Assets: </w:t>
      </w:r>
      <w:r>
        <w:rPr>
          <w:rFonts w:ascii="Times New Roman;Times;serif" w:hAnsi="Times New Roman;Times;serif"/>
          <w:sz w:val="20"/>
        </w:rPr>
        <w:t>Goodwill and intangible assets arise as a result of acquisitions made by the Company. Intangible assets consist of customer relationships which are being amortized using the straight-line method over the expected useful lives ranging up to 21 years, and a trade name that has an indefinite life. Additional information on the Company’s goodwill and intangible assets is included in Note 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Impairment Evaluation of Long-Lived Assets, Intangible Assets and Goodwill</w:t>
      </w:r>
      <w:r>
        <w:rPr>
          <w:rFonts w:ascii="Times New Roman;Times;serif" w:hAnsi="Times New Roman;Times;serif"/>
          <w:sz w:val="20"/>
        </w:rPr>
        <w:t xml:space="preserve">: The Company evaluates its long-lived assets, 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760" w:name="Tc_VWynNaYLiUKtcZ0hLPT2Ow_8_5"/>
      <w:bookmarkStart w:id="761" w:name="Tc_ZWNVnk911EShSPoS6aX-pg_8_2"/>
      <w:bookmarkStart w:id="762" w:name="Tc_xjdt5Gza1Ued0EO2ddEdgA_8_0"/>
      <w:bookmarkStart w:id="763" w:name="Tc__DzhdxKDgEWjvCGBiOfKAA_7_0"/>
      <w:bookmarkStart w:id="764" w:name="Tc_LEhR4qxgEU2QoybTvALvAw_6_0"/>
      <w:bookmarkStart w:id="765" w:name="Tc_8oTYblKvcUydEBxbMP4-RQ_5_0"/>
      <w:bookmarkStart w:id="766" w:name="Tc_Luq-Rz_tXkqy6nbRkq6u8w_4_0"/>
      <w:bookmarkStart w:id="767" w:name="Tc_nVoxjowDd0KpjHMcMl0LCw_3_5"/>
      <w:bookmarkStart w:id="768" w:name="Tc_AjdLZjDK5UGMwjedyzeTQA_3_2"/>
      <w:bookmarkStart w:id="769" w:name="Tc_pJZh2RzBPUOpBk5PSxytsw_3_0"/>
      <w:bookmarkStart w:id="770" w:name="Tc_9WjSwyZDzESmV1hs16w1JQ_2_5"/>
      <w:bookmarkStart w:id="771" w:name="Tc_3OGbZk3atUCPsTYw1bitvQ_2_2"/>
      <w:bookmarkStart w:id="772" w:name="Tc_6mteUz3LdUKZx8ZQZp_3Pg_2_0"/>
      <w:bookmarkStart w:id="773" w:name="Tc_uTzQrTGmPk6j-Qs5JX0q9A_1_2"/>
      <w:bookmarkStart w:id="774" w:name="Tc_eI7ySDxi3Uu5gnVLx7lWAA_10_5"/>
      <w:bookmarkStart w:id="775" w:name="Tc_iolYF2u5T06guGhaGPLFJw_10_2"/>
      <w:bookmarkStart w:id="776" w:name="Tc_3iwlIAHkjkOhudWaM9Pkvw_10_0"/>
      <w:bookmarkStart w:id="777" w:name="Tc_1kRvrKSoLkeQwwa8jegQWg_9_0"/>
      <w:bookmarkStart w:id="778" w:name="Tc_OgskwgjKkUO8JMSwmlk5kA_8_0"/>
      <w:bookmarkStart w:id="779" w:name="Tc_ENL-N7BsJkmYjnyHmTKQmg_7_0"/>
      <w:bookmarkStart w:id="780" w:name="Tc_-PU2od-Qckeps1lke-Nf2Q_6_0"/>
      <w:bookmarkStart w:id="781" w:name="Tc_hmKLuLmy-E2tPLA9wokOQg_5_0"/>
      <w:bookmarkStart w:id="782" w:name="Tc_5vQ-f3uUF0aR3Eyzq0cUCQ_4_0"/>
      <w:bookmarkStart w:id="783" w:name="Tc_GFqQpmV7ekO2SVcbBGlq1w_3_5"/>
      <w:bookmarkStart w:id="784" w:name="Tc_epu6DwoBCkCS0hYkWu_1Cw_3_2"/>
      <w:bookmarkStart w:id="785" w:name="Tc_t_tIO079j0eSPNwSN_zzQw_3_0"/>
      <w:bookmarkStart w:id="786" w:name="Tc_GgXHjYcys0OTH5IhE2WyKw_2_5"/>
      <w:bookmarkStart w:id="787" w:name="Tc_Rz94e1azTE2t37esNlXjDg_2_2"/>
      <w:bookmarkStart w:id="788" w:name="Tc_RK4wBhis8Uyfy5WaILXZIA_2_0"/>
      <w:bookmarkStart w:id="789" w:name="Tc_BY5IMq5SIU-HP5MOp0rapg_1_2"/>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Long-lived assets and finite-lived intangible assets are grouped at the lowest level reporting unit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The Company did not identify any impairment of its long-lived assets and finite-lived intangible assets during the years ended December 31, 2025, 2024 and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Indefinite-life intangible assets and goodwill are grouped at the lowest level reporting unit for which identifiable cash flows are available. In estimating the fair value of a reporting unit, the Company uses a combination of a discounted cash flow model and fair value based on market multiples of earnings before interest, taxes, depreciation and amortization. Based upon the Company’s evaluation of its indefinite-life intangible assets and goodwill for impairment, the Company determined that the fair value of each reporting unit exceeds book value. The Company did not identify any impairment of its indefinite-life intangible assets and goodwill during the years ended December 31, 2025, 2024 and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Impairment Evaluation of SSAT:</w:t>
      </w:r>
      <w:r>
        <w:rPr>
          <w:rFonts w:ascii="Times New Roman;Times;serif" w:hAnsi="Times New Roman;Times;serif"/>
          <w:sz w:val="20"/>
        </w:rPr>
        <w:t xml:space="preserve"> The Company’s investment in SSAT, a related party, is evaluated for impairment whenever there is evidence of impairment during the reporting period. If any impairment is identified, the Company evaluates if the decrease in the fair value of the investment below its carrying value is other-than-temporary. The Company did not identify any impairment of its equity investment in SSAT during the years ended December 31, 2025, 2024 and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Insurance Related Liabilities:</w:t>
      </w:r>
      <w:r>
        <w:rPr>
          <w:rFonts w:ascii="Times New Roman;Times;serif" w:hAnsi="Times New Roman;Times;serif"/>
          <w:sz w:val="20"/>
        </w:rPr>
        <w:t xml:space="preserve"> The Company purchases insurance with deductibles or self-insured retentions to mitigate significant risks that it is exposed to. Such insurance includes, but is not limited to, employee health, workers’ compensation, marine liability, cybersecurity, auto liability and physical damage to property and equipment. For certain risks, the Company elects to not purchase insurance because of the excessive cost of insurance, the perceived remoteness of the risk or insurance coverage is not commercially available. The Company retains the risk of loss for insurance deductibles and self-insured retentions, for amounts that exceed the limits of the Company’s insurance policies, and for other risks not covered by insurance.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When estimating its reserves for retained risks and related liabilities, the Company considers a number of factors, including historical claims experience, demographic factors, current trends, and analyses provided by independent third parties. Periodically, management reviews its assumptions and estimates used to determine the adequacy of the Company’s reserves for retained risks and other related liabilities.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Other Liabilities: </w:t>
      </w:r>
      <w:r>
        <w:rPr>
          <w:rFonts w:ascii="Times New Roman;Times;serif" w:hAnsi="Times New Roman;Times;serif"/>
          <w:sz w:val="20"/>
        </w:rPr>
        <w:t>Other liabilities consist of the following at December 31, 2025 and 2024:</w:t>
      </w:r>
    </w:p>
    <w:p>
      <w:pPr>
        <w:pStyle w:val="TextBody"/>
        <w:bidi w:val="0"/>
        <w:spacing w:before="0" w:after="0"/>
        <w:ind w:left="0" w:right="0" w:hanging="0"/>
        <w:jc w:val="left"/>
        <w:rPr/>
      </w:pPr>
      <w:r>
        <w:rPr/>
        <w:t>​</w:t>
      </w:r>
    </w:p>
    <w:tbl>
      <w:tblPr>
        <w:tblW w:w="7233" w:type="dxa"/>
        <w:jc w:val="left"/>
        <w:tblInd w:w="0" w:type="dxa"/>
        <w:tblLayout w:type="fixed"/>
        <w:tblCellMar>
          <w:top w:w="0" w:type="dxa"/>
          <w:left w:w="0" w:type="dxa"/>
          <w:bottom w:w="0" w:type="dxa"/>
          <w:right w:w="0" w:type="dxa"/>
        </w:tblCellMar>
      </w:tblPr>
      <w:tblGrid>
        <w:gridCol w:w="4786"/>
        <w:gridCol w:w="346"/>
        <w:gridCol w:w="211"/>
        <w:gridCol w:w="571"/>
        <w:gridCol w:w="346"/>
        <w:gridCol w:w="211"/>
        <w:gridCol w:w="571"/>
        <w:gridCol w:w="191"/>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039110" cy="175260"/>
                      <wp:effectExtent l="0" t="0" r="0" b="0"/>
                      <wp:wrapNone/>
                      <wp:docPr id="309" name="Frame306"/>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62585" cy="175260"/>
                      <wp:effectExtent l="0" t="0" r="0" b="0"/>
                      <wp:wrapNone/>
                      <wp:docPr id="312" name="Frame3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62585" cy="175260"/>
                      <wp:effectExtent l="0" t="0" r="0" b="0"/>
                      <wp:wrapNone/>
                      <wp:docPr id="315" name="Frame3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21285" cy="175260"/>
                      <wp:effectExtent l="0" t="0" r="0" b="0"/>
                      <wp:wrapNone/>
                      <wp:docPr id="316" name="Frame31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91" w:type="dxa"/>
            <w:tcBorders/>
            <w:vAlign w:val="center"/>
          </w:tcPr>
          <w:p>
            <w:pPr>
              <w:pStyle w:val="TableContents"/>
              <w:bidi w:val="0"/>
              <w:spacing w:before="0" w:after="0"/>
              <w:ind w:left="0" w:right="0" w:hanging="0"/>
              <w:jc w:val="left"/>
              <w:rPr/>
            </w:pPr>
            <w:r>
              <w:rPr/>
              <w:t> </w:t>
            </w:r>
          </w:p>
        </w:tc>
      </w:tr>
      <w:tr>
        <w:trPr/>
        <w:tc>
          <w:tcPr>
            <w:tcW w:w="4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Liabilities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incentives and other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and vacation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19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reserves and other related liabilities - short 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and other tax related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9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Multi-employer withdrawal liabilities - short 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9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short-term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Long-Term Liabilities:</w:t>
      </w:r>
      <w:r>
        <w:rPr>
          <w:rFonts w:ascii="Times New Roman;Times;serif" w:hAnsi="Times New Roman;Times;serif"/>
          <w:sz w:val="20"/>
        </w:rPr>
        <w:t xml:space="preserve"> Other long-term liabilities consist of the following at December 31, 2025 and 2024:</w:t>
      </w:r>
    </w:p>
    <w:p>
      <w:pPr>
        <w:pStyle w:val="TextBody"/>
        <w:bidi w:val="0"/>
        <w:spacing w:before="0" w:after="0"/>
        <w:ind w:left="0" w:right="0" w:hanging="0"/>
        <w:jc w:val="left"/>
        <w:rPr/>
      </w:pPr>
      <w:r>
        <w:rPr/>
        <w:t>​</w:t>
      </w:r>
    </w:p>
    <w:tbl>
      <w:tblPr>
        <w:tblW w:w="6168" w:type="dxa"/>
        <w:jc w:val="left"/>
        <w:tblInd w:w="0" w:type="dxa"/>
        <w:tblLayout w:type="fixed"/>
        <w:tblCellMar>
          <w:top w:w="0" w:type="dxa"/>
          <w:left w:w="0" w:type="dxa"/>
          <w:bottom w:w="0" w:type="dxa"/>
          <w:right w:w="0" w:type="dxa"/>
        </w:tblCellMar>
      </w:tblPr>
      <w:tblGrid>
        <w:gridCol w:w="3826"/>
        <w:gridCol w:w="346"/>
        <w:gridCol w:w="211"/>
        <w:gridCol w:w="466"/>
        <w:gridCol w:w="346"/>
        <w:gridCol w:w="211"/>
        <w:gridCol w:w="571"/>
        <w:gridCol w:w="19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429510" cy="175260"/>
                      <wp:effectExtent l="0" t="0" r="0" b="0"/>
                      <wp:wrapNone/>
                      <wp:docPr id="317" name="Frame31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95910" cy="175260"/>
                      <wp:effectExtent l="0" t="0" r="0" b="0"/>
                      <wp:wrapNone/>
                      <wp:docPr id="320" name="Frame31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62585" cy="175260"/>
                      <wp:effectExtent l="0" t="0" r="0" b="0"/>
                      <wp:wrapNone/>
                      <wp:docPr id="323" name="Frame3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21285" cy="175260"/>
                      <wp:effectExtent l="0" t="0" r="0" b="0"/>
                      <wp:wrapNone/>
                      <wp:docPr id="324" name="Frame32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Long-Term Liabilities (in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Multi-employer withdrawal liability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reserves and other related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191" w:type="dxa"/>
            <w:tcBorders/>
            <w:vAlign w:val="center"/>
          </w:tcPr>
          <w:p>
            <w:pPr>
              <w:pStyle w:val="TableContents"/>
              <w:bidi w:val="0"/>
              <w:spacing w:before="0" w:after="0"/>
              <w:ind w:left="0" w:right="0" w:hanging="0"/>
              <w:jc w:val="left"/>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and post-retirement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91" w:type="dxa"/>
            <w:tcBorders/>
            <w:vAlign w:val="center"/>
          </w:tcPr>
          <w:p>
            <w:pPr>
              <w:pStyle w:val="TableContents"/>
              <w:bidi w:val="0"/>
              <w:spacing w:before="0" w:after="0"/>
              <w:ind w:left="0" w:right="0" w:hanging="0"/>
              <w:jc w:val="left"/>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790" w:name="Tc_ijtKbC4BN0yNxVwCro4grg_6_8"/>
      <w:bookmarkStart w:id="791" w:name="Tc_bOdh_elIx06WOMjZXE-R2g_6_5"/>
      <w:bookmarkStart w:id="792" w:name="Tc_9dFgHo661kKYlzCr9mkphg_6_2"/>
      <w:bookmarkStart w:id="793" w:name="Tc_6URtbNB9bU6qXE7VIDzGtw_6_0"/>
      <w:bookmarkStart w:id="794" w:name="Tc_0RGRbQxmLkqlvnA1gwcZog_5_0"/>
      <w:bookmarkStart w:id="795" w:name="Tc_n-Jf-2ZMaUW4Y5QHL_sLew_4_0"/>
      <w:bookmarkStart w:id="796" w:name="Tc_0eNxyh0rDkO0Qm_NMbeS6A_3_8"/>
      <w:bookmarkStart w:id="797" w:name="Tc_X2hqNVysM0mWDt6d5h66qg_3_5"/>
      <w:bookmarkStart w:id="798" w:name="Tc_rrvBVtQGe0aQP7k9X6dKag_3_2"/>
      <w:bookmarkStart w:id="799" w:name="Tc_3EyERmla-EOUKTE8WH30WA_3_0"/>
      <w:bookmarkStart w:id="800" w:name="Tc_3qG_Vs7pdU6yGs5HePvO2w_2_8"/>
      <w:bookmarkStart w:id="801" w:name="Tc_q4Jr67zqgEuFNkcmAkZdiA_2_5"/>
      <w:bookmarkStart w:id="802" w:name="Tc_xfBQRM3ZVUm5N5irCdC0dA_2_2"/>
      <w:bookmarkStart w:id="803" w:name="Tc_qABx2XafREe8ObXgS7_4yQ_2_0"/>
      <w:bookmarkStart w:id="804" w:name="Tc_pluWccI8GEqC15JJ4qxDXg_1_2"/>
      <w:bookmarkStart w:id="805" w:name="_60e98ed4_e90c_4012_87bb_ba028d81aeb1"/>
      <w:bookmarkStart w:id="806" w:name="Tc_9DXElTJurkOdEEaAjHhDng_7_8"/>
      <w:bookmarkStart w:id="807" w:name="Tc_6ziajj9GBkGyof0EEVXLQw_7_5"/>
      <w:bookmarkStart w:id="808" w:name="Tc_fR0kd7dHFUaEhL3oNhdJlQ_7_2"/>
      <w:bookmarkStart w:id="809" w:name="Tc_RI2lEhfBl0CZrV6rxTyP3g_7_0"/>
      <w:bookmarkStart w:id="810" w:name="Tc_0S02hVuB6kSWgCoNcPKDXw_6_3"/>
      <w:bookmarkStart w:id="811" w:name="Tc_l6lqbu_qokGgbv5DCzZeaA_6_0"/>
      <w:bookmarkStart w:id="812" w:name="Tc_aECgpJ6x5Emnw3ao7SOnww_5_0"/>
      <w:bookmarkStart w:id="813" w:name="Tc_ghnSxbohzUi3e3i8D8IviA_4_0"/>
      <w:bookmarkStart w:id="814" w:name="Tc_Zk7T8gEzL0m0aLqA8zDjgA_3_8"/>
      <w:bookmarkStart w:id="815" w:name="Tc__XEJRDF8vEmxLHGqVCv5Yg_3_5"/>
      <w:bookmarkStart w:id="816" w:name="Tc_XornHCX3S0yt6u7xMvmKZQ_3_2"/>
      <w:bookmarkStart w:id="817" w:name="Tc_rCKebcoO7EWV5EGQeqJclQ_3_0"/>
      <w:bookmarkStart w:id="818" w:name="Tc_1ZBrkGLF7kGmM1TTyEnKFQ_2_8"/>
      <w:bookmarkStart w:id="819" w:name="Tc__OnwVkxAv0mV0neyVxVY1Q_2_5"/>
      <w:bookmarkStart w:id="820" w:name="Tc_sp95WV81EEKFieWOd9udQw_2_2"/>
      <w:bookmarkStart w:id="821" w:name="Tc_qymrsv-wBkSSuKnxJ-Y0Gw_2_0"/>
      <w:bookmarkStart w:id="822" w:name="Tc_inUcvWoFl0CytBdnM1rnGg_1_2"/>
      <w:bookmarkStart w:id="823" w:name="_67fbb3cf_195e_4a09_9704_6731c1f5bfd8"/>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Pension and Post-Retirement Plans:</w:t>
      </w:r>
      <w:r>
        <w:rPr>
          <w:rFonts w:ascii="Times New Roman;Times;serif" w:hAnsi="Times New Roman;Times;serif"/>
          <w:sz w:val="20"/>
        </w:rPr>
        <w:t xml:space="preserve"> The Company is a member of the Pacific Maritime Association (“PMA”) and the Hawaii Stevedoring Industry Committee, which negotiate multi-employer pension plans covering certain shoreside bargaining unit personnel. The Company directly negotiates multi-employer pension plans covering other bargaining unit personnel. Pension costs are accrued in accordance with contribution rates established by the PMA, the parties to a plan or the trustees of a plan. Several trusteed, non-contributory, single employer defined benefit plans and defined contribution plans cover substantially all other employees.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estimation of the Company’s pension and post-retirement benefit expenses and liabilities requires that the Company make various assumptions. These assumptions include factors such as discount rates, expected long-term rates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Additional information about the Company’s pension and post-retirement plans is included in Note 11.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Recognition of Revenues and Expenses:</w:t>
      </w:r>
      <w:r>
        <w:rPr>
          <w:rFonts w:ascii="Times New Roman;Times;serif" w:hAnsi="Times New Roman;Times;serif"/>
          <w:sz w:val="20"/>
        </w:rPr>
        <w:t xml:space="preserve"> Revenue and expenses in the Company’s Consolidated Financial Statements are presented net after the elimination of intercompany amounts and transactions. The following is a description of the Company’s principal revenue generating activities by segment, and the Company’s revenue and expense recognition policy for each activity for the periods presented:</w:t>
      </w:r>
    </w:p>
    <w:p>
      <w:pPr>
        <w:pStyle w:val="TextBody"/>
        <w:bidi w:val="0"/>
        <w:spacing w:before="0" w:after="0"/>
        <w:ind w:left="0" w:right="0" w:hanging="0"/>
        <w:jc w:val="left"/>
        <w:rPr/>
      </w:pPr>
      <w:r>
        <w:rPr/>
        <w:t>​</w:t>
      </w:r>
    </w:p>
    <w:tbl>
      <w:tblPr>
        <w:tblW w:w="6589" w:type="dxa"/>
        <w:jc w:val="left"/>
        <w:tblInd w:w="0" w:type="dxa"/>
        <w:tblLayout w:type="fixed"/>
        <w:tblCellMar>
          <w:top w:w="0" w:type="dxa"/>
          <w:left w:w="0" w:type="dxa"/>
          <w:bottom w:w="0" w:type="dxa"/>
          <w:right w:w="0" w:type="dxa"/>
        </w:tblCellMar>
      </w:tblPr>
      <w:tblGrid>
        <w:gridCol w:w="3361"/>
        <w:gridCol w:w="109"/>
        <w:gridCol w:w="211"/>
        <w:gridCol w:w="721"/>
        <w:gridCol w:w="109"/>
        <w:gridCol w:w="211"/>
        <w:gridCol w:w="721"/>
        <w:gridCol w:w="109"/>
        <w:gridCol w:w="211"/>
        <w:gridCol w:w="82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34235" cy="175260"/>
                      <wp:effectExtent l="0" t="0" r="0" b="0"/>
                      <wp:wrapNone/>
                      <wp:docPr id="325" name="Frame322"/>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57835" cy="175260"/>
                      <wp:effectExtent l="0" t="0" r="0" b="0"/>
                      <wp:wrapNone/>
                      <wp:docPr id="328" name="Frame32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57835" cy="175260"/>
                      <wp:effectExtent l="0" t="0" r="0" b="0"/>
                      <wp:wrapNone/>
                      <wp:docPr id="331" name="Frame32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24510" cy="175260"/>
                      <wp:effectExtent l="0" t="0" r="0" b="0"/>
                      <wp:wrapNone/>
                      <wp:docPr id="334" name="Frame3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1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Ocean Transportation (in millions) (1)</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2,420.8</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and other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management and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2,477.0</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Ocean Transportation services revenue and fuel sales revenue categories which are denominated in foreign currencies.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and other related services revenue is recognized as the services are performed. Terminal and other related service costs are recognized as incurred.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Fuel sales revenue and related costs are recognized when the Company has completed delivery of the product to the customer in accordance with the terms and conditions of the contract.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management and related services revenue is recognized in proportion to the services completed. Related costs are recognized as incurred. In July 2024, the Company discontinued its vessel management and related services.</w:t>
            </w:r>
          </w:p>
        </w:tc>
      </w:tr>
    </w:tbl>
    <w:p>
      <w:pPr>
        <w:pStyle w:val="TextBody"/>
        <w:bidi w:val="0"/>
        <w:spacing w:before="0" w:after="0"/>
        <w:ind w:left="0" w:right="0" w:hanging="0"/>
        <w:jc w:val="left"/>
        <w:rPr/>
      </w:pPr>
      <w:r>
        <w:rPr/>
        <w:t>​</w:t>
      </w:r>
    </w:p>
    <w:tbl>
      <w:tblPr>
        <w:tblW w:w="7624" w:type="dxa"/>
        <w:jc w:val="left"/>
        <w:tblInd w:w="0" w:type="dxa"/>
        <w:tblLayout w:type="fixed"/>
        <w:tblCellMar>
          <w:top w:w="0" w:type="dxa"/>
          <w:left w:w="0" w:type="dxa"/>
          <w:bottom w:w="0" w:type="dxa"/>
          <w:right w:w="0" w:type="dxa"/>
        </w:tblCellMar>
      </w:tblPr>
      <w:tblGrid>
        <w:gridCol w:w="4846"/>
        <w:gridCol w:w="109"/>
        <w:gridCol w:w="211"/>
        <w:gridCol w:w="571"/>
        <w:gridCol w:w="109"/>
        <w:gridCol w:w="211"/>
        <w:gridCol w:w="571"/>
        <w:gridCol w:w="109"/>
        <w:gridCol w:w="211"/>
        <w:gridCol w:w="67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077210" cy="175260"/>
                      <wp:effectExtent l="0" t="0" r="0" b="0"/>
                      <wp:wrapNone/>
                      <wp:docPr id="335" name="Frame332"/>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62585" cy="175260"/>
                      <wp:effectExtent l="0" t="0" r="0" b="0"/>
                      <wp:wrapNone/>
                      <wp:docPr id="338" name="Frame3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62585" cy="175260"/>
                      <wp:effectExtent l="0" t="0" r="0" b="0"/>
                      <wp:wrapNone/>
                      <wp:docPr id="341" name="Frame3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29260" cy="175260"/>
                      <wp:effectExtent l="0" t="0" r="0" b="0"/>
                      <wp:wrapNone/>
                      <wp:docPr id="344" name="Frame3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Logistics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Brokerage and Freight Forwarding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546.8</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Warehousing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Management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617.6</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percent of Transportation Brokerage and Freight Forwarding services revenue, and Supply Chain Management services revenue categories which are denominated in foreign currencies.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Warehousing services revenue consist of amounts billed to customers for storage, handling, and value-added packaging of customer merchandise. Storage revenue is recognized in the month the service is provided to the customer. Storage related costs are recognized as incurred. Other Warehousing services revenue and related costs are recognized in proportion to the services performed.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Supply Chain Management and other services revenue, and related costs are recognized in proportion to the services performed.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Sales commissions and contract acquisition costs are expensed as incurred because the amounts are generally immaterial, and are included in general and administrative expenses in the Consolidated Statements of Income and Comprehensive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The Company recognizes dividends as a liability when approved by the Board of Directors.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Repurchase of Shares:</w:t>
      </w:r>
      <w:r>
        <w:rPr>
          <w:rFonts w:ascii="Times New Roman;Times;serif" w:hAnsi="Times New Roman;Times;serif"/>
          <w:sz w:val="20"/>
        </w:rPr>
        <w:t xml:space="preserve"> On February 27, 2025, the Company’s Board of Directors approved an additional 3.0 million shares of common stock to be added to the Company’s existing share repurchase program and extended the program’s expiration date to December 31, 2027. During the years ended December 31, 2025, 2024 and 2023, the Company repurchased approximately 2.7 million, 1.6 million and 2.1 million shares, for $307.4 million, $201.0 million and $158.2 million, respectively. As of December 31, 2025, the number of remaining shares that may be repurchased under the Company’s share repurchase program was approximately 1.1 million shares. Shares may be repurchased in the open market from time to time, and may be made pursuant to a trading plan in accordance with Rule 10b5-1 of the Security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Share-Based Compensation:</w:t>
      </w:r>
      <w:r>
        <w:rPr>
          <w:rFonts w:ascii="Times New Roman;Times;serif" w:hAnsi="Times New Roman;Times;serif"/>
          <w:sz w:val="20"/>
        </w:rPr>
        <w:t xml:space="preserve"> The Company records compensation expense for all share-based awards made to employees and directors. Stock based awards made under the Company’s stock plans are measured at fair value on the date of the grant and the cost for all grants is generally recognized ratably over the vesting period of the restricted stock unit (“RSU”) or restricted stock award. The Company accounts for forfeitures as they occur. The Company’s share-based awards are more fully described in Note 15.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The Company’s income tax expense requires the Company to make various judgments and estimates. These judgments and estimates are applied in the calculation of taxable income, tax credits, tax benefits, CCF related tax deductions, foreign-derived deduction eligible income and other tax deductions, and in the calculation of certain deferred tax assets and liabilities, which arise from differences in the timing of recognition of revenue, costs and expenses for tax purposes. The Company also considers the impact of expected future events such as changes in tax rates, changes in tax laws, regulations and rulings. Deferred tax assets and liabilities are adjusted to the extent necessary to reflect tax rates expected to be in effect when the temporary differences reverse.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records a valuation allowance if, based on the weight of available evidence, management believes that it is more likely than not that some portion or all of a recorded deferred tax asset would not be realized in future periods. The Company’s income taxes are more fully described in Note 10.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Rounding:</w:t>
      </w:r>
      <w:r>
        <w:rPr>
          <w:rFonts w:ascii="Times New Roman;Times;serif" w:hAnsi="Times New Roman;Times;serif"/>
          <w:sz w:val="20"/>
        </w:rPr>
        <w:t xml:space="preserve"> Amounts in the Consolidated Financial Statements and Notes to the Consolidated Financial Statements are rounded to tenth of millions, except for per share calculations and percentages which were determined based on amounts before rounding. Accordingly, a recalculation of some per-share amounts and percentages, if based on the reported data, may be slightly different.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Recently adopted accounting pronouncements: </w:t>
      </w:r>
      <w:r>
        <w:rPr>
          <w:rFonts w:ascii="Times New Roman;Times;serif" w:hAnsi="Times New Roman;Times;serif"/>
          <w:sz w:val="20"/>
        </w:rPr>
        <w:t xml:space="preserve">In December 2023, the Financial Accounting Standards Board (“FASB”) issued Accounting Standard Update (“ASU”) 2023-09, </w:t>
      </w:r>
      <w:r>
        <w:rPr>
          <w:rFonts w:ascii="Times New Roman;Times;serif" w:hAnsi="Times New Roman;Times;serif"/>
          <w:i/>
          <w:sz w:val="20"/>
        </w:rPr>
        <w:t>Improvements to Income Tax Disclosures</w:t>
      </w:r>
      <w:r>
        <w:rPr>
          <w:rFonts w:ascii="Times New Roman;Times;serif" w:hAnsi="Times New Roman;Times;serif"/>
          <w:sz w:val="20"/>
        </w:rPr>
        <w:t xml:space="preserve"> (“ASU 2023-09”). ASU 2023-09 requires disaggregated information about a reporting entity’s effective tax rate reconciliation as well as information on income taxes paid. ASU 2023-09 is effective for annual periods beginning after December 15, 2024, and interim periods within fiscal years beginning after December 15, 2025. The Company adopted ASU 2023-09 during the year ended December 31, 2025 and applied it retrospectively (see Note 10).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New Accounting Pronouncements:</w:t>
      </w:r>
      <w:r>
        <w:rPr>
          <w:rFonts w:ascii="Times New Roman;Times;serif" w:hAnsi="Times New Roman;Times;serif"/>
          <w:sz w:val="20"/>
        </w:rPr>
        <w:t xml:space="preserve"> In November 2024, the FASB issued ASU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ASU 2024-03 requires disclosure of certain expenses in the financial statements including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 depreciation and amortization of intangible assets on an annual and interim basis. ASU 2024-03 is effective for fiscal years beginning after December 15, 2026 and interim periods within fiscal years beginning after December 15, 2027. ASU 2024-03 can be adopted either: (i) prospectively to the financial statements issued for reporting periods after the effective date of the ASU or (ii) retrospectively to any or all prior periods presented in the financial statements. The Company is currently evaluating the effects of adopting ASU 2024-03 but does not expect it will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Instruments—Credit Losses (Topic 326): Measurement of Credit Losses for Accounts Receivable and Contract Assets</w:t>
      </w:r>
      <w:r>
        <w:rPr>
          <w:rFonts w:ascii="Times New Roman;Times;serif" w:hAnsi="Times New Roman;Times;serif"/>
          <w:sz w:val="20"/>
        </w:rPr>
        <w:t>. ASU 2025-05 provides optional simplified methods for estimating credit losses on current accounts receivable. ASU 2025-05 is effective for interim and annual periods beginning after December 15, 2025. The Company is currently evaluating the effects of adopting ASU 2025-05 but does not expect it to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24" w:name="Tc_ixpJYg71oUGYBjOKG9ipPQ_26_26"/>
      <w:bookmarkStart w:id="825" w:name="Tc_mpQckqksXUqzk1bcWNsQUw_26_23"/>
      <w:bookmarkStart w:id="826" w:name="Tc_7Fa8MQ3mQ0qKHGotwblfJA_26_20"/>
      <w:bookmarkStart w:id="827" w:name="Tc_MebB-wLloUeadA34qTSRyg_26_17"/>
      <w:bookmarkStart w:id="828" w:name="Tc_Ci8IFPoLmUS4Y_eNbg5EfQ_26_14"/>
      <w:bookmarkStart w:id="829" w:name="Tc_3mcWqzWU2k-BSMg_sbr0QA_26_11"/>
      <w:bookmarkStart w:id="830" w:name="Tc_aDekBxjRnUy1kKDVIWiR3Q_26_8"/>
      <w:bookmarkStart w:id="831" w:name="Tc_nCDaxC9xPkKl8Wi4TIGgEA_26_5"/>
      <w:bookmarkStart w:id="832" w:name="Tc_uhK7vq5h-Uezw-W46_taPg_26_2"/>
      <w:bookmarkStart w:id="833" w:name="Tc_Xt73lETmrUeASZQBqmGJ2g_26_0"/>
      <w:bookmarkStart w:id="834" w:name="Tc_wWlb-6_VX02PnDkNv9Rn0g_24_26"/>
      <w:bookmarkStart w:id="835" w:name="Tc_Ge1Izs6iA0-FlGm5PbL2kA_24_17"/>
      <w:bookmarkStart w:id="836" w:name="Tc_l0l5jyRZzEy3rVhQ7eZEHw_24_8"/>
      <w:bookmarkStart w:id="837" w:name="Tc_LEVTBQIL8UC2-0GWNjk1nA_24_0"/>
      <w:bookmarkStart w:id="838" w:name="Tc_VMetrvebokSjovMLavOwMw_23_0"/>
      <w:bookmarkStart w:id="839" w:name="Tc_stTBNzNmnkWePmN1sDgWuQ_22_0"/>
      <w:bookmarkStart w:id="840" w:name="Tc_edfTY3WI5kGWJ-J02Fu6VQ_21_0"/>
      <w:bookmarkStart w:id="841" w:name="Tc_pbb7gbZVWk2-oVAj8rMBLA_20_0"/>
      <w:bookmarkStart w:id="842" w:name="Tc_NM_xpU5e2EWy9oqtH2X9nQ_19_0"/>
      <w:bookmarkStart w:id="843" w:name="Tc__hnP_V-HX0600cNkFGh3LQ_18_23"/>
      <w:bookmarkStart w:id="844" w:name="Tc_DpVaJyyBZkGoMPofJRJPwg_18_20"/>
      <w:bookmarkStart w:id="845" w:name="Tc_84l2Y06i20KW_xe8XeaWcw_18_14"/>
      <w:bookmarkStart w:id="846" w:name="Tc_ybkyRR7qoEugRHlSI9Tbvg_18_11"/>
      <w:bookmarkStart w:id="847" w:name="Tc_HUMntQQQak2SLHq4B8-f8g_18_5"/>
      <w:bookmarkStart w:id="848" w:name="Tc_gU6UHvztW0uuMUxOQXcwYQ_18_2"/>
      <w:bookmarkStart w:id="849" w:name="Tc_Er1S8IICrEeqM7TLCAsrow_18_0"/>
      <w:bookmarkStart w:id="850" w:name="Tc_To2U2nD_8EasnJ_zxDdC3w_16_0"/>
      <w:bookmarkStart w:id="851" w:name="Tc_GbOP5EzWlE23dPToNojJkg_15_0"/>
      <w:bookmarkStart w:id="852" w:name="Tc_W5KBjgtrZkaUsjPKoBI0ow_14_24"/>
      <w:bookmarkStart w:id="853" w:name="Tc_D1rRvu9KJ0uaTiFxlssabw_14_15"/>
      <w:bookmarkStart w:id="854" w:name="Tc_COr_zHDXu0mSaEYaNCd7Eg_14_6"/>
      <w:bookmarkStart w:id="855" w:name="Tc_M3HHxITzx0-u9gThB1vIcw_14_0"/>
      <w:bookmarkStart w:id="856" w:name="Tc_S8JzFBZdEUO_9WNnFDHPVg_13_0"/>
      <w:bookmarkStart w:id="857" w:name="Tc_5YmFUnEyvk28k4SK33GD2g_12_0"/>
      <w:bookmarkStart w:id="858" w:name="Tc_34WHu2jZB0uKTipglXVXIg_11_21"/>
      <w:bookmarkStart w:id="859" w:name="Tc_gTaPfZ-hiE6QXhgYSI9-GA_11_12"/>
      <w:bookmarkStart w:id="860" w:name="Tc_fQeHSd7gnEaHuk2YWeuFLA_11_3"/>
      <w:bookmarkStart w:id="861" w:name="Tc_Tmd6H4oB7UCnToSAwYq_-Q_11_0"/>
      <w:bookmarkStart w:id="862" w:name="Tc_KdAwlnKyy0ynlK5uRAtfeQ_10_24"/>
      <w:bookmarkStart w:id="863" w:name="Tc_og8mTNdnuEe3A7LA_5ux4g_10_15"/>
      <w:bookmarkStart w:id="864" w:name="Tc_GVcwTooJz0atMQt5k9R0CA_10_6"/>
      <w:bookmarkStart w:id="865" w:name="Tc_io-HHjUY20uT_MyhNeHGfg_10_0"/>
      <w:bookmarkStart w:id="866" w:name="Tc_sBt_q0e7aUO-LG92J0RzDA_9_24"/>
      <w:bookmarkStart w:id="867" w:name="Tc_KeK9viDvYUi-L1fnFFjF6Q_9_15"/>
      <w:bookmarkStart w:id="868" w:name="Tc_KAIdcCw5IUuo9qXrDydHvQ_9_6"/>
      <w:bookmarkStart w:id="869" w:name="Tc_nYafGyL0QECB6F-xQk21Pg_9_0"/>
      <w:bookmarkStart w:id="870" w:name="Tc_9fMUmhGCtkayGxujO5Fhxg_8_24"/>
      <w:bookmarkStart w:id="871" w:name="Tc_RbGzgHbk7E60Pxd49rLYyQ_8_15"/>
      <w:bookmarkStart w:id="872" w:name="Tc_Uh6KlO9ItEiUcUesub1WgQ_8_6"/>
      <w:bookmarkStart w:id="873" w:name="Tc_qjX5WWvDBEWh5EwNu39b1g_8_0"/>
      <w:bookmarkStart w:id="874" w:name="Tc_zU5A8knS8UOzBO3jZRIIhQ_7_0"/>
      <w:bookmarkStart w:id="875" w:name="Tc_RllfMngH70uR0IDE9tMmAQ_6_0"/>
      <w:bookmarkStart w:id="876" w:name="Tc_dq1HUdLQ00-Rhzsj5gN6dQ_4_26"/>
      <w:bookmarkStart w:id="877" w:name="Tc_GUjqR5a_V0m1E8qgbCroIg_4_23"/>
      <w:bookmarkStart w:id="878" w:name="Tc_jY4Mj3tCOEWl_NTOvQg0gg_4_20"/>
      <w:bookmarkStart w:id="879" w:name="Tc_fum9BvKcjEWghJ0RvxnY4A_4_17"/>
      <w:bookmarkStart w:id="880" w:name="Tc_5DcSNHfUoUaibhbhvjqLPA_4_14"/>
      <w:bookmarkStart w:id="881" w:name="Tc_cLcYBVarqECgbp_YRoFTug_4_11"/>
      <w:bookmarkStart w:id="882" w:name="Tc_xSchSTo_T0SX0hVBZ2x7EA_4_8"/>
      <w:bookmarkStart w:id="883" w:name="Tc_gI0kMRz9OEWRVV-YzIIrqA_4_5"/>
      <w:bookmarkStart w:id="884" w:name="Tc_w6UeaM3VyUuaQf3OVjt3LA_4_2"/>
      <w:bookmarkStart w:id="885" w:name="Tc_0VxMofNY4kqLElnbWI0aqQ_4_0"/>
      <w:bookmarkStart w:id="886" w:name="Tc_1r91NGZwhUCY1-x5fxxl1A_3_26"/>
      <w:bookmarkStart w:id="887" w:name="Tc_FuC9BZp8RESd2Dweq794JA_3_23"/>
      <w:bookmarkStart w:id="888" w:name="Tc_M13LgUcnwkOGfRoZjjtKHA_3_20"/>
      <w:bookmarkStart w:id="889" w:name="Tc_iiAA2Ar97kiwjL3tBwyXRg_3_17"/>
      <w:bookmarkStart w:id="890" w:name="Tc_R51BnFNYW0ydqOXVNwXj4w_3_14"/>
      <w:bookmarkStart w:id="891" w:name="Tc_W6MGMhF_fEqfdChFkGERsQ_3_11"/>
      <w:bookmarkStart w:id="892" w:name="Tc_EcfHA21jA0SFR2lr4mfQ4Q_3_8"/>
      <w:bookmarkStart w:id="893" w:name="Tc_fdCB-atOlEmY3EDNQ_VkiA_3_5"/>
      <w:bookmarkStart w:id="894" w:name="Tc_s52EgNDq-USmFWsMcogIeQ_3_2"/>
      <w:bookmarkStart w:id="895" w:name="Tc_NVuI6JBHTkivAXFUplvWkg_3_0"/>
      <w:bookmarkStart w:id="896" w:name="Tc_amv8k71wbEmNGuAMIlI69w_2_20"/>
      <w:bookmarkStart w:id="897" w:name="Tc_WD050s-QV0yBRL_7iaKfMQ_2_11"/>
      <w:bookmarkStart w:id="898" w:name="Tc_mUycuHpcMkC2w1esWLm1yw_2_2"/>
      <w:bookmarkStart w:id="899" w:name="Tc_PmV3EGh2DkCPL6dI2lT0qw_1_20"/>
      <w:bookmarkStart w:id="900" w:name="Tc_EXAl_83pHUiKYJ6AmYcnJQ_1_11"/>
      <w:bookmarkStart w:id="901" w:name="Tc_J071CI-ca0KEjAMpPWMxnA_1_2"/>
      <w:bookmarkStart w:id="902" w:name="_dce1b033_6245_4c86_9779_4d3339098074"/>
      <w:bookmarkStart w:id="903" w:name="a3REPORTABLESEGMENTS_952046"/>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rFonts w:ascii="Times New Roman;Times;serif" w:hAnsi="Times New Roman;Times;serif"/>
          <w:b/>
          <w:i w:val="false"/>
          <w:caps w:val="false"/>
          <w:smallCaps w:val="false"/>
          <w:sz w:val="20"/>
        </w:rPr>
        <w:t>3.</w:t>
      </w:r>
      <w:r>
        <w:rPr>
          <w:rFonts w:ascii="Times New Roman;Times;serif" w:hAnsi="Times New Roman;Times;serif"/>
          <w:b/>
          <w:sz w:val="20"/>
        </w:rPr>
        <w:t>REPORTABLE SEGMENTS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segments are components of an enterprise that engage in business activities from which it may earn revenues and incur expenses, whose operating results are regularly reviewed by the chief operating decision maker (“CODM”) to make decisions about resources to be allocated to the segment and assess its performance, and for which discrete financial information is available. The Company’s CODM is its Chief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identified two reportable segments on the basis of internal information provided to the CODM: Ocean Transportation and Logistics which are described in Note 1. Each segment is managed separately based upon fundamental differences in the operations of each segment. The Company’s Ocean Transportation service primarily involves the transportation of customer cargo on Company owned and chartered vessels. The Company’s Logistics service provides customers with logistics solutions primarily using third-party purchased transportation. The Company’s CODM assesses the performance of each segment using operating income. The Company’s CODM reviews the performance of each segment using monthly internal reports which provide variance analysis of actual results by segment compared to budget, forecast and prior year. The Company’s CODM uses this information when making decisions about the allocation of operating and capital resources to each segment. Segment balance sheet information is not provided to the CODM as capital decisions are based upon the Company’s consolidated balance sheet.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financial information for the years ended December 31, 2025, 2024 and 2023, are as follows:</w:t>
      </w:r>
    </w:p>
    <w:p>
      <w:pPr>
        <w:pStyle w:val="TextBody"/>
        <w:bidi w:val="0"/>
        <w:spacing w:before="0" w:after="0"/>
        <w:ind w:left="0" w:right="0" w:hanging="0"/>
        <w:jc w:val="left"/>
        <w:rPr>
          <w:shd w:fill="FFFF00" w:val="clear"/>
        </w:rPr>
      </w:pPr>
      <w:r>
        <w:rPr>
          <w:shd w:fill="FFFF00" w:val="clear"/>
        </w:rPr>
        <w:t>​</w:t>
      </w:r>
    </w:p>
    <w:tbl>
      <w:tblPr>
        <w:tblW w:w="11968" w:type="dxa"/>
        <w:jc w:val="left"/>
        <w:tblInd w:w="0" w:type="dxa"/>
        <w:tblLayout w:type="fixed"/>
        <w:tblCellMar>
          <w:top w:w="0" w:type="dxa"/>
          <w:left w:w="0" w:type="dxa"/>
          <w:bottom w:w="0" w:type="dxa"/>
          <w:right w:w="0" w:type="dxa"/>
        </w:tblCellMar>
      </w:tblPr>
      <w:tblGrid>
        <w:gridCol w:w="1096"/>
        <w:gridCol w:w="346"/>
        <w:gridCol w:w="196"/>
        <w:gridCol w:w="706"/>
        <w:gridCol w:w="346"/>
        <w:gridCol w:w="196"/>
        <w:gridCol w:w="571"/>
        <w:gridCol w:w="346"/>
        <w:gridCol w:w="196"/>
        <w:gridCol w:w="706"/>
        <w:gridCol w:w="346"/>
        <w:gridCol w:w="196"/>
        <w:gridCol w:w="706"/>
        <w:gridCol w:w="346"/>
        <w:gridCol w:w="196"/>
        <w:gridCol w:w="571"/>
        <w:gridCol w:w="346"/>
        <w:gridCol w:w="196"/>
        <w:gridCol w:w="706"/>
        <w:gridCol w:w="346"/>
        <w:gridCol w:w="196"/>
        <w:gridCol w:w="706"/>
        <w:gridCol w:w="346"/>
        <w:gridCol w:w="196"/>
        <w:gridCol w:w="571"/>
        <w:gridCol w:w="346"/>
        <w:gridCol w:w="196"/>
        <w:gridCol w:w="751"/>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5960" cy="175260"/>
                      <wp:effectExtent l="0" t="0" r="0" b="0"/>
                      <wp:wrapNone/>
                      <wp:docPr id="345" name="Frame34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460" cy="175260"/>
                      <wp:effectExtent l="0" t="0" r="0" b="0"/>
                      <wp:wrapNone/>
                      <wp:docPr id="347" name="Frame3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48310" cy="175260"/>
                      <wp:effectExtent l="0" t="0" r="0" b="0"/>
                      <wp:wrapNone/>
                      <wp:docPr id="348" name="Frame34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24460" cy="175260"/>
                      <wp:effectExtent l="0" t="0" r="0" b="0"/>
                      <wp:wrapNone/>
                      <wp:docPr id="350"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62585" cy="175260"/>
                      <wp:effectExtent l="0" t="0" r="0" b="0"/>
                      <wp:wrapNone/>
                      <wp:docPr id="351" name="Frame3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4460" cy="175260"/>
                      <wp:effectExtent l="0" t="0" r="0" b="0"/>
                      <wp:wrapNone/>
                      <wp:docPr id="353" name="Frame3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48310" cy="175260"/>
                      <wp:effectExtent l="0" t="0" r="0" b="0"/>
                      <wp:wrapNone/>
                      <wp:docPr id="354" name="Frame35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24460" cy="175260"/>
                      <wp:effectExtent l="0" t="0" r="0" b="0"/>
                      <wp:wrapNone/>
                      <wp:docPr id="356" name="Frame3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48310" cy="175260"/>
                      <wp:effectExtent l="0" t="0" r="0" b="0"/>
                      <wp:wrapNone/>
                      <wp:docPr id="357" name="Frame35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24460" cy="175260"/>
                      <wp:effectExtent l="0" t="0" r="0" b="0"/>
                      <wp:wrapNone/>
                      <wp:docPr id="359" name="Frame3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62585" cy="175260"/>
                      <wp:effectExtent l="0" t="0" r="0" b="0"/>
                      <wp:wrapNone/>
                      <wp:docPr id="360" name="Frame3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4460" cy="175260"/>
                      <wp:effectExtent l="0" t="0" r="0" b="0"/>
                      <wp:wrapNone/>
                      <wp:docPr id="362" name="Frame3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48310" cy="175260"/>
                      <wp:effectExtent l="0" t="0" r="0" b="0"/>
                      <wp:wrapNone/>
                      <wp:docPr id="363" name="Frame36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65" name="Frame3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48310" cy="175260"/>
                      <wp:effectExtent l="0" t="0" r="0" b="0"/>
                      <wp:wrapNone/>
                      <wp:docPr id="366" name="Frame36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24460" cy="175260"/>
                      <wp:effectExtent l="0" t="0" r="0" b="0"/>
                      <wp:wrapNone/>
                      <wp:docPr id="368" name="Frame3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62585" cy="175260"/>
                      <wp:effectExtent l="0" t="0" r="0" b="0"/>
                      <wp:wrapNone/>
                      <wp:docPr id="369" name="Frame3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4460" cy="175260"/>
                      <wp:effectExtent l="0" t="0" r="0" b="0"/>
                      <wp:wrapNone/>
                      <wp:docPr id="371" name="Frame3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76885" cy="175260"/>
                      <wp:effectExtent l="0" t="0" r="0" b="0"/>
                      <wp:wrapNone/>
                      <wp:docPr id="372" name="Frame36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3"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Year Ended</w:t>
            </w:r>
          </w:p>
        </w:tc>
        <w:tc>
          <w:tcPr>
            <w:tcW w:w="346" w:type="dxa"/>
            <w:tcBorders/>
            <w:vAlign w:val="center"/>
          </w:tcPr>
          <w:p>
            <w:pPr>
              <w:pStyle w:val="TableContents"/>
              <w:bidi w:val="0"/>
              <w:spacing w:before="0" w:after="0"/>
              <w:ind w:left="0" w:right="0" w:hanging="0"/>
              <w:jc w:val="left"/>
              <w:rPr/>
            </w:pPr>
            <w:r>
              <w:rPr/>
              <w:t>​</w:t>
            </w:r>
          </w:p>
        </w:tc>
        <w:tc>
          <w:tcPr>
            <w:tcW w:w="3263"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Year Ended</w:t>
            </w:r>
          </w:p>
        </w:tc>
        <w:tc>
          <w:tcPr>
            <w:tcW w:w="346" w:type="dxa"/>
            <w:tcBorders/>
            <w:vAlign w:val="center"/>
          </w:tcPr>
          <w:p>
            <w:pPr>
              <w:pStyle w:val="TableContents"/>
              <w:bidi w:val="0"/>
              <w:spacing w:before="0" w:after="0"/>
              <w:ind w:left="0" w:right="0" w:hanging="0"/>
              <w:jc w:val="left"/>
              <w:rPr/>
            </w:pPr>
            <w:r>
              <w:rPr/>
              <w:t>​</w:t>
            </w:r>
          </w:p>
        </w:tc>
        <w:tc>
          <w:tcPr>
            <w:tcW w:w="3308"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Year Ended</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December 31, 2025</w:t>
            </w:r>
          </w:p>
        </w:tc>
        <w:tc>
          <w:tcPr>
            <w:tcW w:w="346" w:type="dxa"/>
            <w:tcBorders/>
            <w:vAlign w:val="center"/>
          </w:tcPr>
          <w:p>
            <w:pPr>
              <w:pStyle w:val="TableContents"/>
              <w:bidi w:val="0"/>
              <w:spacing w:before="0" w:after="0"/>
              <w:ind w:left="0" w:right="0" w:hanging="0"/>
              <w:jc w:val="left"/>
              <w:rPr/>
            </w:pPr>
            <w:r>
              <w:rPr/>
              <w:t>​</w:t>
            </w:r>
          </w:p>
        </w:tc>
        <w:tc>
          <w:tcPr>
            <w:tcW w:w="32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December 31, 2024</w:t>
            </w:r>
          </w:p>
        </w:tc>
        <w:tc>
          <w:tcPr>
            <w:tcW w:w="346" w:type="dxa"/>
            <w:tcBorders/>
            <w:vAlign w:val="center"/>
          </w:tcPr>
          <w:p>
            <w:pPr>
              <w:pStyle w:val="TableContents"/>
              <w:bidi w:val="0"/>
              <w:spacing w:before="0" w:after="0"/>
              <w:ind w:left="0" w:right="0" w:hanging="0"/>
              <w:jc w:val="left"/>
              <w:rPr/>
            </w:pPr>
            <w:r>
              <w:rPr/>
              <w:t>​</w:t>
            </w:r>
          </w:p>
        </w:tc>
        <w:tc>
          <w:tcPr>
            <w:tcW w:w="330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December 31, 2023</w:t>
            </w:r>
          </w:p>
        </w:tc>
      </w:tr>
      <w:tr>
        <w:trPr/>
        <w:tc>
          <w:tcPr>
            <w:tcW w:w="1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Revenue (1)(2)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3,094.6</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cargo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(946.2)</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Vessel operating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(580.4)</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overhead (3)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(297.7)</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operating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(504.2)</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(142.2)</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(2,470.7)</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SSAT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(283.3)</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(2,751.8)</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342.8</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373.0</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 (4)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248.4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$92.5</w:t>
            </w:r>
            <w:r>
              <w:rPr>
                <w:caps w:val="false"/>
                <w:smallCaps w:val="false"/>
              </w:rPr>
              <w:t> </w:t>
            </w:r>
            <w:r>
              <w:rPr>
                <w:rFonts w:ascii="Times New Roman;Times;serif" w:hAnsi="Times New Roman;Times;serif"/>
                <w:b w:val="false"/>
                <w:i w:val="false"/>
                <w:caps w:val="false"/>
                <w:smallCaps w:val="false"/>
                <w:sz w:val="16"/>
              </w:rPr>
              <w:t>million, $92.8</w:t>
            </w:r>
            <w:r>
              <w:rPr>
                <w:caps w:val="false"/>
                <w:smallCaps w:val="false"/>
              </w:rPr>
              <w:t> </w:t>
            </w:r>
            <w:r>
              <w:rPr>
                <w:rFonts w:ascii="Times New Roman;Times;serif" w:hAnsi="Times New Roman;Times;serif"/>
                <w:b w:val="false"/>
                <w:i w:val="false"/>
                <w:caps w:val="false"/>
                <w:smallCaps w:val="false"/>
                <w:sz w:val="16"/>
              </w:rPr>
              <w:t>million and $76.5</w:t>
            </w:r>
            <w:r>
              <w:rPr>
                <w:caps w:val="false"/>
                <w:smallCaps w:val="false"/>
              </w:rPr>
              <w:t> </w:t>
            </w:r>
            <w:r>
              <w:rPr>
                <w:rFonts w:ascii="Times New Roman;Times;serif" w:hAnsi="Times New Roman;Times;serif"/>
                <w:b w:val="false"/>
                <w:i w:val="false"/>
                <w:caps w:val="false"/>
                <w:smallCaps w:val="false"/>
                <w:sz w:val="16"/>
              </w:rPr>
              <w:t>million for the years ended December 31, 2025, 2024 and 2023, respectively.</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$144.6</w:t>
            </w:r>
            <w:r>
              <w:rPr>
                <w:caps w:val="false"/>
                <w:smallCaps w:val="false"/>
              </w:rPr>
              <w:t> </w:t>
            </w:r>
            <w:r>
              <w:rPr>
                <w:rFonts w:ascii="Times New Roman;Times;serif" w:hAnsi="Times New Roman;Times;serif"/>
                <w:b w:val="false"/>
                <w:i w:val="false"/>
                <w:caps w:val="false"/>
                <w:smallCaps w:val="false"/>
                <w:sz w:val="16"/>
              </w:rPr>
              <w:t>million, $153.0</w:t>
            </w:r>
            <w:r>
              <w:rPr>
                <w:caps w:val="false"/>
                <w:smallCaps w:val="false"/>
              </w:rPr>
              <w:t> </w:t>
            </w:r>
            <w:r>
              <w:rPr>
                <w:rFonts w:ascii="Times New Roman;Times;serif" w:hAnsi="Times New Roman;Times;serif"/>
                <w:b w:val="false"/>
                <w:i w:val="false"/>
                <w:caps w:val="false"/>
                <w:smallCaps w:val="false"/>
                <w:sz w:val="16"/>
              </w:rPr>
              <w:t>million and $132.2</w:t>
            </w:r>
            <w:r>
              <w:rPr>
                <w:caps w:val="false"/>
                <w:smallCaps w:val="false"/>
              </w:rPr>
              <w:t> </w:t>
            </w:r>
            <w:r>
              <w:rPr>
                <w:rFonts w:ascii="Times New Roman;Times;serif" w:hAnsi="Times New Roman;Times;serif"/>
                <w:b w:val="false"/>
                <w:i w:val="false"/>
                <w:caps w:val="false"/>
                <w:smallCaps w:val="false"/>
                <w:sz w:val="16"/>
              </w:rPr>
              <w:t>million for the years ended December 31, 2025, 2024 and 2023, respectively.</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overhead includes dry-docking amortization of $28.9</w:t>
            </w:r>
            <w:r>
              <w:rPr>
                <w:caps w:val="false"/>
                <w:smallCaps w:val="false"/>
              </w:rPr>
              <w:t> </w:t>
            </w:r>
            <w:r>
              <w:rPr>
                <w:rFonts w:ascii="Times New Roman;Times;serif" w:hAnsi="Times New Roman;Times;serif"/>
                <w:b w:val="false"/>
                <w:i w:val="false"/>
                <w:caps w:val="false"/>
                <w:smallCaps w:val="false"/>
                <w:sz w:val="16"/>
              </w:rPr>
              <w:t>million, $27.2</w:t>
            </w:r>
            <w:r>
              <w:rPr>
                <w:caps w:val="false"/>
                <w:smallCaps w:val="false"/>
              </w:rPr>
              <w:t> </w:t>
            </w:r>
            <w:r>
              <w:rPr>
                <w:rFonts w:ascii="Times New Roman;Times;serif" w:hAnsi="Times New Roman;Times;serif"/>
                <w:b w:val="false"/>
                <w:i w:val="false"/>
                <w:caps w:val="false"/>
                <w:smallCaps w:val="false"/>
                <w:sz w:val="16"/>
              </w:rPr>
              <w:t>million and $25.3</w:t>
            </w:r>
            <w:r>
              <w:rPr>
                <w:caps w:val="false"/>
                <w:smallCaps w:val="false"/>
              </w:rPr>
              <w:t> </w:t>
            </w:r>
            <w:r>
              <w:rPr>
                <w:rFonts w:ascii="Times New Roman;Times;serif" w:hAnsi="Times New Roman;Times;serif"/>
                <w:b w:val="false"/>
                <w:i w:val="false"/>
                <w:caps w:val="false"/>
                <w:smallCaps w:val="false"/>
                <w:sz w:val="16"/>
              </w:rPr>
              <w:t>million for the year ended December 31, 2025, 2024 and 2023, respectively.</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Capital expenditures represent amounts included in cash flows from investing activities in the Company’s Consolidated Statement of Cash Flows for the years presented. These amounts exclude the impact of accrued capital expenditures of $2.3</w:t>
            </w:r>
            <w:r>
              <w:rPr>
                <w:caps w:val="false"/>
                <w:smallCaps w:val="false"/>
              </w:rPr>
              <w:t> </w:t>
            </w:r>
            <w:r>
              <w:rPr>
                <w:rFonts w:ascii="Times New Roman;Times;serif" w:hAnsi="Times New Roman;Times;serif"/>
                <w:b w:val="false"/>
                <w:i w:val="false"/>
                <w:caps w:val="false"/>
                <w:smallCaps w:val="false"/>
                <w:sz w:val="16"/>
              </w:rPr>
              <w:t>million, $7.9</w:t>
            </w:r>
            <w:r>
              <w:rPr>
                <w:caps w:val="false"/>
                <w:smallCaps w:val="false"/>
              </w:rPr>
              <w:t> </w:t>
            </w:r>
            <w:r>
              <w:rPr>
                <w:rFonts w:ascii="Times New Roman;Times;serif" w:hAnsi="Times New Roman;Times;serif"/>
                <w:b w:val="false"/>
                <w:i w:val="false"/>
                <w:caps w:val="false"/>
                <w:smallCaps w:val="false"/>
                <w:sz w:val="16"/>
              </w:rPr>
              <w:t>million and $10.8</w:t>
            </w:r>
            <w:r>
              <w:rPr>
                <w:caps w:val="false"/>
                <w:smallCaps w:val="false"/>
              </w:rPr>
              <w:t> </w:t>
            </w:r>
            <w:r>
              <w:rPr>
                <w:rFonts w:ascii="Times New Roman;Times;serif" w:hAnsi="Times New Roman;Times;serif"/>
                <w:b w:val="false"/>
                <w:i w:val="false"/>
                <w:caps w:val="false"/>
                <w:smallCaps w:val="false"/>
                <w:sz w:val="16"/>
              </w:rPr>
              <w:t>million as of December 31, 2025, 2024 and 2023,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Transportation’s operating expenses includes the following:</w:t>
      </w:r>
    </w:p>
    <w:tbl>
      <w:tblPr>
        <w:tblW w:w="2522" w:type="dxa"/>
        <w:jc w:val="left"/>
        <w:tblInd w:w="0" w:type="dxa"/>
        <w:tblLayout w:type="fixed"/>
        <w:tblCellMar>
          <w:top w:w="0" w:type="dxa"/>
          <w:left w:w="0" w:type="dxa"/>
          <w:bottom w:w="0" w:type="dxa"/>
          <w:right w:w="0" w:type="dxa"/>
        </w:tblCellMar>
      </w:tblPr>
      <w:tblGrid>
        <w:gridCol w:w="271"/>
        <w:gridCol w:w="2251"/>
      </w:tblGrid>
      <w:tr>
        <w:trPr/>
        <w:tc>
          <w:tcPr>
            <w:tcW w:w="271"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283"/>
              <w:jc w:val="left"/>
              <w:rPr/>
            </w:pPr>
            <w:r>
              <w:rPr>
                <w:rFonts w:ascii="Times New Roman;Times;serif" w:hAnsi="Times New Roman;Times;serif"/>
                <w:b w:val="false"/>
                <w:i/>
                <w:sz w:val="20"/>
              </w:rPr>
              <w:t>Operating costs</w:t>
            </w:r>
            <w:r>
              <w:rPr>
                <w:caps w:val="false"/>
                <w:smallCaps w:val="false"/>
              </w:rPr>
              <w:t xml:space="preserve"> </w:t>
            </w:r>
            <w:r>
              <w:rPr>
                <w:rFonts w:ascii="Times New Roman;Times;serif" w:hAnsi="Times New Roman;Times;serif"/>
                <w:b w:val="false"/>
                <w:i w:val="false"/>
                <w:caps w:val="false"/>
                <w:smallCaps w:val="false"/>
                <w:sz w:val="20"/>
              </w:rPr>
              <w:t>includes: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Direct Cargo Expense</w:t>
            </w:r>
            <w:r>
              <w:rPr>
                <w:caps w:val="false"/>
                <w:smallCaps w:val="false"/>
              </w:rPr>
              <w:t xml:space="preserve"> </w:t>
            </w:r>
            <w:r>
              <w:rPr>
                <w:rFonts w:ascii="Times New Roman;Times;serif" w:hAnsi="Times New Roman;Times;serif"/>
                <w:b w:val="false"/>
                <w:i w:val="false"/>
                <w:caps w:val="false"/>
                <w:smallCaps w:val="false"/>
                <w:sz w:val="20"/>
              </w:rPr>
              <w:t>includes terminal handling costs including labor and wharfage, outside purchased transportation and other related costs.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Vessel Operating Expense</w:t>
            </w:r>
            <w:r>
              <w:rPr>
                <w:caps w:val="false"/>
                <w:smallCaps w:val="false"/>
              </w:rPr>
              <w:t xml:space="preserve"> </w:t>
            </w:r>
            <w:r>
              <w:rPr>
                <w:rFonts w:ascii="Times New Roman;Times;serif" w:hAnsi="Times New Roman;Times;serif"/>
                <w:b w:val="false"/>
                <w:i w:val="false"/>
                <w:caps w:val="false"/>
                <w:smallCaps w:val="false"/>
                <w:sz w:val="20"/>
              </w:rPr>
              <w:t>includes crew wages and related costs; fuel; pilots, tugs, lines and related costs; vessel charter expenses; and other vessel operating related expenses.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Operating Overhead Expense</w:t>
            </w:r>
            <w:r>
              <w:rPr>
                <w:caps w:val="false"/>
                <w:smallCaps w:val="false"/>
              </w:rPr>
              <w:t xml:space="preserve"> </w:t>
            </w:r>
            <w:r>
              <w:rPr>
                <w:rFonts w:ascii="Times New Roman;Times;serif" w:hAnsi="Times New Roman;Times;serif"/>
                <w:b w:val="false"/>
                <w:i w:val="false"/>
                <w:caps w:val="false"/>
                <w:smallCaps w:val="false"/>
                <w:sz w:val="20"/>
              </w:rPr>
              <w:t>includes vessel repair and maintenance costs, inactive vessel costs, dry-docking amortization, equipment lease costs, equipment repair costs, vessel insurance, port engineers and other maintenance costs, other vessel and shoreside related overhead and other indirect costs.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Depreciation and Amortization Expense</w:t>
            </w:r>
            <w:r>
              <w:rPr>
                <w:caps w:val="false"/>
                <w:smallCaps w:val="false"/>
              </w:rPr>
              <w:t xml:space="preserve"> </w:t>
            </w:r>
            <w:r>
              <w:rPr>
                <w:rFonts w:ascii="Times New Roman;Times;serif" w:hAnsi="Times New Roman;Times;serif"/>
                <w:b w:val="false"/>
                <w:i w:val="false"/>
                <w:caps w:val="false"/>
                <w:smallCaps w:val="false"/>
                <w:sz w:val="20"/>
              </w:rPr>
              <w:t xml:space="preserve">includes depreciation of property and equipment and amortization of intangible assets.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Income (Loss) from SSAT</w:t>
            </w:r>
            <w:r>
              <w:rPr>
                <w:caps w:val="false"/>
                <w:smallCaps w:val="false"/>
              </w:rPr>
              <w:t xml:space="preserve"> </w:t>
            </w:r>
            <w:r>
              <w:rPr>
                <w:rFonts w:ascii="Times New Roman;Times;serif" w:hAnsi="Times New Roman;Times;serif"/>
                <w:b w:val="false"/>
                <w:i w:val="false"/>
                <w:caps w:val="false"/>
                <w:smallCaps w:val="false"/>
                <w:sz w:val="20"/>
              </w:rPr>
              <w:t>includes the Company’s share of income from its equity investment in SSAT and has been aggregated into the Ocean Transportation segment due to the operations of SSAT being an integral part of the Company’s Ocean Transportation business (see Note 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General and Administrative Expense</w:t>
            </w:r>
            <w:r>
              <w:rPr>
                <w:caps w:val="false"/>
                <w:smallCaps w:val="false"/>
              </w:rPr>
              <w:t xml:space="preserve"> </w:t>
            </w:r>
            <w:r>
              <w:rPr>
                <w:rFonts w:ascii="Times New Roman;Times;serif" w:hAnsi="Times New Roman;Times;serif"/>
                <w:b w:val="false"/>
                <w:i w:val="false"/>
                <w:caps w:val="false"/>
                <w:smallCaps w:val="false"/>
                <w:sz w:val="20"/>
              </w:rPr>
              <w:t xml:space="preserve">includes employee salaries, wages and other related costs, equipment maintenance, computer hardware and software, professional fees and other general and administrative expenses.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expenses includes the following:</w:t>
      </w:r>
    </w:p>
    <w:tbl>
      <w:tblPr>
        <w:tblW w:w="2507" w:type="dxa"/>
        <w:jc w:val="left"/>
        <w:tblInd w:w="0" w:type="dxa"/>
        <w:tblLayout w:type="fixed"/>
        <w:tblCellMar>
          <w:top w:w="0" w:type="dxa"/>
          <w:left w:w="0" w:type="dxa"/>
          <w:bottom w:w="0" w:type="dxa"/>
          <w:right w:w="0" w:type="dxa"/>
        </w:tblCellMar>
      </w:tblPr>
      <w:tblGrid>
        <w:gridCol w:w="271"/>
        <w:gridCol w:w="2236"/>
      </w:tblGrid>
      <w:tr>
        <w:trPr/>
        <w:tc>
          <w:tcPr>
            <w:tcW w:w="271" w:type="dxa"/>
            <w:tcBorders/>
            <w:vAlign w:val="center"/>
          </w:tcPr>
          <w:p>
            <w:pPr>
              <w:pStyle w:val="TableContents"/>
              <w:bidi w:val="0"/>
              <w:spacing w:before="0" w:after="283"/>
              <w:jc w:val="left"/>
              <w:rPr/>
            </w:pPr>
            <w:r>
              <w:rPr/>
              <w:t>●</w:t>
            </w:r>
          </w:p>
        </w:tc>
        <w:tc>
          <w:tcPr>
            <w:tcW w:w="2236" w:type="dxa"/>
            <w:tcBorders/>
            <w:vAlign w:val="center"/>
          </w:tcPr>
          <w:p>
            <w:pPr>
              <w:pStyle w:val="TableContents"/>
              <w:bidi w:val="0"/>
              <w:spacing w:before="0" w:after="283"/>
              <w:jc w:val="left"/>
              <w:rPr/>
            </w:pPr>
            <w:r>
              <w:rPr>
                <w:rFonts w:ascii="Times New Roman;Times;serif" w:hAnsi="Times New Roman;Times;serif"/>
                <w:b w:val="false"/>
                <w:i/>
                <w:sz w:val="20"/>
              </w:rPr>
              <w:t xml:space="preserve">Operating costs </w:t>
            </w:r>
            <w:r>
              <w:rPr>
                <w:rFonts w:ascii="Times New Roman;Times;serif" w:hAnsi="Times New Roman;Times;serif"/>
                <w:b w:val="false"/>
                <w:i w:val="false"/>
                <w:caps w:val="false"/>
                <w:smallCaps w:val="false"/>
                <w:sz w:val="20"/>
              </w:rPr>
              <w:t>includes: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Direct Operating Expense </w:t>
            </w:r>
            <w:r>
              <w:rPr>
                <w:rFonts w:ascii="Times New Roman;Times;serif" w:hAnsi="Times New Roman;Times;serif"/>
                <w:b w:val="false"/>
                <w:i w:val="false"/>
                <w:caps w:val="false"/>
                <w:smallCaps w:val="false"/>
                <w:sz w:val="20"/>
              </w:rPr>
              <w:t>includes transportation costs, transportation brokerage expenses, agency commissions, leases of warehouses, cross-dock and other facility operating costs, wages and other related costs, and other operating overhead.</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Depreciation and Amortization Expense</w:t>
            </w:r>
            <w:r>
              <w:rPr>
                <w:caps w:val="false"/>
                <w:smallCaps w:val="false"/>
              </w:rPr>
              <w:t xml:space="preserve"> </w:t>
            </w:r>
            <w:r>
              <w:rPr>
                <w:rFonts w:ascii="Times New Roman;Times;serif" w:hAnsi="Times New Roman;Times;serif"/>
                <w:b w:val="false"/>
                <w:i w:val="false"/>
                <w:caps w:val="false"/>
                <w:smallCaps w:val="false"/>
                <w:sz w:val="20"/>
              </w:rPr>
              <w:t xml:space="preserve">includes depreciation of property and equipment and amortization of intangible assets.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General and Administrative Expense</w:t>
            </w:r>
            <w:r>
              <w:rPr>
                <w:caps w:val="false"/>
                <w:smallCaps w:val="false"/>
              </w:rPr>
              <w:t xml:space="preserve"> </w:t>
            </w:r>
            <w:r>
              <w:rPr>
                <w:rFonts w:ascii="Times New Roman;Times;serif" w:hAnsi="Times New Roman;Times;serif"/>
                <w:b w:val="false"/>
                <w:i w:val="false"/>
                <w:caps w:val="false"/>
                <w:smallCaps w:val="false"/>
                <w:sz w:val="20"/>
              </w:rPr>
              <w:t xml:space="preserve">includes employee salaries, wages and other related costs, computer hardware and software, professional fees and other general and administrative expenses.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Ocean Transportation segment provides ocean transportation services to the Logistics segment, and the Logistics segment provides logistics services to the Ocean Transportation segment in certain transactions. Accordingly, inter-segment revenue of $237.1 million, $245.8 million and $208.7 million for the years ended December 31, 2025, 2024 and 2023, respectively, have been eliminated from operating revenues. In arrangements where the customer purchases ocean transportation and logistics services, the revenues are allocated to each reportable segment based upon the contractual amounts for each type of service.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Customer Concentration:</w:t>
      </w:r>
      <w:r>
        <w:rPr>
          <w:rFonts w:ascii="Times New Roman;Times;serif" w:hAnsi="Times New Roman;Times;serif"/>
          <w:sz w:val="20"/>
        </w:rPr>
        <w:t xml:space="preserve"> The Company’s Ocean Transportation segment serves customers in numerous industries and carries a wide variety of cargo, mitigating its dependence upon any single customer or single type of cargo. The Company’s 10 largest Ocean Transportation customers account for approximately 19 percent of the Company’s Ocean Transportation revenue.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Logistics segment serves customers in numerous industries. The Company’s 10 largest logistics customers account for approximately 17 percent of the Company’s Logistics revenue.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04" w:name="Tc_fhYtLSnJGES-jyPky4zX9Q_6_8"/>
      <w:bookmarkStart w:id="905" w:name="Tc_Y6i0AIQjv0OURx8VMGX0tw_6_5"/>
      <w:bookmarkStart w:id="906" w:name="Tc_mdzegzRglESI9dwpJG0Vnw_6_2"/>
      <w:bookmarkStart w:id="907" w:name="Tc_0HfNIBJWs0anm-Ayk-ACqw_6_0"/>
      <w:bookmarkStart w:id="908" w:name="Tc_lX7x7u5__UqZzKueidA7aQ_5_0"/>
      <w:bookmarkStart w:id="909" w:name="Tc_abWhqQ2eRUOoJDatWWwRlA_4_0"/>
      <w:bookmarkStart w:id="910" w:name="Tc_Drz_4SZ4zk68UcPzcowseg_3_8"/>
      <w:bookmarkStart w:id="911" w:name="Tc_S7jUzceks06I2IQeizdWjg_3_5"/>
      <w:bookmarkStart w:id="912" w:name="Tc_FHbAoBLwPEKjn_B3hpDBDA_3_2"/>
      <w:bookmarkStart w:id="913" w:name="Tc_A8PUnk1YMUGLI45zaSXd6A_3_0"/>
      <w:bookmarkStart w:id="914" w:name="Tc_mXyPDz9ATUaoqrLMWUhUWA_2_8"/>
      <w:bookmarkStart w:id="915" w:name="Tc_7IN-CvlO2E2z-gkYofzkUw_2_5"/>
      <w:bookmarkStart w:id="916" w:name="Tc_8pYa3ZfN-UyLWnJQ7rmkfw_2_2"/>
      <w:bookmarkStart w:id="917" w:name="Tc_RJ3v9t7GSkmUILO9BUFttA_2_0"/>
      <w:bookmarkStart w:id="918" w:name="Tc_LucuZn_RGEmiAJjw4R0x2Q_1_2"/>
      <w:bookmarkStart w:id="919" w:name="_695e55e9_6b08_48b4_bb3b_361d353ac7c3"/>
      <w:bookmarkStart w:id="920" w:name="Tc_zf50ISnerkagWUzibxK1uw_10_5"/>
      <w:bookmarkStart w:id="921" w:name="Tc_cFHK2PKvu02FAyGlh4z-FQ_10_2"/>
      <w:bookmarkStart w:id="922" w:name="Tc_UgTybSacC0WSSnFE3T6Giw_10_0"/>
      <w:bookmarkStart w:id="923" w:name="Tc_Fjw3K6pw6UixJ5mdDWTjRA_9_0"/>
      <w:bookmarkStart w:id="924" w:name="Tc_abzDaBc_h0ihlhzqBP9HWw_8_0"/>
      <w:bookmarkStart w:id="925" w:name="Tc_MLjWeCulFUuDapw0cc8m0Q_7_5"/>
      <w:bookmarkStart w:id="926" w:name="Tc_AjjeFwDSi0CzoLBRKjiYNg_7_2"/>
      <w:bookmarkStart w:id="927" w:name="Tc_TIV6QdkvbEG_oDKeV2e71Q_7_0"/>
      <w:bookmarkStart w:id="928" w:name="Tc_CWA8AJyrW0uCbuYA8dW-Nw_5_5"/>
      <w:bookmarkStart w:id="929" w:name="Tc__uugq9R36UWe4Gh4uuRTSw_5_2"/>
      <w:bookmarkStart w:id="930" w:name="Tc_Wlrj-z_SckmnA7rBWp6o1w_5_0"/>
      <w:bookmarkStart w:id="931" w:name="Tc__hyr20plpU2VhhgnGKqbAw_4_0"/>
      <w:bookmarkStart w:id="932" w:name="Tc_R8SUqq1lVEuXjiWLrBonqA_3_5"/>
      <w:bookmarkStart w:id="933" w:name="Tc_ZddR4eUp60Sz9TRemhyQhA_3_2"/>
      <w:bookmarkStart w:id="934" w:name="Tc_oweqqurZ5E2Suxd5eL9Iow_3_0"/>
      <w:bookmarkStart w:id="935" w:name="Tc_B4H_nFaNREO6adZyzorxcw_2_5"/>
      <w:bookmarkStart w:id="936" w:name="Tc_xE_RW4OrWkiFcJv_oouVrA_2_2"/>
      <w:bookmarkStart w:id="937" w:name="Tc_dJiNpJmLdkSYVi6uJvmgoQ_2_0"/>
      <w:bookmarkStart w:id="938" w:name="Tc_Uak0ElpKNEaAwCapf7_Wfw_1_2"/>
      <w:bookmarkStart w:id="939" w:name="_a1a9c2d9_3a27_4292_9341_461ce7f964dc"/>
      <w:bookmarkStart w:id="940" w:name="Tc_sawr0kqk6UOvA7uJup5OaQ_4_9"/>
      <w:bookmarkStart w:id="941" w:name="Tc_ONeS4Z2odkuKxNz38WyzJA_4_8"/>
      <w:bookmarkStart w:id="942" w:name="Tc_O45i1DaYLU2Os3HxuI_3kA_4_5"/>
      <w:bookmarkStart w:id="943" w:name="Tc_EtFzNFSU60mPNP9KMVYADw_4_2"/>
      <w:bookmarkStart w:id="944" w:name="Tc_8dCJmMzbokCL354nfg42_Q_4_0"/>
      <w:bookmarkStart w:id="945" w:name="Tc_nq8TTtNfmkuv32OqbzNu7A_3_8"/>
      <w:bookmarkStart w:id="946" w:name="Tc_QWPccPNTa0qKLDxwmFGWpg_3_5"/>
      <w:bookmarkStart w:id="947" w:name="Tc_ZFvyIk_E4kmpmoAADMuC_A_3_2"/>
      <w:bookmarkStart w:id="948" w:name="Tc_zbrQrzgfykWkiB8kCoPFAQ_3_0"/>
      <w:bookmarkStart w:id="949" w:name="Tc_IK7NHa06R025hpuUs1kl3w_2_8"/>
      <w:bookmarkStart w:id="950" w:name="Tc_KkLivGbGJk-CZvN5AEEGjg_2_5"/>
      <w:bookmarkStart w:id="951" w:name="Tc_BgoNq_j93kGjshv-IvfqWw_2_2"/>
      <w:bookmarkStart w:id="952" w:name="Tc_yvyYdssgCUWYAjNc8ammuQ_2_0"/>
      <w:bookmarkStart w:id="953" w:name="Tc_yZUaXMu6MkeDVavMPSaH3w_1_2"/>
      <w:bookmarkStart w:id="954" w:name="_0ac8fd32_e70e_463e_bf0d_d3858042e6df"/>
      <w:bookmarkStart w:id="955" w:name="a4INVESTMENTINTERMINALJOINTVENTURE_40869"/>
      <w:bookmarkStart w:id="956" w:name="Tc_fhYtLSnJGES-jyPky4zX9Q_6_8"/>
      <w:bookmarkStart w:id="957" w:name="Tc_Y6i0AIQjv0OURx8VMGX0tw_6_5"/>
      <w:bookmarkStart w:id="958" w:name="Tc_mdzegzRglESI9dwpJG0Vnw_6_2"/>
      <w:bookmarkStart w:id="959" w:name="Tc_0HfNIBJWs0anm-Ayk-ACqw_6_0"/>
      <w:bookmarkStart w:id="960" w:name="Tc_lX7x7u5__UqZzKueidA7aQ_5_0"/>
      <w:bookmarkStart w:id="961" w:name="Tc_abWhqQ2eRUOoJDatWWwRlA_4_0"/>
      <w:bookmarkStart w:id="962" w:name="Tc_Drz_4SZ4zk68UcPzcowseg_3_8"/>
      <w:bookmarkStart w:id="963" w:name="Tc_S7jUzceks06I2IQeizdWjg_3_5"/>
      <w:bookmarkStart w:id="964" w:name="Tc_FHbAoBLwPEKjn_B3hpDBDA_3_2"/>
      <w:bookmarkStart w:id="965" w:name="Tc_A8PUnk1YMUGLI45zaSXd6A_3_0"/>
      <w:bookmarkStart w:id="966" w:name="Tc_mXyPDz9ATUaoqrLMWUhUWA_2_8"/>
      <w:bookmarkStart w:id="967" w:name="Tc_7IN-CvlO2E2z-gkYofzkUw_2_5"/>
      <w:bookmarkStart w:id="968" w:name="Tc_8pYa3ZfN-UyLWnJQ7rmkfw_2_2"/>
      <w:bookmarkStart w:id="969" w:name="Tc_RJ3v9t7GSkmUILO9BUFttA_2_0"/>
      <w:bookmarkStart w:id="970" w:name="Tc_LucuZn_RGEmiAJjw4R0x2Q_1_2"/>
      <w:bookmarkStart w:id="971" w:name="_695e55e9_6b08_48b4_bb3b_361d353ac7c3"/>
      <w:bookmarkStart w:id="972" w:name="Tc_zf50ISnerkagWUzibxK1uw_10_5"/>
      <w:bookmarkStart w:id="973" w:name="Tc_cFHK2PKvu02FAyGlh4z-FQ_10_2"/>
      <w:bookmarkStart w:id="974" w:name="Tc_UgTybSacC0WSSnFE3T6Giw_10_0"/>
      <w:bookmarkStart w:id="975" w:name="Tc_Fjw3K6pw6UixJ5mdDWTjRA_9_0"/>
      <w:bookmarkStart w:id="976" w:name="Tc_abzDaBc_h0ihlhzqBP9HWw_8_0"/>
      <w:bookmarkStart w:id="977" w:name="Tc_MLjWeCulFUuDapw0cc8m0Q_7_5"/>
      <w:bookmarkStart w:id="978" w:name="Tc_AjjeFwDSi0CzoLBRKjiYNg_7_2"/>
      <w:bookmarkStart w:id="979" w:name="Tc_TIV6QdkvbEG_oDKeV2e71Q_7_0"/>
      <w:bookmarkStart w:id="980" w:name="Tc_CWA8AJyrW0uCbuYA8dW-Nw_5_5"/>
      <w:bookmarkStart w:id="981" w:name="Tc__uugq9R36UWe4Gh4uuRTSw_5_2"/>
      <w:bookmarkStart w:id="982" w:name="Tc_Wlrj-z_SckmnA7rBWp6o1w_5_0"/>
      <w:bookmarkStart w:id="983" w:name="Tc__hyr20plpU2VhhgnGKqbAw_4_0"/>
      <w:bookmarkStart w:id="984" w:name="Tc_R8SUqq1lVEuXjiWLrBonqA_3_5"/>
      <w:bookmarkStart w:id="985" w:name="Tc_ZddR4eUp60Sz9TRemhyQhA_3_2"/>
      <w:bookmarkStart w:id="986" w:name="Tc_oweqqurZ5E2Suxd5eL9Iow_3_0"/>
      <w:bookmarkStart w:id="987" w:name="Tc_B4H_nFaNREO6adZyzorxcw_2_5"/>
      <w:bookmarkStart w:id="988" w:name="Tc_xE_RW4OrWkiFcJv_oouVrA_2_2"/>
      <w:bookmarkStart w:id="989" w:name="Tc_dJiNpJmLdkSYVi6uJvmgoQ_2_0"/>
      <w:bookmarkStart w:id="990" w:name="Tc_Uak0ElpKNEaAwCapf7_Wfw_1_2"/>
      <w:bookmarkStart w:id="991" w:name="_a1a9c2d9_3a27_4292_9341_461ce7f964dc"/>
      <w:bookmarkStart w:id="992" w:name="Tc_sawr0kqk6UOvA7uJup5OaQ_4_9"/>
      <w:bookmarkStart w:id="993" w:name="Tc_ONeS4Z2odkuKxNz38WyzJA_4_8"/>
      <w:bookmarkStart w:id="994" w:name="Tc_O45i1DaYLU2Os3HxuI_3kA_4_5"/>
      <w:bookmarkStart w:id="995" w:name="Tc_EtFzNFSU60mPNP9KMVYADw_4_2"/>
      <w:bookmarkStart w:id="996" w:name="Tc_8dCJmMzbokCL354nfg42_Q_4_0"/>
      <w:bookmarkStart w:id="997" w:name="Tc_nq8TTtNfmkuv32OqbzNu7A_3_8"/>
      <w:bookmarkStart w:id="998" w:name="Tc_QWPccPNTa0qKLDxwmFGWpg_3_5"/>
      <w:bookmarkStart w:id="999" w:name="Tc_ZFvyIk_E4kmpmoAADMuC_A_3_2"/>
      <w:bookmarkStart w:id="1000" w:name="Tc_zbrQrzgfykWkiB8kCoPFAQ_3_0"/>
      <w:bookmarkStart w:id="1001" w:name="Tc_IK7NHa06R025hpuUs1kl3w_2_8"/>
      <w:bookmarkStart w:id="1002" w:name="Tc_KkLivGbGJk-CZvN5AEEGjg_2_5"/>
      <w:bookmarkStart w:id="1003" w:name="Tc_BgoNq_j93kGjshv-IvfqWw_2_2"/>
      <w:bookmarkStart w:id="1004" w:name="Tc_yvyYdssgCUWYAjNc8ammuQ_2_0"/>
      <w:bookmarkStart w:id="1005" w:name="Tc_yZUaXMu6MkeDVavMPSaH3w_1_2"/>
      <w:bookmarkStart w:id="1006" w:name="_0ac8fd32_e70e_463e_bf0d_d3858042e6df"/>
      <w:bookmarkStart w:id="1007" w:name="a4INVESTMENTINTERMINALJOINTVENTURE_40869"/>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p>
    <w:tbl>
      <w:tblPr>
        <w:tblW w:w="2507" w:type="dxa"/>
        <w:jc w:val="left"/>
        <w:tblInd w:w="0" w:type="dxa"/>
        <w:tblLayout w:type="fixed"/>
        <w:tblCellMar>
          <w:top w:w="0" w:type="dxa"/>
          <w:left w:w="0" w:type="dxa"/>
          <w:bottom w:w="0" w:type="dxa"/>
          <w:right w:w="0" w:type="dxa"/>
        </w:tblCellMar>
      </w:tblPr>
      <w:tblGrid>
        <w:gridCol w:w="271"/>
        <w:gridCol w:w="2236"/>
      </w:tblGrid>
      <w:tr>
        <w:trPr/>
        <w:tc>
          <w:tcPr>
            <w:tcW w:w="2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4.</w:t>
            </w:r>
          </w:p>
        </w:tc>
        <w:tc>
          <w:tcPr>
            <w:tcW w:w="223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INVESTMENT IN SSAT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accounts for its 35 percent ownership interest in SSAT using the equity method of accounting. The Company records its share of income from SSAT in costs and expenses within the Ocean Transportation segment due to operations of SSAT being an integral part of the Company’s Ocean Transportation business. The Company’s investment in SSAT was $96.2 million and $84.1 million at December 31, 2025 and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1, 2024, SSAT completed the sale of 25 percent of its equity interest in SSA Terminals (Seattle Terminals), LLC (“SSAT ST”) to a third-party company. After the completion of this transaction, SSAT retains a 50 percent controlling interest in SSAT ST, while the third-party company increased its non-controlling interest to 50 percent in SSAT ST. As a result of this transaction, the Company recorded an increase in its investment in SSAT of $13.2 million, an increase in deferred income taxes of $3.1 million, and a corresponding increase in retained earnings of $10.1 million during the year ended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share of income (loss) recorded in the Consolidated Statements of Income and Comprehensive Income and distributions received by the Company during the years ended December 31, 2025, 2024 and 2023 are as follows: </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4051"/>
        <w:gridCol w:w="346"/>
        <w:gridCol w:w="211"/>
        <w:gridCol w:w="466"/>
        <w:gridCol w:w="346"/>
        <w:gridCol w:w="211"/>
        <w:gridCol w:w="481"/>
        <w:gridCol w:w="346"/>
        <w:gridCol w:w="211"/>
        <w:gridCol w:w="45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572385" cy="175260"/>
                      <wp:effectExtent l="0" t="0" r="0" b="0"/>
                      <wp:wrapNone/>
                      <wp:docPr id="373" name="Frame370"/>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95910" cy="175260"/>
                      <wp:effectExtent l="0" t="0" r="0" b="0"/>
                      <wp:wrapNone/>
                      <wp:docPr id="376" name="Frame37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05435" cy="175260"/>
                      <wp:effectExtent l="0" t="0" r="0" b="0"/>
                      <wp:wrapNone/>
                      <wp:docPr id="379" name="Frame37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86385" cy="175260"/>
                      <wp:effectExtent l="0" t="0" r="0" b="0"/>
                      <wp:wrapNone/>
                      <wp:docPr id="382" name="Frame37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Company’s share of income (loss) from SSAT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received from SSAT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91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16"/>
              </w:rPr>
              <w:t>The Company’s share of income (loss) from SSAT includes an impairment charge of $18.4</w:t>
            </w:r>
            <w:r>
              <w:rPr>
                <w:rFonts w:ascii="Times New Roman;Times;serif" w:hAnsi="Times New Roman;Times;serif"/>
                <w:sz w:val="20"/>
              </w:rPr>
              <w:t> </w:t>
            </w:r>
            <w:r>
              <w:rPr>
                <w:rFonts w:ascii="Times New Roman;Times;serif" w:hAnsi="Times New Roman;Times;serif"/>
                <w:sz w:val="16"/>
              </w:rPr>
              <w:t>million representing the Company’s portion of an impairment charge recorded by SSAT, which related to the write-down of an asset group with a terminal operating lease asset during the year ended December 31, 2024. No</w:t>
            </w:r>
            <w:r>
              <w:rPr>
                <w:rFonts w:ascii="Times New Roman;Times;serif" w:hAnsi="Times New Roman;Times;serif"/>
                <w:sz w:val="20"/>
              </w:rPr>
              <w:t xml:space="preserve"> </w:t>
            </w:r>
            <w:r>
              <w:rPr>
                <w:rFonts w:ascii="Times New Roman;Times;serif" w:hAnsi="Times New Roman;Times;serif"/>
                <w:sz w:val="16"/>
              </w:rPr>
              <w:t>impairment charges were recorded by SSAT during the years ended December 31, 2025 and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Ocean Transportation segment operating costs for terminal services provided by SSAT include $341.9 million, $320.9 million and $297.2 million for the years ended December 31, 2025, 2024 and 2023, respectively. Accounts payable and accrued liabilities in the Consolidated Balance Sheets for terminal services payable to SSAT include $40.5 million and $34.4 million at December 31, 2025 and 2024, respectively. The Company leases a warehouse facility from SSAT under an agreement that expires in December 2027. Lease payments were $0.4 million for the years ended December 31, 2025 and 2024, respectively. Operating lease liabilities related to this lease were $0.8 million and $1.2 million as of December 31, 2025 and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SSAT’s Condensed Balance Sheets at December 31, 2025 and 2024 are as follows:</w:t>
      </w:r>
    </w:p>
    <w:p>
      <w:pPr>
        <w:pStyle w:val="TextBody"/>
        <w:bidi w:val="0"/>
        <w:spacing w:before="0" w:after="0"/>
        <w:ind w:left="0" w:right="0" w:hanging="0"/>
        <w:jc w:val="left"/>
        <w:rPr/>
      </w:pPr>
      <w:r>
        <w:rPr/>
        <w:t>​</w:t>
      </w:r>
    </w:p>
    <w:tbl>
      <w:tblPr>
        <w:tblW w:w="5572" w:type="dxa"/>
        <w:jc w:val="left"/>
        <w:tblInd w:w="0" w:type="dxa"/>
        <w:tblLayout w:type="fixed"/>
        <w:tblCellMar>
          <w:top w:w="0" w:type="dxa"/>
          <w:left w:w="0" w:type="dxa"/>
          <w:bottom w:w="0" w:type="dxa"/>
          <w:right w:w="0" w:type="dxa"/>
        </w:tblCellMar>
      </w:tblPr>
      <w:tblGrid>
        <w:gridCol w:w="2911"/>
        <w:gridCol w:w="346"/>
        <w:gridCol w:w="211"/>
        <w:gridCol w:w="721"/>
        <w:gridCol w:w="346"/>
        <w:gridCol w:w="211"/>
        <w:gridCol w:w="82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848485" cy="175260"/>
                      <wp:effectExtent l="0" t="0" r="0" b="0"/>
                      <wp:wrapNone/>
                      <wp:docPr id="383" name="Frame380"/>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57835" cy="175260"/>
                      <wp:effectExtent l="0" t="0" r="0" b="0"/>
                      <wp:wrapNone/>
                      <wp:docPr id="386" name="Frame38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24510" cy="175260"/>
                      <wp:effectExtent l="0" t="0" r="0" b="0"/>
                      <wp:wrapNone/>
                      <wp:docPr id="389" name="Frame3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Condensed Balance Sheets (in millions)</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1,931.5</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1,931.5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SSAT’s Condensed Statements of Operating Income and Net Income for the years ended December 31, 2025, 2024 and 2023 are as follows:</w:t>
      </w:r>
    </w:p>
    <w:p>
      <w:pPr>
        <w:pStyle w:val="TextBody"/>
        <w:bidi w:val="0"/>
        <w:spacing w:before="0" w:after="0"/>
        <w:ind w:left="0" w:right="0" w:hanging="0"/>
        <w:jc w:val="left"/>
        <w:rPr/>
      </w:pPr>
      <w:r>
        <w:rPr/>
        <w:t>​</w:t>
      </w:r>
    </w:p>
    <w:tbl>
      <w:tblPr>
        <w:tblW w:w="9325" w:type="dxa"/>
        <w:jc w:val="left"/>
        <w:tblInd w:w="0" w:type="dxa"/>
        <w:tblLayout w:type="fixed"/>
        <w:tblCellMar>
          <w:top w:w="0" w:type="dxa"/>
          <w:left w:w="0" w:type="dxa"/>
          <w:bottom w:w="0" w:type="dxa"/>
          <w:right w:w="0" w:type="dxa"/>
        </w:tblCellMar>
      </w:tblPr>
      <w:tblGrid>
        <w:gridCol w:w="5386"/>
        <w:gridCol w:w="346"/>
        <w:gridCol w:w="211"/>
        <w:gridCol w:w="721"/>
        <w:gridCol w:w="346"/>
        <w:gridCol w:w="211"/>
        <w:gridCol w:w="721"/>
        <w:gridCol w:w="406"/>
        <w:gridCol w:w="211"/>
        <w:gridCol w:w="766"/>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420110" cy="175260"/>
                      <wp:effectExtent l="0" t="0" r="0" b="0"/>
                      <wp:wrapNone/>
                      <wp:docPr id="390" name="Frame387"/>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57835" cy="175260"/>
                      <wp:effectExtent l="0" t="0" r="0" b="0"/>
                      <wp:wrapNone/>
                      <wp:docPr id="393" name="Frame39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57835" cy="175260"/>
                      <wp:effectExtent l="0" t="0" r="0" b="0"/>
                      <wp:wrapNone/>
                      <wp:docPr id="396" name="Frame39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57810" cy="175260"/>
                      <wp:effectExtent l="0" t="0" r="0" b="0"/>
                      <wp:wrapNone/>
                      <wp:docPr id="397" name="Frame39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86410" cy="175260"/>
                      <wp:effectExtent l="0" t="0" r="0" b="0"/>
                      <wp:wrapNone/>
                      <wp:docPr id="399" name="Frame39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Condensed Statements of Operating Income and Net Income (in millions)</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0"/>
              <w:ind w:left="0" w:right="0" w:hanging="0"/>
              <w:jc w:val="left"/>
              <w:rPr/>
            </w:pPr>
            <w:r>
              <w:rPr/>
              <w:t>  ​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1,025.1</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 (1)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1,162.6</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1,019.6</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11.9</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an impairment charge related to the write-down of an asset group with a terminal operating lease asset during the year ended December 31, 2024. No</w:t>
            </w:r>
            <w:r>
              <w:rPr>
                <w:caps w:val="false"/>
                <w:smallCaps w:val="false"/>
              </w:rPr>
              <w:t xml:space="preserve"> </w:t>
            </w:r>
            <w:r>
              <w:rPr>
                <w:rFonts w:ascii="Times New Roman;Times;serif" w:hAnsi="Times New Roman;Times;serif"/>
                <w:b w:val="false"/>
                <w:i w:val="false"/>
                <w:caps w:val="false"/>
                <w:smallCaps w:val="false"/>
                <w:sz w:val="16"/>
              </w:rPr>
              <w:t>impairment charges were recorded by SSAT during the years ended December 31, 2025 and 2023.</w:t>
            </w:r>
          </w:p>
        </w:tc>
      </w:tr>
    </w:tbl>
    <w:tbl>
      <w:tblPr>
        <w:tblW w:w="9857" w:type="dxa"/>
        <w:jc w:val="left"/>
        <w:tblInd w:w="0" w:type="dxa"/>
        <w:tblLayout w:type="fixed"/>
        <w:tblCellMar>
          <w:top w:w="0" w:type="dxa"/>
          <w:left w:w="0" w:type="dxa"/>
          <w:bottom w:w="0" w:type="dxa"/>
          <w:right w:w="0" w:type="dxa"/>
        </w:tblCellMar>
      </w:tblPr>
      <w:tblGrid>
        <w:gridCol w:w="331"/>
        <w:gridCol w:w="952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earnings or losses from equity method investments held by SSAT, less earnings or losses allocated to non-controlling interests.</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08" w:name="Tc_MdgbfrJuM06LwDvsw9Ebjw_3_8"/>
      <w:bookmarkStart w:id="1009" w:name="Tc_5Aq8Ptoz5E-E0_XA8qfWBQ_3_5"/>
      <w:bookmarkStart w:id="1010" w:name="Tc_P76cQ5vlPk-Iti273dpYVQ_3_2"/>
      <w:bookmarkStart w:id="1011" w:name="Tc_diBbqXVBvEG8LzpRsDDNlQ_3_0"/>
      <w:bookmarkStart w:id="1012" w:name="Tc_2tUIbqRq4kComCE5MmmdwA_2_8"/>
      <w:bookmarkStart w:id="1013" w:name="Tc_IZYsbYrAUEWFEMuZPKe_ZA_2_5"/>
      <w:bookmarkStart w:id="1014" w:name="Tc_fmzjFT7e6EOn7ALwF9fpdw_2_2"/>
      <w:bookmarkStart w:id="1015" w:name="Tc_LXEin1U1XUa-Viyfd8JjxA_2_0"/>
      <w:bookmarkStart w:id="1016" w:name="Tc_XFVg9hDOkk6vgjx0YDlUEQ_1_2"/>
      <w:bookmarkStart w:id="1017" w:name="Tc_jIQ7JgY_rEKjFsal9ZPcIg_9_18"/>
      <w:bookmarkStart w:id="1018" w:name="Tc_myIp8kt3E0yToS-pCZjULQ_9_15"/>
      <w:bookmarkStart w:id="1019" w:name="Tc_p0zJlt9mbEuGrdX9_2HZlg_9_12"/>
      <w:bookmarkStart w:id="1020" w:name="Tc_JIxDIzSV2EyYJhBlAaVDOg_9_8"/>
      <w:bookmarkStart w:id="1021" w:name="Tc_KcgeutbxCEa87e6HoefhCg_9_5"/>
      <w:bookmarkStart w:id="1022" w:name="Tc_MzRa9VNUgkmjHVw8nuP8ow_9_2"/>
      <w:bookmarkStart w:id="1023" w:name="Tc_dSbY874GVEG8mJHYOPnHtQ_9_0"/>
      <w:bookmarkStart w:id="1024" w:name="Tc_2mGeXvSlRUiOoyCzgFl3CQ_8_16"/>
      <w:bookmarkStart w:id="1025" w:name="Tc_80Y-R20uBkicgdgrtFLjNw_8_6"/>
      <w:bookmarkStart w:id="1026" w:name="Tc_5uGTuyh840CnsVfRmvBpHQ_8_0"/>
      <w:bookmarkStart w:id="1027" w:name="Tc_F0KzgtA-TUeVx2q1FNrqEA_7_16"/>
      <w:bookmarkStart w:id="1028" w:name="Tc_H-cazzscRUyU4qh5NndK6A_7_6"/>
      <w:bookmarkStart w:id="1029" w:name="Tc_95E0BqW0ekyJAkRjGEfI-Q_7_0"/>
      <w:bookmarkStart w:id="1030" w:name="Tc_hMYpPiWYhEGY5Y4QeNVPyA_6_0"/>
      <w:bookmarkStart w:id="1031" w:name="Tc_JarXrbOGw0GPKIZr6O_nyw_5_0"/>
      <w:bookmarkStart w:id="1032" w:name="Tc_Zfc_Lnb6QU6VP8baaKW3MA_4_18"/>
      <w:bookmarkStart w:id="1033" w:name="Tc_AuYY9BnRLUC7_eGZ8qFWAA_4_15"/>
      <w:bookmarkStart w:id="1034" w:name="Tc_YGuw-HLaqkmsJd_Ey2y8yA_4_12"/>
      <w:bookmarkStart w:id="1035" w:name="Tc_U_oRyab4f0S9iEzc6d_yCA_4_8"/>
      <w:bookmarkStart w:id="1036" w:name="Tc_hM5AWG8jbEuPs8fmVc57mg_4_5"/>
      <w:bookmarkStart w:id="1037" w:name="Tc_SakgardIMkG_73Ss6uLmsg_4_2"/>
      <w:bookmarkStart w:id="1038" w:name="Tc_hTe4s65L4Eqq_tvK279Q3A_4_0"/>
      <w:bookmarkStart w:id="1039" w:name="Tc_J2Cc6-jwXUakGGOOvQ1JbA_3_18"/>
      <w:bookmarkStart w:id="1040" w:name="Tc_a-PIO5cyp0mDxOPf5PVLHg_3_15"/>
      <w:bookmarkStart w:id="1041" w:name="Tc_iK5PlLcwikaHh_h7F4Uc0A_3_12"/>
      <w:bookmarkStart w:id="1042" w:name="Tc_9SJI_o5THka7TwW2S1qy1Q_3_8"/>
      <w:bookmarkStart w:id="1043" w:name="Tc_rk10NknjFku7Gh9Hb3GgTw_3_5"/>
      <w:bookmarkStart w:id="1044" w:name="Tc_qJcxdkDLQkia4T3Mg5in8w_3_2"/>
      <w:bookmarkStart w:id="1045" w:name="Tc_8Y_NKWl0tke3AcpZHnRXCg_3_0"/>
      <w:bookmarkStart w:id="1046" w:name="Tc_kvMC8HFT_0SYCwP5V-i5DQ_2_15"/>
      <w:bookmarkStart w:id="1047" w:name="Tc_Dm2QHKe_uUuGfuEf3XL8RQ_2_5"/>
      <w:bookmarkStart w:id="1048" w:name="Tc_C1znODdeAUOb1MERFjOFZA_1_12"/>
      <w:bookmarkStart w:id="1049" w:name="Tc_mO3kO9TSxEqoQkdNRTC6Uw_1_2"/>
      <w:bookmarkStart w:id="1050" w:name="a5PROPERTYANDEQUIPMENT_789231"/>
      <w:bookmarkStart w:id="1051" w:name="Tc_MdgbfrJuM06LwDvsw9Ebjw_3_8"/>
      <w:bookmarkStart w:id="1052" w:name="Tc_5Aq8Ptoz5E-E0_XA8qfWBQ_3_5"/>
      <w:bookmarkStart w:id="1053" w:name="Tc_P76cQ5vlPk-Iti273dpYVQ_3_2"/>
      <w:bookmarkStart w:id="1054" w:name="Tc_diBbqXVBvEG8LzpRsDDNlQ_3_0"/>
      <w:bookmarkStart w:id="1055" w:name="Tc_2tUIbqRq4kComCE5MmmdwA_2_8"/>
      <w:bookmarkStart w:id="1056" w:name="Tc_IZYsbYrAUEWFEMuZPKe_ZA_2_5"/>
      <w:bookmarkStart w:id="1057" w:name="Tc_fmzjFT7e6EOn7ALwF9fpdw_2_2"/>
      <w:bookmarkStart w:id="1058" w:name="Tc_LXEin1U1XUa-Viyfd8JjxA_2_0"/>
      <w:bookmarkStart w:id="1059" w:name="Tc_XFVg9hDOkk6vgjx0YDlUEQ_1_2"/>
      <w:bookmarkStart w:id="1060" w:name="Tc_jIQ7JgY_rEKjFsal9ZPcIg_9_18"/>
      <w:bookmarkStart w:id="1061" w:name="Tc_myIp8kt3E0yToS-pCZjULQ_9_15"/>
      <w:bookmarkStart w:id="1062" w:name="Tc_p0zJlt9mbEuGrdX9_2HZlg_9_12"/>
      <w:bookmarkStart w:id="1063" w:name="Tc_JIxDIzSV2EyYJhBlAaVDOg_9_8"/>
      <w:bookmarkStart w:id="1064" w:name="Tc_KcgeutbxCEa87e6HoefhCg_9_5"/>
      <w:bookmarkStart w:id="1065" w:name="Tc_MzRa9VNUgkmjHVw8nuP8ow_9_2"/>
      <w:bookmarkStart w:id="1066" w:name="Tc_dSbY874GVEG8mJHYOPnHtQ_9_0"/>
      <w:bookmarkStart w:id="1067" w:name="Tc_2mGeXvSlRUiOoyCzgFl3CQ_8_16"/>
      <w:bookmarkStart w:id="1068" w:name="Tc_80Y-R20uBkicgdgrtFLjNw_8_6"/>
      <w:bookmarkStart w:id="1069" w:name="Tc_5uGTuyh840CnsVfRmvBpHQ_8_0"/>
      <w:bookmarkStart w:id="1070" w:name="Tc_F0KzgtA-TUeVx2q1FNrqEA_7_16"/>
      <w:bookmarkStart w:id="1071" w:name="Tc_H-cazzscRUyU4qh5NndK6A_7_6"/>
      <w:bookmarkStart w:id="1072" w:name="Tc_95E0BqW0ekyJAkRjGEfI-Q_7_0"/>
      <w:bookmarkStart w:id="1073" w:name="Tc_hMYpPiWYhEGY5Y4QeNVPyA_6_0"/>
      <w:bookmarkStart w:id="1074" w:name="Tc_JarXrbOGw0GPKIZr6O_nyw_5_0"/>
      <w:bookmarkStart w:id="1075" w:name="Tc_Zfc_Lnb6QU6VP8baaKW3MA_4_18"/>
      <w:bookmarkStart w:id="1076" w:name="Tc_AuYY9BnRLUC7_eGZ8qFWAA_4_15"/>
      <w:bookmarkStart w:id="1077" w:name="Tc_YGuw-HLaqkmsJd_Ey2y8yA_4_12"/>
      <w:bookmarkStart w:id="1078" w:name="Tc_U_oRyab4f0S9iEzc6d_yCA_4_8"/>
      <w:bookmarkStart w:id="1079" w:name="Tc_hM5AWG8jbEuPs8fmVc57mg_4_5"/>
      <w:bookmarkStart w:id="1080" w:name="Tc_SakgardIMkG_73Ss6uLmsg_4_2"/>
      <w:bookmarkStart w:id="1081" w:name="Tc_hTe4s65L4Eqq_tvK279Q3A_4_0"/>
      <w:bookmarkStart w:id="1082" w:name="Tc_J2Cc6-jwXUakGGOOvQ1JbA_3_18"/>
      <w:bookmarkStart w:id="1083" w:name="Tc_a-PIO5cyp0mDxOPf5PVLHg_3_15"/>
      <w:bookmarkStart w:id="1084" w:name="Tc_iK5PlLcwikaHh_h7F4Uc0A_3_12"/>
      <w:bookmarkStart w:id="1085" w:name="Tc_9SJI_o5THka7TwW2S1qy1Q_3_8"/>
      <w:bookmarkStart w:id="1086" w:name="Tc_rk10NknjFku7Gh9Hb3GgTw_3_5"/>
      <w:bookmarkStart w:id="1087" w:name="Tc_qJcxdkDLQkia4T3Mg5in8w_3_2"/>
      <w:bookmarkStart w:id="1088" w:name="Tc_8Y_NKWl0tke3AcpZHnRXCg_3_0"/>
      <w:bookmarkStart w:id="1089" w:name="Tc_kvMC8HFT_0SYCwP5V-i5DQ_2_15"/>
      <w:bookmarkStart w:id="1090" w:name="Tc_Dm2QHKe_uUuGfuEf3XL8RQ_2_5"/>
      <w:bookmarkStart w:id="1091" w:name="Tc_C1znODdeAUOb1MERFjOFZA_1_12"/>
      <w:bookmarkStart w:id="1092" w:name="Tc_mO3kO9TSxEqoQkdNRTC6Uw_1_2"/>
      <w:bookmarkStart w:id="1093" w:name="a5PROPERTYANDEQUIPMENT_789231"/>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tbl>
      <w:tblPr>
        <w:tblW w:w="3182" w:type="dxa"/>
        <w:jc w:val="left"/>
        <w:tblInd w:w="0" w:type="dxa"/>
        <w:tblLayout w:type="fixed"/>
        <w:tblCellMar>
          <w:top w:w="0" w:type="dxa"/>
          <w:left w:w="0" w:type="dxa"/>
          <w:bottom w:w="0" w:type="dxa"/>
          <w:right w:w="0" w:type="dxa"/>
        </w:tblCellMar>
      </w:tblPr>
      <w:tblGrid>
        <w:gridCol w:w="271"/>
        <w:gridCol w:w="2911"/>
      </w:tblGrid>
      <w:tr>
        <w:trPr/>
        <w:tc>
          <w:tcPr>
            <w:tcW w:w="2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5.</w:t>
            </w:r>
          </w:p>
        </w:tc>
        <w:tc>
          <w:tcPr>
            <w:tcW w:w="291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consists of the following as of December 31, 2025 and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14"/>
        <w:gridCol w:w="346"/>
        <w:gridCol w:w="196"/>
        <w:gridCol w:w="646"/>
        <w:gridCol w:w="346"/>
        <w:gridCol w:w="244"/>
        <w:gridCol w:w="807"/>
        <w:gridCol w:w="346"/>
        <w:gridCol w:w="290"/>
        <w:gridCol w:w="956"/>
        <w:gridCol w:w="146"/>
        <w:gridCol w:w="346"/>
        <w:gridCol w:w="196"/>
        <w:gridCol w:w="646"/>
        <w:gridCol w:w="346"/>
        <w:gridCol w:w="244"/>
        <w:gridCol w:w="807"/>
        <w:gridCol w:w="346"/>
        <w:gridCol w:w="290"/>
        <w:gridCol w:w="956"/>
        <w:gridCol w:w="191"/>
      </w:tblGrid>
      <w:tr>
        <w:trPr/>
        <w:tc>
          <w:tcPr>
            <w:tcW w:w="1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961390" cy="175260"/>
                      <wp:effectExtent l="0" t="0" r="0" b="0"/>
                      <wp:wrapNone/>
                      <wp:docPr id="400" name="Frame397"/>
                      <a:graphic xmlns:a="http://schemas.openxmlformats.org/drawingml/2006/main">
                        <a:graphicData uri="http://schemas.microsoft.com/office/word/2010/wordprocessingShape">
                          <wps:wsp>
                            <wps:cNvSpPr txBox="1"/>
                            <wps:spPr>
                              <a:xfrm>
                                <a:off x="0" y="0"/>
                                <a:ext cx="961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24460" cy="175260"/>
                      <wp:effectExtent l="0" t="0" r="0" b="0"/>
                      <wp:wrapNone/>
                      <wp:docPr id="402" name="Frame3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10210" cy="175260"/>
                      <wp:effectExtent l="0" t="0" r="0" b="0"/>
                      <wp:wrapNone/>
                      <wp:docPr id="403" name="Frame40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54940" cy="175260"/>
                      <wp:effectExtent l="0" t="0" r="0" b="0"/>
                      <wp:wrapNone/>
                      <wp:docPr id="405" name="Frame402"/>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12445" cy="175260"/>
                      <wp:effectExtent l="0" t="0" r="0" b="0"/>
                      <wp:wrapNone/>
                      <wp:docPr id="406" name="Frame403"/>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84150" cy="175260"/>
                      <wp:effectExtent l="0" t="0" r="0" b="0"/>
                      <wp:wrapNone/>
                      <wp:docPr id="408" name="Frame40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07060" cy="175260"/>
                      <wp:effectExtent l="0" t="0" r="0" b="0"/>
                      <wp:wrapNone/>
                      <wp:docPr id="409" name="Frame406"/>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92710" cy="175260"/>
                      <wp:effectExtent l="0" t="0" r="0" b="0"/>
                      <wp:wrapNone/>
                      <wp:docPr id="410" name="Frame4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24460" cy="175260"/>
                      <wp:effectExtent l="0" t="0" r="0" b="0"/>
                      <wp:wrapNone/>
                      <wp:docPr id="412" name="Frame4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10210" cy="175260"/>
                      <wp:effectExtent l="0" t="0" r="0" b="0"/>
                      <wp:wrapNone/>
                      <wp:docPr id="413" name="Frame41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54940" cy="175260"/>
                      <wp:effectExtent l="0" t="0" r="0" b="0"/>
                      <wp:wrapNone/>
                      <wp:docPr id="415" name="Frame412"/>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12445" cy="175260"/>
                      <wp:effectExtent l="0" t="0" r="0" b="0"/>
                      <wp:wrapNone/>
                      <wp:docPr id="416" name="Frame413"/>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84150" cy="175260"/>
                      <wp:effectExtent l="0" t="0" r="0" b="0"/>
                      <wp:wrapNone/>
                      <wp:docPr id="418" name="Frame41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07060" cy="175260"/>
                      <wp:effectExtent l="0" t="0" r="0" b="0"/>
                      <wp:wrapNone/>
                      <wp:docPr id="419" name="Frame416"/>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21285" cy="175260"/>
                      <wp:effectExtent l="0" t="0" r="0" b="0"/>
                      <wp:wrapNone/>
                      <wp:docPr id="420" name="Frame41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3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83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191" w:type="dxa"/>
            <w:tcBorders/>
            <w:vAlign w:val="center"/>
          </w:tcPr>
          <w:p>
            <w:pPr>
              <w:pStyle w:val="TableContents"/>
              <w:bidi w:val="0"/>
              <w:spacing w:before="0" w:after="0"/>
              <w:ind w:left="0" w:right="0" w:hanging="0"/>
              <w:jc w:val="left"/>
              <w:rPr/>
            </w:pPr>
            <w:r>
              <w:rPr/>
              <w:t> </w:t>
            </w:r>
          </w:p>
        </w:tc>
      </w:tr>
      <w:tr>
        <w:trPr/>
        <w:tc>
          <w:tcPr>
            <w:tcW w:w="1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5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Depreciation</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Book Value</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Depreciation</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Book Value</w:t>
            </w:r>
          </w:p>
        </w:tc>
        <w:tc>
          <w:tcPr>
            <w:tcW w:w="191" w:type="dxa"/>
            <w:tcBorders/>
            <w:vAlign w:val="center"/>
          </w:tcPr>
          <w:p>
            <w:pPr>
              <w:pStyle w:val="TableContents"/>
              <w:bidi w:val="0"/>
              <w:spacing w:before="0" w:after="0"/>
              <w:ind w:left="0" w:right="0" w:hanging="0"/>
              <w:jc w:val="left"/>
              <w:rPr/>
            </w:pPr>
            <w:r>
              <w:rPr/>
              <w:t> </w:t>
            </w:r>
          </w:p>
        </w:tc>
      </w:tr>
      <w:tr>
        <w:trPr/>
        <w:tc>
          <w:tcPr>
            <w:tcW w:w="15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Vessels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2,405.0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932.6</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1,472.4</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2,475.2</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Containers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943.0</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505.5</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437.5</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883.8</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465.9</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417.9</w:t>
            </w:r>
          </w:p>
        </w:tc>
        <w:tc>
          <w:tcPr>
            <w:tcW w:w="191" w:type="dxa"/>
            <w:tcBorders/>
            <w:vAlign w:val="center"/>
          </w:tcPr>
          <w:p>
            <w:pPr>
              <w:pStyle w:val="TableContents"/>
              <w:bidi w:val="0"/>
              <w:spacing w:before="0" w:after="0"/>
              <w:ind w:left="0" w:right="0" w:hanging="0"/>
              <w:jc w:val="left"/>
              <w:rPr/>
            </w:pPr>
            <w:r>
              <w:rPr/>
              <w:t>​</w:t>
            </w:r>
          </w:p>
        </w:tc>
      </w:tr>
      <w:tr>
        <w:trPr/>
        <w:tc>
          <w:tcPr>
            <w:tcW w:w="15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Terminal equipment and other property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171.7</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102.2</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152.3</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New vessel construction in progress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443.2</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443.2</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198.8</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198.8</w:t>
            </w:r>
          </w:p>
        </w:tc>
        <w:tc>
          <w:tcPr>
            <w:tcW w:w="191" w:type="dxa"/>
            <w:tcBorders/>
            <w:vAlign w:val="center"/>
          </w:tcPr>
          <w:p>
            <w:pPr>
              <w:pStyle w:val="TableContents"/>
              <w:bidi w:val="0"/>
              <w:spacing w:before="0" w:after="0"/>
              <w:ind w:left="0" w:right="0" w:hanging="0"/>
              <w:jc w:val="left"/>
              <w:rPr/>
            </w:pPr>
            <w:r>
              <w:rPr/>
              <w:t>​</w:t>
            </w:r>
          </w:p>
        </w:tc>
      </w:tr>
      <w:tr>
        <w:trPr/>
        <w:tc>
          <w:tcPr>
            <w:tcW w:w="15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4,007.0</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1,507.6</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2,499.4</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3,752.7</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1,491.8</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 at December 31, 2025 and 2024 includes milestone progress payments, capitalized interest and other costs related to the construction of three new Aloha Class vessels. Delivery of the vessels are expected during the first quarter 2027, the third quarter 2027 and the second quarter 2028.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 for the years ended December 31, 2025, 2024 and 2023 are as follows:</w:t>
      </w:r>
    </w:p>
    <w:p>
      <w:pPr>
        <w:pStyle w:val="TextBody"/>
        <w:bidi w:val="0"/>
        <w:spacing w:before="0" w:after="0"/>
        <w:ind w:left="0" w:right="0" w:hanging="0"/>
        <w:jc w:val="left"/>
        <w:rPr/>
      </w:pPr>
      <w:r>
        <w:rPr/>
        <w:t>​</w:t>
      </w:r>
    </w:p>
    <w:tbl>
      <w:tblPr>
        <w:tblW w:w="5451" w:type="dxa"/>
        <w:jc w:val="left"/>
        <w:tblInd w:w="0" w:type="dxa"/>
        <w:tblLayout w:type="fixed"/>
        <w:tblCellMar>
          <w:top w:w="0" w:type="dxa"/>
          <w:left w:w="0" w:type="dxa"/>
          <w:bottom w:w="0" w:type="dxa"/>
          <w:right w:w="0" w:type="dxa"/>
        </w:tblCellMar>
      </w:tblPr>
      <w:tblGrid>
        <w:gridCol w:w="1876"/>
        <w:gridCol w:w="346"/>
        <w:gridCol w:w="211"/>
        <w:gridCol w:w="571"/>
        <w:gridCol w:w="346"/>
        <w:gridCol w:w="211"/>
        <w:gridCol w:w="571"/>
        <w:gridCol w:w="346"/>
        <w:gridCol w:w="211"/>
        <w:gridCol w:w="571"/>
        <w:gridCol w:w="191"/>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191260" cy="175260"/>
                      <wp:effectExtent l="0" t="0" r="0" b="0"/>
                      <wp:wrapNone/>
                      <wp:docPr id="421" name="Frame418"/>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62585" cy="175260"/>
                      <wp:effectExtent l="0" t="0" r="0" b="0"/>
                      <wp:wrapNone/>
                      <wp:docPr id="424" name="Frame4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62585" cy="175260"/>
                      <wp:effectExtent l="0" t="0" r="0" b="0"/>
                      <wp:wrapNone/>
                      <wp:docPr id="427" name="Frame4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62585" cy="175260"/>
                      <wp:effectExtent l="0" t="0" r="0" b="0"/>
                      <wp:wrapNone/>
                      <wp:docPr id="430" name="Frame4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21285" cy="175260"/>
                      <wp:effectExtent l="0" t="0" r="0" b="0"/>
                      <wp:wrapNone/>
                      <wp:docPr id="431" name="Frame42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91" w:type="dxa"/>
            <w:tcBorders/>
            <w:vAlign w:val="center"/>
          </w:tcPr>
          <w:p>
            <w:pPr>
              <w:pStyle w:val="TableContents"/>
              <w:bidi w:val="0"/>
              <w:spacing w:before="0" w:after="0"/>
              <w:ind w:left="0" w:right="0" w:hanging="0"/>
              <w:jc w:val="left"/>
              <w:rPr/>
            </w:pPr>
            <w:r>
              <w:rPr/>
              <w:t> </w:t>
            </w:r>
          </w:p>
        </w:tc>
      </w:tr>
      <w:tr>
        <w:trPr/>
        <w:tc>
          <w:tcPr>
            <w:tcW w:w="1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94" w:name="Tc_7kqR-sBOsUOaSPyLMCPqPw_9_18"/>
      <w:bookmarkStart w:id="1095" w:name="Tc_GBiqy5_jo0unRd8nF2QjtQ_9_15"/>
      <w:bookmarkStart w:id="1096" w:name="Tc_Qpp4jWJ0rUu35UmpMYRUjA_9_12"/>
      <w:bookmarkStart w:id="1097" w:name="Tc_KDn0Mdhe706rL7DcIR6wmA_9_8"/>
      <w:bookmarkStart w:id="1098" w:name="Tc_fOpdfCGZ7Uqk36g53PaYSg_9_5"/>
      <w:bookmarkStart w:id="1099" w:name="Tc_BsKW-1DmZ0WyEmWIMeZhDw_9_2"/>
      <w:bookmarkStart w:id="1100" w:name="Tc_wf4Dye_prUOp9p9RkV5r0w_9_0"/>
      <w:bookmarkStart w:id="1101" w:name="Tc_BqUjPUY-f0WGvS4KfRudNA_8_0"/>
      <w:bookmarkStart w:id="1102" w:name="Tc_WiFWGwe220Kg6nt4LAjVXA_7_16"/>
      <w:bookmarkStart w:id="1103" w:name="Tc_-e6fyEAAH0eaO2QiY-fmOA_7_6"/>
      <w:bookmarkStart w:id="1104" w:name="Tc_Ds0hMeoLlkqGVNfdt0X1Rw_7_0"/>
      <w:bookmarkStart w:id="1105" w:name="Tc_djF8MU6FUEGCtLGu3M4AVA_6_0"/>
      <w:bookmarkStart w:id="1106" w:name="Tc_w05_7w9ktkS83pe0gEveLQ_5_0"/>
      <w:bookmarkStart w:id="1107" w:name="Tc_wb0xFlx_V0Obt0RbtchaUQ_4_18"/>
      <w:bookmarkStart w:id="1108" w:name="Tc_oaGQhAdmI0OD4t4lfFQLIA_4_15"/>
      <w:bookmarkStart w:id="1109" w:name="Tc_qLRDGG8UY0CzJFLmM58HFg_4_12"/>
      <w:bookmarkStart w:id="1110" w:name="Tc_GMEqCV2jtkKZp6GUG0YHng_4_8"/>
      <w:bookmarkStart w:id="1111" w:name="Tc_y0CNrzQjOEq4tN9yKCQmuw_4_5"/>
      <w:bookmarkStart w:id="1112" w:name="Tc_z1pEt9y2SkyjyS2_vV5XYg_4_2"/>
      <w:bookmarkStart w:id="1113" w:name="Tc_2qBUGhvSw0ipYgmTW72QmQ_4_0"/>
      <w:bookmarkStart w:id="1114" w:name="Tc_49PpcU7mbEaBUaFtN1BIsg_3_18"/>
      <w:bookmarkStart w:id="1115" w:name="Tc_aO31vbs3oUSb9rfF5sSG5A_3_15"/>
      <w:bookmarkStart w:id="1116" w:name="Tc_tnPDxDBecUu1GBcAfy3BtQ_3_12"/>
      <w:bookmarkStart w:id="1117" w:name="Tc_ODdPY_t8KES1LTS1tcBZxw_3_8"/>
      <w:bookmarkStart w:id="1118" w:name="Tc_Wu1lpcm7nUeWw2svCVQp2Q_3_5"/>
      <w:bookmarkStart w:id="1119" w:name="Tc_fVCbMyFK5Ui0GvOloHi01w_3_2"/>
      <w:bookmarkStart w:id="1120" w:name="Tc_f2nYgA23mEednrFRyc5p2Q_3_0"/>
      <w:bookmarkStart w:id="1121" w:name="Tc_pzTOktUaqEiyQpX4JD8I4Q_2_15"/>
      <w:bookmarkStart w:id="1122" w:name="Tc_41EFwO1Mrk-fpGtF5xeOjA_2_12"/>
      <w:bookmarkStart w:id="1123" w:name="Tc_Nmh5w4NNdESZm5xRM-g37w_2_5"/>
      <w:bookmarkStart w:id="1124" w:name="Tc_6hUSJjZILUq-COqZg1JdSg_2_2"/>
      <w:bookmarkStart w:id="1125" w:name="Tc_b9az-CRaPUOZr5TH1QkFKw_1_12"/>
      <w:bookmarkStart w:id="1126" w:name="Tc_m_PyGxcdt0iRrMSZoYkGng_1_2"/>
      <w:bookmarkStart w:id="1127" w:name="Tc_IuKz_12cv0G9HLGJL8aH6w_4_18"/>
      <w:bookmarkStart w:id="1128" w:name="Tc_7kMnrUBNeESMhFbNVwDmxw_4_15"/>
      <w:bookmarkStart w:id="1129" w:name="Tc_KWl_0SLzPUSNLkJPk0d4eA_4_12"/>
      <w:bookmarkStart w:id="1130" w:name="Tc_52HCfgzhiESQO3duZH3kzw_4_8"/>
      <w:bookmarkStart w:id="1131" w:name="Tc_9p9oEcXG5kOzUmOo0Z_REg_4_5"/>
      <w:bookmarkStart w:id="1132" w:name="Tc_vkQKoNM1KUOb6cHZTMeXnw_4_2"/>
      <w:bookmarkStart w:id="1133" w:name="Tc_4trLtGaRzk6mN-9JTwOSIQ_4_0"/>
      <w:bookmarkStart w:id="1134" w:name="Tc_F13kMOh8m0GaiBFjZfziow_3_18"/>
      <w:bookmarkStart w:id="1135" w:name="Tc_BqxxYTd9eE6JgJuIYpdAig_3_15"/>
      <w:bookmarkStart w:id="1136" w:name="Tc_uD0LnW44DkGu-EPKQO09cA_3_12"/>
      <w:bookmarkStart w:id="1137" w:name="Tc_NOlnQf1jvEmQDZg5T5HzKw_3_8"/>
      <w:bookmarkStart w:id="1138" w:name="Tc_GOynw0eNckWaQtUn9SDiiQ_3_5"/>
      <w:bookmarkStart w:id="1139" w:name="Tc_Y36Z17OsIkOBnsNNoTD8Tw_3_2"/>
      <w:bookmarkStart w:id="1140" w:name="Tc_9PSm3-zrWEyQSiKO7HcO-Q_3_0"/>
      <w:bookmarkStart w:id="1141" w:name="Tc_QYNI0efSV0yaZkHrZTUCAQ_2_12"/>
      <w:bookmarkStart w:id="1142" w:name="Tc_5-Dv0qCnskKzBsoygKkKow_2_2"/>
      <w:bookmarkStart w:id="1143" w:name="Tc_VY_zesRQMU26naDowdl_8w_1_12"/>
      <w:bookmarkStart w:id="1144" w:name="Tc_7sdRZOqj-kOagclTUrXFVA_1_2"/>
      <w:bookmarkStart w:id="1145" w:name="a6GOODWILLANDINTANGIBLEASSETS_380716"/>
      <w:bookmarkStart w:id="1146" w:name="Tc_7kqR-sBOsUOaSPyLMCPqPw_9_18"/>
      <w:bookmarkStart w:id="1147" w:name="Tc_GBiqy5_jo0unRd8nF2QjtQ_9_15"/>
      <w:bookmarkStart w:id="1148" w:name="Tc_Qpp4jWJ0rUu35UmpMYRUjA_9_12"/>
      <w:bookmarkStart w:id="1149" w:name="Tc_KDn0Mdhe706rL7DcIR6wmA_9_8"/>
      <w:bookmarkStart w:id="1150" w:name="Tc_fOpdfCGZ7Uqk36g53PaYSg_9_5"/>
      <w:bookmarkStart w:id="1151" w:name="Tc_BsKW-1DmZ0WyEmWIMeZhDw_9_2"/>
      <w:bookmarkStart w:id="1152" w:name="Tc_wf4Dye_prUOp9p9RkV5r0w_9_0"/>
      <w:bookmarkStart w:id="1153" w:name="Tc_BqUjPUY-f0WGvS4KfRudNA_8_0"/>
      <w:bookmarkStart w:id="1154" w:name="Tc_WiFWGwe220Kg6nt4LAjVXA_7_16"/>
      <w:bookmarkStart w:id="1155" w:name="Tc_-e6fyEAAH0eaO2QiY-fmOA_7_6"/>
      <w:bookmarkStart w:id="1156" w:name="Tc_Ds0hMeoLlkqGVNfdt0X1Rw_7_0"/>
      <w:bookmarkStart w:id="1157" w:name="Tc_djF8MU6FUEGCtLGu3M4AVA_6_0"/>
      <w:bookmarkStart w:id="1158" w:name="Tc_w05_7w9ktkS83pe0gEveLQ_5_0"/>
      <w:bookmarkStart w:id="1159" w:name="Tc_wb0xFlx_V0Obt0RbtchaUQ_4_18"/>
      <w:bookmarkStart w:id="1160" w:name="Tc_oaGQhAdmI0OD4t4lfFQLIA_4_15"/>
      <w:bookmarkStart w:id="1161" w:name="Tc_qLRDGG8UY0CzJFLmM58HFg_4_12"/>
      <w:bookmarkStart w:id="1162" w:name="Tc_GMEqCV2jtkKZp6GUG0YHng_4_8"/>
      <w:bookmarkStart w:id="1163" w:name="Tc_y0CNrzQjOEq4tN9yKCQmuw_4_5"/>
      <w:bookmarkStart w:id="1164" w:name="Tc_z1pEt9y2SkyjyS2_vV5XYg_4_2"/>
      <w:bookmarkStart w:id="1165" w:name="Tc_2qBUGhvSw0ipYgmTW72QmQ_4_0"/>
      <w:bookmarkStart w:id="1166" w:name="Tc_49PpcU7mbEaBUaFtN1BIsg_3_18"/>
      <w:bookmarkStart w:id="1167" w:name="Tc_aO31vbs3oUSb9rfF5sSG5A_3_15"/>
      <w:bookmarkStart w:id="1168" w:name="Tc_tnPDxDBecUu1GBcAfy3BtQ_3_12"/>
      <w:bookmarkStart w:id="1169" w:name="Tc_ODdPY_t8KES1LTS1tcBZxw_3_8"/>
      <w:bookmarkStart w:id="1170" w:name="Tc_Wu1lpcm7nUeWw2svCVQp2Q_3_5"/>
      <w:bookmarkStart w:id="1171" w:name="Tc_fVCbMyFK5Ui0GvOloHi01w_3_2"/>
      <w:bookmarkStart w:id="1172" w:name="Tc_f2nYgA23mEednrFRyc5p2Q_3_0"/>
      <w:bookmarkStart w:id="1173" w:name="Tc_pzTOktUaqEiyQpX4JD8I4Q_2_15"/>
      <w:bookmarkStart w:id="1174" w:name="Tc_41EFwO1Mrk-fpGtF5xeOjA_2_12"/>
      <w:bookmarkStart w:id="1175" w:name="Tc_Nmh5w4NNdESZm5xRM-g37w_2_5"/>
      <w:bookmarkStart w:id="1176" w:name="Tc_6hUSJjZILUq-COqZg1JdSg_2_2"/>
      <w:bookmarkStart w:id="1177" w:name="Tc_b9az-CRaPUOZr5TH1QkFKw_1_12"/>
      <w:bookmarkStart w:id="1178" w:name="Tc_m_PyGxcdt0iRrMSZoYkGng_1_2"/>
      <w:bookmarkStart w:id="1179" w:name="Tc_IuKz_12cv0G9HLGJL8aH6w_4_18"/>
      <w:bookmarkStart w:id="1180" w:name="Tc_7kMnrUBNeESMhFbNVwDmxw_4_15"/>
      <w:bookmarkStart w:id="1181" w:name="Tc_KWl_0SLzPUSNLkJPk0d4eA_4_12"/>
      <w:bookmarkStart w:id="1182" w:name="Tc_52HCfgzhiESQO3duZH3kzw_4_8"/>
      <w:bookmarkStart w:id="1183" w:name="Tc_9p9oEcXG5kOzUmOo0Z_REg_4_5"/>
      <w:bookmarkStart w:id="1184" w:name="Tc_vkQKoNM1KUOb6cHZTMeXnw_4_2"/>
      <w:bookmarkStart w:id="1185" w:name="Tc_4trLtGaRzk6mN-9JTwOSIQ_4_0"/>
      <w:bookmarkStart w:id="1186" w:name="Tc_F13kMOh8m0GaiBFjZfziow_3_18"/>
      <w:bookmarkStart w:id="1187" w:name="Tc_BqxxYTd9eE6JgJuIYpdAig_3_15"/>
      <w:bookmarkStart w:id="1188" w:name="Tc_uD0LnW44DkGu-EPKQO09cA_3_12"/>
      <w:bookmarkStart w:id="1189" w:name="Tc_NOlnQf1jvEmQDZg5T5HzKw_3_8"/>
      <w:bookmarkStart w:id="1190" w:name="Tc_GOynw0eNckWaQtUn9SDiiQ_3_5"/>
      <w:bookmarkStart w:id="1191" w:name="Tc_Y36Z17OsIkOBnsNNoTD8Tw_3_2"/>
      <w:bookmarkStart w:id="1192" w:name="Tc_9PSm3-zrWEyQSiKO7HcO-Q_3_0"/>
      <w:bookmarkStart w:id="1193" w:name="Tc_QYNI0efSV0yaZkHrZTUCAQ_2_12"/>
      <w:bookmarkStart w:id="1194" w:name="Tc_5-Dv0qCnskKzBsoygKkKow_2_2"/>
      <w:bookmarkStart w:id="1195" w:name="Tc_VY_zesRQMU26naDowdl_8w_1_12"/>
      <w:bookmarkStart w:id="1196" w:name="Tc_7sdRZOqj-kOagclTUrXFVA_1_2"/>
      <w:bookmarkStart w:id="1197" w:name="a6GOODWILLANDINTANGIBLEASSETS_380716"/>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p>
    <w:tbl>
      <w:tblPr>
        <w:tblW w:w="4052" w:type="dxa"/>
        <w:jc w:val="left"/>
        <w:tblInd w:w="0" w:type="dxa"/>
        <w:tblLayout w:type="fixed"/>
        <w:tblCellMar>
          <w:top w:w="0" w:type="dxa"/>
          <w:left w:w="0" w:type="dxa"/>
          <w:bottom w:w="0" w:type="dxa"/>
          <w:right w:w="0" w:type="dxa"/>
        </w:tblCellMar>
      </w:tblPr>
      <w:tblGrid>
        <w:gridCol w:w="271"/>
        <w:gridCol w:w="3781"/>
      </w:tblGrid>
      <w:tr>
        <w:trPr/>
        <w:tc>
          <w:tcPr>
            <w:tcW w:w="2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6.</w:t>
            </w:r>
          </w:p>
        </w:tc>
        <w:tc>
          <w:tcPr>
            <w:tcW w:w="378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GOODWILL AND INTANGIBLE ASSETS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by segment consists of the following as of December 31, 2025 and 2024:</w:t>
      </w:r>
    </w:p>
    <w:p>
      <w:pPr>
        <w:pStyle w:val="TextBody"/>
        <w:bidi w:val="0"/>
        <w:spacing w:before="0" w:after="0"/>
        <w:ind w:left="0" w:right="0" w:hanging="0"/>
        <w:jc w:val="left"/>
        <w:rPr/>
      </w:pPr>
      <w:r>
        <w:rPr/>
        <w:t>​</w:t>
      </w:r>
    </w:p>
    <w:tbl>
      <w:tblPr>
        <w:tblW w:w="8878" w:type="dxa"/>
        <w:jc w:val="left"/>
        <w:tblInd w:w="0" w:type="dxa"/>
        <w:tblLayout w:type="fixed"/>
        <w:tblCellMar>
          <w:top w:w="0" w:type="dxa"/>
          <w:left w:w="0" w:type="dxa"/>
          <w:bottom w:w="0" w:type="dxa"/>
          <w:right w:w="0" w:type="dxa"/>
        </w:tblCellMar>
      </w:tblPr>
      <w:tblGrid>
        <w:gridCol w:w="991"/>
        <w:gridCol w:w="346"/>
        <w:gridCol w:w="328"/>
        <w:gridCol w:w="888"/>
        <w:gridCol w:w="346"/>
        <w:gridCol w:w="211"/>
        <w:gridCol w:w="571"/>
        <w:gridCol w:w="346"/>
        <w:gridCol w:w="211"/>
        <w:gridCol w:w="571"/>
        <w:gridCol w:w="146"/>
        <w:gridCol w:w="346"/>
        <w:gridCol w:w="328"/>
        <w:gridCol w:w="888"/>
        <w:gridCol w:w="346"/>
        <w:gridCol w:w="211"/>
        <w:gridCol w:w="571"/>
        <w:gridCol w:w="346"/>
        <w:gridCol w:w="211"/>
        <w:gridCol w:w="676"/>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29285" cy="175260"/>
                      <wp:effectExtent l="0" t="0" r="0" b="0"/>
                      <wp:wrapNone/>
                      <wp:docPr id="432" name="Frame42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33"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8280" cy="175260"/>
                      <wp:effectExtent l="0" t="0" r="0" b="0"/>
                      <wp:wrapNone/>
                      <wp:docPr id="434" name="Frame43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63880" cy="175260"/>
                      <wp:effectExtent l="0" t="0" r="0" b="0"/>
                      <wp:wrapNone/>
                      <wp:docPr id="435" name="Frame432"/>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36"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62585" cy="175260"/>
                      <wp:effectExtent l="0" t="0" r="0" b="0"/>
                      <wp:wrapNone/>
                      <wp:docPr id="438" name="Frame4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9"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62585" cy="175260"/>
                      <wp:effectExtent l="0" t="0" r="0" b="0"/>
                      <wp:wrapNone/>
                      <wp:docPr id="441" name="Frame4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92710" cy="175260"/>
                      <wp:effectExtent l="0" t="0" r="0" b="0"/>
                      <wp:wrapNone/>
                      <wp:docPr id="442" name="Frame4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8280" cy="175260"/>
                      <wp:effectExtent l="0" t="0" r="0" b="0"/>
                      <wp:wrapNone/>
                      <wp:docPr id="444" name="Frame44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63880" cy="175260"/>
                      <wp:effectExtent l="0" t="0" r="0" b="0"/>
                      <wp:wrapNone/>
                      <wp:docPr id="445" name="Frame442"/>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62585" cy="175260"/>
                      <wp:effectExtent l="0" t="0" r="0" b="0"/>
                      <wp:wrapNone/>
                      <wp:docPr id="448" name="Frame4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29260" cy="175260"/>
                      <wp:effectExtent l="0" t="0" r="0" b="0"/>
                      <wp:wrapNone/>
                      <wp:docPr id="451" name="Frame4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57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goodwill of $222.6 million includes $221.8 million related to the acquisition of Horizon Lines, Inc. (“Horizon”) in May 2015. Logistics goodwill of $105.2 million includes $78.6 million related to the acquisition of Span Intermediate, LLC (“Span Alaska”) in August 2016 that was allocated to the Span Alaska reporting unit, and $26.6 million of other Logistics acquisitions that were allocated to the Logistics reporting unit.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by segment consist of the following as of December 31, 2025 and 2024:</w:t>
      </w:r>
    </w:p>
    <w:p>
      <w:pPr>
        <w:pStyle w:val="TextBody"/>
        <w:bidi w:val="0"/>
        <w:spacing w:before="0" w:after="0"/>
        <w:ind w:left="0" w:right="0" w:hanging="0"/>
        <w:jc w:val="left"/>
        <w:rPr>
          <w:shd w:fill="00FF00" w:val="clear"/>
        </w:rPr>
      </w:pPr>
      <w:r>
        <w:rPr>
          <w:shd w:fill="00FF00" w:val="clear"/>
        </w:rPr>
        <w:t>​</w:t>
      </w:r>
    </w:p>
    <w:tbl>
      <w:tblPr>
        <w:tblW w:w="10205" w:type="dxa"/>
        <w:jc w:val="left"/>
        <w:tblInd w:w="0" w:type="dxa"/>
        <w:tblLayout w:type="fixed"/>
        <w:tblCellMar>
          <w:top w:w="0" w:type="dxa"/>
          <w:left w:w="0" w:type="dxa"/>
          <w:bottom w:w="0" w:type="dxa"/>
          <w:right w:w="0" w:type="dxa"/>
        </w:tblCellMar>
      </w:tblPr>
      <w:tblGrid>
        <w:gridCol w:w="2274"/>
        <w:gridCol w:w="346"/>
        <w:gridCol w:w="196"/>
        <w:gridCol w:w="511"/>
        <w:gridCol w:w="346"/>
        <w:gridCol w:w="299"/>
        <w:gridCol w:w="782"/>
        <w:gridCol w:w="346"/>
        <w:gridCol w:w="269"/>
        <w:gridCol w:w="701"/>
        <w:gridCol w:w="146"/>
        <w:gridCol w:w="346"/>
        <w:gridCol w:w="196"/>
        <w:gridCol w:w="511"/>
        <w:gridCol w:w="346"/>
        <w:gridCol w:w="299"/>
        <w:gridCol w:w="782"/>
        <w:gridCol w:w="346"/>
        <w:gridCol w:w="269"/>
        <w:gridCol w:w="701"/>
        <w:gridCol w:w="193"/>
      </w:tblGrid>
      <w:tr>
        <w:trPr/>
        <w:tc>
          <w:tcPr>
            <w:tcW w:w="2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443990" cy="175260"/>
                      <wp:effectExtent l="0" t="0" r="0" b="0"/>
                      <wp:wrapNone/>
                      <wp:docPr id="452" name="Frame449"/>
                      <a:graphic xmlns:a="http://schemas.openxmlformats.org/drawingml/2006/main">
                        <a:graphicData uri="http://schemas.microsoft.com/office/word/2010/wordprocessingShape">
                          <wps:wsp>
                            <wps:cNvSpPr txBox="1"/>
                            <wps:spPr>
                              <a:xfrm>
                                <a:off x="0" y="0"/>
                                <a:ext cx="144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24460" cy="175260"/>
                      <wp:effectExtent l="0" t="0" r="0" b="0"/>
                      <wp:wrapNone/>
                      <wp:docPr id="454" name="Frame4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24485" cy="175260"/>
                      <wp:effectExtent l="0" t="0" r="0" b="0"/>
                      <wp:wrapNone/>
                      <wp:docPr id="455" name="Frame45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89865" cy="175260"/>
                      <wp:effectExtent l="0" t="0" r="0" b="0"/>
                      <wp:wrapNone/>
                      <wp:docPr id="457" name="Frame45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96570" cy="175260"/>
                      <wp:effectExtent l="0" t="0" r="0" b="0"/>
                      <wp:wrapNone/>
                      <wp:docPr id="458" name="Frame455"/>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70815" cy="175260"/>
                      <wp:effectExtent l="0" t="0" r="0" b="0"/>
                      <wp:wrapNone/>
                      <wp:docPr id="460" name="Frame457"/>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45135" cy="175260"/>
                      <wp:effectExtent l="0" t="0" r="0" b="0"/>
                      <wp:wrapNone/>
                      <wp:docPr id="461" name="Frame458"/>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92710" cy="175260"/>
                      <wp:effectExtent l="0" t="0" r="0" b="0"/>
                      <wp:wrapNone/>
                      <wp:docPr id="462" name="Frame4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24460" cy="175260"/>
                      <wp:effectExtent l="0" t="0" r="0" b="0"/>
                      <wp:wrapNone/>
                      <wp:docPr id="464" name="Frame4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24485" cy="175260"/>
                      <wp:effectExtent l="0" t="0" r="0" b="0"/>
                      <wp:wrapNone/>
                      <wp:docPr id="465" name="Frame46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89865" cy="175260"/>
                      <wp:effectExtent l="0" t="0" r="0" b="0"/>
                      <wp:wrapNone/>
                      <wp:docPr id="467" name="Frame46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96570" cy="175260"/>
                      <wp:effectExtent l="0" t="0" r="0" b="0"/>
                      <wp:wrapNone/>
                      <wp:docPr id="468" name="Frame465"/>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70815" cy="175260"/>
                      <wp:effectExtent l="0" t="0" r="0" b="0"/>
                      <wp:wrapNone/>
                      <wp:docPr id="470" name="Frame467"/>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45135" cy="175260"/>
                      <wp:effectExtent l="0" t="0" r="0" b="0"/>
                      <wp:wrapNone/>
                      <wp:docPr id="471" name="Frame468"/>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22555" cy="175260"/>
                      <wp:effectExtent l="0" t="0" r="0" b="0"/>
                      <wp:wrapNone/>
                      <wp:docPr id="472" name="Frame469"/>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5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45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193" w:type="dxa"/>
            <w:tcBorders/>
            <w:vAlign w:val="center"/>
          </w:tcPr>
          <w:p>
            <w:pPr>
              <w:pStyle w:val="TableContents"/>
              <w:bidi w:val="0"/>
              <w:spacing w:before="0" w:after="0"/>
              <w:ind w:left="0" w:right="0" w:hanging="0"/>
              <w:jc w:val="left"/>
              <w:rPr/>
            </w:pPr>
            <w:r>
              <w:rPr/>
              <w:t> </w:t>
            </w:r>
          </w:p>
        </w:tc>
      </w:tr>
      <w:tr>
        <w:trPr/>
        <w:tc>
          <w:tcPr>
            <w:tcW w:w="22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 </w:t>
            </w:r>
          </w:p>
        </w:tc>
      </w:tr>
      <w:tr>
        <w:trPr/>
        <w:tc>
          <w:tcPr>
            <w:tcW w:w="22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Book Value</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Book Value</w:t>
            </w:r>
          </w:p>
        </w:tc>
        <w:tc>
          <w:tcPr>
            <w:tcW w:w="193" w:type="dxa"/>
            <w:tcBorders/>
            <w:vAlign w:val="center"/>
          </w:tcPr>
          <w:p>
            <w:pPr>
              <w:pStyle w:val="TableContents"/>
              <w:bidi w:val="0"/>
              <w:spacing w:before="0" w:after="0"/>
              <w:ind w:left="0" w:right="0" w:hanging="0"/>
              <w:jc w:val="left"/>
              <w:rPr/>
            </w:pPr>
            <w:r>
              <w:rPr/>
              <w:t> </w:t>
            </w:r>
          </w:p>
        </w:tc>
      </w:tr>
      <w:tr>
        <w:trPr/>
        <w:tc>
          <w:tcPr>
            <w:tcW w:w="2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Ocean Transportation - Customer relationships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140.6</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140.6</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Logistics: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relationships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106.6</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106.2</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name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193" w:type="dxa"/>
            <w:tcBorders/>
            <w:vAlign w:val="center"/>
          </w:tcPr>
          <w:p>
            <w:pPr>
              <w:pStyle w:val="TableContents"/>
              <w:bidi w:val="0"/>
              <w:spacing w:before="0" w:after="0"/>
              <w:ind w:left="0" w:right="0" w:hanging="0"/>
              <w:jc w:val="left"/>
              <w:rPr/>
            </w:pPr>
            <w:r>
              <w:rPr/>
              <w:t>​</w:t>
            </w:r>
          </w:p>
        </w:tc>
      </w:tr>
      <w:tr>
        <w:trPr/>
        <w:tc>
          <w:tcPr>
            <w:tcW w:w="2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133.9</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133.5</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274.5</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127.9</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274.1</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114.7</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159.4</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intangible assets of $140.6 million relate to customer relationships acquired as part of the acquisition of Horizon, and are being amortized over 21 years. Logistics intangible assets include $79.3 million of customer relationships which are being amortized over 20 years, and $27.3 million of an indefinite life trade name, both acquired as part of the Span Alaska acquisition. The remaining Logistics customer relationships relate to various acquisitions and are being amortized over a period of 3 to 13 years.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98" w:name="Tc_Uatv-rLUpk2r3U0VqHBWXw_9_2"/>
      <w:bookmarkStart w:id="1199" w:name="Tc_BIHxmRk_xkey-51vfB-MWw_9_0"/>
      <w:bookmarkStart w:id="1200" w:name="Tc_AJzlcSZ_9EWgQoatav9LtA_8_0"/>
      <w:bookmarkStart w:id="1201" w:name="Tc_0KwboQRnUEeMGTPY1ZwKlw_7_0"/>
      <w:bookmarkStart w:id="1202" w:name="Tc_kwC_YeBmiEyaF1rOfiB4tg_6_0"/>
      <w:bookmarkStart w:id="1203" w:name="Tc_chTL-e4UBEiMzjhWKlvvOA_5_0"/>
      <w:bookmarkStart w:id="1204" w:name="Tc_VMH4lXP_iUimwZ7BKVAnkA_4_0"/>
      <w:bookmarkStart w:id="1205" w:name="Tc_F70onu9N4EueM8devgockw_3_2"/>
      <w:bookmarkStart w:id="1206" w:name="Tc_eUJXkkEfVkWgyGgNIb99bg_3_0"/>
      <w:bookmarkStart w:id="1207" w:name="Tc_UsCBLiNXzk2U7tW1bmQuig_2_2"/>
      <w:bookmarkStart w:id="1208" w:name="Tc_e_2FvhUFFUmWQPDIX-Y-aw_2_0"/>
      <w:bookmarkStart w:id="1209" w:name="Tc_g9oAiJRebkKDU_cJ6UBQbw_1_2"/>
      <w:bookmarkStart w:id="1210" w:name="_1ed35bbd_1a20_48ec_ab2b_641319878822"/>
      <w:bookmarkStart w:id="1211" w:name="Tc_sAPUov9syEyRDJS471_Myg_3_8"/>
      <w:bookmarkStart w:id="1212" w:name="Tc_2EiNXtx0I0u18j7-Y4Zm7Q_3_5"/>
      <w:bookmarkStart w:id="1213" w:name="Tc_kER57uFCskuGYNA9E8ivXg_3_2"/>
      <w:bookmarkStart w:id="1214" w:name="Tc_oUSh7XAtNk2rjQieAjJN5A_3_0"/>
      <w:bookmarkStart w:id="1215" w:name="Tc_EncnOMB5LU6YLIIUR22eKw_2_8"/>
      <w:bookmarkStart w:id="1216" w:name="Tc_6O646121mUO4raSXQwhXbA_2_5"/>
      <w:bookmarkStart w:id="1217" w:name="Tc_0_Bpka6T00qbeIFYVCO2dw_2_2"/>
      <w:bookmarkStart w:id="1218" w:name="Tc_UFxq4aMl3Em_fMcD9mGDRQ_2_0"/>
      <w:bookmarkStart w:id="1219" w:name="Tc_uHQ7iwOlJEizPTd25yfgfQ_1_2"/>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sz w:val="20"/>
        </w:rPr>
        <w:t xml:space="preserve">Intangible assets related amortization expense for the years ended December 31, 2025, 2024 and 2023, are as follows: </w:t>
      </w:r>
    </w:p>
    <w:p>
      <w:pPr>
        <w:pStyle w:val="TextBody"/>
        <w:bidi w:val="0"/>
        <w:spacing w:before="0" w:after="0"/>
        <w:ind w:left="0" w:right="0" w:hanging="0"/>
        <w:jc w:val="left"/>
        <w:rPr>
          <w:shd w:fill="FFFF00" w:val="clear"/>
        </w:rPr>
      </w:pPr>
      <w:r>
        <w:rPr>
          <w:shd w:fill="FFFF00" w:val="clear"/>
        </w:rPr>
        <w:t>​</w:t>
      </w:r>
    </w:p>
    <w:tbl>
      <w:tblPr>
        <w:tblW w:w="5166" w:type="dxa"/>
        <w:jc w:val="left"/>
        <w:tblInd w:w="0" w:type="dxa"/>
        <w:tblLayout w:type="fixed"/>
        <w:tblCellMar>
          <w:top w:w="0" w:type="dxa"/>
          <w:left w:w="0" w:type="dxa"/>
          <w:bottom w:w="0" w:type="dxa"/>
          <w:right w:w="0" w:type="dxa"/>
        </w:tblCellMar>
      </w:tblPr>
      <w:tblGrid>
        <w:gridCol w:w="1906"/>
        <w:gridCol w:w="346"/>
        <w:gridCol w:w="211"/>
        <w:gridCol w:w="466"/>
        <w:gridCol w:w="346"/>
        <w:gridCol w:w="211"/>
        <w:gridCol w:w="466"/>
        <w:gridCol w:w="346"/>
        <w:gridCol w:w="211"/>
        <w:gridCol w:w="466"/>
        <w:gridCol w:w="19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210310" cy="175260"/>
                      <wp:effectExtent l="0" t="0" r="0" b="0"/>
                      <wp:wrapNone/>
                      <wp:docPr id="473" name="Frame470"/>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3985" cy="175260"/>
                      <wp:effectExtent l="0" t="0" r="0" b="0"/>
                      <wp:wrapNone/>
                      <wp:docPr id="475" name="Frame4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95910" cy="175260"/>
                      <wp:effectExtent l="0" t="0" r="0" b="0"/>
                      <wp:wrapNone/>
                      <wp:docPr id="476" name="Frame47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95910" cy="175260"/>
                      <wp:effectExtent l="0" t="0" r="0" b="0"/>
                      <wp:wrapNone/>
                      <wp:docPr id="479" name="Frame47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95910" cy="175260"/>
                      <wp:effectExtent l="0" t="0" r="0" b="0"/>
                      <wp:wrapNone/>
                      <wp:docPr id="482" name="Frame47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21285" cy="175260"/>
                      <wp:effectExtent l="0" t="0" r="0" b="0"/>
                      <wp:wrapNone/>
                      <wp:docPr id="483" name="Frame48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estimated amortization expense related to customer relationship intangible assets are as follows:</w:t>
      </w:r>
    </w:p>
    <w:tbl>
      <w:tblPr>
        <w:tblW w:w="2747" w:type="dxa"/>
        <w:jc w:val="left"/>
        <w:tblInd w:w="0" w:type="dxa"/>
        <w:tblLayout w:type="fixed"/>
        <w:tblCellMar>
          <w:top w:w="0" w:type="dxa"/>
          <w:left w:w="0" w:type="dxa"/>
          <w:bottom w:w="0" w:type="dxa"/>
          <w:right w:w="0" w:type="dxa"/>
        </w:tblCellMar>
      </w:tblPr>
      <w:tblGrid>
        <w:gridCol w:w="1381"/>
        <w:gridCol w:w="109"/>
        <w:gridCol w:w="286"/>
        <w:gridCol w:w="780"/>
        <w:gridCol w:w="191"/>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876935" cy="175260"/>
                      <wp:effectExtent l="0" t="0" r="0" b="0"/>
                      <wp:wrapNone/>
                      <wp:docPr id="484" name="Frame481"/>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9215" cy="175260"/>
                      <wp:effectExtent l="0" t="0" r="0" b="0"/>
                      <wp:wrapNone/>
                      <wp:docPr id="485" name="Frame4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81610" cy="175260"/>
                      <wp:effectExtent l="0" t="0" r="0" b="0"/>
                      <wp:wrapNone/>
                      <wp:docPr id="486" name="Frame48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95300" cy="175260"/>
                      <wp:effectExtent l="0" t="0" r="0" b="0"/>
                      <wp:wrapNone/>
                      <wp:docPr id="487" name="Frame48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21285" cy="175260"/>
                      <wp:effectExtent l="0" t="0" r="0" b="0"/>
                      <wp:wrapNone/>
                      <wp:docPr id="488" name="Frame48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91" w:type="dxa"/>
            <w:tcBorders/>
            <w:vAlign w:val="center"/>
          </w:tcPr>
          <w:p>
            <w:pPr>
              <w:pStyle w:val="TableContents"/>
              <w:bidi w:val="0"/>
              <w:spacing w:before="0" w:after="0"/>
              <w:ind w:left="0" w:right="0" w:hanging="0"/>
              <w:jc w:val="left"/>
              <w:rPr/>
            </w:pPr>
            <w:r>
              <w:rPr/>
              <w:t>​</w:t>
            </w:r>
          </w:p>
        </w:tc>
      </w:tr>
      <w:tr>
        <w:trPr/>
        <w:tc>
          <w:tcPr>
            <w:tcW w:w="1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191" w:type="dxa"/>
            <w:tcBorders/>
            <w:vAlign w:val="center"/>
          </w:tcPr>
          <w:p>
            <w:pPr>
              <w:pStyle w:val="TableContents"/>
              <w:bidi w:val="0"/>
              <w:spacing w:before="0" w:after="0"/>
              <w:ind w:left="0" w:right="0" w:hanging="0"/>
              <w:jc w:val="left"/>
              <w:rPr/>
            </w:pPr>
            <w:r>
              <w:rPr/>
              <w:t> </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191" w:type="dxa"/>
            <w:tcBorders/>
            <w:vAlign w:val="center"/>
          </w:tcPr>
          <w:p>
            <w:pPr>
              <w:pStyle w:val="TableContents"/>
              <w:bidi w:val="0"/>
              <w:spacing w:before="0" w:after="0"/>
              <w:ind w:left="0" w:right="0" w:hanging="0"/>
              <w:jc w:val="left"/>
              <w:rPr/>
            </w:pPr>
            <w:r>
              <w:rPr/>
              <w:t>​</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91" w:type="dxa"/>
            <w:tcBorders/>
            <w:vAlign w:val="center"/>
          </w:tcPr>
          <w:p>
            <w:pPr>
              <w:pStyle w:val="TableContents"/>
              <w:bidi w:val="0"/>
              <w:spacing w:before="0" w:after="0"/>
              <w:ind w:left="0" w:right="0" w:hanging="0"/>
              <w:jc w:val="left"/>
              <w:rPr/>
            </w:pPr>
            <w:r>
              <w:rPr/>
              <w:t>​</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191" w:type="dxa"/>
            <w:tcBorders/>
            <w:vAlign w:val="center"/>
          </w:tcPr>
          <w:p>
            <w:pPr>
              <w:pStyle w:val="TableContents"/>
              <w:bidi w:val="0"/>
              <w:spacing w:before="0" w:after="0"/>
              <w:ind w:left="0" w:right="0" w:hanging="0"/>
              <w:jc w:val="left"/>
              <w:rPr/>
            </w:pPr>
            <w:r>
              <w:rPr/>
              <w:t>​</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20" w:name="a7CAPITALCONSTRUCTIONFUND_343778"/>
      <w:bookmarkStart w:id="1221" w:name="a7CAPITALCONSTRUCTIONFUND_343778"/>
      <w:bookmarkEnd w:id="1221"/>
    </w:p>
    <w:tbl>
      <w:tblPr>
        <w:tblW w:w="3467" w:type="dxa"/>
        <w:jc w:val="left"/>
        <w:tblInd w:w="0" w:type="dxa"/>
        <w:tblLayout w:type="fixed"/>
        <w:tblCellMar>
          <w:top w:w="0" w:type="dxa"/>
          <w:left w:w="0" w:type="dxa"/>
          <w:bottom w:w="0" w:type="dxa"/>
          <w:right w:w="0" w:type="dxa"/>
        </w:tblCellMar>
      </w:tblPr>
      <w:tblGrid>
        <w:gridCol w:w="271"/>
        <w:gridCol w:w="3196"/>
      </w:tblGrid>
      <w:tr>
        <w:trPr/>
        <w:tc>
          <w:tcPr>
            <w:tcW w:w="2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7.</w:t>
            </w:r>
          </w:p>
        </w:tc>
        <w:tc>
          <w:tcPr>
            <w:tcW w:w="319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CAPITAL CONSTRUCTION FUND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flagged vessels in raising capital necessary for the modernization and expansion of the U.S. merchant marine fleet.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built in the U.S. and used between covered U.S. ports as described by the Merchant Marine Act, and for other qualifying expenditures (see Item 1 of Part 1 for additional information on Maritime Laws and the Jones Act). Participants of the CCF must also meet certain U.S. citizenship requirements.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into the CCF are limited by certain applicable earnings and other conditions. Such cash deposits, once made, are available as tax deductions in the Company’s income tax provision. Qualified withdrawals from the CCF do not give rise to a current income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 The Company may invest funds on deposit in the CCF in money market funds, U.S. Treasury Obligation Funds or other eligible credit-based investments for maturities of up to 3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Assigned receivables in the CCF represent non-cash pledged deposits made by the Company into the CCF that are supported by qualifying assets such as accounts receivable. Such assigned receivables in the CCF qualify as deposits for tax deduction purposes. Assigned receivables in the CCF accrue interest based upon terms as defined within the CCF agreement with MARAD. Assigned account receivables can be repurchased by the Company by making cash deposits into the CCF.</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22" w:name="Tc_x0oqqcb7skWn7fCCsSyIdw_6_5"/>
      <w:bookmarkStart w:id="1223" w:name="Tc_6HwqJEit20-shZ_pY3PZjg_6_2"/>
      <w:bookmarkStart w:id="1224" w:name="Tc_pmduhZTeu0yJiCquMOLFeA_6_0"/>
      <w:bookmarkStart w:id="1225" w:name="Tc_c3uyi4Fni0WGn16lyvFsPQ_5_0"/>
      <w:bookmarkStart w:id="1226" w:name="Tc_3y5V8-PbRk2wior7sPmLug_4_5"/>
      <w:bookmarkStart w:id="1227" w:name="Tc_pcivTmUqBkawpAsNCRUuPQ_4_2"/>
      <w:bookmarkStart w:id="1228" w:name="Tc_S5gNQsy3nESHsK1_4cZFpw_4_0"/>
      <w:bookmarkStart w:id="1229" w:name="Tc_BanOIgbPEE-sr-kaoFAlgA_3_5"/>
      <w:bookmarkStart w:id="1230" w:name="Tc_lKR6Hwhszk6QIwzSKSRXdg_3_2"/>
      <w:bookmarkStart w:id="1231" w:name="Tc_bLq80dYUZ0a-wyyZGOvBBg_3_0"/>
      <w:bookmarkStart w:id="1232" w:name="Tc_P8zaS5C12ECsnr1cHbYLYw_2_2"/>
      <w:bookmarkStart w:id="1233" w:name="Tc_lTCemJHL-UmkZpc54ebSug_1_2"/>
      <w:bookmarkStart w:id="1234" w:name="Tc_pVY83QJrtE2_dt58woudNg_20_5"/>
      <w:bookmarkStart w:id="1235" w:name="Tc_vSSHYehytEq4ZJxQ9saQ8Q_20_2"/>
      <w:bookmarkStart w:id="1236" w:name="Tc_aqU0evuyHUiDoTRONwEeew_20_0"/>
      <w:bookmarkStart w:id="1237" w:name="Tc_2IYQ0Eb5PEi4wo_wA6dFfw_19_0"/>
      <w:bookmarkStart w:id="1238" w:name="Tc_6PnpL4E1YUOPf3wo5qTLlA_18_0"/>
      <w:bookmarkStart w:id="1239" w:name="Tc_Op_xHjzM2Uus_5dchyVmxQ_17_0"/>
      <w:bookmarkStart w:id="1240" w:name="Tc_hRbbIGZd6Uqx74NA8Lg56Q_16_3"/>
      <w:bookmarkStart w:id="1241" w:name="Tc_nMtytdmOt0-UDFXQFU-AtQ_16_0"/>
      <w:bookmarkStart w:id="1242" w:name="Tc_OnIIfr3-20K6K32zyb-ueA_15_6"/>
      <w:bookmarkStart w:id="1243" w:name="Tc_VNJlA5pshEG6kfHyLEjq2A_15_5"/>
      <w:bookmarkStart w:id="1244" w:name="Tc_HbAc-xeQPUqdyfnnwV9BAw_15_2"/>
      <w:bookmarkStart w:id="1245" w:name="Tc__10JwJWXgkWWgsGrHvXFjA_15_0"/>
      <w:bookmarkStart w:id="1246" w:name="Tc_EXoJMjTbp0mZOswl8pSQ7A_14_0"/>
      <w:bookmarkStart w:id="1247" w:name="Tc_gZ8NVUkUBU2bJGOiWThfaw_12_5"/>
      <w:bookmarkStart w:id="1248" w:name="Tc_BHRkt1Dou06DXRAcGwUWrA_12_2"/>
      <w:bookmarkStart w:id="1249" w:name="Tc_qb_JcPL08U62ptco1c1W-w_12_0"/>
      <w:bookmarkStart w:id="1250" w:name="Tc_uipctGCuB0WrPiDLE9XTnA_11_0"/>
      <w:bookmarkStart w:id="1251" w:name="Tc_FIrqWtHPv0m2YgOKpg6oOA_10_0"/>
      <w:bookmarkStart w:id="1252" w:name="Tc_EpuXLejVEE--ZLJ9daTztg_9_0"/>
      <w:bookmarkStart w:id="1253" w:name="Tc_bFoVddcVAkGL-BJ96d7IwQ_8_0"/>
      <w:bookmarkStart w:id="1254" w:name="Tc_O1q-n2RMukaIDC9pNNY1WA_7_3"/>
      <w:bookmarkStart w:id="1255" w:name="Tc_zmjNH8B8fU2Yeku6yYg_Tw_7_0"/>
      <w:bookmarkStart w:id="1256" w:name="Tc_suOfFEAeKEeWOMerafZJDw_6_3"/>
      <w:bookmarkStart w:id="1257" w:name="Tc_s4TFa5rFYka1v8HKHnJ9PA_6_0"/>
      <w:bookmarkStart w:id="1258" w:name="Tc_JlThE9385Eaz0bByvMUPDA_5_5"/>
      <w:bookmarkStart w:id="1259" w:name="Tc_MpSbKR2naUC2XFb-5giU0g_5_2"/>
      <w:bookmarkStart w:id="1260" w:name="Tc_Tgaq0e3y7E6Wbz0ySHAVgg_5_0"/>
      <w:bookmarkStart w:id="1261" w:name="Tc_QxyKCG21EkCz9bfH3_fZFQ_4_0"/>
      <w:bookmarkStart w:id="1262" w:name="Tc_dMjwupq2tU2klUOmqxZPNA_3_5"/>
      <w:bookmarkStart w:id="1263" w:name="Tc_K0KWhriU7ESrDYFCWZ9ZyQ_3_2"/>
      <w:bookmarkStart w:id="1264" w:name="Tc_hxjsRuM9TEynBeqEKATtNA_3_0"/>
      <w:bookmarkStart w:id="1265" w:name="Tc_t3dlt9ysSUGUCchR8Dj5aw_2_2"/>
      <w:bookmarkStart w:id="1266" w:name="Tc_xjKpqlKzeUO-8--UGry0fA_1_2"/>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r>
        <w:rPr>
          <w:rFonts w:ascii="Times New Roman;Times;serif" w:hAnsi="Times New Roman;Times;serif"/>
          <w:sz w:val="20"/>
        </w:rPr>
        <w:t>A summary of the activities within the CCF cash and cash equivalents, and investment accounts for the years ended December 31, 2025 and 2024 consists of the following:</w:t>
      </w:r>
    </w:p>
    <w:p>
      <w:pPr>
        <w:pStyle w:val="TextBody"/>
        <w:bidi w:val="0"/>
        <w:spacing w:before="0" w:after="0"/>
        <w:ind w:left="0" w:right="0" w:hanging="0"/>
        <w:jc w:val="left"/>
        <w:rPr/>
      </w:pPr>
      <w:r>
        <w:rPr/>
        <w:t>​</w:t>
      </w:r>
    </w:p>
    <w:tbl>
      <w:tblPr>
        <w:tblW w:w="8395" w:type="dxa"/>
        <w:jc w:val="left"/>
        <w:tblInd w:w="0" w:type="dxa"/>
        <w:tblLayout w:type="fixed"/>
        <w:tblCellMar>
          <w:top w:w="0" w:type="dxa"/>
          <w:left w:w="0" w:type="dxa"/>
          <w:bottom w:w="0" w:type="dxa"/>
          <w:right w:w="0" w:type="dxa"/>
        </w:tblCellMar>
      </w:tblPr>
      <w:tblGrid>
        <w:gridCol w:w="6241"/>
        <w:gridCol w:w="109"/>
        <w:gridCol w:w="196"/>
        <w:gridCol w:w="631"/>
        <w:gridCol w:w="346"/>
        <w:gridCol w:w="196"/>
        <w:gridCol w:w="676"/>
      </w:tblGrid>
      <w:tr>
        <w:trPr/>
        <w:tc>
          <w:tcPr>
            <w:tcW w:w="6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963035" cy="175260"/>
                      <wp:effectExtent l="0" t="0" r="0" b="0"/>
                      <wp:wrapNone/>
                      <wp:docPr id="489" name="Frame486"/>
                      <a:graphic xmlns:a="http://schemas.openxmlformats.org/drawingml/2006/main">
                        <a:graphicData uri="http://schemas.microsoft.com/office/word/2010/wordprocessingShape">
                          <wps:wsp>
                            <wps:cNvSpPr txBox="1"/>
                            <wps:spPr>
                              <a:xfrm>
                                <a:off x="0" y="0"/>
                                <a:ext cx="396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9215" cy="175260"/>
                      <wp:effectExtent l="0" t="0" r="0" b="0"/>
                      <wp:wrapNone/>
                      <wp:docPr id="490" name="Frame4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24460" cy="175260"/>
                      <wp:effectExtent l="0" t="0" r="0" b="0"/>
                      <wp:wrapNone/>
                      <wp:docPr id="491" name="Frame4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00685" cy="175260"/>
                      <wp:effectExtent l="0" t="0" r="0" b="0"/>
                      <wp:wrapNone/>
                      <wp:docPr id="492" name="Frame48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93"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24460" cy="175260"/>
                      <wp:effectExtent l="0" t="0" r="0" b="0"/>
                      <wp:wrapNone/>
                      <wp:docPr id="494" name="Frame4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29260" cy="175260"/>
                      <wp:effectExtent l="0" t="0" r="0" b="0"/>
                      <wp:wrapNone/>
                      <wp:docPr id="495" name="Frame4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6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 balance at beginning of period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599.4</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deposits into the CCF</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withdrawal for the purchase of U.S. Treasury debt securities and accrued interest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(449.8)</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U.S. Treasury debt securities at maturity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on cash and cash equivalents, and CCF investments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assigned accounts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Qualifying withdrawal payments for vessel construction expenditures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balance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230.7</w:t>
            </w:r>
          </w:p>
        </w:tc>
      </w:tr>
      <w:tr>
        <w:trPr/>
        <w:tc>
          <w:tcPr>
            <w:tcW w:w="6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 balance at beginning of period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pPr>
            <w:r>
              <w:rPr/>
              <w:t>—</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U.S. Treasury debt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448.1</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 of U.S. Treasury debt securities at maturity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CCF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investments balance at end of period</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and investments balance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642.6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Cash and Equivalents:</w:t>
      </w:r>
      <w:r>
        <w:rPr>
          <w:rFonts w:ascii="Times New Roman;Times;serif" w:hAnsi="Times New Roman;Times;serif"/>
          <w:sz w:val="20"/>
        </w:rPr>
        <w:t xml:space="preserve"> Cash on deposit in the CCF is invested in short-term U.S. Treasury obligations fund with daily liquidity. At December 31, 2025, these short-term securities had a weighted average life of </w:t>
      </w:r>
      <w:r>
        <w:rPr>
          <w:rFonts w:ascii="Times New Roman;Times;serif" w:hAnsi="Times New Roman;Times;serif"/>
          <w:b w:val="false"/>
          <w:i w:val="false"/>
          <w:caps w:val="false"/>
          <w:smallCaps w:val="false"/>
          <w:sz w:val="20"/>
        </w:rPr>
        <w:t>95 days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Investments:</w:t>
      </w:r>
      <w:r>
        <w:rPr>
          <w:rFonts w:ascii="Times New Roman;Times;serif" w:hAnsi="Times New Roman;Times;serif"/>
          <w:sz w:val="20"/>
        </w:rPr>
        <w:t xml:space="preserve"> In February 2024, the Company purchased $448.1 million of fixed-rate U.S. Treasuries debt securities with accrued interest of $1.7 million using CCF cash. These securities were purchased at a discount and have various maturity dates of less than 2 years. The value of these investments accretes to the face value of the securities on a straight-line basis until maturity. Such accretion is included in interest income in the Company’s Consolidated Statement of Income and Comprehensive Income.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CCF investment maturities are as follows:</w:t>
      </w:r>
    </w:p>
    <w:p>
      <w:pPr>
        <w:pStyle w:val="TextBody"/>
        <w:bidi w:val="0"/>
        <w:spacing w:before="0" w:after="0"/>
        <w:ind w:left="0" w:right="0" w:hanging="0"/>
        <w:jc w:val="left"/>
        <w:rPr/>
      </w:pPr>
      <w:r>
        <w:rPr/>
        <w:t>​</w:t>
      </w:r>
    </w:p>
    <w:tbl>
      <w:tblPr>
        <w:tblW w:w="3926" w:type="dxa"/>
        <w:jc w:val="left"/>
        <w:tblInd w:w="0" w:type="dxa"/>
        <w:tblLayout w:type="fixed"/>
        <w:tblCellMar>
          <w:top w:w="0" w:type="dxa"/>
          <w:left w:w="0" w:type="dxa"/>
          <w:bottom w:w="0" w:type="dxa"/>
          <w:right w:w="0" w:type="dxa"/>
        </w:tblCellMar>
      </w:tblPr>
      <w:tblGrid>
        <w:gridCol w:w="1996"/>
        <w:gridCol w:w="109"/>
        <w:gridCol w:w="211"/>
        <w:gridCol w:w="571"/>
        <w:gridCol w:w="109"/>
        <w:gridCol w:w="221"/>
        <w:gridCol w:w="709"/>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267460" cy="175260"/>
                      <wp:effectExtent l="0" t="0" r="0" b="0"/>
                      <wp:wrapNone/>
                      <wp:docPr id="496" name="Frame49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497" name="Frame4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362585" cy="175260"/>
                      <wp:effectExtent l="0" t="0" r="0" b="0"/>
                      <wp:wrapNone/>
                      <wp:docPr id="499" name="Frame4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9215" cy="175260"/>
                      <wp:effectExtent l="0" t="0" r="0" b="0"/>
                      <wp:wrapNone/>
                      <wp:docPr id="500" name="Frame4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40335" cy="175260"/>
                      <wp:effectExtent l="0" t="0" r="0" b="0"/>
                      <wp:wrapNone/>
                      <wp:docPr id="501" name="Frame49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50215" cy="175260"/>
                      <wp:effectExtent l="0" t="0" r="0" b="0"/>
                      <wp:wrapNone/>
                      <wp:docPr id="502" name="Frame499"/>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82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CCF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226.4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on deposit and investment in the CCF are classified as a long-term asset on the Company’s Consolidated Balance Sheets, as the Company intends to use withdrawals to fund qualified milestone progress payments for the construction of three new Jones Act 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Assigned Accounts Receivables:</w:t>
      </w:r>
      <w:r>
        <w:rPr>
          <w:rFonts w:ascii="Times New Roman;Times;serif" w:hAnsi="Times New Roman;Times;serif"/>
          <w:sz w:val="20"/>
        </w:rPr>
        <w:t xml:space="preserve"> Assigned accounts receivable in the CCF was $82.3 million and $178.1 million as of December 31, 2025 and 2024, respectively. During the year ended December 31, 2025 and 2024, the Company deposited cash into the CCF and repurchased assigned accounts receivables of $100.7 million and $53.8 million, respectively. Assigned accounts receivable in the CCF are classified as part of accounts receivable on the Company’s Consolidated Balance Sheets due to the nature of the assignment.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67" w:name="Tc_GZB6TICe-keZAJCGiAuFjw_14_5"/>
      <w:bookmarkStart w:id="1268" w:name="Tc_NnvINV1-9kaG-bCAaIPI8g_14_2"/>
      <w:bookmarkStart w:id="1269" w:name="Tc_6fHBedDymkKjyf5cfSYOnA_14_0"/>
      <w:bookmarkStart w:id="1270" w:name="Tc_qEJbKoO3wkCCpXS6gZRfqg_13_0"/>
      <w:bookmarkStart w:id="1271" w:name="Tc_1UOTEElUlkKZWIUQtV0EEw_12_0"/>
      <w:bookmarkStart w:id="1272" w:name="Tc_UYvQFGKLMUOIj89iOTZX6g_11_0"/>
      <w:bookmarkStart w:id="1273" w:name="Tc_BtDEUBb5WEicV2lqRFMyjw_10_0"/>
      <w:bookmarkStart w:id="1274" w:name="Tc_j8SicVdHD0iRiPoZTr3XdQ_9_6"/>
      <w:bookmarkStart w:id="1275" w:name="Tc_Qga4U5LOjUO0kN6v8IMUEw_9_3"/>
      <w:bookmarkStart w:id="1276" w:name="Tc__OELYTbsAEmGsKU0Uia9cA_9_0"/>
      <w:bookmarkStart w:id="1277" w:name="Tc_eWXlv6mImEK6aj0viYcTWA_8_0"/>
      <w:bookmarkStart w:id="1278" w:name="Tc_Y712echukEu-q-Nzwa4EzQ_7_0"/>
      <w:bookmarkStart w:id="1279" w:name="Tc__Xqmc390D0irm01lMYo91Q_6_0"/>
      <w:bookmarkStart w:id="1280" w:name="Tc_kUKsL_3NP0uuleI74lT6cg_5_0"/>
      <w:bookmarkStart w:id="1281" w:name="Tc_ivu3k5GOA021HvRgf3NLWA_4_5"/>
      <w:bookmarkStart w:id="1282" w:name="Tc_K6-cyxx0vkCx5rkBJlr4iA_4_2"/>
      <w:bookmarkStart w:id="1283" w:name="Tc_yIACICqMmUCxwEuKkYqsFQ_4_0"/>
      <w:bookmarkStart w:id="1284" w:name="Tc_4COvh4hBW0yL6_Tlm29EZA_3_0"/>
      <w:bookmarkStart w:id="1285" w:name="Tc_lif4Ah5s10eEu4sK6tjK7w_2_5"/>
      <w:bookmarkStart w:id="1286" w:name="Tc_9ud8fD1L4Ui0xd2M9chdKQ_2_2"/>
      <w:bookmarkStart w:id="1287" w:name="Tc_HhP5Z1ifqEOeuTeH4GA30Q_2_0"/>
      <w:bookmarkStart w:id="1288" w:name="Tc_EaG08cxx5UuReT7Vskkm9w_1_2"/>
      <w:bookmarkStart w:id="1289" w:name="a8DEBT_898377"/>
      <w:bookmarkStart w:id="1290" w:name="Tc_GZB6TICe-keZAJCGiAuFjw_14_5"/>
      <w:bookmarkStart w:id="1291" w:name="Tc_NnvINV1-9kaG-bCAaIPI8g_14_2"/>
      <w:bookmarkStart w:id="1292" w:name="Tc_6fHBedDymkKjyf5cfSYOnA_14_0"/>
      <w:bookmarkStart w:id="1293" w:name="Tc_qEJbKoO3wkCCpXS6gZRfqg_13_0"/>
      <w:bookmarkStart w:id="1294" w:name="Tc_1UOTEElUlkKZWIUQtV0EEw_12_0"/>
      <w:bookmarkStart w:id="1295" w:name="Tc_UYvQFGKLMUOIj89iOTZX6g_11_0"/>
      <w:bookmarkStart w:id="1296" w:name="Tc_BtDEUBb5WEicV2lqRFMyjw_10_0"/>
      <w:bookmarkStart w:id="1297" w:name="Tc_j8SicVdHD0iRiPoZTr3XdQ_9_6"/>
      <w:bookmarkStart w:id="1298" w:name="Tc_Qga4U5LOjUO0kN6v8IMUEw_9_3"/>
      <w:bookmarkStart w:id="1299" w:name="Tc__OELYTbsAEmGsKU0Uia9cA_9_0"/>
      <w:bookmarkStart w:id="1300" w:name="Tc_eWXlv6mImEK6aj0viYcTWA_8_0"/>
      <w:bookmarkStart w:id="1301" w:name="Tc_Y712echukEu-q-Nzwa4EzQ_7_0"/>
      <w:bookmarkStart w:id="1302" w:name="Tc__Xqmc390D0irm01lMYo91Q_6_0"/>
      <w:bookmarkStart w:id="1303" w:name="Tc_kUKsL_3NP0uuleI74lT6cg_5_0"/>
      <w:bookmarkStart w:id="1304" w:name="Tc_ivu3k5GOA021HvRgf3NLWA_4_5"/>
      <w:bookmarkStart w:id="1305" w:name="Tc_K6-cyxx0vkCx5rkBJlr4iA_4_2"/>
      <w:bookmarkStart w:id="1306" w:name="Tc_yIACICqMmUCxwEuKkYqsFQ_4_0"/>
      <w:bookmarkStart w:id="1307" w:name="Tc_4COvh4hBW0yL6_Tlm29EZA_3_0"/>
      <w:bookmarkStart w:id="1308" w:name="Tc_lif4Ah5s10eEu4sK6tjK7w_2_5"/>
      <w:bookmarkStart w:id="1309" w:name="Tc_9ud8fD1L4Ui0xd2M9chdKQ_2_2"/>
      <w:bookmarkStart w:id="1310" w:name="Tc_HhP5Z1ifqEOeuTeH4GA30Q_2_0"/>
      <w:bookmarkStart w:id="1311" w:name="Tc_EaG08cxx5UuReT7Vskkm9w_1_2"/>
      <w:bookmarkStart w:id="1312" w:name="a8DEBT_898377"/>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tbl>
      <w:tblPr>
        <w:tblW w:w="962" w:type="dxa"/>
        <w:jc w:val="left"/>
        <w:tblInd w:w="0" w:type="dxa"/>
        <w:tblLayout w:type="fixed"/>
        <w:tblCellMar>
          <w:top w:w="0" w:type="dxa"/>
          <w:left w:w="0" w:type="dxa"/>
          <w:bottom w:w="0" w:type="dxa"/>
          <w:right w:w="0" w:type="dxa"/>
        </w:tblCellMar>
      </w:tblPr>
      <w:tblGrid>
        <w:gridCol w:w="271"/>
        <w:gridCol w:w="691"/>
      </w:tblGrid>
      <w:tr>
        <w:trPr/>
        <w:tc>
          <w:tcPr>
            <w:tcW w:w="2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8.</w:t>
            </w:r>
          </w:p>
        </w:tc>
        <w:tc>
          <w:tcPr>
            <w:tcW w:w="69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debt consists of the following as of December 31, 2025 and 2024:</w:t>
      </w:r>
    </w:p>
    <w:p>
      <w:pPr>
        <w:pStyle w:val="TextBody"/>
        <w:bidi w:val="0"/>
        <w:spacing w:before="0" w:after="0"/>
        <w:ind w:left="0" w:right="0" w:hanging="0"/>
        <w:jc w:val="left"/>
        <w:rPr/>
      </w:pPr>
      <w:r>
        <w:rPr/>
        <w:t>​</w:t>
      </w:r>
    </w:p>
    <w:tbl>
      <w:tblPr>
        <w:tblW w:w="7117" w:type="dxa"/>
        <w:jc w:val="left"/>
        <w:tblInd w:w="0" w:type="dxa"/>
        <w:tblLayout w:type="fixed"/>
        <w:tblCellMar>
          <w:top w:w="0" w:type="dxa"/>
          <w:left w:w="0" w:type="dxa"/>
          <w:bottom w:w="0" w:type="dxa"/>
          <w:right w:w="0" w:type="dxa"/>
        </w:tblCellMar>
      </w:tblPr>
      <w:tblGrid>
        <w:gridCol w:w="4711"/>
        <w:gridCol w:w="346"/>
        <w:gridCol w:w="211"/>
        <w:gridCol w:w="616"/>
        <w:gridCol w:w="346"/>
        <w:gridCol w:w="211"/>
        <w:gridCol w:w="676"/>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991485" cy="175260"/>
                      <wp:effectExtent l="0" t="0" r="0" b="0"/>
                      <wp:wrapNone/>
                      <wp:docPr id="503" name="Frame500"/>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4"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391160" cy="175260"/>
                      <wp:effectExtent l="0" t="0" r="0" b="0"/>
                      <wp:wrapNone/>
                      <wp:docPr id="506" name="Frame50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7"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260"/>
                      <wp:effectExtent l="0" t="0" r="0" b="0"/>
                      <wp:wrapNone/>
                      <wp:docPr id="508"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29260" cy="175260"/>
                      <wp:effectExtent l="0" t="0" r="0" b="0"/>
                      <wp:wrapNone/>
                      <wp:docPr id="509" name="Frame5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Term 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3.37 %, payable through 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3.14 %, payable through 2031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85.8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100.1 </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XI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1.22 %, payable through 2043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142.4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150.3 </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1.35 %, payable through 2044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109.9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115.9 </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credit facility, maturity date of July 23, 2030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deferred loan fees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350.8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description of the Company’s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Private Placement Term Loans</w:t>
      </w:r>
      <w:r>
        <w:rPr>
          <w:rFonts w:ascii="Times New Roman;Times;serif" w:hAnsi="Times New Roman;Times;serif"/>
          <w:b/>
          <w:sz w:val="20"/>
        </w:rPr>
        <w:t>:</w:t>
      </w:r>
      <w:r>
        <w:rPr>
          <w:rFonts w:ascii="Times New Roman;Times;serif" w:hAnsi="Times New Roman;Times;serif"/>
          <w:sz w:val="20"/>
        </w:rPr>
        <w:t xml:space="preserve"> In September 2016, the Company issued $200.0 million of 15-year senior unsecured notes (the “Series D Notes”) at an interest rate of 3.14 percent, payable semi-annually. In December 2016, the Company issued $75 million of 11-year senior unsecured notes at an interest rate of 3.37 percent, payable semi-annually.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Title XI Bonds:</w:t>
      </w:r>
      <w:r>
        <w:rPr>
          <w:rFonts w:ascii="Times New Roman;Times;serif" w:hAnsi="Times New Roman;Times;serif"/>
          <w:sz w:val="20"/>
        </w:rPr>
        <w:t xml:space="preserve"> In April 2020, MatNav issued $185.9 million in U.S. government guaranteed vessel financing bonds to partially refinance debt incurred in connection with the construction of </w:t>
      </w:r>
      <w:r>
        <w:rPr>
          <w:rFonts w:ascii="Times New Roman;Times;serif" w:hAnsi="Times New Roman;Times;serif"/>
          <w:i/>
          <w:sz w:val="20"/>
        </w:rPr>
        <w:t xml:space="preserve">Daniel K. Inouye </w:t>
      </w:r>
      <w:r>
        <w:rPr>
          <w:rFonts w:ascii="Times New Roman;Times;serif" w:hAnsi="Times New Roman;Times;serif"/>
          <w:sz w:val="20"/>
        </w:rPr>
        <w:t xml:space="preserve">(the “DKI Title XI Debt”). The secured DKI Title XI Debt matures in October 2043 and has a cash interest rate of 1.22 percent, payable semi-annually in arrears.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June 2020, MatNav issued $139.6 million in U.S. government guaranteed vessel financing bonds to partially refinance debt incurred in connection with the construction of </w:t>
      </w:r>
      <w:r>
        <w:rPr>
          <w:rFonts w:ascii="Times New Roman;Times;serif" w:hAnsi="Times New Roman;Times;serif"/>
          <w:i/>
          <w:sz w:val="20"/>
        </w:rPr>
        <w:t xml:space="preserve">Kaimana Hila </w:t>
      </w:r>
      <w:r>
        <w:rPr>
          <w:rFonts w:ascii="Times New Roman;Times;serif" w:hAnsi="Times New Roman;Times;serif"/>
          <w:sz w:val="20"/>
        </w:rPr>
        <w:t xml:space="preserve">(the “KMH Title XI Debt”, and together with the DKI Title XI Debt, the “Title XI Debt”). The secured KMH Title XI Debt matures in March 2044 and has a cash interest rate of 1.35 percent, payable semi-annually in arrears.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MatNav may prepay any amounts outstanding under the Title XI Debt subject to a potential prepayment premium or other adjustment, in accordance with the Title XI Debt agreements. Once the Title XI Debt amounts are repaid, they may not be reborrowed. Mandatory prepayments are required under certain limited circumstances, including specified casualty events with respect to </w:t>
      </w:r>
      <w:r>
        <w:rPr>
          <w:rFonts w:ascii="Times New Roman;Times;serif" w:hAnsi="Times New Roman;Times;serif"/>
          <w:i/>
          <w:sz w:val="20"/>
        </w:rPr>
        <w:t>Daniel K. Inouye</w:t>
      </w:r>
      <w:r>
        <w:rPr>
          <w:rFonts w:ascii="Times New Roman;Times;serif" w:hAnsi="Times New Roman;Times;serif"/>
          <w:sz w:val="20"/>
        </w:rPr>
        <w:t xml:space="preserve"> and </w:t>
      </w:r>
      <w:r>
        <w:rPr>
          <w:rFonts w:ascii="Times New Roman;Times;serif" w:hAnsi="Times New Roman;Times;serif"/>
          <w:i/>
          <w:sz w:val="20"/>
        </w:rPr>
        <w:t>Kaimana Hila</w:t>
      </w:r>
      <w:r>
        <w:rPr>
          <w:rFonts w:ascii="Times New Roman;Times;serif" w:hAnsi="Times New Roman;Times;serif"/>
          <w:sz w:val="20"/>
        </w:rPr>
        <w:t xml:space="preserve"> (the “Vessels”).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Revolving Credit Facility:</w:t>
      </w:r>
      <w:r>
        <w:rPr>
          <w:rFonts w:ascii="Times New Roman;Times;serif" w:hAnsi="Times New Roman;Times;serif"/>
          <w:sz w:val="20"/>
        </w:rPr>
        <w:t xml:space="preserve"> On July 23, 2025, the Company entered into a Third Amended and Restated Credit Agreement (the “Credit Agreement”), which provides for a five-year revolving credit facility, and $550 million in loan commitments, with an uncommitted $300 million increase option. The Credit Agreement also amended certain covenants and other terms including (i) amending the pricing grid to provide for pricing ranging from, at the Company’s election, Secured Overnight Financing Rate (“SOFR”) plus a margin between 1.125 percent and 1.75 percent depending on the Company’s consolidated net leverage ratio, or base rate plus a margin between 0.125 percent and 0.75 percent depending on the Company’s consolidated net leverage ratio; and (ii) eliminating the minimum consolidated interest coverage ratio financial covenant. The Company may prepay any amounts outstanding under the Credit Agreement without premium or penalty, in accordance with the terms of the Credit Agreement. The Credit Agreement contains affirmative, negative and financial covenants customary for financings of this type, including, among other things, limitations on certain other indebtedness, loans and investments, liens, mergers, asset sales, and transactions with affiliates. The Credit Agreement also contains customary events of default.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December 31, 2025, the Company had $544.3 million of remaining borrowing availability under the revolving credit facility. The Company used $5.7 million of the revolving credit facility for letters of credit outstanding as of December 31, 2025. Borrowings under the revolving credit facility are classified as long-term debt in the Company’s Consolidated Balance Sheets, as principal payments are not required until the maturity date.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13" w:name="Tc_DaG2-U9nTUSemy-klenrhw_5_2"/>
      <w:bookmarkStart w:id="1314" w:name="Tc_Afi_JWI32EmWBF9rH-uFrA_5_0"/>
      <w:bookmarkStart w:id="1315" w:name="Tc_uIdBumOQLEueRyOlB-reGA_4_0"/>
      <w:bookmarkStart w:id="1316" w:name="Tc_kYWqSivtmEC02-GSHhMU3w_3_0"/>
      <w:bookmarkStart w:id="1317" w:name="Tc_dPPaidIhOkepx2PdAhKvog_2_2"/>
      <w:bookmarkStart w:id="1318" w:name="Tc_dEWdAFKppUq-83SOOOB-bw_2_0"/>
      <w:bookmarkStart w:id="1319" w:name="Tc_eaeLWzi7gEKx58_dZ35nLg_1_2"/>
      <w:bookmarkStart w:id="1320" w:name="Tc_2_m4DflHzEWhbNlMBo6-Mg_1_0"/>
      <w:bookmarkStart w:id="1321" w:name="Tc_L0OsIuH8gke319asM0hf0Q_8_2"/>
      <w:bookmarkStart w:id="1322" w:name="Tc_tiiHq1biEEumqR69HLq3rg_8_0"/>
      <w:bookmarkStart w:id="1323" w:name="Tc_Cs3tzDv8QkqTqnY7aJyr6Q_7_0"/>
      <w:bookmarkStart w:id="1324" w:name="Tc_bD3I5Gr79kOLz8tmOUu7_w_6_0"/>
      <w:bookmarkStart w:id="1325" w:name="Tc_WicU9FWhgkytWsrIT-XsQA_5_0"/>
      <w:bookmarkStart w:id="1326" w:name="Tc_csULL4gXrk6sr09VD5Jxog_4_0"/>
      <w:bookmarkStart w:id="1327" w:name="Tc_no0yNZ1KtkW3Ts7SM4Izlw_3_0"/>
      <w:bookmarkStart w:id="1328" w:name="Tc_WQidI_bkvEGprNqt6Rpx0A_2_2"/>
      <w:bookmarkStart w:id="1329" w:name="Tc_fD2VPWnzoEanLe2TzIoVvQ_2_0"/>
      <w:bookmarkStart w:id="1330" w:name="Tc_ZnyFdJghNUCELNrhrg1GLQ_1_2"/>
      <w:bookmarkStart w:id="1331" w:name="Tc__gbjFOqWOkGbyM23PSMZvQ_1_0"/>
      <w:bookmarkStart w:id="1332" w:name="Tc_IVbePEW4rkq6_a0oyCy_2Q_5_2"/>
      <w:bookmarkStart w:id="1333" w:name="Tc_uNoaAfEaZ0C8ABf75vPyVw_5_0"/>
      <w:bookmarkStart w:id="1334" w:name="Tc_18urLKxpnkmdHR-TGU9qJw_4_0"/>
      <w:bookmarkStart w:id="1335" w:name="Tc_cMOjuyftZk2B5g1qzKvyzg_3_0"/>
      <w:bookmarkStart w:id="1336" w:name="Tc_jCpJBFOnxU2zdZ32vHX03g_2_2"/>
      <w:bookmarkStart w:id="1337" w:name="Tc_-qlvkN_KlECAJmEsEKIo9g_2_0"/>
      <w:bookmarkStart w:id="1338" w:name="Tc_vF-j78rFREyf8xZ8JJFZTg_1_2"/>
      <w:bookmarkStart w:id="1339" w:name="Tc_2dUh5ibRM0SKn1rj9XkjNA_1_0"/>
      <w:bookmarkStart w:id="1340" w:name="Tc_dMgJxdfAGki52WJII4hT7Q_9_2"/>
      <w:bookmarkStart w:id="1341" w:name="Tc_2QyWMg9Xk028A_SrHn7rTg_9_0"/>
      <w:bookmarkStart w:id="1342" w:name="Tc_8iNHMGcAu0K7aN6Ql9M8sQ_8_0"/>
      <w:bookmarkStart w:id="1343" w:name="Tc_ERkCa24OZUygTSGeytkbWw_7_0"/>
      <w:bookmarkStart w:id="1344" w:name="Tc_1Vh1gfoP7ES97skQH3wSdA_6_0"/>
      <w:bookmarkStart w:id="1345" w:name="Tc_g_vuuXAW7EOW396lGM5tAA_5_0"/>
      <w:bookmarkStart w:id="1346" w:name="Tc_zesL085tSEyxiOYKgmTZ-Q_4_0"/>
      <w:bookmarkStart w:id="1347" w:name="Tc_cb82t0Y7-EqRNWt_ngZC1g_3_2"/>
      <w:bookmarkStart w:id="1348" w:name="Tc_fRzkygVMTUq-DPV-uKlcOw_3_0"/>
      <w:bookmarkStart w:id="1349" w:name="Tc_Fz1geg4tsUKOk_yX0-xHJg_2_2"/>
      <w:bookmarkStart w:id="1350" w:name="Tc_DwXvz45IGEKRNOnVm_9gBA_2_0"/>
      <w:bookmarkStart w:id="1351" w:name="Tc_ioADCDA8mUSWou1kXsCfgg_1_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r>
        <w:rPr>
          <w:rFonts w:ascii="Times New Roman;Times;serif" w:hAnsi="Times New Roman;Times;serif"/>
          <w:b/>
          <w:i/>
          <w:sz w:val="20"/>
        </w:rPr>
        <w:t>Amendments to Existing Private Placement Term Loan Facilities and New Shelf Facilities (“Private Loan Facilities”):</w:t>
      </w:r>
      <w:r>
        <w:rPr>
          <w:rFonts w:ascii="Times New Roman;Times;serif" w:hAnsi="Times New Roman;Times;serif"/>
          <w:sz w:val="20"/>
        </w:rPr>
        <w:t xml:space="preserve"> On July 23, 2025, the Company and the holders of the Private Loan Facilities entered into amendments (collectively, the “2025 Note Amendments”) to each of (i) the Third Amended and Restated Note Purchase Agreement and Private Shelf Agreement dated as of September 14, 2016, among the Company and the holders of the notes issued thereunder, as amended; and (ii) the Note Purchase Agreement dated December 21, 2016 among the Company and the holders of the notes issued thereunder, in each case as amended prior to such date. The 2025 Note Amendments provide for amendments to certain covenants and other terms, including eliminating the minimum consolidated interest coverage ratio financial covenant.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Maturities:</w:t>
      </w:r>
      <w:r>
        <w:rPr>
          <w:rFonts w:ascii="Times New Roman;Times;serif" w:hAnsi="Times New Roman;Times;serif"/>
          <w:sz w:val="20"/>
        </w:rPr>
        <w:t xml:space="preserve"> At December 31, 2025, debt maturities are as follows:</w:t>
      </w:r>
    </w:p>
    <w:p>
      <w:pPr>
        <w:pStyle w:val="TextBody"/>
        <w:bidi w:val="0"/>
        <w:spacing w:before="0" w:after="0"/>
        <w:ind w:left="0" w:right="0" w:hanging="0"/>
        <w:jc w:val="left"/>
        <w:rPr/>
      </w:pPr>
      <w:r>
        <w:rPr/>
        <w:t>​</w:t>
      </w:r>
    </w:p>
    <w:tbl>
      <w:tblPr>
        <w:tblW w:w="3273" w:type="dxa"/>
        <w:jc w:val="left"/>
        <w:tblInd w:w="0" w:type="dxa"/>
        <w:tblLayout w:type="fixed"/>
        <w:tblCellMar>
          <w:top w:w="0" w:type="dxa"/>
          <w:left w:w="0" w:type="dxa"/>
          <w:bottom w:w="0" w:type="dxa"/>
          <w:right w:w="0" w:type="dxa"/>
        </w:tblCellMar>
      </w:tblPr>
      <w:tblGrid>
        <w:gridCol w:w="1381"/>
        <w:gridCol w:w="346"/>
        <w:gridCol w:w="367"/>
        <w:gridCol w:w="1179"/>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876935" cy="175260"/>
                      <wp:effectExtent l="0" t="0" r="0" b="0"/>
                      <wp:wrapNone/>
                      <wp:docPr id="510" name="Frame507"/>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33045" cy="175260"/>
                      <wp:effectExtent l="0" t="0" r="0" b="0"/>
                      <wp:wrapNone/>
                      <wp:docPr id="512" name="Frame50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748665" cy="175260"/>
                      <wp:effectExtent l="0" t="0" r="0" b="0"/>
                      <wp:wrapNone/>
                      <wp:docPr id="513" name="Frame510"/>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361.2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Deferred Loan Fees:</w:t>
      </w:r>
      <w:r>
        <w:rPr>
          <w:rFonts w:ascii="Times New Roman;Times;serif" w:hAnsi="Times New Roman;Times;serif"/>
          <w:sz w:val="20"/>
        </w:rPr>
        <w:t xml:space="preserve"> Activities relating to deferred loan fees for the year ended December 31, 2025 are as follows:</w:t>
      </w:r>
    </w:p>
    <w:p>
      <w:pPr>
        <w:pStyle w:val="TextBody"/>
        <w:bidi w:val="0"/>
        <w:spacing w:before="0" w:after="0"/>
        <w:ind w:left="0" w:right="0" w:hanging="0"/>
        <w:jc w:val="left"/>
        <w:rPr/>
      </w:pPr>
      <w:r>
        <w:rPr/>
        <w:t>​</w:t>
      </w:r>
    </w:p>
    <w:tbl>
      <w:tblPr>
        <w:tblW w:w="3679" w:type="dxa"/>
        <w:jc w:val="left"/>
        <w:tblInd w:w="0" w:type="dxa"/>
        <w:tblLayout w:type="fixed"/>
        <w:tblCellMar>
          <w:top w:w="0" w:type="dxa"/>
          <w:left w:w="0" w:type="dxa"/>
          <w:bottom w:w="0" w:type="dxa"/>
          <w:right w:w="0" w:type="dxa"/>
        </w:tblCellMar>
      </w:tblPr>
      <w:tblGrid>
        <w:gridCol w:w="2596"/>
        <w:gridCol w:w="346"/>
        <w:gridCol w:w="211"/>
        <w:gridCol w:w="52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648460" cy="175260"/>
                      <wp:effectExtent l="0" t="0" r="0" b="0"/>
                      <wp:wrapNone/>
                      <wp:docPr id="514" name="Frame51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16" name="Frame5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334010" cy="175260"/>
                      <wp:effectExtent l="0" t="0" r="0" b="0"/>
                      <wp:wrapNone/>
                      <wp:docPr id="517" name="Frame51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Deferred Loan Fees (in millions)</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deferred loan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amortization expense relating to deferred loan fees excluding those related to the Company’s revolving credit facility are as follows:</w:t>
      </w:r>
    </w:p>
    <w:p>
      <w:pPr>
        <w:pStyle w:val="TextBody"/>
        <w:bidi w:val="0"/>
        <w:spacing w:before="0" w:after="0"/>
        <w:ind w:left="0" w:right="0" w:hanging="0"/>
        <w:jc w:val="left"/>
        <w:rPr/>
      </w:pPr>
      <w:r>
        <w:rPr/>
        <w:t>​</w:t>
      </w:r>
    </w:p>
    <w:tbl>
      <w:tblPr>
        <w:tblW w:w="5103" w:type="dxa"/>
        <w:jc w:val="left"/>
        <w:tblInd w:w="0" w:type="dxa"/>
        <w:tblLayout w:type="fixed"/>
        <w:tblCellMar>
          <w:top w:w="0" w:type="dxa"/>
          <w:left w:w="0" w:type="dxa"/>
          <w:bottom w:w="0" w:type="dxa"/>
          <w:right w:w="0" w:type="dxa"/>
        </w:tblCellMar>
      </w:tblPr>
      <w:tblGrid>
        <w:gridCol w:w="4021"/>
        <w:gridCol w:w="346"/>
        <w:gridCol w:w="229"/>
        <w:gridCol w:w="507"/>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553335" cy="175260"/>
                      <wp:effectExtent l="0" t="0" r="0" b="0"/>
                      <wp:wrapNone/>
                      <wp:docPr id="518" name="Frame51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9"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45415" cy="175260"/>
                      <wp:effectExtent l="0" t="0" r="0" b="0"/>
                      <wp:wrapNone/>
                      <wp:docPr id="520" name="Frame51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21945" cy="175260"/>
                      <wp:effectExtent l="0" t="0" r="0" b="0"/>
                      <wp:wrapNone/>
                      <wp:docPr id="521" name="Frame518"/>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amortization expense of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Revolving Credit Facility Deferred Loan Fees: </w:t>
      </w:r>
      <w:r>
        <w:rPr>
          <w:rFonts w:ascii="Times New Roman;Times;serif" w:hAnsi="Times New Roman;Times;serif"/>
          <w:sz w:val="20"/>
        </w:rPr>
        <w:t>Deferred loan fees related to the Company’s revolving credit facility are recorded in other long-term assets in the Company’s Consolidated Balance Sheets and are amortized using the straight-line method, as the difference between the straight-line method and the effective interest method is not material. Activities relating to deferred loan fees for the year ended December 31, 2025 are as follows:</w:t>
      </w:r>
    </w:p>
    <w:p>
      <w:pPr>
        <w:pStyle w:val="TextBody"/>
        <w:bidi w:val="0"/>
        <w:spacing w:before="0" w:after="0"/>
        <w:ind w:left="0" w:right="0" w:hanging="0"/>
        <w:jc w:val="left"/>
        <w:rPr/>
      </w:pPr>
      <w:r>
        <w:rPr/>
        <w:t>​</w:t>
      </w:r>
    </w:p>
    <w:tbl>
      <w:tblPr>
        <w:tblW w:w="5419" w:type="dxa"/>
        <w:jc w:val="left"/>
        <w:tblInd w:w="0" w:type="dxa"/>
        <w:tblLayout w:type="fixed"/>
        <w:tblCellMar>
          <w:top w:w="0" w:type="dxa"/>
          <w:left w:w="0" w:type="dxa"/>
          <w:bottom w:w="0" w:type="dxa"/>
          <w:right w:w="0" w:type="dxa"/>
        </w:tblCellMar>
      </w:tblPr>
      <w:tblGrid>
        <w:gridCol w:w="4336"/>
        <w:gridCol w:w="346"/>
        <w:gridCol w:w="211"/>
        <w:gridCol w:w="526"/>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753360" cy="175260"/>
                      <wp:effectExtent l="0" t="0" r="0" b="0"/>
                      <wp:wrapNone/>
                      <wp:docPr id="522" name="Frame519"/>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9710" cy="175260"/>
                      <wp:effectExtent l="0" t="0" r="0" b="0"/>
                      <wp:wrapNone/>
                      <wp:docPr id="523"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85" cy="175260"/>
                      <wp:effectExtent l="0" t="0" r="0" b="0"/>
                      <wp:wrapNone/>
                      <wp:docPr id="524" name="Frame5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334010" cy="175260"/>
                      <wp:effectExtent l="0" t="0" r="0" b="0"/>
                      <wp:wrapNone/>
                      <wp:docPr id="525" name="Frame52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Revolving Credit Facility Deferred Loan Fees (in millions)</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deferred loan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52" w:name="Tc_XL6ltxWsEUiSMDLVliFpLQ_8_2"/>
      <w:bookmarkStart w:id="1353" w:name="Tc_QduFxZk9UUKCH3m6IJWcQA_8_0"/>
      <w:bookmarkStart w:id="1354" w:name="Tc_L2BVwteVU0WMMpBfoxbtTQ_7_3"/>
      <w:bookmarkStart w:id="1355" w:name="Tc_v0Q35_bvzU6iWhlWRlz59g_7_0"/>
      <w:bookmarkStart w:id="1356" w:name="Tc_79bAIV-SY0mqzxjyaU8JNg_6_0"/>
      <w:bookmarkStart w:id="1357" w:name="Tc_XctaeG_r8UqlET-mP8FOZQ_5_0"/>
      <w:bookmarkStart w:id="1358" w:name="Tc_7sCuneVuS0yiJ5jXXyFYEA_4_0"/>
      <w:bookmarkStart w:id="1359" w:name="Tc_6LEFtDGo6E6t0hxMQxll8Q_3_0"/>
      <w:bookmarkStart w:id="1360" w:name="Tc_CDaucBAss0e-IpSlMZGSeA_2_2"/>
      <w:bookmarkStart w:id="1361" w:name="Tc_LnBCRZAMaU6ptaRU-Zph0w_2_0"/>
      <w:bookmarkStart w:id="1362" w:name="Tc_vJKC92FojESWZFz3fmxsGg_1_2"/>
      <w:bookmarkStart w:id="1363" w:name="Tc_DiSwQb2JIEGe4QpPvx4cVg_1_0"/>
      <w:bookmarkStart w:id="1364" w:name="_f6cdbab5_bb5d_48cd_88f0_da0c22751b6a"/>
      <w:bookmarkEnd w:id="1352"/>
      <w:bookmarkEnd w:id="1353"/>
      <w:bookmarkEnd w:id="1354"/>
      <w:bookmarkEnd w:id="1355"/>
      <w:bookmarkEnd w:id="1356"/>
      <w:bookmarkEnd w:id="1357"/>
      <w:bookmarkEnd w:id="1358"/>
      <w:bookmarkEnd w:id="1359"/>
      <w:bookmarkEnd w:id="1360"/>
      <w:bookmarkEnd w:id="1361"/>
      <w:bookmarkEnd w:id="1362"/>
      <w:bookmarkEnd w:id="1363"/>
      <w:bookmarkEnd w:id="1364"/>
      <w:r>
        <w:rPr>
          <w:rFonts w:ascii="Times New Roman;Times;serif" w:hAnsi="Times New Roman;Times;serif"/>
          <w:sz w:val="20"/>
        </w:rPr>
        <w:t>As of December 31, 2025, amortization expense relating to revolving credit facility deferred loan fees are as follows:</w:t>
      </w:r>
    </w:p>
    <w:p>
      <w:pPr>
        <w:pStyle w:val="TextBody"/>
        <w:bidi w:val="0"/>
        <w:spacing w:before="0" w:after="0"/>
        <w:ind w:left="0" w:right="0" w:hanging="0"/>
        <w:jc w:val="left"/>
        <w:rPr/>
      </w:pPr>
      <w:r>
        <w:rPr/>
        <w:t>​</w:t>
      </w:r>
    </w:p>
    <w:tbl>
      <w:tblPr>
        <w:tblW w:w="7083" w:type="dxa"/>
        <w:jc w:val="left"/>
        <w:tblInd w:w="0" w:type="dxa"/>
        <w:tblLayout w:type="fixed"/>
        <w:tblCellMar>
          <w:top w:w="0" w:type="dxa"/>
          <w:left w:w="0" w:type="dxa"/>
          <w:bottom w:w="0" w:type="dxa"/>
          <w:right w:w="0" w:type="dxa"/>
        </w:tblCellMar>
      </w:tblPr>
      <w:tblGrid>
        <w:gridCol w:w="6001"/>
        <w:gridCol w:w="346"/>
        <w:gridCol w:w="229"/>
        <w:gridCol w:w="507"/>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810635" cy="175260"/>
                      <wp:effectExtent l="0" t="0" r="0" b="0"/>
                      <wp:wrapNone/>
                      <wp:docPr id="526" name="Frame523"/>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7"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45415" cy="175260"/>
                      <wp:effectExtent l="0" t="0" r="0" b="0"/>
                      <wp:wrapNone/>
                      <wp:docPr id="528" name="Frame52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321945" cy="175260"/>
                      <wp:effectExtent l="0" t="0" r="0" b="0"/>
                      <wp:wrapNone/>
                      <wp:docPr id="529" name="Frame526"/>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amortization expense of revolving credit facility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Title XI Debt Covenants:</w:t>
      </w:r>
      <w:r>
        <w:rPr>
          <w:rFonts w:ascii="Times New Roman;Times;serif" w:hAnsi="Times New Roman;Times;serif"/>
          <w:sz w:val="20"/>
        </w:rPr>
        <w:t xml:space="preserve"> The Title XI Debt agreements contain customary representations and warranties as well as affirmative and negative covenants, defaults and other provisions typical for MARAD-guaranteed financings of this type, with definitions, limitations and financial tests all as negotiated between MatNav and MARAD. The covenants in the Title XI Debt agreements include, among other things, limitations on certain other indebtedness, loans and investments, liens, mergers, asset sales, sale and leasebacks, and transactions with affiliates as defined within the Title XI Debt agreements. Certain of the covenants in the Title XI Debt agreements are applicable only upon and during the continuance of either (i) an event of default or (ii) the failure of either the Company or MatNav to meet certain supplemental financial tests, including the following: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supplemental financial tests applicable to MatNav include maintenance of a working capital minimum of $1, and maintenance of a long-term debt to net worth ratio of greater than or equal to 2.0</w:t>
            </w:r>
            <w:r>
              <w:rPr>
                <w:caps w:val="false"/>
                <w:smallCaps w:val="false"/>
              </w:rPr>
              <w:t xml:space="preserve"> </w:t>
            </w:r>
            <w:r>
              <w:rPr>
                <w:rFonts w:ascii="Times New Roman;Times;serif" w:hAnsi="Times New Roman;Times;serif"/>
                <w:b w:val="false"/>
                <w:i w:val="false"/>
                <w:caps w:val="false"/>
                <w:smallCaps w:val="false"/>
                <w:sz w:val="20"/>
              </w:rPr>
              <w:t>to 1.0;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supplemental financial tests applicable to the Company include maintenance of a net worth greater than or equal to 90%</w:t>
            </w:r>
            <w:r>
              <w:rPr>
                <w:caps w:val="false"/>
                <w:smallCaps w:val="false"/>
              </w:rPr>
              <w:t xml:space="preserve"> </w:t>
            </w:r>
            <w:r>
              <w:rPr>
                <w:rFonts w:ascii="Times New Roman;Times;serif" w:hAnsi="Times New Roman;Times;serif"/>
                <w:b w:val="false"/>
                <w:i w:val="false"/>
                <w:caps w:val="false"/>
                <w:smallCaps w:val="false"/>
                <w:sz w:val="20"/>
              </w:rPr>
              <w:t>of the net worth of the Company as set forth in the most recent audited financial statements prior to closing of the issuance of the Title XI Bonds and compliance with the leverage ratio set forth in the Credit Agreement.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Security and Guarantees:</w:t>
      </w:r>
      <w:r>
        <w:rPr>
          <w:rFonts w:ascii="Times New Roman;Times;serif" w:hAnsi="Times New Roman;Times;serif"/>
          <w:sz w:val="20"/>
        </w:rPr>
        <w:t xml:space="preserve"> All of the debt of the Company and MatNav, including related guarantees, as of December 31, 2025 was unsecured, except for the Title XI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Title XI Debt agreements, MARAD has guaranteed certain obligations of MatNav. MatNav has agreed to reimburse MARAD for any payments it makes under the MARAD guaranty, and MatNav’s obligations to MARAD with respect to the Title XI Debt are secured by a mortgage on the Vessels and certain other related assets (the “Collateral”). In addition, MatNav’s obligations to MARAD with respect to the Title XI Debt are guaranteed by the Company under an Affiliate Guaranty.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65" w:name="a9LEASES_699746"/>
      <w:bookmarkStart w:id="1366" w:name="a9LEASES_699746"/>
      <w:bookmarkEnd w:id="1366"/>
    </w:p>
    <w:tbl>
      <w:tblPr>
        <w:tblW w:w="1172" w:type="dxa"/>
        <w:jc w:val="left"/>
        <w:tblInd w:w="0" w:type="dxa"/>
        <w:tblLayout w:type="fixed"/>
        <w:tblCellMar>
          <w:top w:w="0" w:type="dxa"/>
          <w:left w:w="0" w:type="dxa"/>
          <w:bottom w:w="0" w:type="dxa"/>
          <w:right w:w="0" w:type="dxa"/>
        </w:tblCellMar>
      </w:tblPr>
      <w:tblGrid>
        <w:gridCol w:w="271"/>
        <w:gridCol w:w="901"/>
      </w:tblGrid>
      <w:tr>
        <w:trPr/>
        <w:tc>
          <w:tcPr>
            <w:tcW w:w="2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9.</w:t>
            </w:r>
          </w:p>
        </w:tc>
        <w:tc>
          <w:tcPr>
            <w:tcW w:w="90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Description of Operating Leases:</w:t>
      </w:r>
      <w:r>
        <w:rPr>
          <w:rFonts w:ascii="Times New Roman;Times;serif" w:hAnsi="Times New Roman;Times;serif"/>
          <w:sz w:val="20"/>
        </w:rPr>
        <w:t xml:space="preserve"> The Company has different types of operating leases, the specific terms and conditions 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with other similar leases as they expire. The Company’s leases do not contain any residual value guarantees.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did not have any finance leases during the years ended December 31, 2025 and 2024.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67" w:name="Tc_rgne0BPvYE6nGYi8nQxmyg_13_2"/>
      <w:bookmarkStart w:id="1368" w:name="Tc_vB6DICtrYUC9aNDWpdSehQ_13_0"/>
      <w:bookmarkStart w:id="1369" w:name="Tc_zJLooM-Hi0S-dyfbW1sryA_11_0"/>
      <w:bookmarkStart w:id="1370" w:name="Tc_8r1Tc-Rkqk6VRakvz-Zliw_10_0"/>
      <w:bookmarkStart w:id="1371" w:name="Tc_osu4KimyBEeUQDjc-POIYw_9_0"/>
      <w:bookmarkStart w:id="1372" w:name="Tc_UKVMbd4EQEq57UFJ6l-fvQ_8_0"/>
      <w:bookmarkStart w:id="1373" w:name="Tc_k0SMNd97g0yVbS9R1BNogA_7_0"/>
      <w:bookmarkStart w:id="1374" w:name="Tc_ggRPdC_5OkSUMCwNRsqWwQ_6_0"/>
      <w:bookmarkStart w:id="1375" w:name="Tc_e-Dt52XxhkW73ZDbbC7FGQ_5_0"/>
      <w:bookmarkStart w:id="1376" w:name="Tc_xhaTmmrztUmRpA9CQGKygQ_4_0"/>
      <w:bookmarkStart w:id="1377" w:name="Tc_jz4F1BvEmEi7H_mfhhMWVw_3_2"/>
      <w:bookmarkStart w:id="1378" w:name="Tc_ES_mJk0upU2f3kQ2Qi6Weg_3_0"/>
      <w:bookmarkStart w:id="1379" w:name="Tc_w4STvIH9N0Gbdzm3aYHLKQ_2_2"/>
      <w:bookmarkStart w:id="1380" w:name="Tc_IsVJWzbRSUGlT4pulGEZGQ_2_0"/>
      <w:bookmarkStart w:id="1381" w:name="Tc_yjXT3K_0X0is7cn0m3ffrQ_1_2"/>
      <w:bookmarkStart w:id="1382" w:name="Tc_Vv-4TWPgXEO6X_8PPNjAJw_4_0"/>
      <w:bookmarkStart w:id="1383" w:name="Tc_Ax0oRS4K00G_Bmofl9IQzA_3_9"/>
      <w:bookmarkStart w:id="1384" w:name="Tc_5Gou-kLu8k2e6y_xWgefpg_3_6"/>
      <w:bookmarkStart w:id="1385" w:name="Tc_x6HkHLlPSUi4b3lCJkHKYw_3_3"/>
      <w:bookmarkStart w:id="1386" w:name="Tc_o7NKLC5bV0SXJgUUQguTVQ_3_0"/>
      <w:bookmarkStart w:id="1387" w:name="Tc_7znSiqpJF0aDkMf3XnT2Yw_2_8"/>
      <w:bookmarkStart w:id="1388" w:name="Tc_G41c76bnsk6ZN355IQ29IQ_2_5"/>
      <w:bookmarkStart w:id="1389" w:name="Tc_scc-PSKyXEmzYuiR2qhcQA_2_2"/>
      <w:bookmarkStart w:id="1390" w:name="Tc_04Sirc3gp0aihq3X7RPG_Q_1_2"/>
      <w:bookmarkStart w:id="1391" w:name="_3e213131_d3e2_4766_9010_9276597de175"/>
      <w:bookmarkStart w:id="1392" w:name="Tc_Kq0Q7x0WBkmJYYmDtDI_4Q_5_8"/>
      <w:bookmarkStart w:id="1393" w:name="Tc_cd640PFUk0OQBjz3q5Ee5Q_5_5"/>
      <w:bookmarkStart w:id="1394" w:name="Tc_A6j54oD_UECsuxVq2341Qg_5_2"/>
      <w:bookmarkStart w:id="1395" w:name="Tc_M29tRHxvbUWmbTnhrA5Bhw_5_0"/>
      <w:bookmarkStart w:id="1396" w:name="Tc_xarHOpfFoE23sDxNCzbaQw_4_8"/>
      <w:bookmarkStart w:id="1397" w:name="Tc_V5GkwwxEHU6xA5ogAI2mew_4_5"/>
      <w:bookmarkStart w:id="1398" w:name="Tc_sZRmxCFid0a3s4r9gBUdfA_4_2"/>
      <w:bookmarkStart w:id="1399" w:name="Tc_w03tjpKruECOYHGOcQhuVA_4_0"/>
      <w:bookmarkStart w:id="1400" w:name="Tc_muqW6Dq9E0KnUEL46ikzjA_3_8"/>
      <w:bookmarkStart w:id="1401" w:name="Tc_IydhRX9Vs0WLNN0k43POWQ_3_5"/>
      <w:bookmarkStart w:id="1402" w:name="Tc_FSZ2QZ7gQky-SWvFs4FtCQ_3_2"/>
      <w:bookmarkStart w:id="1403" w:name="Tc_oaIkLvOBAUaMajehJRzU9A_3_0"/>
      <w:bookmarkStart w:id="1404" w:name="Tc_cl-izrBUB0mFVSdevc6KtQ_2_2"/>
      <w:bookmarkStart w:id="1405" w:name="Tc_fikVIsYvA0qzvpUIzqPOQg_1_2"/>
      <w:bookmarkStart w:id="1406" w:name="_dda9ba7e_4c18_45e2_8983_6a8146ae6d03"/>
      <w:bookmarkStart w:id="1407" w:name="Tc_QiScG4EnqUWIC7d2fJxM9A_9_8"/>
      <w:bookmarkStart w:id="1408" w:name="Tc_tjmMeXSk_UG770FSi35zpg_9_5"/>
      <w:bookmarkStart w:id="1409" w:name="Tc_pFpY792zWUOA5vJOmr1xgQ_9_2"/>
      <w:bookmarkStart w:id="1410" w:name="Tc_tSU9g4MK7E6_Xjqw_1bwbw_9_0"/>
      <w:bookmarkStart w:id="1411" w:name="Tc_xedZX4-a1UeJ3MoxpMKsyQ_8_0"/>
      <w:bookmarkStart w:id="1412" w:name="Tc_jRdTInkGGEyjNlu3B9ClBA_7_0"/>
      <w:bookmarkStart w:id="1413" w:name="Tc_30n34UA2qk-njOa94w1DuQ_6_0"/>
      <w:bookmarkStart w:id="1414" w:name="Tc_31BcB4zIfEibODqn7ZJsRg_5_0"/>
      <w:bookmarkStart w:id="1415" w:name="Tc_PsIrdUY-CUatTg7pO5oqSw_4_8"/>
      <w:bookmarkStart w:id="1416" w:name="Tc_DgXSrOHUMEa_ObHMjcUstg_4_5"/>
      <w:bookmarkStart w:id="1417" w:name="Tc_p-x8LPSvdkeD5ssYZzNQSw_4_2"/>
      <w:bookmarkStart w:id="1418" w:name="Tc_1kMFtNrL4EiEWT9lEmEQyA_4_0"/>
      <w:bookmarkStart w:id="1419" w:name="Tc_YenkR0KUdU66enTvTW567Q_3_8"/>
      <w:bookmarkStart w:id="1420" w:name="Tc_sRYsV66DwEOJmUF0TlYBGQ_3_5"/>
      <w:bookmarkStart w:id="1421" w:name="Tc__3ljznO4NUOTak7EiLfCoQ_3_2"/>
      <w:bookmarkStart w:id="1422" w:name="Tc_d7IIA7zoUk6Ci--AIPtA4A_3_0"/>
      <w:bookmarkStart w:id="1423" w:name="Tc_m2bNuL9pA0WKQ1KMbZiIEQ_2_2"/>
      <w:bookmarkStart w:id="1424" w:name="Tc_G2KgPYeCEUClSjBRR1FamA_1_2"/>
      <w:bookmarkStart w:id="1425" w:name="Tc_HEL-WW-znk6BwNAWfJk-lQ_4_0"/>
      <w:bookmarkStart w:id="1426" w:name="Tc_B3a5hSdDwUGF9PKV0O1nZg_3_0"/>
      <w:bookmarkStart w:id="1427" w:name="Tc_kfdpPYXY0k29RXUzipEPLg_2_0"/>
      <w:bookmarkStart w:id="1428" w:name="Tc_z38_Cr8EEkykbX4DfDd3vg_1_2"/>
      <w:bookmarkStart w:id="1429" w:name="Tc_8aMn_8mU20-rnrOP-WmbkQ_1_0"/>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r>
        <w:rPr>
          <w:rFonts w:ascii="Times New Roman;Times;serif" w:hAnsi="Times New Roman;Times;serif"/>
          <w:sz w:val="20"/>
        </w:rPr>
        <w:t>The lease type by underlying asset class and maximum terms of the Company’s operating leases are as follows:</w:t>
      </w:r>
    </w:p>
    <w:p>
      <w:pPr>
        <w:pStyle w:val="TextBody"/>
        <w:bidi w:val="0"/>
        <w:spacing w:before="0" w:after="0"/>
        <w:ind w:left="0" w:right="0" w:hanging="0"/>
        <w:jc w:val="left"/>
        <w:rPr/>
      </w:pPr>
      <w:r>
        <w:rPr/>
        <w:t>​</w:t>
      </w:r>
    </w:p>
    <w:tbl>
      <w:tblPr>
        <w:tblW w:w="4428" w:type="dxa"/>
        <w:jc w:val="left"/>
        <w:tblInd w:w="0" w:type="dxa"/>
        <w:tblLayout w:type="fixed"/>
        <w:tblCellMar>
          <w:top w:w="0" w:type="dxa"/>
          <w:left w:w="0" w:type="dxa"/>
          <w:bottom w:w="0" w:type="dxa"/>
          <w:right w:w="0" w:type="dxa"/>
        </w:tblCellMar>
      </w:tblPr>
      <w:tblGrid>
        <w:gridCol w:w="3256"/>
        <w:gridCol w:w="346"/>
        <w:gridCol w:w="82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67560" cy="175260"/>
                      <wp:effectExtent l="0" t="0" r="0" b="0"/>
                      <wp:wrapNone/>
                      <wp:docPr id="530" name="Frame527"/>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0"/>
              <w:ind w:left="0" w:right="0" w:hanging="0"/>
              <w:jc w:val="left"/>
              <w:rPr/>
            </w:pPr>
            <w:r>
              <w:rPr/>
              <w:t>​</w:t>
            </w:r>
          </w:p>
        </w:tc>
      </w:tr>
      <w:tr>
        <w:trPr/>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 Type:</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and terminal leases</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years</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and barge charter leases</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 years</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Operations equipment and other leases</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 years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Incremental Borrowing Rate: </w:t>
      </w:r>
      <w:r>
        <w:rPr>
          <w:rFonts w:ascii="Times New Roman;Times;serif" w:hAnsi="Times New Roman;Times;serif"/>
          <w:sz w:val="20"/>
        </w:rPr>
        <w:t>As most of the Company’s operating leases do not provide an implicit rate of interest associated with the lease, the Company uses 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Components of Lease Cost:</w:t>
      </w:r>
      <w:r>
        <w:rPr>
          <w:rFonts w:ascii="Times New Roman;Times;serif" w:hAnsi="Times New Roman;Times;serif"/>
          <w:sz w:val="20"/>
        </w:rPr>
        <w:t xml:space="preserve"> Components of lease cost recorded in the Company’s Consolidated Statement of Income and Comprehensive Income consists of the following for the years ended December 31, 2025, 2024 and 2023: </w:t>
      </w:r>
    </w:p>
    <w:p>
      <w:pPr>
        <w:pStyle w:val="TextBody"/>
        <w:bidi w:val="0"/>
        <w:spacing w:before="0" w:after="0"/>
        <w:ind w:left="0" w:right="0" w:hanging="0"/>
        <w:jc w:val="left"/>
        <w:rPr/>
      </w:pPr>
      <w:r>
        <w:rPr/>
        <w:t>​</w:t>
      </w:r>
    </w:p>
    <w:tbl>
      <w:tblPr>
        <w:tblW w:w="4816" w:type="dxa"/>
        <w:jc w:val="left"/>
        <w:tblInd w:w="0" w:type="dxa"/>
        <w:tblLayout w:type="fixed"/>
        <w:tblCellMar>
          <w:top w:w="0" w:type="dxa"/>
          <w:left w:w="0" w:type="dxa"/>
          <w:bottom w:w="0" w:type="dxa"/>
          <w:right w:w="0" w:type="dxa"/>
        </w:tblCellMar>
      </w:tblPr>
      <w:tblGrid>
        <w:gridCol w:w="1801"/>
        <w:gridCol w:w="346"/>
        <w:gridCol w:w="211"/>
        <w:gridCol w:w="571"/>
        <w:gridCol w:w="109"/>
        <w:gridCol w:w="211"/>
        <w:gridCol w:w="571"/>
        <w:gridCol w:w="109"/>
        <w:gridCol w:w="211"/>
        <w:gridCol w:w="67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143635" cy="175260"/>
                      <wp:effectExtent l="0" t="0" r="0" b="0"/>
                      <wp:wrapNone/>
                      <wp:docPr id="532" name="Frame529"/>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3"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33985" cy="175260"/>
                      <wp:effectExtent l="0" t="0" r="0" b="0"/>
                      <wp:wrapNone/>
                      <wp:docPr id="534" name="Frame5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62585" cy="175260"/>
                      <wp:effectExtent l="0" t="0" r="0" b="0"/>
                      <wp:wrapNone/>
                      <wp:docPr id="535" name="Frame5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9215" cy="175260"/>
                      <wp:effectExtent l="0" t="0" r="0" b="0"/>
                      <wp:wrapNone/>
                      <wp:docPr id="536" name="Frame5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7" name="Frame5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62585" cy="175260"/>
                      <wp:effectExtent l="0" t="0" r="0" b="0"/>
                      <wp:wrapNone/>
                      <wp:docPr id="538" name="Frame5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5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40" name="Frame5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29260" cy="175260"/>
                      <wp:effectExtent l="0" t="0" r="0" b="0"/>
                      <wp:wrapNone/>
                      <wp:docPr id="541" name="Frame5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69"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6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 net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Lease Information:</w:t>
      </w:r>
      <w:r>
        <w:rPr>
          <w:rFonts w:ascii="Times New Roman;Times;serif" w:hAnsi="Times New Roman;Times;serif"/>
          <w:sz w:val="20"/>
        </w:rPr>
        <w:t xml:space="preserve"> Other information related to the Company’s operating leases consists of the following for the years ended December 31, 2025, 2024 and 2023:</w:t>
      </w:r>
    </w:p>
    <w:p>
      <w:pPr>
        <w:pStyle w:val="TextBody"/>
        <w:bidi w:val="0"/>
        <w:spacing w:before="0" w:after="0"/>
        <w:ind w:left="0" w:right="0" w:hanging="0"/>
        <w:jc w:val="left"/>
        <w:rPr/>
      </w:pPr>
      <w:r>
        <w:rPr/>
        <w:t>​</w:t>
      </w:r>
    </w:p>
    <w:tbl>
      <w:tblPr>
        <w:tblW w:w="8596" w:type="dxa"/>
        <w:jc w:val="left"/>
        <w:tblInd w:w="0" w:type="dxa"/>
        <w:tblLayout w:type="fixed"/>
        <w:tblCellMar>
          <w:top w:w="0" w:type="dxa"/>
          <w:left w:w="0" w:type="dxa"/>
          <w:bottom w:w="0" w:type="dxa"/>
          <w:right w:w="0" w:type="dxa"/>
        </w:tblCellMar>
      </w:tblPr>
      <w:tblGrid>
        <w:gridCol w:w="5641"/>
        <w:gridCol w:w="346"/>
        <w:gridCol w:w="211"/>
        <w:gridCol w:w="571"/>
        <w:gridCol w:w="109"/>
        <w:gridCol w:w="211"/>
        <w:gridCol w:w="571"/>
        <w:gridCol w:w="109"/>
        <w:gridCol w:w="211"/>
        <w:gridCol w:w="616"/>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3582035" cy="175260"/>
                      <wp:effectExtent l="0" t="0" r="0" b="0"/>
                      <wp:wrapNone/>
                      <wp:docPr id="542" name="Frame539"/>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543"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4"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362585" cy="175260"/>
                      <wp:effectExtent l="0" t="0" r="0" b="0"/>
                      <wp:wrapNone/>
                      <wp:docPr id="545" name="Frame5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9215" cy="175260"/>
                      <wp:effectExtent l="0" t="0" r="0" b="0"/>
                      <wp:wrapNone/>
                      <wp:docPr id="546" name="Frame5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3985" cy="175260"/>
                      <wp:effectExtent l="0" t="0" r="0" b="0"/>
                      <wp:wrapNone/>
                      <wp:docPr id="547" name="Frame5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362585" cy="175260"/>
                      <wp:effectExtent l="0" t="0" r="0" b="0"/>
                      <wp:wrapNone/>
                      <wp:docPr id="548" name="Frame5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9215" cy="175260"/>
                      <wp:effectExtent l="0" t="0" r="0" b="0"/>
                      <wp:wrapNone/>
                      <wp:docPr id="549" name="Frame5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33985" cy="175260"/>
                      <wp:effectExtent l="0" t="0" r="0" b="0"/>
                      <wp:wrapNone/>
                      <wp:docPr id="550"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91160" cy="175260"/>
                      <wp:effectExtent l="0" t="0" r="0" b="0"/>
                      <wp:wrapNone/>
                      <wp:docPr id="551" name="Frame54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09"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5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0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amounts included in operating lease 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obtained in the exchange for new operating lease liabilities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40.0</w:t>
            </w:r>
          </w:p>
        </w:tc>
      </w:tr>
    </w:tbl>
    <w:p>
      <w:pPr>
        <w:pStyle w:val="TextBody"/>
        <w:bidi w:val="0"/>
        <w:spacing w:before="0" w:after="0"/>
        <w:ind w:left="0" w:right="0" w:hanging="0"/>
        <w:jc w:val="left"/>
        <w:rPr/>
      </w:pPr>
      <w:r>
        <w:rPr/>
        <w:t>​</w:t>
      </w:r>
    </w:p>
    <w:tbl>
      <w:tblPr>
        <w:tblW w:w="7792" w:type="dxa"/>
        <w:jc w:val="left"/>
        <w:tblInd w:w="0" w:type="dxa"/>
        <w:tblLayout w:type="fixed"/>
        <w:tblCellMar>
          <w:top w:w="0" w:type="dxa"/>
          <w:left w:w="0" w:type="dxa"/>
          <w:bottom w:w="0" w:type="dxa"/>
          <w:right w:w="0" w:type="dxa"/>
        </w:tblCellMar>
      </w:tblPr>
      <w:tblGrid>
        <w:gridCol w:w="4141"/>
        <w:gridCol w:w="109"/>
        <w:gridCol w:w="109"/>
        <w:gridCol w:w="826"/>
        <w:gridCol w:w="346"/>
        <w:gridCol w:w="109"/>
        <w:gridCol w:w="826"/>
        <w:gridCol w:w="346"/>
        <w:gridCol w:w="109"/>
        <w:gridCol w:w="871"/>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629535" cy="175260"/>
                      <wp:effectExtent l="0" t="0" r="0" b="0"/>
                      <wp:wrapNone/>
                      <wp:docPr id="552" name="Frame549"/>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9215" cy="175260"/>
                      <wp:effectExtent l="0" t="0" r="0" b="0"/>
                      <wp:wrapNone/>
                      <wp:docPr id="553" name="Frame5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9215" cy="175260"/>
                      <wp:effectExtent l="0" t="0" r="0" b="0"/>
                      <wp:wrapNone/>
                      <wp:docPr id="554" name="Frame5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24510" cy="175260"/>
                      <wp:effectExtent l="0" t="0" r="0" b="0"/>
                      <wp:wrapNone/>
                      <wp:docPr id="555" name="Frame5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6"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9215" cy="175260"/>
                      <wp:effectExtent l="0" t="0" r="0" b="0"/>
                      <wp:wrapNone/>
                      <wp:docPr id="557" name="Frame5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524510" cy="175260"/>
                      <wp:effectExtent l="0" t="0" r="0" b="0"/>
                      <wp:wrapNone/>
                      <wp:docPr id="558" name="Frame5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9"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9215" cy="175260"/>
                      <wp:effectExtent l="0" t="0" r="0" b="0"/>
                      <wp:wrapNone/>
                      <wp:docPr id="560" name="Frame5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53085" cy="175260"/>
                      <wp:effectExtent l="0" t="0" r="0" b="0"/>
                      <wp:wrapNone/>
                      <wp:docPr id="561" name="Frame55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operating lease term</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 years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 years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 years</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incremental borrowing rate</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minimum lease payments of operating lease liabilities that have non-cancelable lease terms in excess of one year consist of the following at December 31, 2025:</w:t>
      </w:r>
    </w:p>
    <w:p>
      <w:pPr>
        <w:pStyle w:val="TextBody"/>
        <w:bidi w:val="0"/>
        <w:spacing w:before="0" w:after="0"/>
        <w:ind w:left="0" w:right="0" w:hanging="0"/>
        <w:jc w:val="left"/>
        <w:rPr/>
      </w:pPr>
      <w:r>
        <w:rPr/>
        <w:t>​</w:t>
      </w:r>
    </w:p>
    <w:tbl>
      <w:tblPr>
        <w:tblW w:w="5403" w:type="dxa"/>
        <w:jc w:val="left"/>
        <w:tblInd w:w="0" w:type="dxa"/>
        <w:tblLayout w:type="fixed"/>
        <w:tblCellMar>
          <w:top w:w="0" w:type="dxa"/>
          <w:left w:w="0" w:type="dxa"/>
          <w:bottom w:w="0" w:type="dxa"/>
          <w:right w:w="0" w:type="dxa"/>
        </w:tblCellMar>
      </w:tblPr>
      <w:tblGrid>
        <w:gridCol w:w="3511"/>
        <w:gridCol w:w="346"/>
        <w:gridCol w:w="367"/>
        <w:gridCol w:w="1179"/>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229485" cy="175260"/>
                      <wp:effectExtent l="0" t="0" r="0" b="0"/>
                      <wp:wrapNone/>
                      <wp:docPr id="562" name="Frame559"/>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9710" cy="175260"/>
                      <wp:effectExtent l="0" t="0" r="0" b="0"/>
                      <wp:wrapNone/>
                      <wp:docPr id="563"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33045" cy="175260"/>
                      <wp:effectExtent l="0" t="0" r="0" b="0"/>
                      <wp:wrapNone/>
                      <wp:docPr id="564" name="Frame56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748665" cy="175260"/>
                      <wp:effectExtent l="0" t="0" r="0" b="0"/>
                      <wp:wrapNone/>
                      <wp:docPr id="565" name="Frame562"/>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center"/>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center"/>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center"/>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center"/>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center"/>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center"/>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0"/>
              <w:ind w:left="0" w:right="0" w:hanging="0"/>
              <w:jc w:val="center"/>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46" w:type="dxa"/>
            <w:tcBorders/>
            <w:vAlign w:val="center"/>
          </w:tcPr>
          <w:p>
            <w:pPr>
              <w:pStyle w:val="TableContents"/>
              <w:bidi w:val="0"/>
              <w:spacing w:before="0" w:after="0"/>
              <w:ind w:left="0" w:right="0" w:hanging="0"/>
              <w:jc w:val="center"/>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Short-term portion</w:t>
            </w:r>
          </w:p>
        </w:tc>
        <w:tc>
          <w:tcPr>
            <w:tcW w:w="346" w:type="dxa"/>
            <w:tcBorders/>
            <w:vAlign w:val="center"/>
          </w:tcPr>
          <w:p>
            <w:pPr>
              <w:pStyle w:val="TableContents"/>
              <w:bidi w:val="0"/>
              <w:spacing w:before="0" w:after="0"/>
              <w:ind w:left="0" w:right="0" w:hanging="0"/>
              <w:jc w:val="center"/>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246.8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30" w:name="_121b56c7_db5d_44cf_a2f8_54677e06d906_3"/>
      <w:bookmarkStart w:id="1431" w:name="_121b56c7_db5d_44cf_a2f8_54677e06d906_2"/>
      <w:bookmarkStart w:id="1432" w:name="_121b56c7_db5d_44cf_a2f8_54677e06d906"/>
      <w:bookmarkStart w:id="1433" w:name="Tc_fcqm8bptsUaqHiTqXMz_LA_16_18"/>
      <w:bookmarkStart w:id="1434" w:name="Tc_dj-AGvowmUizCsot7dniUQ_16_14"/>
      <w:bookmarkStart w:id="1435" w:name="Tc_uo_y_1bde0qipT2cIBXj0Q_16_12"/>
      <w:bookmarkStart w:id="1436" w:name="Tc_Eh7BQ-5cbUmRTeXy0ziZQA_16_8"/>
      <w:bookmarkStart w:id="1437" w:name="Tc_QLJC9GhD30exGhnpCtGglQ_16_6"/>
      <w:bookmarkStart w:id="1438" w:name="Tc_ufnlTSGMfUeEqZ5JQNa1AQ_16_2"/>
      <w:bookmarkStart w:id="1439" w:name="Tc_cAuEb-InmUSL8dQ72TDo3Q_15_18"/>
      <w:bookmarkStart w:id="1440" w:name="Tc_w_HJWnq4MUSTarWxRAMEtQ_15_17"/>
      <w:bookmarkStart w:id="1441" w:name="Tc_Nq9KgqEJs0mdBhtVBcs22A_15_15"/>
      <w:bookmarkStart w:id="1442" w:name="Tc_-ZPoALw7ZkenoBVAesYLUA_15_12"/>
      <w:bookmarkStart w:id="1443" w:name="Tc_E1iCpNxn7ESGIP7oqoicKA_15_6"/>
      <w:bookmarkStart w:id="1444" w:name="Tc_H45-9PU960C5d89Dd7VlgQ_15_0"/>
      <w:bookmarkStart w:id="1445" w:name="Tc_-YXgvYJPBUaZhBgmIItxAg_14_18"/>
      <w:bookmarkStart w:id="1446" w:name="Tc_9nzsQR7CnUKgVeMjOo2bGA_14_12"/>
      <w:bookmarkStart w:id="1447" w:name="Tc_wCjmyboq2EKjtCwfLg54Rg_14_6"/>
      <w:bookmarkStart w:id="1448" w:name="Tc_fTmDGe5RCk-O14qWyDTPvg_14_0"/>
      <w:bookmarkStart w:id="1449" w:name="Tc_CtTGkN2qikyepbY4VmqLCQ_13_18"/>
      <w:bookmarkStart w:id="1450" w:name="Tc_cALf71ZFXUGsO6Gwf3EOTw_13_12"/>
      <w:bookmarkStart w:id="1451" w:name="Tc_w9aRQIe47keO8PNapU7O1Q_13_6"/>
      <w:bookmarkStart w:id="1452" w:name="Tc_vDuAgRA_mEuBOhE8yQuH8A_13_0"/>
      <w:bookmarkStart w:id="1453" w:name="Tc_Rz9slwxlckCY0128-p3hyA_12_18"/>
      <w:bookmarkStart w:id="1454" w:name="Tc_TfJf3Z85qE2SayoFc2Faig_12_12"/>
      <w:bookmarkStart w:id="1455" w:name="Tc_Zq5Bt6vNEU6g4quXDl5Sdw_12_6"/>
      <w:bookmarkStart w:id="1456" w:name="Tc_Djo48phBAEWSNZQsJnYMgw_12_0"/>
      <w:bookmarkStart w:id="1457" w:name="Tc_biAgAL-PWEuDNYLDqNK_LQ_11_0"/>
      <w:bookmarkStart w:id="1458" w:name="Tc_yQLnVv_6Q0y7l_SGY2elAg_10_18"/>
      <w:bookmarkStart w:id="1459" w:name="Tc_HGThBFF4tUSBa3lMTC44kA_10_17"/>
      <w:bookmarkStart w:id="1460" w:name="Tc_Kj82oVpV8E2DslZoGWfW6A_10_15"/>
      <w:bookmarkStart w:id="1461" w:name="Tc_-W5YtrJiQE-gYNGKEbjkPQ_10_12"/>
      <w:bookmarkStart w:id="1462" w:name="Tc_L-hOFlepi0uNXsPFA50qEw_10_11"/>
      <w:bookmarkStart w:id="1463" w:name="Tc_Mc-YwnMsEkKg8c4bb3HccA_10_9"/>
      <w:bookmarkStart w:id="1464" w:name="Tc_9ISLXmurdkeQZn6UkoPtXw_10_6"/>
      <w:bookmarkStart w:id="1465" w:name="Tc_qGe9fAoYi02bTk90arTSkw_10_5"/>
      <w:bookmarkStart w:id="1466" w:name="Tc_oQn24tdQyU6GnPla0KPDig_10_3"/>
      <w:bookmarkStart w:id="1467" w:name="Tc_SbYf2ZcX6EOSr5jRdE3xlg_10_0"/>
      <w:bookmarkStart w:id="1468" w:name="Tc_dKwbe7qUe02hAWFrWW-VMA_9_18"/>
      <w:bookmarkStart w:id="1469" w:name="Tc_axVJVV65_0q9Yq4XTA_LtQ_9_12"/>
      <w:bookmarkStart w:id="1470" w:name="Tc_IA2mhtDdaUazcijkq0Xoyg_9_6"/>
      <w:bookmarkStart w:id="1471" w:name="Tc_voMramIFIUuH6yx6qYAo2w_9_0"/>
      <w:bookmarkStart w:id="1472" w:name="Tc_6J3_5-g8okSiy7OC0XJYbg_8_18"/>
      <w:bookmarkStart w:id="1473" w:name="Tc_d5CuteNyxEO6ThtmqQK0dg_8_12"/>
      <w:bookmarkStart w:id="1474" w:name="Tc_484nxvsbGkm7KmCOGW04LQ_8_6"/>
      <w:bookmarkStart w:id="1475" w:name="Tc_R4RbhGBhM0-59AnJTRD9-Q_8_0"/>
      <w:bookmarkStart w:id="1476" w:name="Tc_7m2SWOaM4k25_y2PAT9oAQ_7_0"/>
      <w:bookmarkStart w:id="1477" w:name="Tc_RIyVLpaXyk2mpShFODDw3Q_6_18"/>
      <w:bookmarkStart w:id="1478" w:name="Tc_z8oyhMG7X02JAkfTIL1XLQ_6_17"/>
      <w:bookmarkStart w:id="1479" w:name="Tc_5Hu4DyKShki405JtbE_g4w_6_15"/>
      <w:bookmarkStart w:id="1480" w:name="Tc_qckZSxpUjEmXFfABAT4rOQ_6_12"/>
      <w:bookmarkStart w:id="1481" w:name="Tc_5jwW8yLeEEqNClzwdN5Wkw_6_11"/>
      <w:bookmarkStart w:id="1482" w:name="Tc_7av6lhAGpUCO-8dI_dnOBw_6_9"/>
      <w:bookmarkStart w:id="1483" w:name="Tc_HK6RZmGmYkuZ_Fj1RcUG5g_6_6"/>
      <w:bookmarkStart w:id="1484" w:name="Tc_e52gsdmP60OYBkYVgrJ3hA_6_5"/>
      <w:bookmarkStart w:id="1485" w:name="Tc_VWnW8LC5Ek6C3jQ0OoHUUA_6_3"/>
      <w:bookmarkStart w:id="1486" w:name="Tc_hQ3sx-CbckWlL7U5qj26_Q_6_0"/>
      <w:bookmarkStart w:id="1487" w:name="Tc_wL8NY5diFUupp8Qug3VaMg_5_18"/>
      <w:bookmarkStart w:id="1488" w:name="Tc_o_CYHabaYUO8YJZJt71XCw_5_12"/>
      <w:bookmarkStart w:id="1489" w:name="Tc_eLlD2eOcgECtT9aLBWP0NQ_5_6"/>
      <w:bookmarkStart w:id="1490" w:name="Tc_6FbnjdEZHUOjf-UO2ns_dQ_5_0"/>
      <w:bookmarkStart w:id="1491" w:name="Tc_L8P9wTDv9UWPuzoTY1mWwQ_4_18"/>
      <w:bookmarkStart w:id="1492" w:name="Tc_fy6vlcxkykaP7Mp7UrkWAg_4_12"/>
      <w:bookmarkStart w:id="1493" w:name="Tc_k0tzTBChMkqU432Iy0zXeQ_4_6"/>
      <w:bookmarkStart w:id="1494" w:name="Tc_hD7TOrHhlEyhXhEYKeQoIw_4_0"/>
      <w:bookmarkStart w:id="1495" w:name="Tc_PERLncz5Tk-MI700evzPBA_3_18"/>
      <w:bookmarkStart w:id="1496" w:name="Tc_aG9J9xFur0-Ijpp3CBTCjA_3_14"/>
      <w:bookmarkStart w:id="1497" w:name="Tc_wVtVYQOB2UCxUIXTPtTA0A_3_12"/>
      <w:bookmarkStart w:id="1498" w:name="Tc_KE2ILIhrlE2CDjpF-pdCEQ_3_8"/>
      <w:bookmarkStart w:id="1499" w:name="Tc_qo_TkuOgRUeNJ5y-JT4zgg_3_6"/>
      <w:bookmarkStart w:id="1500" w:name="Tc_LV5DbdJpdUOresC_XTZ0PQ_3_2"/>
      <w:bookmarkStart w:id="1501" w:name="Tc_8xgqM56rZEuetmczQQNU6w_3_0"/>
      <w:bookmarkStart w:id="1502" w:name="Tc_5Qf2lJ767E2m1PjHltUk4g_2_14"/>
      <w:bookmarkStart w:id="1503" w:name="Tc_HBamecnbyUafE8Unt9RDZQ_2_8"/>
      <w:bookmarkStart w:id="1504" w:name="Tc_MAc00y8-d0ihFC56yFTIQA_2_2"/>
      <w:bookmarkStart w:id="1505" w:name="Tc_gJxqAuUbXEmQEI_jnddTtg_2_0"/>
      <w:bookmarkStart w:id="1506" w:name="Tc_uERUIoQLvEqDMP4Mk5Z7QA_1_2"/>
      <w:bookmarkStart w:id="1507" w:name="_7ae156e1_2b85_47b8_b537_e8b6a73b00bc"/>
      <w:bookmarkStart w:id="1508" w:name="Tc_aFpiVaUEfE-Pb9EhGJHoQA_13_8"/>
      <w:bookmarkStart w:id="1509" w:name="Tc_9rWyWI6QSEedYgteAxC3pw_13_5"/>
      <w:bookmarkStart w:id="1510" w:name="Tc_-nzqQ-Pm4EqS3Iwq-395Cg_13_2"/>
      <w:bookmarkStart w:id="1511" w:name="Tc_v2_uPeOp6ke9InUxDuj9bA_13_0"/>
      <w:bookmarkStart w:id="1512" w:name="Tc_oDbhQ6neSUyW6LpNeqZtCw_12_0"/>
      <w:bookmarkStart w:id="1513" w:name="Tc_38es0yJKKk61OmEIXDZZdA_11_0"/>
      <w:bookmarkStart w:id="1514" w:name="Tc_2ioE_GenXEi9mcmADTU-XA_10_9"/>
      <w:bookmarkStart w:id="1515" w:name="Tc_o2gSsJNAzk2do1k3sfjOcQ_10_0"/>
      <w:bookmarkStart w:id="1516" w:name="Tc_8l-VbDBvm0uUTbud_jNBiw_9_0"/>
      <w:bookmarkStart w:id="1517" w:name="Tc_DgohBQAGt0mRm5uHzd9pWw_8_0"/>
      <w:bookmarkStart w:id="1518" w:name="Tc_ybaz_GkxXEasZvY-wA-Itg_7_0"/>
      <w:bookmarkStart w:id="1519" w:name="Tc_UKJ8KFUIyEy_NH6Rk6Rrlg_6_0"/>
      <w:bookmarkStart w:id="1520" w:name="Tc_jisWro6T10SMw6pr5ju0Ug_5_0"/>
      <w:bookmarkStart w:id="1521" w:name="Tc_Lk5g2Hfr2U2W13g4fRSVBQ_4_8"/>
      <w:bookmarkStart w:id="1522" w:name="Tc_epm2miPajkq8IApPWK5QwA_4_5"/>
      <w:bookmarkStart w:id="1523" w:name="Tc_tHgAfm-xA0O4ukznxY-6fg_4_2"/>
      <w:bookmarkStart w:id="1524" w:name="Tc_lUE8wcM5fEqVbOT2m_OQ3w_4_0"/>
      <w:bookmarkStart w:id="1525" w:name="Tc_vD69Xjpn6Uyxh1yyINC7PA_3_0"/>
      <w:bookmarkStart w:id="1526" w:name="Tc_HPUyGobnMkKiHj0-pfr7uA_2_8"/>
      <w:bookmarkStart w:id="1527" w:name="Tc_eMIM7Lt31kuO1c9mlh2d7w_2_5"/>
      <w:bookmarkStart w:id="1528" w:name="Tc_ZaWwCVVyFkaTpMqTjy48eQ_2_2"/>
      <w:bookmarkStart w:id="1529" w:name="Tc_n_QMRW_BIkiUMOEjrT0GgQ_2_0"/>
      <w:bookmarkStart w:id="1530" w:name="Tc_8hxwZTiBW0OZngVB8KHunQ_1_2"/>
      <w:bookmarkStart w:id="1531" w:name="_b30d44b0_fe92_4596_a886_c0bea05621ff"/>
      <w:bookmarkStart w:id="1532" w:name="a10INCOMETAXES_269654"/>
      <w:bookmarkStart w:id="1533" w:name="_121b56c7_db5d_44cf_a2f8_54677e06d906_3"/>
      <w:bookmarkStart w:id="1534" w:name="_121b56c7_db5d_44cf_a2f8_54677e06d906_2"/>
      <w:bookmarkStart w:id="1535" w:name="_121b56c7_db5d_44cf_a2f8_54677e06d906"/>
      <w:bookmarkStart w:id="1536" w:name="Tc_fcqm8bptsUaqHiTqXMz_LA_16_18"/>
      <w:bookmarkStart w:id="1537" w:name="Tc_dj-AGvowmUizCsot7dniUQ_16_14"/>
      <w:bookmarkStart w:id="1538" w:name="Tc_uo_y_1bde0qipT2cIBXj0Q_16_12"/>
      <w:bookmarkStart w:id="1539" w:name="Tc_Eh7BQ-5cbUmRTeXy0ziZQA_16_8"/>
      <w:bookmarkStart w:id="1540" w:name="Tc_QLJC9GhD30exGhnpCtGglQ_16_6"/>
      <w:bookmarkStart w:id="1541" w:name="Tc_ufnlTSGMfUeEqZ5JQNa1AQ_16_2"/>
      <w:bookmarkStart w:id="1542" w:name="Tc_cAuEb-InmUSL8dQ72TDo3Q_15_18"/>
      <w:bookmarkStart w:id="1543" w:name="Tc_w_HJWnq4MUSTarWxRAMEtQ_15_17"/>
      <w:bookmarkStart w:id="1544" w:name="Tc_Nq9KgqEJs0mdBhtVBcs22A_15_15"/>
      <w:bookmarkStart w:id="1545" w:name="Tc_-ZPoALw7ZkenoBVAesYLUA_15_12"/>
      <w:bookmarkStart w:id="1546" w:name="Tc_E1iCpNxn7ESGIP7oqoicKA_15_6"/>
      <w:bookmarkStart w:id="1547" w:name="Tc_H45-9PU960C5d89Dd7VlgQ_15_0"/>
      <w:bookmarkStart w:id="1548" w:name="Tc_-YXgvYJPBUaZhBgmIItxAg_14_18"/>
      <w:bookmarkStart w:id="1549" w:name="Tc_9nzsQR7CnUKgVeMjOo2bGA_14_12"/>
      <w:bookmarkStart w:id="1550" w:name="Tc_wCjmyboq2EKjtCwfLg54Rg_14_6"/>
      <w:bookmarkStart w:id="1551" w:name="Tc_fTmDGe5RCk-O14qWyDTPvg_14_0"/>
      <w:bookmarkStart w:id="1552" w:name="Tc_CtTGkN2qikyepbY4VmqLCQ_13_18"/>
      <w:bookmarkStart w:id="1553" w:name="Tc_cALf71ZFXUGsO6Gwf3EOTw_13_12"/>
      <w:bookmarkStart w:id="1554" w:name="Tc_w9aRQIe47keO8PNapU7O1Q_13_6"/>
      <w:bookmarkStart w:id="1555" w:name="Tc_vDuAgRA_mEuBOhE8yQuH8A_13_0"/>
      <w:bookmarkStart w:id="1556" w:name="Tc_Rz9slwxlckCY0128-p3hyA_12_18"/>
      <w:bookmarkStart w:id="1557" w:name="Tc_TfJf3Z85qE2SayoFc2Faig_12_12"/>
      <w:bookmarkStart w:id="1558" w:name="Tc_Zq5Bt6vNEU6g4quXDl5Sdw_12_6"/>
      <w:bookmarkStart w:id="1559" w:name="Tc_Djo48phBAEWSNZQsJnYMgw_12_0"/>
      <w:bookmarkStart w:id="1560" w:name="Tc_biAgAL-PWEuDNYLDqNK_LQ_11_0"/>
      <w:bookmarkStart w:id="1561" w:name="Tc_yQLnVv_6Q0y7l_SGY2elAg_10_18"/>
      <w:bookmarkStart w:id="1562" w:name="Tc_HGThBFF4tUSBa3lMTC44kA_10_17"/>
      <w:bookmarkStart w:id="1563" w:name="Tc_Kj82oVpV8E2DslZoGWfW6A_10_15"/>
      <w:bookmarkStart w:id="1564" w:name="Tc_-W5YtrJiQE-gYNGKEbjkPQ_10_12"/>
      <w:bookmarkStart w:id="1565" w:name="Tc_L-hOFlepi0uNXsPFA50qEw_10_11"/>
      <w:bookmarkStart w:id="1566" w:name="Tc_Mc-YwnMsEkKg8c4bb3HccA_10_9"/>
      <w:bookmarkStart w:id="1567" w:name="Tc_9ISLXmurdkeQZn6UkoPtXw_10_6"/>
      <w:bookmarkStart w:id="1568" w:name="Tc_qGe9fAoYi02bTk90arTSkw_10_5"/>
      <w:bookmarkStart w:id="1569" w:name="Tc_oQn24tdQyU6GnPla0KPDig_10_3"/>
      <w:bookmarkStart w:id="1570" w:name="Tc_SbYf2ZcX6EOSr5jRdE3xlg_10_0"/>
      <w:bookmarkStart w:id="1571" w:name="Tc_dKwbe7qUe02hAWFrWW-VMA_9_18"/>
      <w:bookmarkStart w:id="1572" w:name="Tc_axVJVV65_0q9Yq4XTA_LtQ_9_12"/>
      <w:bookmarkStart w:id="1573" w:name="Tc_IA2mhtDdaUazcijkq0Xoyg_9_6"/>
      <w:bookmarkStart w:id="1574" w:name="Tc_voMramIFIUuH6yx6qYAo2w_9_0"/>
      <w:bookmarkStart w:id="1575" w:name="Tc_6J3_5-g8okSiy7OC0XJYbg_8_18"/>
      <w:bookmarkStart w:id="1576" w:name="Tc_d5CuteNyxEO6ThtmqQK0dg_8_12"/>
      <w:bookmarkStart w:id="1577" w:name="Tc_484nxvsbGkm7KmCOGW04LQ_8_6"/>
      <w:bookmarkStart w:id="1578" w:name="Tc_R4RbhGBhM0-59AnJTRD9-Q_8_0"/>
      <w:bookmarkStart w:id="1579" w:name="Tc_7m2SWOaM4k25_y2PAT9oAQ_7_0"/>
      <w:bookmarkStart w:id="1580" w:name="Tc_RIyVLpaXyk2mpShFODDw3Q_6_18"/>
      <w:bookmarkStart w:id="1581" w:name="Tc_z8oyhMG7X02JAkfTIL1XLQ_6_17"/>
      <w:bookmarkStart w:id="1582" w:name="Tc_5Hu4DyKShki405JtbE_g4w_6_15"/>
      <w:bookmarkStart w:id="1583" w:name="Tc_qckZSxpUjEmXFfABAT4rOQ_6_12"/>
      <w:bookmarkStart w:id="1584" w:name="Tc_5jwW8yLeEEqNClzwdN5Wkw_6_11"/>
      <w:bookmarkStart w:id="1585" w:name="Tc_7av6lhAGpUCO-8dI_dnOBw_6_9"/>
      <w:bookmarkStart w:id="1586" w:name="Tc_HK6RZmGmYkuZ_Fj1RcUG5g_6_6"/>
      <w:bookmarkStart w:id="1587" w:name="Tc_e52gsdmP60OYBkYVgrJ3hA_6_5"/>
      <w:bookmarkStart w:id="1588" w:name="Tc_VWnW8LC5Ek6C3jQ0OoHUUA_6_3"/>
      <w:bookmarkStart w:id="1589" w:name="Tc_hQ3sx-CbckWlL7U5qj26_Q_6_0"/>
      <w:bookmarkStart w:id="1590" w:name="Tc_wL8NY5diFUupp8Qug3VaMg_5_18"/>
      <w:bookmarkStart w:id="1591" w:name="Tc_o_CYHabaYUO8YJZJt71XCw_5_12"/>
      <w:bookmarkStart w:id="1592" w:name="Tc_eLlD2eOcgECtT9aLBWP0NQ_5_6"/>
      <w:bookmarkStart w:id="1593" w:name="Tc_6FbnjdEZHUOjf-UO2ns_dQ_5_0"/>
      <w:bookmarkStart w:id="1594" w:name="Tc_L8P9wTDv9UWPuzoTY1mWwQ_4_18"/>
      <w:bookmarkStart w:id="1595" w:name="Tc_fy6vlcxkykaP7Mp7UrkWAg_4_12"/>
      <w:bookmarkStart w:id="1596" w:name="Tc_k0tzTBChMkqU432Iy0zXeQ_4_6"/>
      <w:bookmarkStart w:id="1597" w:name="Tc_hD7TOrHhlEyhXhEYKeQoIw_4_0"/>
      <w:bookmarkStart w:id="1598" w:name="Tc_PERLncz5Tk-MI700evzPBA_3_18"/>
      <w:bookmarkStart w:id="1599" w:name="Tc_aG9J9xFur0-Ijpp3CBTCjA_3_14"/>
      <w:bookmarkStart w:id="1600" w:name="Tc_wVtVYQOB2UCxUIXTPtTA0A_3_12"/>
      <w:bookmarkStart w:id="1601" w:name="Tc_KE2ILIhrlE2CDjpF-pdCEQ_3_8"/>
      <w:bookmarkStart w:id="1602" w:name="Tc_qo_TkuOgRUeNJ5y-JT4zgg_3_6"/>
      <w:bookmarkStart w:id="1603" w:name="Tc_LV5DbdJpdUOresC_XTZ0PQ_3_2"/>
      <w:bookmarkStart w:id="1604" w:name="Tc_8xgqM56rZEuetmczQQNU6w_3_0"/>
      <w:bookmarkStart w:id="1605" w:name="Tc_5Qf2lJ767E2m1PjHltUk4g_2_14"/>
      <w:bookmarkStart w:id="1606" w:name="Tc_HBamecnbyUafE8Unt9RDZQ_2_8"/>
      <w:bookmarkStart w:id="1607" w:name="Tc_MAc00y8-d0ihFC56yFTIQA_2_2"/>
      <w:bookmarkStart w:id="1608" w:name="Tc_gJxqAuUbXEmQEI_jnddTtg_2_0"/>
      <w:bookmarkStart w:id="1609" w:name="Tc_uERUIoQLvEqDMP4Mk5Z7QA_1_2"/>
      <w:bookmarkStart w:id="1610" w:name="_7ae156e1_2b85_47b8_b537_e8b6a73b00bc"/>
      <w:bookmarkStart w:id="1611" w:name="Tc_aFpiVaUEfE-Pb9EhGJHoQA_13_8"/>
      <w:bookmarkStart w:id="1612" w:name="Tc_9rWyWI6QSEedYgteAxC3pw_13_5"/>
      <w:bookmarkStart w:id="1613" w:name="Tc_-nzqQ-Pm4EqS3Iwq-395Cg_13_2"/>
      <w:bookmarkStart w:id="1614" w:name="Tc_v2_uPeOp6ke9InUxDuj9bA_13_0"/>
      <w:bookmarkStart w:id="1615" w:name="Tc_oDbhQ6neSUyW6LpNeqZtCw_12_0"/>
      <w:bookmarkStart w:id="1616" w:name="Tc_38es0yJKKk61OmEIXDZZdA_11_0"/>
      <w:bookmarkStart w:id="1617" w:name="Tc_2ioE_GenXEi9mcmADTU-XA_10_9"/>
      <w:bookmarkStart w:id="1618" w:name="Tc_o2gSsJNAzk2do1k3sfjOcQ_10_0"/>
      <w:bookmarkStart w:id="1619" w:name="Tc_8l-VbDBvm0uUTbud_jNBiw_9_0"/>
      <w:bookmarkStart w:id="1620" w:name="Tc_DgohBQAGt0mRm5uHzd9pWw_8_0"/>
      <w:bookmarkStart w:id="1621" w:name="Tc_ybaz_GkxXEasZvY-wA-Itg_7_0"/>
      <w:bookmarkStart w:id="1622" w:name="Tc_UKJ8KFUIyEy_NH6Rk6Rrlg_6_0"/>
      <w:bookmarkStart w:id="1623" w:name="Tc_jisWro6T10SMw6pr5ju0Ug_5_0"/>
      <w:bookmarkStart w:id="1624" w:name="Tc_Lk5g2Hfr2U2W13g4fRSVBQ_4_8"/>
      <w:bookmarkStart w:id="1625" w:name="Tc_epm2miPajkq8IApPWK5QwA_4_5"/>
      <w:bookmarkStart w:id="1626" w:name="Tc_tHgAfm-xA0O4ukznxY-6fg_4_2"/>
      <w:bookmarkStart w:id="1627" w:name="Tc_lUE8wcM5fEqVbOT2m_OQ3w_4_0"/>
      <w:bookmarkStart w:id="1628" w:name="Tc_vD69Xjpn6Uyxh1yyINC7PA_3_0"/>
      <w:bookmarkStart w:id="1629" w:name="Tc_HPUyGobnMkKiHj0-pfr7uA_2_8"/>
      <w:bookmarkStart w:id="1630" w:name="Tc_eMIM7Lt31kuO1c9mlh2d7w_2_5"/>
      <w:bookmarkStart w:id="1631" w:name="Tc_ZaWwCVVyFkaTpMqTjy48eQ_2_2"/>
      <w:bookmarkStart w:id="1632" w:name="Tc_n_QMRW_BIkiUMOEjrT0GgQ_2_0"/>
      <w:bookmarkStart w:id="1633" w:name="Tc_8hxwZTiBW0OZngVB8KHunQ_1_2"/>
      <w:bookmarkStart w:id="1634" w:name="_b30d44b0_fe92_4596_a886_c0bea05621ff"/>
      <w:bookmarkStart w:id="1635" w:name="a10INCOMETAXES_269654"/>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
    <w:tbl>
      <w:tblPr>
        <w:tblW w:w="2027" w:type="dxa"/>
        <w:jc w:val="left"/>
        <w:tblInd w:w="0" w:type="dxa"/>
        <w:tblLayout w:type="fixed"/>
        <w:tblCellMar>
          <w:top w:w="0" w:type="dxa"/>
          <w:left w:w="0" w:type="dxa"/>
          <w:bottom w:w="0" w:type="dxa"/>
          <w:right w:w="0" w:type="dxa"/>
        </w:tblCellMar>
      </w:tblPr>
      <w:tblGrid>
        <w:gridCol w:w="376"/>
        <w:gridCol w:w="1651"/>
      </w:tblGrid>
      <w:tr>
        <w:trPr/>
        <w:tc>
          <w:tcPr>
            <w:tcW w:w="3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10.</w:t>
            </w:r>
          </w:p>
        </w:tc>
        <w:tc>
          <w:tcPr>
            <w:tcW w:w="165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Income taxes consist of the following for the years ended December 31, 2025, 2024 and 2023:</w:t>
      </w:r>
    </w:p>
    <w:p>
      <w:pPr>
        <w:pStyle w:val="TextBody"/>
        <w:bidi w:val="0"/>
        <w:spacing w:before="0" w:after="0"/>
        <w:ind w:left="0" w:right="0" w:hanging="0"/>
        <w:jc w:val="left"/>
        <w:rPr/>
      </w:pPr>
      <w:r>
        <w:rPr/>
        <w:t>​</w:t>
      </w:r>
    </w:p>
    <w:tbl>
      <w:tblPr>
        <w:tblW w:w="5646" w:type="dxa"/>
        <w:jc w:val="left"/>
        <w:tblInd w:w="0" w:type="dxa"/>
        <w:tblLayout w:type="fixed"/>
        <w:tblCellMar>
          <w:top w:w="0" w:type="dxa"/>
          <w:left w:w="0" w:type="dxa"/>
          <w:bottom w:w="0" w:type="dxa"/>
          <w:right w:w="0" w:type="dxa"/>
        </w:tblCellMar>
      </w:tblPr>
      <w:tblGrid>
        <w:gridCol w:w="2266"/>
        <w:gridCol w:w="346"/>
        <w:gridCol w:w="211"/>
        <w:gridCol w:w="481"/>
        <w:gridCol w:w="346"/>
        <w:gridCol w:w="211"/>
        <w:gridCol w:w="571"/>
        <w:gridCol w:w="346"/>
        <w:gridCol w:w="211"/>
        <w:gridCol w:w="466"/>
        <w:gridCol w:w="19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438910" cy="175260"/>
                      <wp:effectExtent l="0" t="0" r="0" b="0"/>
                      <wp:wrapNone/>
                      <wp:docPr id="566" name="Frame563"/>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67"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68" name="Frame5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305435" cy="175260"/>
                      <wp:effectExtent l="0" t="0" r="0" b="0"/>
                      <wp:wrapNone/>
                      <wp:docPr id="569" name="Frame56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70"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3985" cy="175260"/>
                      <wp:effectExtent l="0" t="0" r="0" b="0"/>
                      <wp:wrapNone/>
                      <wp:docPr id="571" name="Frame5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362585" cy="175260"/>
                      <wp:effectExtent l="0" t="0" r="0" b="0"/>
                      <wp:wrapNone/>
                      <wp:docPr id="572" name="Frame5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4" name="Frame5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95910" cy="175260"/>
                      <wp:effectExtent l="0" t="0" r="0" b="0"/>
                      <wp:wrapNone/>
                      <wp:docPr id="575" name="Frame57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21285" cy="175260"/>
                      <wp:effectExtent l="0" t="0" r="0" b="0"/>
                      <wp:wrapNone/>
                      <wp:docPr id="576" name="Frame57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191" w:type="dxa"/>
            <w:tcBorders/>
            <w:vAlign w:val="center"/>
          </w:tcPr>
          <w:p>
            <w:pPr>
              <w:pStyle w:val="TableContents"/>
              <w:bidi w:val="0"/>
              <w:spacing w:before="0" w:after="0"/>
              <w:ind w:left="0" w:right="0" w:hanging="0"/>
              <w:jc w:val="lef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91" w:type="dxa"/>
            <w:tcBorders/>
            <w:vAlign w:val="center"/>
          </w:tcPr>
          <w:p>
            <w:pPr>
              <w:pStyle w:val="TableContents"/>
              <w:bidi w:val="0"/>
              <w:spacing w:before="0" w:after="0"/>
              <w:ind w:left="0" w:right="0" w:hanging="0"/>
              <w:jc w:val="lef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191" w:type="dxa"/>
            <w:tcBorders/>
            <w:vAlign w:val="center"/>
          </w:tcPr>
          <w:p>
            <w:pPr>
              <w:pStyle w:val="TableContents"/>
              <w:bidi w:val="0"/>
              <w:spacing w:before="0" w:after="0"/>
              <w:ind w:left="0" w:right="0" w:hanging="0"/>
              <w:jc w:val="lef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for the years ended December 31, 2025, 2024 and 2023 vary from amounts computed by applying the statutory U.S. federal income tax rate due to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27"/>
        <w:gridCol w:w="346"/>
        <w:gridCol w:w="211"/>
        <w:gridCol w:w="607"/>
        <w:gridCol w:w="109"/>
        <w:gridCol w:w="502"/>
        <w:gridCol w:w="271"/>
        <w:gridCol w:w="109"/>
        <w:gridCol w:w="211"/>
        <w:gridCol w:w="607"/>
        <w:gridCol w:w="109"/>
        <w:gridCol w:w="502"/>
        <w:gridCol w:w="271"/>
        <w:gridCol w:w="109"/>
        <w:gridCol w:w="211"/>
        <w:gridCol w:w="574"/>
        <w:gridCol w:w="109"/>
        <w:gridCol w:w="502"/>
        <w:gridCol w:w="318"/>
      </w:tblGrid>
      <w:tr>
        <w:trPr/>
        <w:tc>
          <w:tcPr>
            <w:tcW w:w="4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874645" cy="175260"/>
                      <wp:effectExtent l="0" t="0" r="0" b="0"/>
                      <wp:wrapNone/>
                      <wp:docPr id="577" name="Frame574"/>
                      <a:graphic xmlns:a="http://schemas.openxmlformats.org/drawingml/2006/main">
                        <a:graphicData uri="http://schemas.microsoft.com/office/word/2010/wordprocessingShape">
                          <wps:wsp>
                            <wps:cNvSpPr txBox="1"/>
                            <wps:spPr>
                              <a:xfrm>
                                <a:off x="0" y="0"/>
                                <a:ext cx="287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8"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33985" cy="175260"/>
                      <wp:effectExtent l="0" t="0" r="0" b="0"/>
                      <wp:wrapNone/>
                      <wp:docPr id="579" name="Frame5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385445" cy="175260"/>
                      <wp:effectExtent l="0" t="0" r="0" b="0"/>
                      <wp:wrapNone/>
                      <wp:docPr id="580" name="Frame577"/>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9215" cy="175260"/>
                      <wp:effectExtent l="0" t="0" r="0" b="0"/>
                      <wp:wrapNone/>
                      <wp:docPr id="581" name="Frame5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318770" cy="175260"/>
                      <wp:effectExtent l="0" t="0" r="0" b="0"/>
                      <wp:wrapNone/>
                      <wp:docPr id="582" name="Frame579"/>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72085" cy="175260"/>
                      <wp:effectExtent l="0" t="0" r="0" b="0"/>
                      <wp:wrapNone/>
                      <wp:docPr id="583" name="Frame58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9215" cy="175260"/>
                      <wp:effectExtent l="0" t="0" r="0" b="0"/>
                      <wp:wrapNone/>
                      <wp:docPr id="584" name="Frame5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33985" cy="175260"/>
                      <wp:effectExtent l="0" t="0" r="0" b="0"/>
                      <wp:wrapNone/>
                      <wp:docPr id="585" name="Frame5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385445" cy="175260"/>
                      <wp:effectExtent l="0" t="0" r="0" b="0"/>
                      <wp:wrapNone/>
                      <wp:docPr id="586" name="Frame58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175260"/>
                      <wp:effectExtent l="0" t="0" r="0" b="0"/>
                      <wp:wrapNone/>
                      <wp:docPr id="587" name="Frame5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318770" cy="175260"/>
                      <wp:effectExtent l="0" t="0" r="0" b="0"/>
                      <wp:wrapNone/>
                      <wp:docPr id="588" name="Frame585"/>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72085" cy="175260"/>
                      <wp:effectExtent l="0" t="0" r="0" b="0"/>
                      <wp:wrapNone/>
                      <wp:docPr id="589" name="Frame58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9215" cy="175260"/>
                      <wp:effectExtent l="0" t="0" r="0" b="0"/>
                      <wp:wrapNone/>
                      <wp:docPr id="590"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260"/>
                      <wp:effectExtent l="0" t="0" r="0" b="0"/>
                      <wp:wrapNone/>
                      <wp:docPr id="591"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364490" cy="175260"/>
                      <wp:effectExtent l="0" t="0" r="0" b="0"/>
                      <wp:wrapNone/>
                      <wp:docPr id="592" name="Frame589"/>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93" name="Frame5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318770" cy="175260"/>
                      <wp:effectExtent l="0" t="0" r="0" b="0"/>
                      <wp:wrapNone/>
                      <wp:docPr id="594" name="Frame591"/>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1930" cy="175260"/>
                      <wp:effectExtent l="0" t="0" r="0" b="0"/>
                      <wp:wrapNone/>
                      <wp:docPr id="595" name="Frame592"/>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3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5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Taxes and Effective Income Tax Rate (Dollars in millions)</w:t>
            </w:r>
          </w:p>
        </w:tc>
        <w:tc>
          <w:tcPr>
            <w:tcW w:w="346" w:type="dxa"/>
            <w:tcBorders/>
            <w:vAlign w:val="center"/>
          </w:tcPr>
          <w:p>
            <w:pPr>
              <w:pStyle w:val="TableContents"/>
              <w:bidi w:val="0"/>
              <w:spacing w:before="0" w:after="0"/>
              <w:ind w:left="0" w:right="0" w:hanging="0"/>
              <w:jc w:val="left"/>
              <w:rPr/>
            </w:pPr>
            <w:r>
              <w:rPr/>
              <w:t>  ​ ​ ​</w:t>
            </w:r>
          </w:p>
        </w:tc>
        <w:tc>
          <w:tcPr>
            <w:tcW w:w="1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tax and rate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112.1 </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21.0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125.9 </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21.0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78.3 </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21.0 </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 taxes, net of federal income tax effect (1)(2)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 </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 </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 </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 </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 </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 </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0.7 </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Enactment of new tax laws or rates enacted in the current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cross-border tax laws: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Foreign-derived intangible income (“FDII”)</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payment awards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 </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 </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 </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 </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unrecognized tax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righ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and effective income tax rate (3)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109" w:type="dxa"/>
            <w:tcBorders/>
            <w:vAlign w:val="center"/>
          </w:tcPr>
          <w:p>
            <w:pPr>
              <w:pStyle w:val="TableContents"/>
              <w:bidi w:val="0"/>
              <w:spacing w:before="0" w:after="0"/>
              <w:ind w:left="0" w:right="0" w:hanging="0"/>
              <w:jc w:val="right"/>
              <w:rPr/>
            </w:pPr>
            <w:r>
              <w:rPr/>
              <w:t>​</w:t>
            </w:r>
          </w:p>
        </w:tc>
        <w:tc>
          <w:tcPr>
            <w:tcW w:w="5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109" w:type="dxa"/>
            <w:tcBorders/>
            <w:vAlign w:val="center"/>
          </w:tcPr>
          <w:p>
            <w:pPr>
              <w:pStyle w:val="TableContents"/>
              <w:bidi w:val="0"/>
              <w:spacing w:before="0" w:after="0"/>
              <w:ind w:left="0" w:right="0" w:hanging="0"/>
              <w:jc w:val="right"/>
              <w:rPr/>
            </w:pPr>
            <w:r>
              <w:rPr/>
              <w:t>​</w:t>
            </w:r>
          </w:p>
        </w:tc>
        <w:tc>
          <w:tcPr>
            <w:tcW w:w="5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20.5 </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109" w:type="dxa"/>
            <w:tcBorders/>
            <w:vAlign w:val="center"/>
          </w:tcPr>
          <w:p>
            <w:pPr>
              <w:pStyle w:val="TableContents"/>
              <w:bidi w:val="0"/>
              <w:spacing w:before="0" w:after="0"/>
              <w:ind w:left="0" w:right="0" w:hanging="0"/>
              <w:jc w:val="right"/>
              <w:rPr/>
            </w:pPr>
            <w:r>
              <w:rPr/>
              <w:t>​</w:t>
            </w:r>
          </w:p>
        </w:tc>
        <w:tc>
          <w:tcPr>
            <w:tcW w:w="5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20.3 </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 2025, State and local income taxes in California and Alaska</w:t>
            </w:r>
            <w:r>
              <w:rPr>
                <w:caps w:val="false"/>
                <w:smallCaps w:val="false"/>
              </w:rPr>
              <w:t xml:space="preserve"> </w:t>
            </w:r>
            <w:r>
              <w:rPr>
                <w:rFonts w:ascii="Times New Roman;Times;serif" w:hAnsi="Times New Roman;Times;serif"/>
                <w:b w:val="false"/>
                <w:i w:val="false"/>
                <w:caps w:val="false"/>
                <w:smallCaps w:val="false"/>
                <w:sz w:val="16"/>
              </w:rPr>
              <w:t>comprise the majority of this category. In 2024 and 2023, State and local income taxes in California and Hawaii</w:t>
            </w:r>
            <w:r>
              <w:rPr>
                <w:caps w:val="false"/>
                <w:smallCaps w:val="false"/>
              </w:rPr>
              <w:t xml:space="preserve"> </w:t>
            </w:r>
            <w:r>
              <w:rPr>
                <w:rFonts w:ascii="Times New Roman;Times;serif" w:hAnsi="Times New Roman;Times;serif"/>
                <w:b w:val="false"/>
                <w:i w:val="false"/>
                <w:caps w:val="false"/>
                <w:smallCaps w:val="false"/>
                <w:sz w:val="16"/>
              </w:rPr>
              <w:t>comprise the majority of this category.</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State and local taxes, net of federal income tax effect for the year ended December 31, 2025 is presented net of the impact of a one-time positive tax adjustment of approximately $18.5</w:t>
            </w:r>
            <w:r>
              <w:rPr>
                <w:caps w:val="false"/>
                <w:smallCaps w:val="false"/>
              </w:rPr>
              <w:t> </w:t>
            </w:r>
            <w:r>
              <w:rPr>
                <w:rFonts w:ascii="Times New Roman;Times;serif" w:hAnsi="Times New Roman;Times;serif"/>
                <w:b w:val="false"/>
                <w:i w:val="false"/>
                <w:caps w:val="false"/>
                <w:smallCaps w:val="false"/>
                <w:sz w:val="16"/>
              </w:rPr>
              <w:t>million or 3.5</w:t>
            </w:r>
            <w:r>
              <w:rPr>
                <w:caps w:val="false"/>
                <w:smallCaps w:val="false"/>
              </w:rPr>
              <w:t> </w:t>
            </w:r>
            <w:r>
              <w:rPr>
                <w:rFonts w:ascii="Times New Roman;Times;serif" w:hAnsi="Times New Roman;Times;serif"/>
                <w:b w:val="false"/>
                <w:i w:val="false"/>
                <w:caps w:val="false"/>
                <w:smallCaps w:val="false"/>
                <w:sz w:val="16"/>
              </w:rPr>
              <w:t>percent.</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Excluding the one-time positive tax adjustment described above, the effective income tax rate would have been 20.1</w:t>
            </w:r>
            <w:r>
              <w:rPr>
                <w:caps w:val="false"/>
                <w:smallCaps w:val="false"/>
              </w:rPr>
              <w:t> </w:t>
            </w:r>
            <w:r>
              <w:rPr>
                <w:rFonts w:ascii="Times New Roman;Times;serif" w:hAnsi="Times New Roman;Times;serif"/>
                <w:b w:val="false"/>
                <w:i w:val="false"/>
                <w:caps w:val="false"/>
                <w:smallCaps w:val="false"/>
                <w:sz w:val="16"/>
              </w:rPr>
              <w:t>percent for the year ended December 31, 2025.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636" w:name="Tc_UsQoJrScSkShVpxOa_tiyQ_3_7"/>
      <w:bookmarkStart w:id="1637" w:name="Tc_50qSuigys0CxawSKqN0S4Q_3_4"/>
      <w:bookmarkStart w:id="1638" w:name="Tc_ezWeVDhPsUSw6zt47TFeEQ_3_2"/>
      <w:bookmarkStart w:id="1639" w:name="Tc_uAwaE4eJ0UatP_xTzWGmWg_3_0"/>
      <w:bookmarkStart w:id="1640" w:name="Tc_PiB1Q107JEyW3krsCF9CMg_2_7"/>
      <w:bookmarkStart w:id="1641" w:name="Tc_5ZYDT8nxak24fjjeRyOLYw_2_4"/>
      <w:bookmarkStart w:id="1642" w:name="Tc_wc0S3ESWe02REtVSeCedDA_2_2"/>
      <w:bookmarkStart w:id="1643" w:name="Tc_D6YGySPe8Ey2020qKi_OFg_2_0"/>
      <w:bookmarkStart w:id="1644" w:name="Tc_8y21nN7BCUemRhPnHXPBwg_1_7"/>
      <w:bookmarkStart w:id="1645" w:name="Tc_6_3PcmyL1kq8fWi6KZb0WQ_1_4"/>
      <w:bookmarkStart w:id="1646" w:name="Tc_rhS_jHDZV0GrZdKfkHqpHA_1_2"/>
      <w:bookmarkStart w:id="1647" w:name="Tc_QXMaSrD3GkCZGAjeM9tOYQ_1_0"/>
      <w:bookmarkStart w:id="1648" w:name="_636a8a25_2aec_4c28_b0cb_db057ae2af70"/>
      <w:bookmarkStart w:id="1649" w:name="Tc_Oahd2sdX9UiFPUNGyzfD2g_12_8"/>
      <w:bookmarkStart w:id="1650" w:name="Tc_gKLRXoqlVEic0V6N3ww_Lg_12_5"/>
      <w:bookmarkStart w:id="1651" w:name="Tc_sjOB6dG3vkaWh98QnZ0W1Q_12_2"/>
      <w:bookmarkStart w:id="1652" w:name="Tc_taa_O6-GWkCZoW2Fc_5Spw_12_0"/>
      <w:bookmarkStart w:id="1653" w:name="Tc_D6oUefRDc0Gwz4_qqj5HgA_11_0"/>
      <w:bookmarkStart w:id="1654" w:name="Tc_TKssSh8OukK_0pMVAfeW5A_10_0"/>
      <w:bookmarkStart w:id="1655" w:name="Tc_xtg7qW8m0UKbEwVCBK-7DA_9_0"/>
      <w:bookmarkStart w:id="1656" w:name="Tc_Xc29cZo3l0OaLRNg0gD2aA_8_0"/>
      <w:bookmarkStart w:id="1657" w:name="Tc_0vqBKKJaD0Op5yUMDcmP1Q_7_3"/>
      <w:bookmarkStart w:id="1658" w:name="Tc_OmsBGSpO1U6spWk2g0_kNQ_7_0"/>
      <w:bookmarkStart w:id="1659" w:name="Tc_t5r5dCeRFUW2jGa-39qkYw_6_0"/>
      <w:bookmarkStart w:id="1660" w:name="Tc_P98Az6kdPE6myP6ufG6ctQ_5_0"/>
      <w:bookmarkStart w:id="1661" w:name="Tc_PtAPVdytMkW4iudH3Qtdlw_4_0"/>
      <w:bookmarkStart w:id="1662" w:name="Tc_bl_fXCqFyky5yvhwXv8Fpg_3_0"/>
      <w:bookmarkStart w:id="1663" w:name="Tc_qpXuLxj4v06DwOZZFE5FWA_2_8"/>
      <w:bookmarkStart w:id="1664" w:name="Tc_2bFj41uuIEG9nzay9XMnxA_2_5"/>
      <w:bookmarkStart w:id="1665" w:name="Tc_1a9FzB2DFkiefrqreLW4Gw_2_2"/>
      <w:bookmarkStart w:id="1666" w:name="Tc_V0rE4QIi-0-HS8Q71ZlOBA_2_0"/>
      <w:bookmarkStart w:id="1667" w:name="Tc_m1x0DZvnsUOcRZf3Fw7edg_1_8"/>
      <w:bookmarkStart w:id="1668" w:name="Tc_NZqI2ltlc0yLxnbTSP4RTA_1_5"/>
      <w:bookmarkStart w:id="1669" w:name="Tc_mhRas-wUQE69EeamuaO5zg_1_2"/>
      <w:bookmarkStart w:id="1670" w:name="Tc_xXmdUivEDkWokL7kvsGpiA_1_0"/>
      <w:bookmarkStart w:id="1671" w:name="_2a8818d9_7225_422d_9578_c692152c32b9"/>
      <w:bookmarkStart w:id="1672" w:name="Tc_Tbreznyg_USZC0i2J7OXOg_20_5"/>
      <w:bookmarkStart w:id="1673" w:name="Tc_murrdxt5JUSfoe4j8iK71g_20_2"/>
      <w:bookmarkStart w:id="1674" w:name="Tc_sMd7V2uMQkqhHLAUVqF2QA_20_0"/>
      <w:bookmarkStart w:id="1675" w:name="Tc_VUZruyaiHk2_TLbxqbw0NQ_19_0"/>
      <w:bookmarkStart w:id="1676" w:name="Tc_wob3hC-qjUOdgw9dP6KiaQ_18_0"/>
      <w:bookmarkStart w:id="1677" w:name="Tc_QwYCRKkkgU-Xg9tCLK6HOA_17_0"/>
      <w:bookmarkStart w:id="1678" w:name="Tc_zHc_aN-bUkOhiciudJB4ww_16_0"/>
      <w:bookmarkStart w:id="1679" w:name="Tc_yBnfPOMKvEiN9iuBH2Izfg_15_0"/>
      <w:bookmarkStart w:id="1680" w:name="Tc_M_tRtAYHik6AuIxJ4j1xwA_14_0"/>
      <w:bookmarkStart w:id="1681" w:name="Tc_t8z2Hpq50EWs09cbWfdGHg_13_0"/>
      <w:bookmarkStart w:id="1682" w:name="Tc_RASWHAeJ9EaMKuC-_u6nMQ_11_0"/>
      <w:bookmarkStart w:id="1683" w:name="Tc_blCWJXVPJkWHvCRQaRKLIw_10_0"/>
      <w:bookmarkStart w:id="1684" w:name="Tc_pqcSqA3W4E2eHKalv3wGiQ_9_0"/>
      <w:bookmarkStart w:id="1685" w:name="Tc_io-642g1PkKsMn0oaA2U1w_8_0"/>
      <w:bookmarkStart w:id="1686" w:name="Tc_pkCNEpXPVESbMOD8aUnTUg_7_0"/>
      <w:bookmarkStart w:id="1687" w:name="Tc_7w7ioUE5ukOn1NiS0kJHdg_6_0"/>
      <w:bookmarkStart w:id="1688" w:name="Tc_OboZmVxDoEO82L4YDRkb7Q_5_0"/>
      <w:bookmarkStart w:id="1689" w:name="Tc_OzbyiS3ISUK_lCTTNtMRog_4_5"/>
      <w:bookmarkStart w:id="1690" w:name="Tc_L8Y2hLzSKE-H0ocr9aGp0w_4_2"/>
      <w:bookmarkStart w:id="1691" w:name="Tc_Ma2b7xUgCEqd8yloAnD97w_4_0"/>
      <w:bookmarkStart w:id="1692" w:name="Tc_L6y9Zug8iE2ZhZe4V-uIaw_3_0"/>
      <w:bookmarkStart w:id="1693" w:name="Tc_9vfiVnObtUWjJC2VFx2UAw_2_5"/>
      <w:bookmarkStart w:id="1694" w:name="Tc_GMoCVgknP0eXfKIQXEHl0g_2_2"/>
      <w:bookmarkStart w:id="1695" w:name="Tc_MPkVHZfJb0WZ29afrKX3jg_2_0"/>
      <w:bookmarkStart w:id="1696" w:name="Tc_mkO8kZFbFUm22OLVf41M2Q_1_2"/>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r>
        <w:rPr>
          <w:rFonts w:ascii="Times New Roman;Times;serif" w:hAnsi="Times New Roman;Times;serif"/>
          <w:sz w:val="20"/>
        </w:rPr>
        <w:t xml:space="preserve">The tax effects of temporary differences that gave rise to significant positions of deferred tax assets and deferred tax liabilities at December 31, 2025 and 2024, were as follows: </w:t>
      </w:r>
    </w:p>
    <w:p>
      <w:pPr>
        <w:pStyle w:val="TextBody"/>
        <w:bidi w:val="0"/>
        <w:spacing w:before="0" w:after="0"/>
        <w:ind w:left="0" w:right="0" w:hanging="0"/>
        <w:jc w:val="left"/>
        <w:rPr/>
      </w:pPr>
      <w:r>
        <w:rPr/>
        <w:t>​</w:t>
      </w:r>
    </w:p>
    <w:tbl>
      <w:tblPr>
        <w:tblW w:w="6768" w:type="dxa"/>
        <w:jc w:val="left"/>
        <w:tblInd w:w="0" w:type="dxa"/>
        <w:tblLayout w:type="fixed"/>
        <w:tblCellMar>
          <w:top w:w="0" w:type="dxa"/>
          <w:left w:w="0" w:type="dxa"/>
          <w:bottom w:w="0" w:type="dxa"/>
          <w:right w:w="0" w:type="dxa"/>
        </w:tblCellMar>
      </w:tblPr>
      <w:tblGrid>
        <w:gridCol w:w="4321"/>
        <w:gridCol w:w="346"/>
        <w:gridCol w:w="211"/>
        <w:gridCol w:w="571"/>
        <w:gridCol w:w="346"/>
        <w:gridCol w:w="211"/>
        <w:gridCol w:w="571"/>
        <w:gridCol w:w="19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743835" cy="175260"/>
                      <wp:effectExtent l="0" t="0" r="0" b="0"/>
                      <wp:wrapNone/>
                      <wp:docPr id="596" name="Frame593"/>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7" name="Frame5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33985" cy="175260"/>
                      <wp:effectExtent l="0" t="0" r="0" b="0"/>
                      <wp:wrapNone/>
                      <wp:docPr id="598" name="Frame5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362585" cy="175260"/>
                      <wp:effectExtent l="0" t="0" r="0" b="0"/>
                      <wp:wrapNone/>
                      <wp:docPr id="599" name="Frame5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600"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3985" cy="175260"/>
                      <wp:effectExtent l="0" t="0" r="0" b="0"/>
                      <wp:wrapNone/>
                      <wp:docPr id="601" name="Frame5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362585" cy="175260"/>
                      <wp:effectExtent l="0" t="0" r="0" b="0"/>
                      <wp:wrapNone/>
                      <wp:docPr id="602" name="Frame5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21285" cy="175260"/>
                      <wp:effectExtent l="0" t="0" r="0" b="0"/>
                      <wp:wrapNone/>
                      <wp:docPr id="603" name="Frame60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91" w:type="dxa"/>
            <w:tcBorders/>
            <w:vAlign w:val="center"/>
          </w:tcPr>
          <w:p>
            <w:pPr>
              <w:pStyle w:val="TableContents"/>
              <w:bidi w:val="0"/>
              <w:spacing w:before="0" w:after="0"/>
              <w:ind w:left="0" w:right="0" w:hanging="0"/>
              <w:jc w:val="left"/>
              <w:rPr/>
            </w:pPr>
            <w:r>
              <w:rPr/>
              <w:t> </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19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Multi-employer withdrawal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19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19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9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 net of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Basis differences for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482.7</w:t>
            </w:r>
          </w:p>
        </w:tc>
        <w:tc>
          <w:tcPr>
            <w:tcW w:w="19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19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9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693.4</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 Paid, Net of Income Tax Refunds:</w:t>
      </w:r>
      <w:r>
        <w:rPr>
          <w:rFonts w:ascii="Times New Roman;Times;serif" w:hAnsi="Times New Roman;Times;serif"/>
          <w:sz w:val="20"/>
        </w:rPr>
        <w:t xml:space="preserve"> Income tax paid, net of income tax refunds by jurisdiction for the years ended December 31, 2025, 2024 and 2023 consist of the following: </w:t>
      </w:r>
    </w:p>
    <w:p>
      <w:pPr>
        <w:pStyle w:val="TextBody"/>
        <w:bidi w:val="0"/>
        <w:spacing w:before="0" w:after="0"/>
        <w:ind w:left="0" w:right="0" w:hanging="0"/>
        <w:jc w:val="left"/>
        <w:rPr/>
      </w:pPr>
      <w:r>
        <w:rPr/>
        <w:t>​</w:t>
      </w:r>
    </w:p>
    <w:tbl>
      <w:tblPr>
        <w:tblW w:w="8224" w:type="dxa"/>
        <w:jc w:val="left"/>
        <w:tblInd w:w="0" w:type="dxa"/>
        <w:tblLayout w:type="fixed"/>
        <w:tblCellMar>
          <w:top w:w="0" w:type="dxa"/>
          <w:left w:w="0" w:type="dxa"/>
          <w:bottom w:w="0" w:type="dxa"/>
          <w:right w:w="0" w:type="dxa"/>
        </w:tblCellMar>
      </w:tblPr>
      <w:tblGrid>
        <w:gridCol w:w="5581"/>
        <w:gridCol w:w="109"/>
        <w:gridCol w:w="211"/>
        <w:gridCol w:w="466"/>
        <w:gridCol w:w="109"/>
        <w:gridCol w:w="211"/>
        <w:gridCol w:w="586"/>
        <w:gridCol w:w="109"/>
        <w:gridCol w:w="211"/>
        <w:gridCol w:w="631"/>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3543935" cy="175260"/>
                      <wp:effectExtent l="0" t="0" r="0" b="0"/>
                      <wp:wrapNone/>
                      <wp:docPr id="604" name="Frame601"/>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9215" cy="175260"/>
                      <wp:effectExtent l="0" t="0" r="0" b="0"/>
                      <wp:wrapNone/>
                      <wp:docPr id="605" name="Frame6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33985" cy="175260"/>
                      <wp:effectExtent l="0" t="0" r="0" b="0"/>
                      <wp:wrapNone/>
                      <wp:docPr id="606"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95910" cy="175260"/>
                      <wp:effectExtent l="0" t="0" r="0" b="0"/>
                      <wp:wrapNone/>
                      <wp:docPr id="607" name="Frame60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9215" cy="175260"/>
                      <wp:effectExtent l="0" t="0" r="0" b="0"/>
                      <wp:wrapNone/>
                      <wp:docPr id="608" name="Frame6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33985" cy="175260"/>
                      <wp:effectExtent l="0" t="0" r="0" b="0"/>
                      <wp:wrapNone/>
                      <wp:docPr id="609" name="Frame6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372110" cy="175260"/>
                      <wp:effectExtent l="0" t="0" r="0" b="0"/>
                      <wp:wrapNone/>
                      <wp:docPr id="610" name="Frame60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215" cy="175260"/>
                      <wp:effectExtent l="0" t="0" r="0" b="0"/>
                      <wp:wrapNone/>
                      <wp:docPr id="611" name="Frame6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33985" cy="175260"/>
                      <wp:effectExtent l="0" t="0" r="0" b="0"/>
                      <wp:wrapNone/>
                      <wp:docPr id="612" name="Frame6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400685" cy="175260"/>
                      <wp:effectExtent l="0" t="0" r="0" b="0"/>
                      <wp:wrapNone/>
                      <wp:docPr id="613" name="Frame61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Taxes Paid, Net of Income Tax Refunds by Jurisdiction (in millions)</w:t>
            </w:r>
          </w:p>
        </w:tc>
        <w:tc>
          <w:tcPr>
            <w:tcW w:w="109"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income taxes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Wisconsin (2)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Zealand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taxes paid, net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Federal income taxes paid, net of income tax refunds includes a 2021 federal income tax refund of $118.6</w:t>
            </w:r>
            <w:r>
              <w:rPr>
                <w:caps w:val="false"/>
                <w:smallCaps w:val="false"/>
              </w:rPr>
              <w:t> </w:t>
            </w:r>
            <w:r>
              <w:rPr>
                <w:rFonts w:ascii="Times New Roman;Times;serif" w:hAnsi="Times New Roman;Times;serif"/>
                <w:b w:val="false"/>
                <w:i w:val="false"/>
                <w:caps w:val="false"/>
                <w:smallCaps w:val="false"/>
                <w:sz w:val="16"/>
              </w:rPr>
              <w:t xml:space="preserve">million received during the year ended December 31, 2024.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California, Hawaii, Alaska and Wisconsin state income taxes paid, net of income tax refunds, include state income tax refunds of $14.9</w:t>
            </w:r>
            <w:r>
              <w:rPr>
                <w:caps w:val="false"/>
                <w:smallCaps w:val="false"/>
              </w:rPr>
              <w:t> </w:t>
            </w:r>
            <w:r>
              <w:rPr>
                <w:rFonts w:ascii="Times New Roman;Times;serif" w:hAnsi="Times New Roman;Times;serif"/>
                <w:b w:val="false"/>
                <w:i w:val="false"/>
                <w:caps w:val="false"/>
                <w:smallCaps w:val="false"/>
                <w:sz w:val="16"/>
              </w:rPr>
              <w:t>million, $7.5</w:t>
            </w:r>
            <w:r>
              <w:rPr>
                <w:caps w:val="false"/>
                <w:smallCaps w:val="false"/>
              </w:rPr>
              <w:t> </w:t>
            </w:r>
            <w:r>
              <w:rPr>
                <w:rFonts w:ascii="Times New Roman;Times;serif" w:hAnsi="Times New Roman;Times;serif"/>
                <w:b w:val="false"/>
                <w:i w:val="false"/>
                <w:caps w:val="false"/>
                <w:smallCaps w:val="false"/>
                <w:sz w:val="16"/>
              </w:rPr>
              <w:t>million, $4.5</w:t>
            </w:r>
            <w:r>
              <w:rPr>
                <w:caps w:val="false"/>
                <w:smallCaps w:val="false"/>
              </w:rPr>
              <w:t> </w:t>
            </w:r>
            <w:r>
              <w:rPr>
                <w:rFonts w:ascii="Times New Roman;Times;serif" w:hAnsi="Times New Roman;Times;serif"/>
                <w:b w:val="false"/>
                <w:i w:val="false"/>
                <w:caps w:val="false"/>
                <w:smallCaps w:val="false"/>
                <w:sz w:val="16"/>
              </w:rPr>
              <w:t>million, and $0.7</w:t>
            </w:r>
            <w:r>
              <w:rPr>
                <w:caps w:val="false"/>
                <w:smallCaps w:val="false"/>
              </w:rPr>
              <w:t> </w:t>
            </w:r>
            <w:r>
              <w:rPr>
                <w:rFonts w:ascii="Times New Roman;Times;serif" w:hAnsi="Times New Roman;Times;serif"/>
                <w:b w:val="false"/>
                <w:i w:val="false"/>
                <w:caps w:val="false"/>
                <w:smallCaps w:val="false"/>
                <w:sz w:val="16"/>
              </w:rPr>
              <w:t>million received, respectively, during the year ended December 31,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State Income Tax Operating Losses, State Tax Credit and Valuation Allowance: </w:t>
      </w:r>
      <w:r>
        <w:rPr>
          <w:rFonts w:ascii="Times New Roman;Times;serif" w:hAnsi="Times New Roman;Times;serif"/>
          <w:sz w:val="20"/>
        </w:rPr>
        <w:t>The Company’s U.S. state income tax net operating losses (“NOLs”) and U.S. state tax credit carryforwards consist of the following at December 31, 2025 and 2024:</w:t>
      </w:r>
    </w:p>
    <w:p>
      <w:pPr>
        <w:pStyle w:val="TextBody"/>
        <w:bidi w:val="0"/>
        <w:spacing w:before="0" w:after="0"/>
        <w:ind w:left="0" w:right="0" w:hanging="0"/>
        <w:jc w:val="left"/>
        <w:rPr/>
      </w:pPr>
      <w:r>
        <w:rPr/>
        <w:t>​</w:t>
      </w:r>
    </w:p>
    <w:tbl>
      <w:tblPr>
        <w:tblW w:w="8667" w:type="dxa"/>
        <w:jc w:val="left"/>
        <w:tblInd w:w="0" w:type="dxa"/>
        <w:tblLayout w:type="fixed"/>
        <w:tblCellMar>
          <w:top w:w="0" w:type="dxa"/>
          <w:left w:w="0" w:type="dxa"/>
          <w:bottom w:w="0" w:type="dxa"/>
          <w:right w:w="0" w:type="dxa"/>
        </w:tblCellMar>
      </w:tblPr>
      <w:tblGrid>
        <w:gridCol w:w="3496"/>
        <w:gridCol w:w="109"/>
        <w:gridCol w:w="2761"/>
        <w:gridCol w:w="346"/>
        <w:gridCol w:w="211"/>
        <w:gridCol w:w="571"/>
        <w:gridCol w:w="346"/>
        <w:gridCol w:w="211"/>
        <w:gridCol w:w="6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219960" cy="175260"/>
                      <wp:effectExtent l="0" t="0" r="0" b="0"/>
                      <wp:wrapNone/>
                      <wp:docPr id="614" name="Frame611"/>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9215" cy="175260"/>
                      <wp:effectExtent l="0" t="0" r="0" b="0"/>
                      <wp:wrapNone/>
                      <wp:docPr id="615" name="Frame6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753235" cy="175260"/>
                      <wp:effectExtent l="0" t="0" r="0" b="0"/>
                      <wp:wrapNone/>
                      <wp:docPr id="616" name="Frame613"/>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19710" cy="175260"/>
                      <wp:effectExtent l="0" t="0" r="0" b="0"/>
                      <wp:wrapNone/>
                      <wp:docPr id="617" name="Frame6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33985" cy="175260"/>
                      <wp:effectExtent l="0" t="0" r="0" b="0"/>
                      <wp:wrapNone/>
                      <wp:docPr id="618" name="Frame6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362585" cy="175260"/>
                      <wp:effectExtent l="0" t="0" r="0" b="0"/>
                      <wp:wrapNone/>
                      <wp:docPr id="619" name="Frame6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19710" cy="175260"/>
                      <wp:effectExtent l="0" t="0" r="0" b="0"/>
                      <wp:wrapNone/>
                      <wp:docPr id="620" name="Frame6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33985" cy="175260"/>
                      <wp:effectExtent l="0" t="0" r="0" b="0"/>
                      <wp:wrapNone/>
                      <wp:docPr id="621" name="Frame6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391160" cy="175260"/>
                      <wp:effectExtent l="0" t="0" r="0" b="0"/>
                      <wp:wrapNone/>
                      <wp:docPr id="622" name="Frame61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27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Expiration Date</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state income tax NOLs (1)</w:t>
            </w:r>
          </w:p>
        </w:tc>
        <w:tc>
          <w:tcPr>
            <w:tcW w:w="109" w:type="dxa"/>
            <w:tcBorders/>
            <w:shd w:fill="CCEEFF" w:val="clear"/>
            <w:vAlign w:val="center"/>
          </w:tcPr>
          <w:p>
            <w:pPr>
              <w:pStyle w:val="TableContents"/>
              <w:bidi w:val="0"/>
              <w:spacing w:before="0" w:after="0"/>
              <w:ind w:left="0" w:right="0" w:hanging="0"/>
              <w:jc w:val="left"/>
              <w:rPr/>
            </w:pPr>
            <w:r>
              <w:rPr/>
              <w:t>​</w:t>
            </w:r>
          </w:p>
        </w:tc>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dates beginning in 2032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state alternative minimum tax credits</w:t>
            </w:r>
          </w:p>
        </w:tc>
        <w:tc>
          <w:tcPr>
            <w:tcW w:w="109"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expiration date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U.S. State income tax NOLs are presented on a gross basis and represent U.S. State income tax NOLs acquired as part of the Horizon acquisition. The Company has recorded a full valuation allowance against these U.S. State income tax NOLs as the Company does not expect to benefit from any of these deferred tax assets.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recorded a valuation allowance against its unusable portion of U.S. state income tax NOLs of $4.5 million and $5.0 million as of December 31, 2025 and 2024, respectively, as the Company believes that it is more likely than not that the benefit from these deferred assets will not be realized.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697" w:name="Tc_kvOpkNxeYkeHoKGsjYsAoA_7_8"/>
      <w:bookmarkStart w:id="1698" w:name="Tc_mGolE1gTgkW4QVHT3zOj1w_7_5"/>
      <w:bookmarkStart w:id="1699" w:name="Tc_hP8hZoIAOk-eJKLbSIA8JA_7_2"/>
      <w:bookmarkStart w:id="1700" w:name="Tc_g3mZi4IiJE2w-Fw4t-_ZAw_7_0"/>
      <w:bookmarkStart w:id="1701" w:name="Tc_vg4oVm-RIU2YrDFA4ZWCkA_6_0"/>
      <w:bookmarkStart w:id="1702" w:name="Tc_0R_JgSxCekiSS3dseVmWvg_5_3"/>
      <w:bookmarkStart w:id="1703" w:name="Tc_4RtBimZ1XkiJER53VTPe5g_5_0"/>
      <w:bookmarkStart w:id="1704" w:name="Tc_dG0WwJtxeESHMwvFFTv5RQ_4_0"/>
      <w:bookmarkStart w:id="1705" w:name="Tc_VbWqmeFHEUemAQAjMX5CtQ_3_8"/>
      <w:bookmarkStart w:id="1706" w:name="Tc_bdmqC7OB5k6uNZa63tvAvQ_3_5"/>
      <w:bookmarkStart w:id="1707" w:name="Tc_lTPnuZb6DUWbSf4VPxKrzQ_3_2"/>
      <w:bookmarkStart w:id="1708" w:name="Tc_0huPiLb01U2xoKNcNWBCPw_3_0"/>
      <w:bookmarkStart w:id="1709" w:name="Tc_QlWeYpLQKECQAs4tBfmfIg_2_8"/>
      <w:bookmarkStart w:id="1710" w:name="Tc_n6dbPTvCGUCsePOYcMhUSA_2_5"/>
      <w:bookmarkStart w:id="1711" w:name="Tc__ynsykMgW0SMQdqKc7xKdw_2_2"/>
      <w:bookmarkStart w:id="1712" w:name="Tc_vNM1o4IKTkOZBbep9xH1sQ_2_0"/>
      <w:bookmarkStart w:id="1713" w:name="Tc_99nrSx2qTUKQsnfOzj-dzQ_1_2"/>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Unrecognized Tax Benefits: </w:t>
      </w:r>
      <w:r>
        <w:rPr>
          <w:rFonts w:ascii="Times New Roman;Times;serif" w:hAnsi="Times New Roman;Times;serif"/>
          <w:sz w:val="20"/>
        </w:rPr>
        <w:t>Total unrecognized benefits represent the amount that, if recognized, would favorably affect the Company’s income taxes and effective tax rate in future periods. The Company does not expect a material change in gross unrecognized benefits in the next twelve months. A reconciliation of the beginning and ending amount of gross unrecognized tax benefits is as follows:</w:t>
      </w:r>
    </w:p>
    <w:p>
      <w:pPr>
        <w:pStyle w:val="TextBody"/>
        <w:bidi w:val="0"/>
        <w:spacing w:before="0" w:after="0"/>
        <w:ind w:left="0" w:right="0" w:hanging="0"/>
        <w:jc w:val="left"/>
        <w:rPr/>
      </w:pPr>
      <w:r>
        <w:rPr/>
        <w:t>​</w:t>
      </w:r>
    </w:p>
    <w:tbl>
      <w:tblPr>
        <w:tblW w:w="6688" w:type="dxa"/>
        <w:jc w:val="left"/>
        <w:tblInd w:w="0" w:type="dxa"/>
        <w:tblLayout w:type="fixed"/>
        <w:tblCellMar>
          <w:top w:w="0" w:type="dxa"/>
          <w:left w:w="0" w:type="dxa"/>
          <w:bottom w:w="0" w:type="dxa"/>
          <w:right w:w="0" w:type="dxa"/>
        </w:tblCellMar>
      </w:tblPr>
      <w:tblGrid>
        <w:gridCol w:w="3721"/>
        <w:gridCol w:w="109"/>
        <w:gridCol w:w="211"/>
        <w:gridCol w:w="481"/>
        <w:gridCol w:w="346"/>
        <w:gridCol w:w="211"/>
        <w:gridCol w:w="481"/>
        <w:gridCol w:w="346"/>
        <w:gridCol w:w="211"/>
        <w:gridCol w:w="57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362835" cy="175260"/>
                      <wp:effectExtent l="0" t="0" r="0" b="0"/>
                      <wp:wrapNone/>
                      <wp:docPr id="623" name="Frame620"/>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9215" cy="175260"/>
                      <wp:effectExtent l="0" t="0" r="0" b="0"/>
                      <wp:wrapNone/>
                      <wp:docPr id="624" name="Frame6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33985" cy="175260"/>
                      <wp:effectExtent l="0" t="0" r="0" b="0"/>
                      <wp:wrapNone/>
                      <wp:docPr id="625" name="Frame6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305435" cy="175260"/>
                      <wp:effectExtent l="0" t="0" r="0" b="0"/>
                      <wp:wrapNone/>
                      <wp:docPr id="626" name="Frame62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710" cy="175260"/>
                      <wp:effectExtent l="0" t="0" r="0" b="0"/>
                      <wp:wrapNone/>
                      <wp:docPr id="627"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33985" cy="175260"/>
                      <wp:effectExtent l="0" t="0" r="0" b="0"/>
                      <wp:wrapNone/>
                      <wp:docPr id="628" name="Frame6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305435" cy="175260"/>
                      <wp:effectExtent l="0" t="0" r="0" b="0"/>
                      <wp:wrapNone/>
                      <wp:docPr id="629" name="Frame62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19710" cy="175260"/>
                      <wp:effectExtent l="0" t="0" r="0" b="0"/>
                      <wp:wrapNone/>
                      <wp:docPr id="630" name="Frame6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31" name="Frame6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362585" cy="175260"/>
                      <wp:effectExtent l="0" t="0" r="0" b="0"/>
                      <wp:wrapNone/>
                      <wp:docPr id="632" name="Frame6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Unrecognized Tax Benefits (in millions)</w:t>
            </w:r>
          </w:p>
        </w:tc>
        <w:tc>
          <w:tcPr>
            <w:tcW w:w="109" w:type="dxa"/>
            <w:tcBorders/>
            <w:vAlign w:val="center"/>
          </w:tcPr>
          <w:p>
            <w:pPr>
              <w:pStyle w:val="TableContents"/>
              <w:bidi w:val="0"/>
              <w:spacing w:before="0" w:after="0"/>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position changes in current year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position changes in prior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for lapse of statute of limitations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Included in the balance of unrecognized tax benefits at December 31, 2025 are potential benefits of $21.1 million that, if recognized, would affect the Company’s income taxes and effective tax rate. The Company recognizes potential accrued interest and penalties related to unrecognized tax benefits in income taxes. To the extent interest and penalties are not ultimately assessed with respect to the settlement of uncertain tax positions, amounts accrued will be reduced and reflected as a reduction of the Company’s income taxes. Interest and penalties accrued related to the balance of unrecognized tax benefits were $0.8 million and $0.3 million as of December 31, 2025, and $1.2 million and $1.4 million as of December 31, 2024, respectively. During the years ended December 31, 2025 and 2024, the Company recognized $(0.8) million and $0.4 million, respectively, in income taxes related to interest and penalties.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no longer subject to U.S. federal income tax audits for years before 2018. The Company is routinely involved in federal, state, local income and excise tax audits, and foreign tax audits.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14" w:name="a11PENSIONANDPOSTRETIREMENTPLANS_828911"/>
      <w:bookmarkStart w:id="1715" w:name="a11PENSIONANDPOSTRETIREMENTPLANS_828911"/>
      <w:bookmarkEnd w:id="1715"/>
    </w:p>
    <w:tbl>
      <w:tblPr>
        <w:tblW w:w="4457" w:type="dxa"/>
        <w:jc w:val="left"/>
        <w:tblInd w:w="0" w:type="dxa"/>
        <w:tblLayout w:type="fixed"/>
        <w:tblCellMar>
          <w:top w:w="0" w:type="dxa"/>
          <w:left w:w="0" w:type="dxa"/>
          <w:bottom w:w="0" w:type="dxa"/>
          <w:right w:w="0" w:type="dxa"/>
        </w:tblCellMar>
      </w:tblPr>
      <w:tblGrid>
        <w:gridCol w:w="376"/>
        <w:gridCol w:w="4081"/>
      </w:tblGrid>
      <w:tr>
        <w:trPr/>
        <w:tc>
          <w:tcPr>
            <w:tcW w:w="3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11.</w:t>
            </w:r>
          </w:p>
        </w:tc>
        <w:tc>
          <w:tcPr>
            <w:tcW w:w="408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PENSION AND POST-RETIREMENT PLANS</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Qualified Pension and Post-retirement Benefits Plans: </w:t>
      </w:r>
      <w:r>
        <w:rPr>
          <w:rFonts w:ascii="Times New Roman;Times;serif" w:hAnsi="Times New Roman;Times;serif"/>
          <w:sz w:val="20"/>
        </w:rPr>
        <w:t xml:space="preserve">The Company provides a funded qualified single employer defined benefit pension plan that covers most non-bargaining employees and certain clerical bargaining unit employees. The Company also provides a post-retirement benefit plan that provides health and life insurance benefits, and covers substantially all salaried, non-bargaining employees hired before 2008, and certain bargaining unit employees. Employees are generally eligible for such benefits upon retirement and completion of a specified number of years of service. The Company does not pre-fund the post-retirement benefit plan and has the right to modify or terminate the plan in the future, with the exception of the benefits pertaining to the bargaining unit employees. Most non-bargaining retirees pay a portion of these post-retirement benefit costs.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Plan Administration, Investments and Asset Allocations: </w:t>
      </w:r>
      <w:r>
        <w:rPr>
          <w:rFonts w:ascii="Times New Roman;Times;serif" w:hAnsi="Times New Roman;Times;serif"/>
          <w:sz w:val="20"/>
        </w:rPr>
        <w:t>The Company has a Benefits Investment Committee that meets regularly with investment advisors to establish investment policies, direct investments and select investment options for the qualified plan. The Benefits Investment Committee is also responsible for appointing investment managers and monitoring their performance. The Company’s investment policy permits investments in marketable equity securities, such as domestic and foreign stocks, domestic and foreign bonds,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716" w:name="Tc_YfqdVUqVZEC-hvNL8QghBA_5_3"/>
      <w:bookmarkStart w:id="1717" w:name="Tc_0RGoOdDXPEm8V3L27CoScw_5_0"/>
      <w:bookmarkStart w:id="1718" w:name="Tc_j5BCTYvtNE6JXpYXpaW7gQ_4_3"/>
      <w:bookmarkStart w:id="1719" w:name="Tc_rdHmwtqHSEa1Z2u5lsf1Xw_4_0"/>
      <w:bookmarkStart w:id="1720" w:name="Tc_rG4YBXqrzkeNyuFhvlkmaA_3_3"/>
      <w:bookmarkStart w:id="1721" w:name="Tc_pQ-2eSZDuU-4i7WXaqSPGw_3_0"/>
      <w:bookmarkStart w:id="1722" w:name="Tc_U43STyHPJUae94EG27TJbg_2_3"/>
      <w:bookmarkStart w:id="1723" w:name="Tc_0QEXcdjMi0O6W4ftjajFLg_2_0"/>
      <w:bookmarkStart w:id="1724" w:name="Tc_w9xtO_cW7kOYHk5O-bqRGg_1_2"/>
      <w:bookmarkStart w:id="1725" w:name="Tc_OoI6IVq7wEKZJSBE6YpzUQ_1_0"/>
      <w:bookmarkStart w:id="1726" w:name="Tc_kcPr4CEHXU-8ixv_ozciyw_7_7"/>
      <w:bookmarkStart w:id="1727" w:name="Tc_3SrKoGEgrkGmFC2c9b5wYQ_7_5"/>
      <w:bookmarkStart w:id="1728" w:name="Tc_B0raC18CPUyN0q7Y-oFR2Q_7_3"/>
      <w:bookmarkStart w:id="1729" w:name="Tc_RBL1fh8MmEmeioL8oGIw4A_7_0"/>
      <w:bookmarkStart w:id="1730" w:name="Tc_Xm02wObme06ylxl-PZT_mg_6_7"/>
      <w:bookmarkStart w:id="1731" w:name="Tc_nzljN8onx0WSxonPR8t2kQ_6_5"/>
      <w:bookmarkStart w:id="1732" w:name="Tc_OwcrK3Mwpk-LddgcV6kDwA_6_3"/>
      <w:bookmarkStart w:id="1733" w:name="Tc_iGSD-xi8rkGu-bto2bYezQ_6_0"/>
      <w:bookmarkStart w:id="1734" w:name="Tc_hu-OrSq9uEqS0KmiYcwDNA_5_7"/>
      <w:bookmarkStart w:id="1735" w:name="Tc_qMLDP2ecN0O7NUA4uzPDzQ_5_5"/>
      <w:bookmarkStart w:id="1736" w:name="Tc_CPSRjHb-REiC7kO8BuZNGg_5_3"/>
      <w:bookmarkStart w:id="1737" w:name="Tc_4jpZMH7f-EafHnhElsbyHg_5_0"/>
      <w:bookmarkStart w:id="1738" w:name="Tc_tqfyAxs8wEG-gvdCp7fsrQ_4_7"/>
      <w:bookmarkStart w:id="1739" w:name="Tc__PDHaXBC1EqlatYwhOgWgA_4_5"/>
      <w:bookmarkStart w:id="1740" w:name="Tc_msrDn6XkikqD-y5MUG8Orw_4_3"/>
      <w:bookmarkStart w:id="1741" w:name="Tc_GzQyV8wFeEO63Ca6ab6d0g_4_0"/>
      <w:bookmarkStart w:id="1742" w:name="Tc_tvEDTFoUSUGexzgB78bjUg_3_7"/>
      <w:bookmarkStart w:id="1743" w:name="Tc_XzpWa_v_A0m3GZq4VrX2mQ_3_5"/>
      <w:bookmarkStart w:id="1744" w:name="Tc_UKzaTWSt2E-wvk56RFDTog_3_3"/>
      <w:bookmarkStart w:id="1745" w:name="Tc_ebaY_eCW5EiE-qovIOaYtw_3_0"/>
      <w:bookmarkStart w:id="1746" w:name="Tc_bCH6hVtDVE-ZkuiU4F_BNA_2_7"/>
      <w:bookmarkStart w:id="1747" w:name="Tc_FOUdDlNy2Ue5J9qgHtfAsg_2_5"/>
      <w:bookmarkStart w:id="1748" w:name="Tc_OXV1O68pTUqC498MujLV7A_2_3"/>
      <w:bookmarkStart w:id="1749" w:name="Tc_mVaTbgOzukyFE2GcJ2ZZAA_2_0"/>
      <w:bookmarkStart w:id="1750" w:name="Tc_GiKsh-TddUihWMBJptBDqA_1_6"/>
      <w:bookmarkStart w:id="1751" w:name="Tc_NY4UyFIyU0evz33wyaqpgA_1_4"/>
      <w:bookmarkStart w:id="1752" w:name="Tc_9f0Xf3PMaUakGJlSkHcMcA_1_2"/>
      <w:bookmarkStart w:id="1753" w:name="Tc_2tyPHCE2qUKkeE0euBQD5A_1_0"/>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r>
        <w:rPr>
          <w:rFonts w:ascii="Times New Roman;Times;serif" w:hAnsi="Times New Roman;Times;serif"/>
          <w:sz w:val="20"/>
        </w:rPr>
        <w:t>The Company’s target and actual asset allocations at December 31, 2025 and 2024 were as follows:</w:t>
      </w:r>
    </w:p>
    <w:p>
      <w:pPr>
        <w:pStyle w:val="TextBody"/>
        <w:bidi w:val="0"/>
        <w:spacing w:before="0" w:after="0"/>
        <w:ind w:left="0" w:right="0" w:hanging="0"/>
        <w:jc w:val="left"/>
        <w:rPr/>
      </w:pPr>
      <w:r>
        <w:rPr/>
        <w:t>​</w:t>
      </w:r>
    </w:p>
    <w:tbl>
      <w:tblPr>
        <w:tblW w:w="5843" w:type="dxa"/>
        <w:jc w:val="left"/>
        <w:tblInd w:w="0" w:type="dxa"/>
        <w:tblLayout w:type="fixed"/>
        <w:tblCellMar>
          <w:top w:w="0" w:type="dxa"/>
          <w:left w:w="0" w:type="dxa"/>
          <w:bottom w:w="0" w:type="dxa"/>
          <w:right w:w="0" w:type="dxa"/>
        </w:tblCellMar>
      </w:tblPr>
      <w:tblGrid>
        <w:gridCol w:w="2926"/>
        <w:gridCol w:w="346"/>
        <w:gridCol w:w="601"/>
        <w:gridCol w:w="361"/>
        <w:gridCol w:w="466"/>
        <w:gridCol w:w="361"/>
        <w:gridCol w:w="466"/>
        <w:gridCol w:w="31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858010" cy="175260"/>
                      <wp:effectExtent l="0" t="0" r="0" b="0"/>
                      <wp:wrapNone/>
                      <wp:docPr id="633" name="Frame630"/>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34" name="Frame6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381635" cy="175260"/>
                      <wp:effectExtent l="0" t="0" r="0" b="0"/>
                      <wp:wrapNone/>
                      <wp:docPr id="635" name="Frame63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29235" cy="175260"/>
                      <wp:effectExtent l="0" t="0" r="0" b="0"/>
                      <wp:wrapNone/>
                      <wp:docPr id="636" name="Frame6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95910" cy="175260"/>
                      <wp:effectExtent l="0" t="0" r="0" b="0"/>
                      <wp:wrapNone/>
                      <wp:docPr id="637" name="Frame63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29235" cy="175260"/>
                      <wp:effectExtent l="0" t="0" r="0" b="0"/>
                      <wp:wrapNone/>
                      <wp:docPr id="638" name="Frame63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95910" cy="175260"/>
                      <wp:effectExtent l="0" t="0" r="0" b="0"/>
                      <wp:wrapNone/>
                      <wp:docPr id="639" name="Frame63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0660" cy="175260"/>
                      <wp:effectExtent l="0" t="0" r="0" b="0"/>
                      <wp:wrapNone/>
                      <wp:docPr id="640" name="Frame63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Categories</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61"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left"/>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 equities</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equities</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Alternatives (including real estate)</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All assets within specific funds are allocated to the target asset allocation of the fund.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expected return on plan assets is principally based on the Company’s historical returns combined with the Company’s long-term future expectations regarding asset class returns, the mix of plan assets, and inflation assumptions.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Actual return on plan assets for the periods presented are as follows:</w:t>
      </w:r>
    </w:p>
    <w:p>
      <w:pPr>
        <w:pStyle w:val="TextBody"/>
        <w:bidi w:val="0"/>
        <w:spacing w:before="0" w:after="0"/>
        <w:ind w:left="0" w:right="0" w:hanging="0"/>
        <w:jc w:val="left"/>
        <w:rPr/>
      </w:pPr>
      <w:r>
        <w:rPr/>
        <w:t>​</w:t>
      </w:r>
    </w:p>
    <w:tbl>
      <w:tblPr>
        <w:tblW w:w="6079" w:type="dxa"/>
        <w:jc w:val="left"/>
        <w:tblInd w:w="0" w:type="dxa"/>
        <w:tblLayout w:type="fixed"/>
        <w:tblCellMar>
          <w:top w:w="0" w:type="dxa"/>
          <w:left w:w="0" w:type="dxa"/>
          <w:bottom w:w="0" w:type="dxa"/>
          <w:right w:w="0" w:type="dxa"/>
        </w:tblCellMar>
      </w:tblPr>
      <w:tblGrid>
        <w:gridCol w:w="4666"/>
        <w:gridCol w:w="346"/>
        <w:gridCol w:w="676"/>
        <w:gridCol w:w="391"/>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962910" cy="175260"/>
                      <wp:effectExtent l="0" t="0" r="0" b="0"/>
                      <wp:wrapNone/>
                      <wp:docPr id="641" name="Frame638"/>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19710" cy="175260"/>
                      <wp:effectExtent l="0" t="0" r="0" b="0"/>
                      <wp:wrapNone/>
                      <wp:docPr id="642" name="Frame6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29260" cy="175260"/>
                      <wp:effectExtent l="0" t="0" r="0" b="0"/>
                      <wp:wrapNone/>
                      <wp:docPr id="643" name="Frame6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48285" cy="175260"/>
                      <wp:effectExtent l="0" t="0" r="0" b="0"/>
                      <wp:wrapNone/>
                      <wp:docPr id="644" name="Frame64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Actual Return on Plan Assets</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Returns</w:t>
            </w:r>
          </w:p>
        </w:tc>
        <w:tc>
          <w:tcPr>
            <w:tcW w:w="391" w:type="dxa"/>
            <w:tcBorders/>
            <w:vAlign w:val="center"/>
          </w:tcPr>
          <w:p>
            <w:pPr>
              <w:pStyle w:val="TableContents"/>
              <w:bidi w:val="0"/>
              <w:spacing w:before="0" w:after="0"/>
              <w:ind w:left="0" w:right="0" w:hanging="0"/>
              <w:jc w:val="left"/>
              <w:rPr/>
            </w:pPr>
            <w:r>
              <w:rPr/>
              <w:t>  ​ ​ ​</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One-year return</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Three-year return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Five-year return</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average return (since plan inception in 1989)</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pension plan assets are held in a trust and are stated at estimated fair values of the underlying investments. Purchases and sales of securities are recorded on a trade-date basis. Interest income is recorded on an accrual basis. Dividends are recorded on the ex-dividend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Equity Securities:</w:t>
      </w:r>
      <w:r>
        <w:rPr>
          <w:rFonts w:ascii="Times New Roman;Times;serif" w:hAnsi="Times New Roman;Times;serif"/>
          <w:sz w:val="20"/>
        </w:rPr>
        <w:t xml:space="preserve"> Domestic and international common stocks are valued by obtaining quoted prices on recognized and highly liquid exchanges.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Fixed Income Securities:</w:t>
      </w:r>
      <w:r>
        <w:rPr>
          <w:rFonts w:ascii="Times New Roman;Times;serif" w:hAnsi="Times New Roman;Times;serif"/>
          <w:sz w:val="20"/>
        </w:rPr>
        <w:t xml:space="preserve"> Corporate bonds and U.S. government treasury and agency securities are valued based on the 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Real Estate and Certain International Equity Funds:</w:t>
      </w:r>
      <w:r>
        <w:rPr>
          <w:rFonts w:ascii="Times New Roman;Times;serif" w:hAnsi="Times New Roman;Times;serif"/>
          <w:sz w:val="20"/>
        </w:rPr>
        <w:t xml:space="preserve"> The fair value of real estate and certain developed and emerging market equity funds is determined by the issuer based on their net asset value (“NAV”). NAV is determined by dividing the fund’s net assets, as recorded in the fund’s audited financial statements, by the number of units outstanding at the valuation date. Fair value for the underlying investments in real estate is determined through independent property appraisals.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754" w:name="Tc_PwsaifSM1E60RJjNxsLuTQ_18_2"/>
      <w:bookmarkStart w:id="1755" w:name="Tc_XA7x67xBpkGPo7IxLdOCeA_18_0"/>
      <w:bookmarkStart w:id="1756" w:name="Tc_WyZimy77yE2l0BKJvpgAoA_17_0"/>
      <w:bookmarkStart w:id="1757" w:name="Tc_OdkOJ8BYr0ehUwy8UsL9bg_16_12"/>
      <w:bookmarkStart w:id="1758" w:name="Tc_aTVsz9WrcE-_XLEMMrXz_Q_16_11"/>
      <w:bookmarkStart w:id="1759" w:name="Tc_qSmw1emf20yE440RHm3lMQ_16_8"/>
      <w:bookmarkStart w:id="1760" w:name="Tc_O7FJ1bvrjUux9fWy_vcwjg_16_5"/>
      <w:bookmarkStart w:id="1761" w:name="Tc_7FF8njFCA0KMuqM8-n3MNg_16_0"/>
      <w:bookmarkStart w:id="1762" w:name="Tc_iLsDmut2AUy2tbbu31IoRA_15_12"/>
      <w:bookmarkStart w:id="1763" w:name="Tc_CyA3hZ-gTku4EaEzKsxYRg_15_6"/>
      <w:bookmarkStart w:id="1764" w:name="Tc_WVNvoB4v6ECW5Z1jP7_4Bg_15_0"/>
      <w:bookmarkStart w:id="1765" w:name="Tc_9gwTn1gKY0G1S8-jC35nhg_14_6"/>
      <w:bookmarkStart w:id="1766" w:name="Tc_hwmFoQW15UuLK3KLMxqTbQ_14_0"/>
      <w:bookmarkStart w:id="1767" w:name="Tc_nKWAUXXm7k6WFzevIC7mbw_13_12"/>
      <w:bookmarkStart w:id="1768" w:name="Tc_rCnl7rPpCkqkXvnr5c_70Q_13_6"/>
      <w:bookmarkStart w:id="1769" w:name="Tc_RUSiQPwuRU69dwZ45oivcw_13_0"/>
      <w:bookmarkStart w:id="1770" w:name="Tc_Es0RBJXXykexH2MkFhfcjQ_12_12"/>
      <w:bookmarkStart w:id="1771" w:name="Tc_guoHDsvvnkOmh-q7NrP15g_12_6"/>
      <w:bookmarkStart w:id="1772" w:name="Tc_5VnL9jDNM0mCijmvzb9-2g_12_0"/>
      <w:bookmarkStart w:id="1773" w:name="Tc_br_gClo6lkexkM6dIPaV8Q_11_12"/>
      <w:bookmarkStart w:id="1774" w:name="Tc_TebzKV0_okyEQ8Lt4YYTfQ_11_0"/>
      <w:bookmarkStart w:id="1775" w:name="Tc_KMarw7hknkWaRFN6lNJKXQ_10_0"/>
      <w:bookmarkStart w:id="1776" w:name="Tc_suwGhF8zIEm3GlPhO3X4Uw_9_12"/>
      <w:bookmarkStart w:id="1777" w:name="Tc_EiEdlVo4JE-I4WVhZrmssg_9_9"/>
      <w:bookmarkStart w:id="1778" w:name="Tc_FI_YZ7SEOEGaWhSxK72geQ_9_0"/>
      <w:bookmarkStart w:id="1779" w:name="Tc_y0YOckAZ9UCt78O40HcXcw_8_12"/>
      <w:bookmarkStart w:id="1780" w:name="Tc_rKnfoIIY90Sq-r_Uf7S2fQ_8_9"/>
      <w:bookmarkStart w:id="1781" w:name="Tc_Rvcm6H5Yx0qV6ACTT9OfXg_8_0"/>
      <w:bookmarkStart w:id="1782" w:name="Tc_iOt9sFPmRUqlS9AkfQE60A_7_12"/>
      <w:bookmarkStart w:id="1783" w:name="Tc_VxAoiCgmpEW8tYitZF42nw_7_9"/>
      <w:bookmarkStart w:id="1784" w:name="Tc_k5JmqKr7oESLFmIufuLdlQ_7_0"/>
      <w:bookmarkStart w:id="1785" w:name="Tc_9xNISXJo30q_cQ5_RD_D4w_6_0"/>
      <w:bookmarkStart w:id="1786" w:name="Tc_5IiXNYoDpE2N0AeTolR7sg_5_12"/>
      <w:bookmarkStart w:id="1787" w:name="Tc_SxW6ywTGakSnWEJuPXzcFQ_5_11"/>
      <w:bookmarkStart w:id="1788" w:name="Tc_-pYQgr6c1ki6Ja_xPYQGsA_5_9"/>
      <w:bookmarkStart w:id="1789" w:name="Tc_VZD2uP5230W2cTHcjOS_OQ_5_8"/>
      <w:bookmarkStart w:id="1790" w:name="Tc_FCvUl38FSUSh5MD-KBsl1w_5_5"/>
      <w:bookmarkStart w:id="1791" w:name="Tc_dNTcxbmLpkm42xd2SbxSxQ_5_2"/>
      <w:bookmarkStart w:id="1792" w:name="Tc_q1G5xhRylEuCT8VIEAiQCg_5_0"/>
      <w:bookmarkStart w:id="1793" w:name="Tc_5E6KRLTaPEKdYPPXiq9UNQ_4_11"/>
      <w:bookmarkStart w:id="1794" w:name="Tc_YmLsa35x10O-CRrdPitw3g_4_8"/>
      <w:bookmarkStart w:id="1795" w:name="Tc_pJXvqrKmXUuZlyNjO38B0g_4_5"/>
      <w:bookmarkStart w:id="1796" w:name="Tc_f9BZSD4xJUqnsjyZZgcckQ_4_2"/>
      <w:bookmarkStart w:id="1797" w:name="Tc_PzsxGMZCZk2h8W28w1AhmQ_4_0"/>
      <w:bookmarkStart w:id="1798" w:name="Tc_BOJe_b525EOvZg1Cyhyuyw_3_11"/>
      <w:bookmarkStart w:id="1799" w:name="Tc_gHAdj8Jb8keIHfsbh6-9xQ_3_8"/>
      <w:bookmarkStart w:id="1800" w:name="Tc_B8ITtPGrW0mJhvLZrUVehQ_3_5"/>
      <w:bookmarkStart w:id="1801" w:name="Tc_7y7ErgRZzUWNqwx0iMLgmg_2_11"/>
      <w:bookmarkStart w:id="1802" w:name="Tc_pDckZqyECEyQ0vuM0pGAMw_2_8"/>
      <w:bookmarkStart w:id="1803" w:name="Tc_4fI7CT4ZukqZF_xJGir3jQ_2_5"/>
      <w:bookmarkStart w:id="1804" w:name="Tc_J-jc99KZtUai0O7qZ-ZAmQ_1_2"/>
      <w:bookmarkStart w:id="1805" w:name="_6d0f6b2f_0500_4d7a_b814_50b5f44a693c"/>
      <w:bookmarkStart w:id="1806" w:name="Tc_LvbHjO1eNkiU8Gubq1EZ0Q_18_2"/>
      <w:bookmarkStart w:id="1807" w:name="Tc_tH9toPM_i0Ky2lRtgITA1A_18_0"/>
      <w:bookmarkStart w:id="1808" w:name="Tc_4scaNUCzZUOApS0f0maWPw_17_0"/>
      <w:bookmarkStart w:id="1809" w:name="Tc_s1Ac0rrE30u7SnAB2Kbjbg_16_12"/>
      <w:bookmarkStart w:id="1810" w:name="Tc_-UayaiIFSEaUq0UIHrRIfQ_16_11"/>
      <w:bookmarkStart w:id="1811" w:name="Tc_uxmam1q520ubdmGdA4Qt5w_16_8"/>
      <w:bookmarkStart w:id="1812" w:name="Tc_K2F3xJAs1E-0mA3eZdEPqA_16_5"/>
      <w:bookmarkStart w:id="1813" w:name="Tc_H_-1JgZegkqoW5fiOhC7Ug_16_0"/>
      <w:bookmarkStart w:id="1814" w:name="Tc_Ep004yb2B0iB-2k56YvvRg_15_12"/>
      <w:bookmarkStart w:id="1815" w:name="Tc_Ejerg29ioEefF8RtOWZ3sQ_15_6"/>
      <w:bookmarkStart w:id="1816" w:name="Tc_Nkq7B-luKEGnpsJCflnbFw_15_0"/>
      <w:bookmarkStart w:id="1817" w:name="Tc_DJX0pL_L506f9Z1Iewgv_A_14_12"/>
      <w:bookmarkStart w:id="1818" w:name="Tc_BW8NTlYSb0GW8HIAi8rBrg_14_6"/>
      <w:bookmarkStart w:id="1819" w:name="Tc_lbCMII-a6k-CVs47J8jMbw_14_0"/>
      <w:bookmarkStart w:id="1820" w:name="Tc_qJbLkljJUkKyRLPBIwG6OA_13_12"/>
      <w:bookmarkStart w:id="1821" w:name="Tc_1TFYKxsmHU-792aTdGLAAQ_13_6"/>
      <w:bookmarkStart w:id="1822" w:name="Tc_GVbefzvkQEyubR-2_RvgPg_13_0"/>
      <w:bookmarkStart w:id="1823" w:name="Tc_5ueOxT7MSEyJO35TWP7O6g_12_12"/>
      <w:bookmarkStart w:id="1824" w:name="Tc_NLqwpUpzrECh71b4UkbjqA_12_9"/>
      <w:bookmarkStart w:id="1825" w:name="Tc_ffMK_OFWPE-JZA4s81WXQA_12_0"/>
      <w:bookmarkStart w:id="1826" w:name="Tc_DS_ZUq6Jy0W-SBbEk9z85A_11_12"/>
      <w:bookmarkStart w:id="1827" w:name="Tc_mbuU-sUkokCI0-HFm0vIAQ_11_0"/>
      <w:bookmarkStart w:id="1828" w:name="Tc_jhaLgvjdgE-oQ_YqqRvQiQ_10_0"/>
      <w:bookmarkStart w:id="1829" w:name="Tc_4gnS2yhxEkSo16kEQFupZA_9_12"/>
      <w:bookmarkStart w:id="1830" w:name="Tc_EgumxA-h1kCicsnzr-n9xg_9_9"/>
      <w:bookmarkStart w:id="1831" w:name="Tc_dsnISgpkjUKadkmkPrA5VA_9_0"/>
      <w:bookmarkStart w:id="1832" w:name="Tc_a5Fzm37hvUiA2zIkK4JX0g_8_12"/>
      <w:bookmarkStart w:id="1833" w:name="Tc_nWviCXemZUGzHVODO941PQ_8_9"/>
      <w:bookmarkStart w:id="1834" w:name="Tc_33bCNSQyC0aztaHDmaLO8w_8_0"/>
      <w:bookmarkStart w:id="1835" w:name="Tc_vrmDpQloxkSJs5gcgGoIrQ_7_12"/>
      <w:bookmarkStart w:id="1836" w:name="Tc_9M8zkS4XRkeoXKZfBbNyNw_7_9"/>
      <w:bookmarkStart w:id="1837" w:name="Tc_BaR7SaFnnkO93c3e0ZP4TA_7_0"/>
      <w:bookmarkStart w:id="1838" w:name="Tc_a8VGokNvwUWbNpDXbD4g3g_6_0"/>
      <w:bookmarkStart w:id="1839" w:name="Tc_XVq066y5xU-xdCzI-LRj9w_5_12"/>
      <w:bookmarkStart w:id="1840" w:name="Tc_2XZOEkJB-EeIG5wphJVwtw_5_11"/>
      <w:bookmarkStart w:id="1841" w:name="Tc_B6trSHMXPE-RGddVcyNIhg_5_9"/>
      <w:bookmarkStart w:id="1842" w:name="Tc_v-f_EwvRxEq7k8xuRT_Jmw_5_8"/>
      <w:bookmarkStart w:id="1843" w:name="Tc_IjBKAZ_fvEu8O5XeCOFjGw_5_5"/>
      <w:bookmarkStart w:id="1844" w:name="Tc_YyH2tJ9SrUWJ5Ny7mVcs5Q_5_2"/>
      <w:bookmarkStart w:id="1845" w:name="Tc_AwBXm35adEehTAudy2OZAA_5_0"/>
      <w:bookmarkStart w:id="1846" w:name="Tc_xYmn4ZmXJUOTJVdecRhZfQ_4_11"/>
      <w:bookmarkStart w:id="1847" w:name="Tc_IVpcWxRPJkygoIU8cT13aA_4_8"/>
      <w:bookmarkStart w:id="1848" w:name="Tc_z28W51Nz4kesn1ivDux0xw_4_5"/>
      <w:bookmarkStart w:id="1849" w:name="Tc_h0GDJ1UqqkOAuj8lJfVnXA_4_2"/>
      <w:bookmarkStart w:id="1850" w:name="Tc_w2H4PsR9jE-qJeSmSzaQRQ_4_0"/>
      <w:bookmarkStart w:id="1851" w:name="Tc_3LF-TG4-7EeD6BWNlYSqqg_3_11"/>
      <w:bookmarkStart w:id="1852" w:name="Tc_CmifrpTEWkWNmcfR_R_8Yw_3_8"/>
      <w:bookmarkStart w:id="1853" w:name="Tc_j7Y8sciTuUG5IIskEjXkeA_3_5"/>
      <w:bookmarkStart w:id="1854" w:name="Tc_PzoN7aTtiU-VsbWYYNzIfQ_2_11"/>
      <w:bookmarkStart w:id="1855" w:name="Tc_VFp7MY2EnkK-yfbA8ktNNw_2_8"/>
      <w:bookmarkStart w:id="1856" w:name="Tc_324uMDE7QEez2jwX-u6iow_2_5"/>
      <w:bookmarkStart w:id="1857" w:name="Tc_0TG3D9quFkyqsgACIAfdTw_1_2"/>
      <w:bookmarkStart w:id="1858" w:name="_56438953_c8d0_4a7a_b40e_76b66444ba00"/>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r>
        <w:rPr>
          <w:rFonts w:ascii="Times New Roman;Times;serif" w:hAnsi="Times New Roman;Times;serif"/>
          <w:sz w:val="20"/>
        </w:rPr>
        <w:t>The fair values of the Company’s pension plan assets at December 31, 2025 and 2024 by asset category were as follows:</w:t>
      </w:r>
    </w:p>
    <w:p>
      <w:pPr>
        <w:pStyle w:val="TextBody"/>
        <w:bidi w:val="0"/>
        <w:spacing w:before="0" w:after="0"/>
        <w:ind w:left="0" w:right="0" w:hanging="0"/>
        <w:jc w:val="left"/>
        <w:rPr/>
      </w:pPr>
      <w:r>
        <w:rPr/>
        <w:t>​</w:t>
      </w:r>
    </w:p>
    <w:tbl>
      <w:tblPr>
        <w:tblW w:w="9394" w:type="dxa"/>
        <w:jc w:val="left"/>
        <w:tblInd w:w="0" w:type="dxa"/>
        <w:tblLayout w:type="fixed"/>
        <w:tblCellMar>
          <w:top w:w="0" w:type="dxa"/>
          <w:left w:w="0" w:type="dxa"/>
          <w:bottom w:w="0" w:type="dxa"/>
          <w:right w:w="0" w:type="dxa"/>
        </w:tblCellMar>
      </w:tblPr>
      <w:tblGrid>
        <w:gridCol w:w="3241"/>
        <w:gridCol w:w="346"/>
        <w:gridCol w:w="211"/>
        <w:gridCol w:w="571"/>
        <w:gridCol w:w="346"/>
        <w:gridCol w:w="352"/>
        <w:gridCol w:w="954"/>
        <w:gridCol w:w="346"/>
        <w:gridCol w:w="387"/>
        <w:gridCol w:w="858"/>
        <w:gridCol w:w="346"/>
        <w:gridCol w:w="469"/>
        <w:gridCol w:w="776"/>
        <w:gridCol w:w="191"/>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058035" cy="175260"/>
                      <wp:effectExtent l="0" t="0" r="0" b="0"/>
                      <wp:wrapNone/>
                      <wp:docPr id="645" name="Frame642"/>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19710" cy="175260"/>
                      <wp:effectExtent l="0" t="0" r="0" b="0"/>
                      <wp:wrapNone/>
                      <wp:docPr id="646" name="Frame6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33985" cy="175260"/>
                      <wp:effectExtent l="0" t="0" r="0" b="0"/>
                      <wp:wrapNone/>
                      <wp:docPr id="647" name="Frame6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362585" cy="175260"/>
                      <wp:effectExtent l="0" t="0" r="0" b="0"/>
                      <wp:wrapNone/>
                      <wp:docPr id="648" name="Frame6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9710" cy="175260"/>
                      <wp:effectExtent l="0" t="0" r="0" b="0"/>
                      <wp:wrapNone/>
                      <wp:docPr id="649" name="Frame6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23520" cy="175260"/>
                      <wp:effectExtent l="0" t="0" r="0" b="0"/>
                      <wp:wrapNone/>
                      <wp:docPr id="650" name="Frame64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05790" cy="175260"/>
                      <wp:effectExtent l="0" t="0" r="0" b="0"/>
                      <wp:wrapNone/>
                      <wp:docPr id="651" name="Frame648"/>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175260"/>
                      <wp:effectExtent l="0" t="0" r="0" b="0"/>
                      <wp:wrapNone/>
                      <wp:docPr id="652" name="Frame6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45745" cy="175260"/>
                      <wp:effectExtent l="0" t="0" r="0" b="0"/>
                      <wp:wrapNone/>
                      <wp:docPr id="653" name="Frame650"/>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544830" cy="175260"/>
                      <wp:effectExtent l="0" t="0" r="0" b="0"/>
                      <wp:wrapNone/>
                      <wp:docPr id="654" name="Frame651"/>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19710" cy="175260"/>
                      <wp:effectExtent l="0" t="0" r="0" b="0"/>
                      <wp:wrapNone/>
                      <wp:docPr id="655" name="Frame6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97815" cy="175260"/>
                      <wp:effectExtent l="0" t="0" r="0" b="0"/>
                      <wp:wrapNone/>
                      <wp:docPr id="656" name="Frame653"/>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492760" cy="175260"/>
                      <wp:effectExtent l="0" t="0" r="0" b="0"/>
                      <wp:wrapNone/>
                      <wp:docPr id="657" name="Frame654"/>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121285" cy="175260"/>
                      <wp:effectExtent l="0" t="0" r="0" b="0"/>
                      <wp:wrapNone/>
                      <wp:docPr id="658" name="Frame65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1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2025</w:t>
            </w:r>
          </w:p>
        </w:tc>
        <w:tc>
          <w:tcPr>
            <w:tcW w:w="19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9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191" w:type="dxa"/>
            <w:tcBorders/>
            <w:vAlign w:val="center"/>
          </w:tcPr>
          <w:p>
            <w:pPr>
              <w:pStyle w:val="TableContents"/>
              <w:bidi w:val="0"/>
              <w:spacing w:before="0" w:after="0"/>
              <w:ind w:left="0" w:right="0" w:hanging="0"/>
              <w:jc w:val="left"/>
              <w:rPr/>
            </w:pPr>
            <w:r>
              <w:rPr/>
              <w:t> </w:t>
            </w:r>
          </w:p>
        </w:tc>
      </w:tr>
      <w:tr>
        <w:trPr/>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Category (in millions)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91" w:type="dxa"/>
            <w:tcBorders/>
            <w:vAlign w:val="center"/>
          </w:tcPr>
          <w:p>
            <w:pPr>
              <w:pStyle w:val="TableContents"/>
              <w:bidi w:val="0"/>
              <w:spacing w:before="0" w:after="0"/>
              <w:ind w:left="0" w:right="0" w:hanging="0"/>
              <w:jc w:val="left"/>
              <w:rPr/>
            </w:pPr>
            <w:r>
              <w:rPr/>
              <w:t> </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large-cap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mid- and small-cap</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large-cap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TIPS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grade U.S. 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fixed income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46" w:type="dxa"/>
            <w:tcBorders/>
            <w:vAlign w:val="center"/>
          </w:tcPr>
          <w:p>
            <w:pPr>
              <w:pStyle w:val="TableContents"/>
              <w:bidi w:val="0"/>
              <w:spacing w:before="0" w:after="0"/>
              <w:ind w:left="0" w:right="0" w:hanging="0"/>
              <w:jc w:val="left"/>
              <w:rPr/>
            </w:pPr>
            <w:r>
              <w:rPr/>
              <w:t>​</w:t>
            </w:r>
          </w:p>
        </w:tc>
        <w:tc>
          <w:tcPr>
            <w:tcW w:w="3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vAlign w:val="center"/>
          </w:tcPr>
          <w:p>
            <w:pPr>
              <w:pStyle w:val="TableContents"/>
              <w:bidi w:val="0"/>
              <w:spacing w:before="0" w:after="0"/>
              <w:ind w:left="0" w:right="0" w:hanging="0"/>
              <w:jc w:val="left"/>
              <w:rPr/>
            </w:pPr>
            <w:r>
              <w:rPr/>
              <w:t>​</w:t>
            </w:r>
          </w:p>
        </w:tc>
        <w:tc>
          <w:tcPr>
            <w:tcW w:w="4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measured at NAV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258.9</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9394" w:type="dxa"/>
        <w:jc w:val="left"/>
        <w:tblInd w:w="0" w:type="dxa"/>
        <w:tblLayout w:type="fixed"/>
        <w:tblCellMar>
          <w:top w:w="0" w:type="dxa"/>
          <w:left w:w="0" w:type="dxa"/>
          <w:bottom w:w="0" w:type="dxa"/>
          <w:right w:w="0" w:type="dxa"/>
        </w:tblCellMar>
      </w:tblPr>
      <w:tblGrid>
        <w:gridCol w:w="3241"/>
        <w:gridCol w:w="346"/>
        <w:gridCol w:w="211"/>
        <w:gridCol w:w="571"/>
        <w:gridCol w:w="346"/>
        <w:gridCol w:w="352"/>
        <w:gridCol w:w="954"/>
        <w:gridCol w:w="346"/>
        <w:gridCol w:w="387"/>
        <w:gridCol w:w="858"/>
        <w:gridCol w:w="346"/>
        <w:gridCol w:w="469"/>
        <w:gridCol w:w="776"/>
        <w:gridCol w:w="191"/>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58035" cy="175260"/>
                      <wp:effectExtent l="0" t="0" r="0" b="0"/>
                      <wp:wrapNone/>
                      <wp:docPr id="659" name="Frame656"/>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19710" cy="175260"/>
                      <wp:effectExtent l="0" t="0" r="0" b="0"/>
                      <wp:wrapNone/>
                      <wp:docPr id="660" name="Frame6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33985" cy="175260"/>
                      <wp:effectExtent l="0" t="0" r="0" b="0"/>
                      <wp:wrapNone/>
                      <wp:docPr id="661" name="Frame6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362585" cy="175260"/>
                      <wp:effectExtent l="0" t="0" r="0" b="0"/>
                      <wp:wrapNone/>
                      <wp:docPr id="662" name="Frame6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9710" cy="175260"/>
                      <wp:effectExtent l="0" t="0" r="0" b="0"/>
                      <wp:wrapNone/>
                      <wp:docPr id="663" name="Frame6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23520" cy="175260"/>
                      <wp:effectExtent l="0" t="0" r="0" b="0"/>
                      <wp:wrapNone/>
                      <wp:docPr id="664" name="Frame66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05790" cy="175260"/>
                      <wp:effectExtent l="0" t="0" r="0" b="0"/>
                      <wp:wrapNone/>
                      <wp:docPr id="665" name="Frame662"/>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19710" cy="175260"/>
                      <wp:effectExtent l="0" t="0" r="0" b="0"/>
                      <wp:wrapNone/>
                      <wp:docPr id="666" name="Frame6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45745" cy="175260"/>
                      <wp:effectExtent l="0" t="0" r="0" b="0"/>
                      <wp:wrapNone/>
                      <wp:docPr id="667" name="Frame664"/>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544830" cy="175260"/>
                      <wp:effectExtent l="0" t="0" r="0" b="0"/>
                      <wp:wrapNone/>
                      <wp:docPr id="668" name="Frame665"/>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19710" cy="175260"/>
                      <wp:effectExtent l="0" t="0" r="0" b="0"/>
                      <wp:wrapNone/>
                      <wp:docPr id="669" name="Frame6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97815" cy="175260"/>
                      <wp:effectExtent l="0" t="0" r="0" b="0"/>
                      <wp:wrapNone/>
                      <wp:docPr id="670" name="Frame667"/>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492760" cy="175260"/>
                      <wp:effectExtent l="0" t="0" r="0" b="0"/>
                      <wp:wrapNone/>
                      <wp:docPr id="671" name="Frame668"/>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21285" cy="175260"/>
                      <wp:effectExtent l="0" t="0" r="0" b="0"/>
                      <wp:wrapNone/>
                      <wp:docPr id="672" name="Frame66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1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2024</w:t>
            </w:r>
          </w:p>
        </w:tc>
        <w:tc>
          <w:tcPr>
            <w:tcW w:w="19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9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191" w:type="dxa"/>
            <w:tcBorders/>
            <w:vAlign w:val="center"/>
          </w:tcPr>
          <w:p>
            <w:pPr>
              <w:pStyle w:val="TableContents"/>
              <w:bidi w:val="0"/>
              <w:spacing w:before="0" w:after="0"/>
              <w:ind w:left="0" w:right="0" w:hanging="0"/>
              <w:jc w:val="left"/>
              <w:rPr/>
            </w:pPr>
            <w:r>
              <w:rPr/>
              <w:t> </w:t>
            </w:r>
          </w:p>
        </w:tc>
      </w:tr>
      <w:tr>
        <w:trPr/>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Category (in millions)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91" w:type="dxa"/>
            <w:tcBorders/>
            <w:vAlign w:val="center"/>
          </w:tcPr>
          <w:p>
            <w:pPr>
              <w:pStyle w:val="TableContents"/>
              <w:bidi w:val="0"/>
              <w:spacing w:before="0" w:after="0"/>
              <w:ind w:left="0" w:right="0" w:hanging="0"/>
              <w:jc w:val="left"/>
              <w:rPr/>
            </w:pPr>
            <w:r>
              <w:rPr/>
              <w:t> </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large-cap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mid- and small-cap</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large-cap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grade U.S. 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fixed income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vAlign w:val="center"/>
          </w:tcPr>
          <w:p>
            <w:pPr>
              <w:pStyle w:val="TableContents"/>
              <w:bidi w:val="0"/>
              <w:spacing w:before="0" w:after="0"/>
              <w:ind w:left="0" w:right="0" w:hanging="0"/>
              <w:jc w:val="left"/>
              <w:rPr/>
            </w:pPr>
            <w:r>
              <w:rPr/>
              <w:t>​</w:t>
            </w:r>
          </w:p>
        </w:tc>
        <w:tc>
          <w:tcPr>
            <w:tcW w:w="3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vAlign w:val="center"/>
          </w:tcPr>
          <w:p>
            <w:pPr>
              <w:pStyle w:val="TableContents"/>
              <w:bidi w:val="0"/>
              <w:spacing w:before="0" w:after="0"/>
              <w:ind w:left="0" w:right="0" w:hanging="0"/>
              <w:jc w:val="left"/>
              <w:rPr/>
            </w:pPr>
            <w:r>
              <w:rPr/>
              <w:t>​</w:t>
            </w:r>
          </w:p>
        </w:tc>
        <w:tc>
          <w:tcPr>
            <w:tcW w:w="4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measured at NAV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funds for which fair value is measured using the NAV per share as a practical expedient are not leveled within the fair value hierarchy and are included as a reconciling item to total plan assets. These investments include real estate and certain developed and emerging market equity funds.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Contributions to the qualified single employer defined benefit pension plan are determined annually by the Company, taking into consideration recommendations from the actuary based upon the actuarially determined minimum required contributions under the Employee Retirement Income Security Act of 1974 (“ERISA”), as amended, the Pension Protection Act of 2006, and the maximum deductible contribution allowed for tax purposes. The Company’s funding policy is to contribute cash so that it meets at least the minimum required contributions, with an allowance for discretionary contributions. In 2025, 2024 and 2023, the Company contributed $1.1 million, $4.5 million and $9.0 million, respectively, in pension contributions to this plan, which were in excess of the minimum required contributions.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benefit formulas for employees who are members of collective bargaining units are determined according to the collective bargaining agreements, either using final average pay as the base, a flat dollar amount per year of service, or a cash balance formula.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Effective December 31, 2011, the Company froze benefit accruals under the final average pay formula for salaried, non-bargaining unit employees hired before January 1, 2008 and transitioned them to the same cash balance formula for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859" w:name="Tc_wQBvQRx1n0OCWMYvNtabxw_12_11"/>
      <w:bookmarkStart w:id="1860" w:name="Tc_qYV4mDsdREabif6TUlwjhQ_12_8"/>
      <w:bookmarkStart w:id="1861" w:name="Tc_-0fl7U93s06Vbu0Xbosa5w_12_5"/>
      <w:bookmarkStart w:id="1862" w:name="Tc_1qFrh_MCYEmfSlGnwZAjGA_12_2"/>
      <w:bookmarkStart w:id="1863" w:name="Tc_bJhEkhUukkSrzW9r2WBZhw_12_0"/>
      <w:bookmarkStart w:id="1864" w:name="Tc_6vuDVf5vW0Km8nBzc_zsmA_11_6"/>
      <w:bookmarkStart w:id="1865" w:name="Tc_qF4PkWKSEEmAjEeIhce2Dw_11_3"/>
      <w:bookmarkStart w:id="1866" w:name="Tc_R0XWqkxzBkaymvEDGkvWLA_11_0"/>
      <w:bookmarkStart w:id="1867" w:name="Tc_bjO4Jsu3VEeGEZ18tDrSDw_10_11"/>
      <w:bookmarkStart w:id="1868" w:name="Tc_Nh0ofewbMEaosd3W29gGMg_10_8"/>
      <w:bookmarkStart w:id="1869" w:name="Tc_Gh0rWPYRR02QJzg32UBMIA_10_5"/>
      <w:bookmarkStart w:id="1870" w:name="Tc_N45rg4iHzkuesw5XBWjDbA_10_2"/>
      <w:bookmarkStart w:id="1871" w:name="Tc_GzhD9LAhOEyJtp2ULkgwhQ_10_0"/>
      <w:bookmarkStart w:id="1872" w:name="Tc_SeCoZ3urg0yUrLTv4MoAgQ_8_11"/>
      <w:bookmarkStart w:id="1873" w:name="Tc_y7VRlDbuZkGcNrLBEpEbMQ_8_8"/>
      <w:bookmarkStart w:id="1874" w:name="Tc_W94Tcaw6dUyp2eOrv4BvNg_8_5"/>
      <w:bookmarkStart w:id="1875" w:name="Tc_lg3KnbRZ7U6wlNOh2ZBfKA_8_2"/>
      <w:bookmarkStart w:id="1876" w:name="Tc_wFZlg_R580idNyIpQYnUTg_8_0"/>
      <w:bookmarkStart w:id="1877" w:name="Tc_7EhXQM89b0STrJGohSsEQg_7_6"/>
      <w:bookmarkStart w:id="1878" w:name="Tc_x7dpnDsgMk-epXw-LjHP2A_7_3"/>
      <w:bookmarkStart w:id="1879" w:name="Tc_mOQyWpZLFkWI1jTMnOXzWA_7_0"/>
      <w:bookmarkStart w:id="1880" w:name="Tc_ySrp29kpz0qEkYNs_vUtIQ_6_6"/>
      <w:bookmarkStart w:id="1881" w:name="Tc_4iBXI8biVE6xcLuF9bUOGw_6_3"/>
      <w:bookmarkStart w:id="1882" w:name="Tc_0E-J7DHG5km-C6mISoUbdQ_6_0"/>
      <w:bookmarkStart w:id="1883" w:name="Tc_kjn50DFtWE6l8gR5mD4t6g_5_12"/>
      <w:bookmarkStart w:id="1884" w:name="Tc_HAqh6wM93EefQwcqbsUV-Q_5_11"/>
      <w:bookmarkStart w:id="1885" w:name="Tc__0P1hsOQe0GqupWLvzoOIQ_5_9"/>
      <w:bookmarkStart w:id="1886" w:name="Tc_zp5xOB-ZKUm7DHCo9ZD0mg_5_8"/>
      <w:bookmarkStart w:id="1887" w:name="Tc_LLY-sVSb-U6qS4mHQWvFaw_5_5"/>
      <w:bookmarkStart w:id="1888" w:name="Tc_38T7pn2KFUmMqPDbukdwEg_5_2"/>
      <w:bookmarkStart w:id="1889" w:name="Tc_vssiayE77EGF9ol6h7qlMw_5_0"/>
      <w:bookmarkStart w:id="1890" w:name="Tc_V1W9tCZxF0iFGMU8v9ijgQ_4_11"/>
      <w:bookmarkStart w:id="1891" w:name="Tc_2XYfBVOHoEeVCXJoRLNqtw_4_8"/>
      <w:bookmarkStart w:id="1892" w:name="Tc_EaRsi3d7f06zwB_jSdXp_A_4_5"/>
      <w:bookmarkStart w:id="1893" w:name="Tc_Vl6yD-lrKUG8dB_IaVu-CA_4_2"/>
      <w:bookmarkStart w:id="1894" w:name="Tc_SWc4tC3M5kewU6d1r__6EQ_4_0"/>
      <w:bookmarkStart w:id="1895" w:name="Tc_lMaNCYxnf0-jCYXWZnu0Sw_3_8"/>
      <w:bookmarkStart w:id="1896" w:name="Tc_woqhlZHzDkSmnTH-gIdqWg_3_2"/>
      <w:bookmarkStart w:id="1897" w:name="Tc_NjuFmxvlFkijPWw1rsVubw_2_8"/>
      <w:bookmarkStart w:id="1898" w:name="Tc_AqVI0upYGEGLi_EUAyVG5A_2_2"/>
      <w:bookmarkStart w:id="1899" w:name="Tc_Xoo7zfX1b0e4VApsuM_J0A_1_8"/>
      <w:bookmarkStart w:id="1900" w:name="_e9b3519b_66c9_4b57_be9d_4ac555c9ade2"/>
      <w:bookmarkStart w:id="1901" w:name="Tc_8dFqLyJ6R02ZDXEKmjKnwQ_21_11"/>
      <w:bookmarkStart w:id="1902" w:name="Tc_rOVsXIu--kGVRZET3_W2ng_21_8"/>
      <w:bookmarkStart w:id="1903" w:name="Tc_Jk1vdylPlU-5pBqToiWU8w_21_5"/>
      <w:bookmarkStart w:id="1904" w:name="Tc_t5b-f1ab-E641edPXT6ngw_21_2"/>
      <w:bookmarkStart w:id="1905" w:name="Tc_BcqUdD4JAk-ow9NYD1RiIw_21_0"/>
      <w:bookmarkStart w:id="1906" w:name="Tc_euaMnbPtc0O3MELSaAt0Wg_20_12"/>
      <w:bookmarkStart w:id="1907" w:name="Tc_Xxt5zpUfyUWR9FJJrpcVjQ_20_9"/>
      <w:bookmarkStart w:id="1908" w:name="Tc_MAwekPVmp0CTbF1PeXIwow_20_0"/>
      <w:bookmarkStart w:id="1909" w:name="Tc_RfGkIoWNrEyLnM2oNt2TmQ_19_0"/>
      <w:bookmarkStart w:id="1910" w:name="Tc_30Wly4tpi06KqFOJL5J6qQ_18_0"/>
      <w:bookmarkStart w:id="1911" w:name="Tc_F5s6NJ_-dkihYKLX4XwXWA_17_6"/>
      <w:bookmarkStart w:id="1912" w:name="Tc_cvVam5wnNEijYL99gSTkRA_17_3"/>
      <w:bookmarkStart w:id="1913" w:name="Tc_eUjc0wwPokKig0shZbVy9w_17_0"/>
      <w:bookmarkStart w:id="1914" w:name="Tc_JlzQ-vF_T0K0Q9WtuNw_iQ_16_12"/>
      <w:bookmarkStart w:id="1915" w:name="Tc_e4a6V1VUGEqyZqz_aIsFsQ_16_9"/>
      <w:bookmarkStart w:id="1916" w:name="Tc_I2OP_gG7RkeqHfvHuyQn9A_16_0"/>
      <w:bookmarkStart w:id="1917" w:name="Tc_kYewPiwYmEaUp66bo2mxUw_15_12"/>
      <w:bookmarkStart w:id="1918" w:name="Tc_b4I81zPmFEO0wcffjbk1Gw_15_9"/>
      <w:bookmarkStart w:id="1919" w:name="Tc_50b2T5Q9EkKKmyfApLWXbw_15_0"/>
      <w:bookmarkStart w:id="1920" w:name="Tc_PndBfNzRoEG_rS3PKrlqtQ_14_0"/>
      <w:bookmarkStart w:id="1921" w:name="Tc_Gn2Rbc7hD0mwarrxCTK0gw_12_0"/>
      <w:bookmarkStart w:id="1922" w:name="Tc_OQP8VbAtJEKh0U8OdOkJrQ_11_0"/>
      <w:bookmarkStart w:id="1923" w:name="Tc_HAk2NsUMvUywHmWsRYXRMQ_10_0"/>
      <w:bookmarkStart w:id="1924" w:name="Tc_EUMeJ672-0u65A4WH7c3uQ_9_6"/>
      <w:bookmarkStart w:id="1925" w:name="Tc_sv-J992ihEChIhYjeBe12A_9_3"/>
      <w:bookmarkStart w:id="1926" w:name="Tc_-jDCbZs5J0Gtnxbt6qdFvg_9_0"/>
      <w:bookmarkStart w:id="1927" w:name="Tc__yJ020fKok67hDBX0dJe0A_8_0"/>
      <w:bookmarkStart w:id="1928" w:name="Tc_xojYX-3sRkmFVPrCxdSJkg_7_0"/>
      <w:bookmarkStart w:id="1929" w:name="Tc_xHGi56vtGk6HMfFI5_66iQ_6_11"/>
      <w:bookmarkStart w:id="1930" w:name="Tc_ENKtNKFQQkOYf0IJVUVUkQ_6_8"/>
      <w:bookmarkStart w:id="1931" w:name="Tc_YlaQowpev0yBHrtwMGcYLw_6_5"/>
      <w:bookmarkStart w:id="1932" w:name="Tc_EuRYgJtKs0yiUTDf0XCRcg_6_2"/>
      <w:bookmarkStart w:id="1933" w:name="Tc_oOl1-IvtP0C8QR1Dv521KQ_6_0"/>
      <w:bookmarkStart w:id="1934" w:name="Tc_Mra6AMIUzUqifyKriL-YQA_5_0"/>
      <w:bookmarkStart w:id="1935" w:name="Tc_Y4QmClw98ESM060Ck4HT8Q_4_11"/>
      <w:bookmarkStart w:id="1936" w:name="Tc_8xn5N8w1jkORGcf-LQXACQ_4_8"/>
      <w:bookmarkStart w:id="1937" w:name="Tc_2Jbtq4JHREKrm767gIyKNw_4_5"/>
      <w:bookmarkStart w:id="1938" w:name="Tc_pmpO0dW5cEqyEabWRFrThg_4_2"/>
      <w:bookmarkStart w:id="1939" w:name="Tc_rA2ABq6gZk2myAuDJ08SvA_4_0"/>
      <w:bookmarkStart w:id="1940" w:name="Tc_h07DxkERak6Sss28Jta40A_3_8"/>
      <w:bookmarkStart w:id="1941" w:name="Tc_w0l2Gzl1mUih6VmIiM4XYA_3_2"/>
      <w:bookmarkStart w:id="1942" w:name="Tc_Kmwm6o0r00-UbX70SxHjYA_2_8"/>
      <w:bookmarkStart w:id="1943" w:name="Tc_LkyUZB5UL0arJDzHsouStg_2_2"/>
      <w:bookmarkStart w:id="1944" w:name="Tc_Eue2PtOrbEyR686mw1kICA_1_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r>
        <w:rPr>
          <w:rFonts w:ascii="Times New Roman;Times;serif" w:hAnsi="Times New Roman;Times;serif"/>
          <w:sz w:val="20"/>
        </w:rPr>
        <w:t>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December 31, 2022, the Matson Pension Plan for Clerical Bargaining Unit Employees was merged into the Retirement Plan for Employees of Matson.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Benefit Plan Assets and Obligations: </w:t>
      </w:r>
      <w:r>
        <w:rPr>
          <w:rFonts w:ascii="Times New Roman;Times;serif" w:hAnsi="Times New Roman;Times;serif"/>
          <w:sz w:val="20"/>
        </w:rPr>
        <w:t>The measurement date for the Company’s benefit plan disclosures is December 31 of each year. The status of the funded qualified defined benefit pension plan and the unfunded post-retirement benefit plan at December 31, 2025 and 2024 are shown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48"/>
        <w:gridCol w:w="346"/>
        <w:gridCol w:w="211"/>
        <w:gridCol w:w="585"/>
        <w:gridCol w:w="346"/>
        <w:gridCol w:w="211"/>
        <w:gridCol w:w="585"/>
        <w:gridCol w:w="346"/>
        <w:gridCol w:w="211"/>
        <w:gridCol w:w="583"/>
        <w:gridCol w:w="346"/>
        <w:gridCol w:w="211"/>
        <w:gridCol w:w="583"/>
        <w:gridCol w:w="193"/>
      </w:tblGrid>
      <w:tr>
        <w:trPr/>
        <w:tc>
          <w:tcPr>
            <w:tcW w:w="5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3459480" cy="175260"/>
                      <wp:effectExtent l="0" t="0" r="0" b="0"/>
                      <wp:wrapNone/>
                      <wp:docPr id="673" name="Frame670"/>
                      <a:graphic xmlns:a="http://schemas.openxmlformats.org/drawingml/2006/main">
                        <a:graphicData uri="http://schemas.microsoft.com/office/word/2010/wordprocessingShape">
                          <wps:wsp>
                            <wps:cNvSpPr txBox="1"/>
                            <wps:spPr>
                              <a:xfrm>
                                <a:off x="0" y="0"/>
                                <a:ext cx="3459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19710" cy="175260"/>
                      <wp:effectExtent l="0" t="0" r="0" b="0"/>
                      <wp:wrapNone/>
                      <wp:docPr id="674" name="Frame6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33985" cy="175260"/>
                      <wp:effectExtent l="0" t="0" r="0" b="0"/>
                      <wp:wrapNone/>
                      <wp:docPr id="675" name="Frame6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371475" cy="175260"/>
                      <wp:effectExtent l="0" t="0" r="0" b="0"/>
                      <wp:wrapNone/>
                      <wp:docPr id="676" name="Frame673"/>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19710" cy="175260"/>
                      <wp:effectExtent l="0" t="0" r="0" b="0"/>
                      <wp:wrapNone/>
                      <wp:docPr id="677" name="Frame6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33985" cy="175260"/>
                      <wp:effectExtent l="0" t="0" r="0" b="0"/>
                      <wp:wrapNone/>
                      <wp:docPr id="678" name="Frame6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371475" cy="175260"/>
                      <wp:effectExtent l="0" t="0" r="0" b="0"/>
                      <wp:wrapNone/>
                      <wp:docPr id="679" name="Frame676"/>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19710" cy="175260"/>
                      <wp:effectExtent l="0" t="0" r="0" b="0"/>
                      <wp:wrapNone/>
                      <wp:docPr id="680" name="Frame6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33985" cy="175260"/>
                      <wp:effectExtent l="0" t="0" r="0" b="0"/>
                      <wp:wrapNone/>
                      <wp:docPr id="681" name="Frame6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370205" cy="175260"/>
                      <wp:effectExtent l="0" t="0" r="0" b="0"/>
                      <wp:wrapNone/>
                      <wp:docPr id="682" name="Frame679"/>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19710" cy="175260"/>
                      <wp:effectExtent l="0" t="0" r="0" b="0"/>
                      <wp:wrapNone/>
                      <wp:docPr id="683" name="Frame6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33985" cy="175260"/>
                      <wp:effectExtent l="0" t="0" r="0" b="0"/>
                      <wp:wrapNone/>
                      <wp:docPr id="684" name="Frame6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370205" cy="175260"/>
                      <wp:effectExtent l="0" t="0" r="0" b="0"/>
                      <wp:wrapNone/>
                      <wp:docPr id="685" name="Frame682"/>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22555" cy="175260"/>
                      <wp:effectExtent l="0" t="0" r="0" b="0"/>
                      <wp:wrapNone/>
                      <wp:docPr id="686" name="Frame683"/>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3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w:t>
            </w:r>
          </w:p>
        </w:tc>
        <w:tc>
          <w:tcPr>
            <w:tcW w:w="193" w:type="dxa"/>
            <w:tcBorders/>
            <w:vAlign w:val="center"/>
          </w:tcPr>
          <w:p>
            <w:pPr>
              <w:pStyle w:val="TableContents"/>
              <w:bidi w:val="0"/>
              <w:spacing w:before="0" w:after="0"/>
              <w:ind w:left="0" w:right="0" w:hanging="0"/>
              <w:jc w:val="left"/>
              <w:rPr/>
            </w:pPr>
            <w:r>
              <w:rPr/>
              <w:t> </w:t>
            </w:r>
          </w:p>
        </w:tc>
      </w:tr>
      <w:tr>
        <w:trPr/>
        <w:tc>
          <w:tcPr>
            <w:tcW w:w="54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46" w:type="dxa"/>
            <w:tcBorders/>
            <w:vAlign w:val="center"/>
          </w:tcPr>
          <w:p>
            <w:pPr>
              <w:pStyle w:val="TableContents"/>
              <w:bidi w:val="0"/>
              <w:spacing w:before="0" w:after="0"/>
              <w:ind w:left="0" w:right="0" w:hanging="0"/>
              <w:jc w:val="left"/>
              <w:rPr/>
            </w:pPr>
            <w:r>
              <w:rPr/>
              <w:t>​</w:t>
            </w:r>
          </w:p>
        </w:tc>
        <w:tc>
          <w:tcPr>
            <w:tcW w:w="193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193" w:type="dxa"/>
            <w:tcBorders/>
            <w:vAlign w:val="center"/>
          </w:tcPr>
          <w:p>
            <w:pPr>
              <w:pStyle w:val="TableContents"/>
              <w:bidi w:val="0"/>
              <w:spacing w:before="0" w:after="0"/>
              <w:ind w:left="0" w:right="0" w:hanging="0"/>
              <w:jc w:val="left"/>
              <w:rPr/>
            </w:pPr>
            <w:r>
              <w:rPr/>
              <w:t> </w:t>
            </w:r>
          </w:p>
        </w:tc>
      </w:tr>
      <w:tr>
        <w:trPr/>
        <w:tc>
          <w:tcPr>
            <w:tcW w:w="54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w:t>
            </w:r>
          </w:p>
        </w:tc>
        <w:tc>
          <w:tcPr>
            <w:tcW w:w="19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93" w:type="dxa"/>
            <w:tcBorders/>
            <w:vAlign w:val="center"/>
          </w:tcPr>
          <w:p>
            <w:pPr>
              <w:pStyle w:val="TableContents"/>
              <w:bidi w:val="0"/>
              <w:spacing w:before="0" w:after="0"/>
              <w:ind w:left="0" w:right="0" w:hanging="0"/>
              <w:jc w:val="left"/>
              <w:rPr/>
            </w:pPr>
            <w:r>
              <w:rPr/>
              <w:t>​</w:t>
            </w:r>
          </w:p>
        </w:tc>
      </w:tr>
      <w:tr>
        <w:trPr/>
        <w:tc>
          <w:tcPr>
            <w:tcW w:w="5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3" w:type="dxa"/>
            <w:tcBorders/>
            <w:vAlign w:val="center"/>
          </w:tcPr>
          <w:p>
            <w:pPr>
              <w:pStyle w:val="TableContents"/>
              <w:bidi w:val="0"/>
              <w:spacing w:before="0" w:after="0"/>
              <w:ind w:left="0" w:right="0" w:hanging="0"/>
              <w:jc w:val="left"/>
              <w:rPr/>
            </w:pPr>
            <w:r>
              <w:rPr/>
              <w:t> </w:t>
            </w:r>
          </w:p>
        </w:tc>
      </w:tr>
      <w:tr>
        <w:trPr/>
        <w:tc>
          <w:tcPr>
            <w:tcW w:w="5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Benefit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5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obligation at beginning of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93" w:type="dxa"/>
            <w:tcBorders/>
            <w:vAlign w:val="center"/>
          </w:tcPr>
          <w:p>
            <w:pPr>
              <w:pStyle w:val="TableContents"/>
              <w:bidi w:val="0"/>
              <w:spacing w:before="0" w:after="0"/>
              <w:ind w:left="0" w:right="0" w:hanging="0"/>
              <w:jc w:val="left"/>
              <w:rPr/>
            </w:pPr>
            <w:r>
              <w:rPr/>
              <w:t>​</w:t>
            </w:r>
          </w:p>
        </w:tc>
      </w:tr>
      <w:tr>
        <w:trPr/>
        <w:tc>
          <w:tcPr>
            <w:tcW w:w="5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5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3" w:type="dxa"/>
            <w:tcBorders/>
            <w:vAlign w:val="center"/>
          </w:tcPr>
          <w:p>
            <w:pPr>
              <w:pStyle w:val="TableContents"/>
              <w:bidi w:val="0"/>
              <w:spacing w:before="0" w:after="0"/>
              <w:ind w:left="0" w:right="0" w:hanging="0"/>
              <w:jc w:val="left"/>
              <w:rPr/>
            </w:pPr>
            <w:r>
              <w:rPr/>
              <w:t>​</w:t>
            </w:r>
          </w:p>
        </w:tc>
      </w:tr>
      <w:tr>
        <w:trPr/>
        <w:tc>
          <w:tcPr>
            <w:tcW w:w="5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5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loss (gain)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93" w:type="dxa"/>
            <w:tcBorders/>
            <w:vAlign w:val="center"/>
          </w:tcPr>
          <w:p>
            <w:pPr>
              <w:pStyle w:val="TableContents"/>
              <w:bidi w:val="0"/>
              <w:spacing w:before="0" w:after="0"/>
              <w:ind w:left="0" w:right="0" w:hanging="0"/>
              <w:jc w:val="left"/>
              <w:rPr/>
            </w:pPr>
            <w:r>
              <w:rPr/>
              <w:t>​</w:t>
            </w:r>
          </w:p>
        </w:tc>
      </w:tr>
      <w:tr>
        <w:trPr/>
        <w:tc>
          <w:tcPr>
            <w:tcW w:w="5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 net of subsidies received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5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obligation at end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193" w:type="dxa"/>
            <w:tcBorders/>
            <w:vAlign w:val="center"/>
          </w:tcPr>
          <w:p>
            <w:pPr>
              <w:pStyle w:val="TableContents"/>
              <w:bidi w:val="0"/>
              <w:spacing w:before="0" w:after="0"/>
              <w:ind w:left="0" w:right="0" w:hanging="0"/>
              <w:jc w:val="left"/>
              <w:rPr/>
            </w:pPr>
            <w:r>
              <w:rPr/>
              <w:t>​</w:t>
            </w:r>
          </w:p>
        </w:tc>
      </w:tr>
      <w:tr>
        <w:trPr/>
        <w:tc>
          <w:tcPr>
            <w:tcW w:w="54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5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5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 at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5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Actual return on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5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5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 contributions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93" w:type="dxa"/>
            <w:tcBorders/>
            <w:vAlign w:val="center"/>
          </w:tcPr>
          <w:p>
            <w:pPr>
              <w:pStyle w:val="TableContents"/>
              <w:bidi w:val="0"/>
              <w:spacing w:before="0" w:after="0"/>
              <w:ind w:left="0" w:right="0" w:hanging="0"/>
              <w:jc w:val="left"/>
              <w:rPr/>
            </w:pPr>
            <w:r>
              <w:rPr/>
              <w:t>​</w:t>
            </w:r>
          </w:p>
        </w:tc>
      </w:tr>
      <w:tr>
        <w:trPr/>
        <w:tc>
          <w:tcPr>
            <w:tcW w:w="5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 net of subsidies received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5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 at end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5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Funded Status and Recognized Plan Assets and Benefit Obligations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1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Qualified pension and post-retirement benefit plan assets and liabilities recognized in the Consolidated Balance Sheets and expenses recognized in accumulated other comprehensive income (loss) at December 31, 2025 and 2024 were as follows:</w:t>
      </w:r>
    </w:p>
    <w:tbl>
      <w:tblPr>
        <w:tblW w:w="7314" w:type="dxa"/>
        <w:jc w:val="left"/>
        <w:tblInd w:w="0" w:type="dxa"/>
        <w:tblLayout w:type="fixed"/>
        <w:tblCellMar>
          <w:top w:w="0" w:type="dxa"/>
          <w:left w:w="0" w:type="dxa"/>
          <w:bottom w:w="0" w:type="dxa"/>
          <w:right w:w="0" w:type="dxa"/>
        </w:tblCellMar>
      </w:tblPr>
      <w:tblGrid>
        <w:gridCol w:w="2656"/>
        <w:gridCol w:w="346"/>
        <w:gridCol w:w="211"/>
        <w:gridCol w:w="481"/>
        <w:gridCol w:w="346"/>
        <w:gridCol w:w="211"/>
        <w:gridCol w:w="586"/>
        <w:gridCol w:w="346"/>
        <w:gridCol w:w="211"/>
        <w:gridCol w:w="586"/>
        <w:gridCol w:w="346"/>
        <w:gridCol w:w="211"/>
        <w:gridCol w:w="586"/>
        <w:gridCol w:w="19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686560" cy="175260"/>
                      <wp:effectExtent l="0" t="0" r="0" b="0"/>
                      <wp:wrapNone/>
                      <wp:docPr id="687" name="Frame684"/>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19710" cy="175260"/>
                      <wp:effectExtent l="0" t="0" r="0" b="0"/>
                      <wp:wrapNone/>
                      <wp:docPr id="688" name="Frame6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33985" cy="175260"/>
                      <wp:effectExtent l="0" t="0" r="0" b="0"/>
                      <wp:wrapNone/>
                      <wp:docPr id="689" name="Frame6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305435" cy="175260"/>
                      <wp:effectExtent l="0" t="0" r="0" b="0"/>
                      <wp:wrapNone/>
                      <wp:docPr id="690" name="Frame68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19710" cy="175260"/>
                      <wp:effectExtent l="0" t="0" r="0" b="0"/>
                      <wp:wrapNone/>
                      <wp:docPr id="691"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33985" cy="175260"/>
                      <wp:effectExtent l="0" t="0" r="0" b="0"/>
                      <wp:wrapNone/>
                      <wp:docPr id="692" name="Frame6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372110" cy="175260"/>
                      <wp:effectExtent l="0" t="0" r="0" b="0"/>
                      <wp:wrapNone/>
                      <wp:docPr id="693" name="Frame69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19710" cy="175260"/>
                      <wp:effectExtent l="0" t="0" r="0" b="0"/>
                      <wp:wrapNone/>
                      <wp:docPr id="694" name="Frame6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33985" cy="175260"/>
                      <wp:effectExtent l="0" t="0" r="0" b="0"/>
                      <wp:wrapNone/>
                      <wp:docPr id="695" name="Frame6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372110" cy="175260"/>
                      <wp:effectExtent l="0" t="0" r="0" b="0"/>
                      <wp:wrapNone/>
                      <wp:docPr id="696" name="Frame69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19710" cy="175260"/>
                      <wp:effectExtent l="0" t="0" r="0" b="0"/>
                      <wp:wrapNone/>
                      <wp:docPr id="697" name="Frame6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33985" cy="175260"/>
                      <wp:effectExtent l="0" t="0" r="0" b="0"/>
                      <wp:wrapNone/>
                      <wp:docPr id="698" name="Frame6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372110" cy="175260"/>
                      <wp:effectExtent l="0" t="0" r="0" b="0"/>
                      <wp:wrapNone/>
                      <wp:docPr id="699" name="Frame69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121285" cy="175260"/>
                      <wp:effectExtent l="0" t="0" r="0" b="0"/>
                      <wp:wrapNone/>
                      <wp:docPr id="700" name="Frame69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gain, net of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service credit, net of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self-insuring for certain insurance plans, encouraging wellness programs for employees, and implementing measures to mitigate future benefit cost increases.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945" w:name="Tc_g1h5Gtrd9kWCOfrHubK6VA_10_5"/>
      <w:bookmarkStart w:id="1946" w:name="Tc_ryzuqD13N0m9hdSTlzJybg_10_2"/>
      <w:bookmarkStart w:id="1947" w:name="Tc_7Q75TtwMjEakgjFnsUUhCw_10_0"/>
      <w:bookmarkStart w:id="1948" w:name="Tc_hGp61W-d3UGV-IiOQlAsrQ_9_5"/>
      <w:bookmarkStart w:id="1949" w:name="Tc_wXvKFfB95kmGgTUvQtQu6g_9_2"/>
      <w:bookmarkStart w:id="1950" w:name="Tc_P9AKJzAdSEy-11JT8reTUg_9_0"/>
      <w:bookmarkStart w:id="1951" w:name="Tc_8FxRaQSbpk6S3gQwJD3yIA_7_5"/>
      <w:bookmarkStart w:id="1952" w:name="Tc_jpnwdWEWF02-duyqOxCtDQ_7_2"/>
      <w:bookmarkStart w:id="1953" w:name="Tc_bZbJxYOroUO_nn4cJ2pFrA_7_0"/>
      <w:bookmarkStart w:id="1954" w:name="Tc_L_ZVYa_RFU6VqpSjucMbag_6_0"/>
      <w:bookmarkStart w:id="1955" w:name="Tc_B3jrGVYEFEigP0JlGQdgDQ_5_5"/>
      <w:bookmarkStart w:id="1956" w:name="Tc_liwxRhjCBEyYFEKvk9E8qQ_5_2"/>
      <w:bookmarkStart w:id="1957" w:name="Tc_wBCyUilCpEahA9XJxSoHKA_5_0"/>
      <w:bookmarkStart w:id="1958" w:name="Tc_jaPM3jRZGUyK08a0CTRH7Q_4_5"/>
      <w:bookmarkStart w:id="1959" w:name="Tc_lyjLUgeDwEGKWjuEBBojeA_4_2"/>
      <w:bookmarkStart w:id="1960" w:name="Tc_M0nGRj1q7Ue7wgMHwRBUPA_4_0"/>
      <w:bookmarkStart w:id="1961" w:name="Tc_96DYnxvGDUaEMM81zMcmbw_3_2"/>
      <w:bookmarkStart w:id="1962" w:name="Tc_nyD9MTJpcEq85VrwxTg4IA_2_2"/>
      <w:bookmarkStart w:id="1963" w:name="Tc_GDWCGzM1u0KWYBDCbiAphw_1_2"/>
      <w:bookmarkStart w:id="1964" w:name="Tc_tKz1VF4lV0CfK24mUz09Eg_12_12"/>
      <w:bookmarkStart w:id="1965" w:name="Tc_OrMe2AgcAU6TAIe8gDssvg_12_10"/>
      <w:bookmarkStart w:id="1966" w:name="Tc_mlUSAM-GN0Kj0CRG2gC4SQ_12_8"/>
      <w:bookmarkStart w:id="1967" w:name="Tc_Kf1LnkrYmkOwvNyX8iHimg_12_0"/>
      <w:bookmarkStart w:id="1968" w:name="Tc_9Yc_4EvkK0mVI-WQKsOqgg_11_13"/>
      <w:bookmarkStart w:id="1969" w:name="Tc_1O6BxLTC8E271J_xoxJjBQ_11_11"/>
      <w:bookmarkStart w:id="1970" w:name="Tc_2Uirz92ys0mxB8Sfsp1Amg_11_9"/>
      <w:bookmarkStart w:id="1971" w:name="Tc_DZOtG5b5KEuPaM636tCBLg_11_0"/>
      <w:bookmarkStart w:id="1972" w:name="Tc_uZJKKbTpo0KNBHL7Rthaag_10_13"/>
      <w:bookmarkStart w:id="1973" w:name="Tc_AlST38M4oU-7gskL5putcw_10_11"/>
      <w:bookmarkStart w:id="1974" w:name="Tc_OMAnU2fg2EypQTm222TwhA_10_9"/>
      <w:bookmarkStart w:id="1975" w:name="Tc_o5qOgFL6NEerzjnf24BvNQ_10_0"/>
      <w:bookmarkStart w:id="1976" w:name="Tc_gOfSws-k40yn6V0TJjnghg_9_13"/>
      <w:bookmarkStart w:id="1977" w:name="Tc_mETpVhTwGE2aZsEoAelOUQ_9_11"/>
      <w:bookmarkStart w:id="1978" w:name="Tc_uvkfbF7tzUaIHMSZ1UeZdg_9_9"/>
      <w:bookmarkStart w:id="1979" w:name="Tc_u9yAL42coUyIXud3-eBKWw_9_0"/>
      <w:bookmarkStart w:id="1980" w:name="Tc_kaablofgZE6ZmM1-r6OGrA_8_0"/>
      <w:bookmarkStart w:id="1981" w:name="Tc_sNhYKSA9kE-RbdxYv3hSCQ_7_6"/>
      <w:bookmarkStart w:id="1982" w:name="Tc_7tmp5zAFfEm3UH4ovcD1ag_7_4"/>
      <w:bookmarkStart w:id="1983" w:name="Tc_i3IRljWr6keQbtS1ialvZg_7_2"/>
      <w:bookmarkStart w:id="1984" w:name="Tc_gfiiIPngpEahAT2GGwJUpA_7_0"/>
      <w:bookmarkStart w:id="1985" w:name="Tc_3eW0TGTIYUqAF_P_RIPDzQ_6_13"/>
      <w:bookmarkStart w:id="1986" w:name="Tc_tzs_xCQHcEGFVf96XBsi8g_6_11"/>
      <w:bookmarkStart w:id="1987" w:name="Tc_cwQS3tL3iUek-Y3l_R3PyA_6_9"/>
      <w:bookmarkStart w:id="1988" w:name="Tc_vjL7cqg04UWDj0oOgGwKuw_6_0"/>
      <w:bookmarkStart w:id="1989" w:name="Tc_vlSREwqyi0Kj1dqkHKDBwQ_5_0"/>
      <w:bookmarkStart w:id="1990" w:name="Tc_G748zRF6N06JpetEbCb17Q_4_13"/>
      <w:bookmarkStart w:id="1991" w:name="Tc_UZ27Ei_EJU-yJfM4PwfDhw_4_11"/>
      <w:bookmarkStart w:id="1992" w:name="Tc_xBi3cApu2kKtxzLunkpBtg_4_9"/>
      <w:bookmarkStart w:id="1993" w:name="Tc_pQsV_B3Z8kyJqIhbQwPrug_4_0"/>
      <w:bookmarkStart w:id="1994" w:name="Tc_Ukv02pO7v0ixxnlJfSDHow_3_12"/>
      <w:bookmarkStart w:id="1995" w:name="Tc_fARh1HpTpEuGeFrd4TX-2g_3_10"/>
      <w:bookmarkStart w:id="1996" w:name="Tc_tfMLos2N00a5eI_JAVAq9A_3_8"/>
      <w:bookmarkStart w:id="1997" w:name="Tc_NEGpAg9peUSRWOY87B57cQ_3_6"/>
      <w:bookmarkStart w:id="1998" w:name="Tc_UfOjA0k7BEi_ZOuz6FdvqA_3_4"/>
      <w:bookmarkStart w:id="1999" w:name="Tc_GPurbjajskScFLpoN7JmAA_3_2"/>
      <w:bookmarkStart w:id="2000" w:name="Tc_iDtM14VSoUSp6OQeuHIeew_2_8"/>
      <w:bookmarkStart w:id="2001" w:name="Tc_A2DjfbUhmkGeTYotJf_3TA_2_2"/>
      <w:bookmarkStart w:id="2002" w:name="Tc_ZINTMu7nXUmWl2tlWuze0Q_1_8"/>
      <w:bookmarkStart w:id="2003" w:name="Tc_LWRMx7rvT0WYyE8sD7hZqw_1_2"/>
      <w:bookmarkStart w:id="2004" w:name="_f4d5a03d_8b9e_42cc_8054_3f7ed2468eb4"/>
      <w:bookmarkStart w:id="2005" w:name="Tc_ZiVJNFGo-UOqw9aRIPR7BQ_17_17"/>
      <w:bookmarkStart w:id="2006" w:name="Tc_qp53AVnqXEmE6uDGEBKZ7Q_17_14"/>
      <w:bookmarkStart w:id="2007" w:name="Tc_RDI5p2h8i0aI_J_qsBBhDg_17_11"/>
      <w:bookmarkStart w:id="2008" w:name="Tc_YmiMRBFykEy6Jm3wkdFKbQ_17_8"/>
      <w:bookmarkStart w:id="2009" w:name="Tc_Zg6m-7D6tEuEJ1CTOjeUQw_17_5"/>
      <w:bookmarkStart w:id="2010" w:name="Tc_Gy_Xl2h6zEWW40zWlHLHfQ_17_2"/>
      <w:bookmarkStart w:id="2011" w:name="Tc_Ric0oSouSkWZAGzsy-39MQ_17_0"/>
      <w:bookmarkStart w:id="2012" w:name="Tc_tCmzmoJoT0qZTd_yt0HToA_16_0"/>
      <w:bookmarkStart w:id="2013" w:name="Tc_Q2SE1X2G-0CP7PnTOePHDA_15_9"/>
      <w:bookmarkStart w:id="2014" w:name="Tc_HO8HAErJmk6OXPufocrpmQ_15_6"/>
      <w:bookmarkStart w:id="2015" w:name="Tc_prrdQk8GEkSwB3NSeX4DRA_15_3"/>
      <w:bookmarkStart w:id="2016" w:name="Tc_lIWXx0a0bESx4AQFf_Wibw_15_0"/>
      <w:bookmarkStart w:id="2017" w:name="Tc_3DkeE877m0uQcz9rKpE8aQ_14_3"/>
      <w:bookmarkStart w:id="2018" w:name="Tc_t4dErQsTIkCcQlmWr0LmgA_14_0"/>
      <w:bookmarkStart w:id="2019" w:name="Tc_siY_QrvKOUi_DcRLizsfag_13_0"/>
      <w:bookmarkStart w:id="2020" w:name="Tc_A83KCl25F0ypTwscGeB6hg_12_0"/>
      <w:bookmarkStart w:id="2021" w:name="Tc_5QgjSC4VfUm1WnVJS627nw_10_0"/>
      <w:bookmarkStart w:id="2022" w:name="Tc_XiZGfpKXdUKub9UC34OQZA_9_9"/>
      <w:bookmarkStart w:id="2023" w:name="Tc_3_iNsqreLUypIbY4DD3Lvg_9_6"/>
      <w:bookmarkStart w:id="2024" w:name="Tc_7uN-5E5UiEa58vat0yl6kg_9_3"/>
      <w:bookmarkStart w:id="2025" w:name="Tc_Uv2Ppij1o0Kf0KR9v4VmQQ_9_0"/>
      <w:bookmarkStart w:id="2026" w:name="Tc_97E6HUSlhUWOL4AE-vDmoQ_8_3"/>
      <w:bookmarkStart w:id="2027" w:name="Tc_qlNCg2ElEkmoXc907Cx0fw_8_0"/>
      <w:bookmarkStart w:id="2028" w:name="Tc_15y9vBoTPk-4JdRMDIw5GQ_7_18"/>
      <w:bookmarkStart w:id="2029" w:name="Tc_c0YpzhR7WEqvJBYWcd9yNg_7_15"/>
      <w:bookmarkStart w:id="2030" w:name="Tc_Xo3YNhDn0Ey9a9OKNWS9aQ_7_12"/>
      <w:bookmarkStart w:id="2031" w:name="Tc_31LKMwjroUa0bNyHXhTUSw_7_0"/>
      <w:bookmarkStart w:id="2032" w:name="Tc_KH8i3ebT8kyUT395eW6FmQ_6_0"/>
      <w:bookmarkStart w:id="2033" w:name="Tc_KcckIVDK5Uut2Stnr2BHTQ_5_17"/>
      <w:bookmarkStart w:id="2034" w:name="Tc_LYarQcOZ40iRXA2Txwk3xQ_5_14"/>
      <w:bookmarkStart w:id="2035" w:name="Tc_GQ82yUj3V0C1ZDbH_EuAbQ_5_11"/>
      <w:bookmarkStart w:id="2036" w:name="Tc_jHb7vLBXAEug6AfPJxV15A_5_8"/>
      <w:bookmarkStart w:id="2037" w:name="Tc_TGt6Oim6X0Odp5BotUa66A_5_5"/>
      <w:bookmarkStart w:id="2038" w:name="Tc_j6XBY504eEuEWF1ukyP4UA_5_2"/>
      <w:bookmarkStart w:id="2039" w:name="Tc_wKywZQjvG0ajbM_AdTCfbQ_5_0"/>
      <w:bookmarkStart w:id="2040" w:name="Tc_0rx7BSgsYkO_Sm4isYfBVg_4_0"/>
      <w:bookmarkStart w:id="2041" w:name="Tc_i3unm-yKpkmlIB2N_0Mhkg_3_17"/>
      <w:bookmarkStart w:id="2042" w:name="Tc_MJZT2_B6aUWccZXvwvn49w_3_14"/>
      <w:bookmarkStart w:id="2043" w:name="Tc_fjrpXmHmqE-GK4cRbkIviQ_3_11"/>
      <w:bookmarkStart w:id="2044" w:name="Tc_WCF4dFng20aX-1VHTLuiRw_3_8"/>
      <w:bookmarkStart w:id="2045" w:name="Tc_9SbD4Fjbg02Ny1sh-Z4h5A_3_5"/>
      <w:bookmarkStart w:id="2046" w:name="Tc_C8XYuDDFCEWdQ81TjUAq4Q_3_2"/>
      <w:bookmarkStart w:id="2047" w:name="Tc_CuRI4xQQ40Cum3srNIbIdQ_3_0"/>
      <w:bookmarkStart w:id="2048" w:name="Tc_KndWVM8Y7U6AgbxPEyVU9A_2_11"/>
      <w:bookmarkStart w:id="2049" w:name="Tc_wa1T88RjREGAWJGREygNzQ_2_2"/>
      <w:bookmarkStart w:id="2050" w:name="Tc_Wyz08oz2hkybS6yWKIgGsw_1_11"/>
      <w:bookmarkStart w:id="2051" w:name="Tc_dQBqEmZrJUKrApnMGxy9NA_1_2"/>
      <w:bookmarkStart w:id="2052" w:name="_e5164491_b5ce_4fd8_8921_b72f7cb6255b"/>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r>
        <w:rPr>
          <w:rFonts w:ascii="Times New Roman;Times;serif" w:hAnsi="Times New Roman;Times;serif"/>
          <w:sz w:val="20"/>
        </w:rPr>
        <w:t>Components of the net periodic benefit cost and other amounts recognized in other comprehensive income (loss) for the qualified pension plan and the post-retirement benefit plan during 2025, 2024 and 2023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22"/>
        <w:gridCol w:w="346"/>
        <w:gridCol w:w="211"/>
        <w:gridCol w:w="544"/>
        <w:gridCol w:w="346"/>
        <w:gridCol w:w="211"/>
        <w:gridCol w:w="544"/>
        <w:gridCol w:w="346"/>
        <w:gridCol w:w="211"/>
        <w:gridCol w:w="544"/>
        <w:gridCol w:w="346"/>
        <w:gridCol w:w="211"/>
        <w:gridCol w:w="439"/>
        <w:gridCol w:w="346"/>
        <w:gridCol w:w="211"/>
        <w:gridCol w:w="439"/>
        <w:gridCol w:w="346"/>
        <w:gridCol w:w="211"/>
        <w:gridCol w:w="439"/>
        <w:gridCol w:w="192"/>
      </w:tblGrid>
      <w:tr>
        <w:trPr/>
        <w:tc>
          <w:tcPr>
            <w:tcW w:w="3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363470" cy="175260"/>
                      <wp:effectExtent l="0" t="0" r="0" b="0"/>
                      <wp:wrapNone/>
                      <wp:docPr id="701" name="Frame698"/>
                      <a:graphic xmlns:a="http://schemas.openxmlformats.org/drawingml/2006/main">
                        <a:graphicData uri="http://schemas.microsoft.com/office/word/2010/wordprocessingShape">
                          <wps:wsp>
                            <wps:cNvSpPr txBox="1"/>
                            <wps:spPr>
                              <a:xfrm>
                                <a:off x="0" y="0"/>
                                <a:ext cx="2363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19710" cy="175260"/>
                      <wp:effectExtent l="0" t="0" r="0" b="0"/>
                      <wp:wrapNone/>
                      <wp:docPr id="702" name="Frame6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33985" cy="175260"/>
                      <wp:effectExtent l="0" t="0" r="0" b="0"/>
                      <wp:wrapNone/>
                      <wp:docPr id="703" name="Frame7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345440" cy="175260"/>
                      <wp:effectExtent l="0" t="0" r="0" b="0"/>
                      <wp:wrapNone/>
                      <wp:docPr id="704" name="Frame701"/>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19710" cy="175260"/>
                      <wp:effectExtent l="0" t="0" r="0" b="0"/>
                      <wp:wrapNone/>
                      <wp:docPr id="705" name="Frame7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133985" cy="175260"/>
                      <wp:effectExtent l="0" t="0" r="0" b="0"/>
                      <wp:wrapNone/>
                      <wp:docPr id="706" name="Frame7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345440" cy="175260"/>
                      <wp:effectExtent l="0" t="0" r="0" b="0"/>
                      <wp:wrapNone/>
                      <wp:docPr id="707" name="Frame704"/>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19710" cy="175260"/>
                      <wp:effectExtent l="0" t="0" r="0" b="0"/>
                      <wp:wrapNone/>
                      <wp:docPr id="708" name="Frame7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133985" cy="175260"/>
                      <wp:effectExtent l="0" t="0" r="0" b="0"/>
                      <wp:wrapNone/>
                      <wp:docPr id="709" name="Frame7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345440" cy="175260"/>
                      <wp:effectExtent l="0" t="0" r="0" b="0"/>
                      <wp:wrapNone/>
                      <wp:docPr id="710" name="Frame707"/>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19710" cy="175260"/>
                      <wp:effectExtent l="0" t="0" r="0" b="0"/>
                      <wp:wrapNone/>
                      <wp:docPr id="711" name="Frame7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133985" cy="175260"/>
                      <wp:effectExtent l="0" t="0" r="0" b="0"/>
                      <wp:wrapNone/>
                      <wp:docPr id="712" name="Frame7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278765" cy="175260"/>
                      <wp:effectExtent l="0" t="0" r="0" b="0"/>
                      <wp:wrapNone/>
                      <wp:docPr id="713" name="Frame710"/>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19710" cy="175260"/>
                      <wp:effectExtent l="0" t="0" r="0" b="0"/>
                      <wp:wrapNone/>
                      <wp:docPr id="714" name="Frame7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33985" cy="175260"/>
                      <wp:effectExtent l="0" t="0" r="0" b="0"/>
                      <wp:wrapNone/>
                      <wp:docPr id="715" name="Frame7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78765" cy="175260"/>
                      <wp:effectExtent l="0" t="0" r="0" b="0"/>
                      <wp:wrapNone/>
                      <wp:docPr id="716" name="Frame713"/>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19710" cy="175260"/>
                      <wp:effectExtent l="0" t="0" r="0" b="0"/>
                      <wp:wrapNone/>
                      <wp:docPr id="717" name="Frame7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133985" cy="175260"/>
                      <wp:effectExtent l="0" t="0" r="0" b="0"/>
                      <wp:wrapNone/>
                      <wp:docPr id="718" name="Frame7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278765" cy="175260"/>
                      <wp:effectExtent l="0" t="0" r="0" b="0"/>
                      <wp:wrapNone/>
                      <wp:docPr id="719" name="Frame716"/>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121920" cy="175260"/>
                      <wp:effectExtent l="0" t="0" r="0" b="0"/>
                      <wp:wrapNone/>
                      <wp:docPr id="720" name="Frame717"/>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7"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46" w:type="dxa"/>
            <w:tcBorders/>
            <w:vAlign w:val="center"/>
          </w:tcPr>
          <w:p>
            <w:pPr>
              <w:pStyle w:val="TableContents"/>
              <w:bidi w:val="0"/>
              <w:spacing w:before="0" w:after="0"/>
              <w:ind w:left="0" w:right="0" w:hanging="0"/>
              <w:jc w:val="left"/>
              <w:rPr/>
            </w:pPr>
            <w:r>
              <w:rPr/>
              <w:t>​</w:t>
            </w:r>
          </w:p>
        </w:tc>
        <w:tc>
          <w:tcPr>
            <w:tcW w:w="264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192" w:type="dxa"/>
            <w:tcBorders/>
            <w:vAlign w:val="center"/>
          </w:tcPr>
          <w:p>
            <w:pPr>
              <w:pStyle w:val="TableContents"/>
              <w:bidi w:val="0"/>
              <w:spacing w:before="0" w:after="0"/>
              <w:ind w:left="0" w:right="0" w:hanging="0"/>
              <w:jc w:val="left"/>
              <w:rPr/>
            </w:pPr>
            <w:r>
              <w:rPr/>
              <w:t> </w:t>
            </w:r>
          </w:p>
        </w:tc>
      </w:tr>
      <w:tr>
        <w:trPr/>
        <w:tc>
          <w:tcPr>
            <w:tcW w:w="37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26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2" w:type="dxa"/>
            <w:tcBorders/>
            <w:vAlign w:val="center"/>
          </w:tcPr>
          <w:p>
            <w:pPr>
              <w:pStyle w:val="TableContents"/>
              <w:bidi w:val="0"/>
              <w:spacing w:before="0" w:after="0"/>
              <w:ind w:left="0" w:right="0" w:hanging="0"/>
              <w:jc w:val="left"/>
              <w:rPr/>
            </w:pPr>
            <w:r>
              <w:rPr/>
              <w:t>​</w:t>
            </w:r>
          </w:p>
        </w:tc>
      </w:tr>
      <w:tr>
        <w:trPr/>
        <w:tc>
          <w:tcPr>
            <w:tcW w:w="37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2" w:type="dxa"/>
            <w:tcBorders/>
            <w:vAlign w:val="center"/>
          </w:tcPr>
          <w:p>
            <w:pPr>
              <w:pStyle w:val="TableContents"/>
              <w:bidi w:val="0"/>
              <w:spacing w:before="0" w:after="0"/>
              <w:ind w:left="0" w:right="0" w:hanging="0"/>
              <w:jc w:val="left"/>
              <w:rPr/>
            </w:pPr>
            <w:r>
              <w:rPr/>
              <w:t> </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4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4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4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3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3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39" w:type="dxa"/>
            <w:tcBorders/>
            <w:shd w:fill="CCEEFF" w:val="clear"/>
            <w:vAlign w:val="center"/>
          </w:tcPr>
          <w:p>
            <w:pPr>
              <w:pStyle w:val="TableContents"/>
              <w:bidi w:val="0"/>
              <w:spacing w:before="0" w:after="0"/>
              <w:ind w:left="0" w:right="0" w:hanging="0"/>
              <w:jc w:val="center"/>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92"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92"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(credit)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in Plan Assets and Benefit Obligations Recognized in Other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92"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92"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recognized in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recognized in net periodic benefit cost and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 average assumptions used to determine benefit information during 2025, 2024 and 2023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21"/>
        <w:gridCol w:w="346"/>
        <w:gridCol w:w="1106"/>
        <w:gridCol w:w="346"/>
        <w:gridCol w:w="1106"/>
        <w:gridCol w:w="346"/>
        <w:gridCol w:w="1106"/>
        <w:gridCol w:w="346"/>
        <w:gridCol w:w="466"/>
        <w:gridCol w:w="346"/>
        <w:gridCol w:w="466"/>
        <w:gridCol w:w="346"/>
        <w:gridCol w:w="466"/>
        <w:gridCol w:w="392"/>
      </w:tblGrid>
      <w:tr>
        <w:trPr/>
        <w:tc>
          <w:tcPr>
            <w:tcW w:w="3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1918335" cy="175260"/>
                      <wp:effectExtent l="0" t="0" r="0" b="0"/>
                      <wp:wrapNone/>
                      <wp:docPr id="721" name="Frame718"/>
                      <a:graphic xmlns:a="http://schemas.openxmlformats.org/drawingml/2006/main">
                        <a:graphicData uri="http://schemas.microsoft.com/office/word/2010/wordprocessingShape">
                          <wps:wsp>
                            <wps:cNvSpPr txBox="1"/>
                            <wps:spPr>
                              <a:xfrm>
                                <a:off x="0" y="0"/>
                                <a:ext cx="191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19710" cy="175260"/>
                      <wp:effectExtent l="0" t="0" r="0" b="0"/>
                      <wp:wrapNone/>
                      <wp:docPr id="722" name="Frame7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702310" cy="175260"/>
                      <wp:effectExtent l="0" t="0" r="0" b="0"/>
                      <wp:wrapNone/>
                      <wp:docPr id="723" name="Frame720"/>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19710" cy="175260"/>
                      <wp:effectExtent l="0" t="0" r="0" b="0"/>
                      <wp:wrapNone/>
                      <wp:docPr id="724" name="Frame7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702310" cy="175260"/>
                      <wp:effectExtent l="0" t="0" r="0" b="0"/>
                      <wp:wrapNone/>
                      <wp:docPr id="725" name="Frame722"/>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19710" cy="175260"/>
                      <wp:effectExtent l="0" t="0" r="0" b="0"/>
                      <wp:wrapNone/>
                      <wp:docPr id="726" name="Frame7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702310" cy="175260"/>
                      <wp:effectExtent l="0" t="0" r="0" b="0"/>
                      <wp:wrapNone/>
                      <wp:docPr id="727" name="Frame724"/>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19710" cy="175260"/>
                      <wp:effectExtent l="0" t="0" r="0" b="0"/>
                      <wp:wrapNone/>
                      <wp:docPr id="728" name="Frame7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95910" cy="175260"/>
                      <wp:effectExtent l="0" t="0" r="0" b="0"/>
                      <wp:wrapNone/>
                      <wp:docPr id="729" name="Frame72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19710" cy="175260"/>
                      <wp:effectExtent l="0" t="0" r="0" b="0"/>
                      <wp:wrapNone/>
                      <wp:docPr id="730" name="Frame7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295910" cy="175260"/>
                      <wp:effectExtent l="0" t="0" r="0" b="0"/>
                      <wp:wrapNone/>
                      <wp:docPr id="731" name="Frame72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19710" cy="175260"/>
                      <wp:effectExtent l="0" t="0" r="0" b="0"/>
                      <wp:wrapNone/>
                      <wp:docPr id="732" name="Frame7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95910" cy="175260"/>
                      <wp:effectExtent l="0" t="0" r="0" b="0"/>
                      <wp:wrapNone/>
                      <wp:docPr id="733" name="Frame73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48920" cy="175260"/>
                      <wp:effectExtent l="0" t="0" r="0" b="0"/>
                      <wp:wrapNone/>
                      <wp:docPr id="734" name="Frame73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46" w:type="dxa"/>
            <w:tcBorders/>
            <w:vAlign w:val="center"/>
          </w:tcPr>
          <w:p>
            <w:pPr>
              <w:pStyle w:val="TableContents"/>
              <w:bidi w:val="0"/>
              <w:spacing w:before="0" w:after="0"/>
              <w:ind w:left="0" w:right="0" w:hanging="0"/>
              <w:jc w:val="left"/>
              <w:rPr/>
            </w:pPr>
            <w:r>
              <w:rPr/>
              <w:t>​</w:t>
            </w:r>
          </w:p>
        </w:tc>
        <w:tc>
          <w:tcPr>
            <w:tcW w:w="20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392" w:type="dxa"/>
            <w:tcBorders/>
            <w:vAlign w:val="center"/>
          </w:tcPr>
          <w:p>
            <w:pPr>
              <w:pStyle w:val="TableContents"/>
              <w:bidi w:val="0"/>
              <w:spacing w:before="0" w:after="0"/>
              <w:ind w:left="0" w:right="0" w:hanging="0"/>
              <w:jc w:val="left"/>
              <w:rPr/>
            </w:pPr>
            <w:r>
              <w:rPr/>
              <w:t> </w:t>
            </w:r>
          </w:p>
        </w:tc>
      </w:tr>
      <w:tr>
        <w:trPr/>
        <w:tc>
          <w:tcPr>
            <w:tcW w:w="3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20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2" w:type="dxa"/>
            <w:tcBorders/>
            <w:vAlign w:val="center"/>
          </w:tcPr>
          <w:p>
            <w:pPr>
              <w:pStyle w:val="TableContents"/>
              <w:bidi w:val="0"/>
              <w:spacing w:before="0" w:after="0"/>
              <w:ind w:left="0" w:right="0" w:hanging="0"/>
              <w:jc w:val="left"/>
              <w:rPr/>
            </w:pPr>
            <w:r>
              <w:rPr/>
              <w:t>​</w:t>
            </w:r>
          </w:p>
        </w:tc>
      </w:tr>
      <w:tr>
        <w:trPr/>
        <w:tc>
          <w:tcPr>
            <w:tcW w:w="30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2" w:type="dxa"/>
            <w:tcBorders/>
            <w:vAlign w:val="center"/>
          </w:tcPr>
          <w:p>
            <w:pPr>
              <w:pStyle w:val="TableContents"/>
              <w:bidi w:val="0"/>
              <w:spacing w:before="0" w:after="0"/>
              <w:ind w:left="0" w:right="0" w:hanging="0"/>
              <w:jc w:val="left"/>
              <w:rPr/>
            </w:pPr>
            <w:r>
              <w:rPr/>
              <w:t> </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Discount rate (1)</w:t>
            </w:r>
          </w:p>
        </w:tc>
        <w:tc>
          <w:tcPr>
            <w:tcW w:w="346" w:type="dxa"/>
            <w:tcBorders/>
            <w:shd w:fill="CCEEFF" w:val="clear"/>
            <w:vAlign w:val="center"/>
          </w:tcPr>
          <w:p>
            <w:pPr>
              <w:pStyle w:val="TableContents"/>
              <w:bidi w:val="0"/>
              <w:spacing w:before="0" w:after="0"/>
              <w:ind w:left="0" w:right="0" w:hanging="0"/>
              <w:jc w:val="left"/>
              <w:rPr/>
            </w:pPr>
            <w:r>
              <w:rPr/>
              <w:t> </w:t>
            </w:r>
          </w:p>
        </w:tc>
        <w:tc>
          <w:tcPr>
            <w:tcW w:w="11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5.30%</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5.60%</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5.30%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Expected return on plan assets</w:t>
            </w:r>
          </w:p>
        </w:tc>
        <w:tc>
          <w:tcPr>
            <w:tcW w:w="346"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7.50%</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6.85%</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6.85%</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Rate of compensation increase</w:t>
            </w:r>
          </w:p>
        </w:tc>
        <w:tc>
          <w:tcPr>
            <w:tcW w:w="346" w:type="dxa"/>
            <w:tcBorders/>
            <w:shd w:fill="CCEEFF" w:val="clear"/>
            <w:vAlign w:val="center"/>
          </w:tcPr>
          <w:p>
            <w:pPr>
              <w:pStyle w:val="TableContents"/>
              <w:bidi w:val="0"/>
              <w:spacing w:before="0" w:after="0"/>
              <w:ind w:left="0" w:right="0" w:hanging="0"/>
              <w:jc w:val="left"/>
              <w:rPr/>
            </w:pPr>
            <w:r>
              <w:rPr/>
              <w:t> </w:t>
            </w:r>
          </w:p>
        </w:tc>
        <w:tc>
          <w:tcPr>
            <w:tcW w:w="11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3.50%</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3.50%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balance interest credit rate</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4.15 % - 5.01%</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3.90 % - 4.42%</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4.50 % - 3.25%</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Immediate health care cost trend rate:</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Pre-65 group</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w:t>
            </w:r>
          </w:p>
        </w:tc>
        <w:tc>
          <w:tcPr>
            <w:tcW w:w="3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Post-65 group</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Ultimate health care cost trend rate</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w:t>
            </w:r>
          </w:p>
        </w:tc>
        <w:tc>
          <w:tcPr>
            <w:tcW w:w="3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Year ultimate health care cost trend rate is reached</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2049</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2048</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2048</w:t>
            </w:r>
          </w:p>
        </w:tc>
        <w:tc>
          <w:tcPr>
            <w:tcW w:w="392"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Company derives a single equivalent rate utilizing a yield curve constructed from a portfolio of high-quality corporate bonds with various maturities.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Non-qualified Pension Plans: </w:t>
      </w:r>
      <w:r>
        <w:rPr>
          <w:rFonts w:ascii="Times New Roman;Times;serif" w:hAnsi="Times New Roman;Times;serif"/>
          <w:sz w:val="20"/>
        </w:rPr>
        <w:t>The Company has non-qualified supplemental pension plans covering certain employees and 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liabilities recognized in the Consolidated Balance Sheets and expenses recognized in accumulated other comprehensive income (loss) at December 31, 2025 and 2024 are as follows:</w:t>
      </w:r>
    </w:p>
    <w:p>
      <w:pPr>
        <w:pStyle w:val="TextBody"/>
        <w:bidi w:val="0"/>
        <w:spacing w:before="0" w:after="0"/>
        <w:ind w:left="0" w:right="0" w:hanging="0"/>
        <w:jc w:val="left"/>
        <w:rPr/>
      </w:pPr>
      <w:r>
        <w:rPr/>
        <w:t>​</w:t>
      </w:r>
    </w:p>
    <w:tbl>
      <w:tblPr>
        <w:tblW w:w="4188" w:type="dxa"/>
        <w:jc w:val="left"/>
        <w:tblInd w:w="0" w:type="dxa"/>
        <w:tblLayout w:type="fixed"/>
        <w:tblCellMar>
          <w:top w:w="0" w:type="dxa"/>
          <w:left w:w="0" w:type="dxa"/>
          <w:bottom w:w="0" w:type="dxa"/>
          <w:right w:w="0" w:type="dxa"/>
        </w:tblCellMar>
      </w:tblPr>
      <w:tblGrid>
        <w:gridCol w:w="1921"/>
        <w:gridCol w:w="346"/>
        <w:gridCol w:w="211"/>
        <w:gridCol w:w="481"/>
        <w:gridCol w:w="346"/>
        <w:gridCol w:w="211"/>
        <w:gridCol w:w="481"/>
        <w:gridCol w:w="19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219835" cy="175260"/>
                      <wp:effectExtent l="0" t="0" r="0" b="0"/>
                      <wp:wrapNone/>
                      <wp:docPr id="735" name="Frame732"/>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19710" cy="175260"/>
                      <wp:effectExtent l="0" t="0" r="0" b="0"/>
                      <wp:wrapNone/>
                      <wp:docPr id="736" name="Frame7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33985" cy="175260"/>
                      <wp:effectExtent l="0" t="0" r="0" b="0"/>
                      <wp:wrapNone/>
                      <wp:docPr id="737" name="Frame7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305435" cy="175260"/>
                      <wp:effectExtent l="0" t="0" r="0" b="0"/>
                      <wp:wrapNone/>
                      <wp:docPr id="738" name="Frame73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19710" cy="175260"/>
                      <wp:effectExtent l="0" t="0" r="0" b="0"/>
                      <wp:wrapNone/>
                      <wp:docPr id="739" name="Frame7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133985" cy="175260"/>
                      <wp:effectExtent l="0" t="0" r="0" b="0"/>
                      <wp:wrapNone/>
                      <wp:docPr id="740" name="Frame7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305435" cy="175260"/>
                      <wp:effectExtent l="0" t="0" r="0" b="0"/>
                      <wp:wrapNone/>
                      <wp:docPr id="741" name="Frame73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121285" cy="175260"/>
                      <wp:effectExtent l="0" t="0" r="0" b="0"/>
                      <wp:wrapNone/>
                      <wp:docPr id="742" name="Frame73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Non-qualified</w:t>
            </w:r>
          </w:p>
        </w:tc>
        <w:tc>
          <w:tcPr>
            <w:tcW w:w="19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9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1" w:type="dxa"/>
            <w:tcBorders/>
            <w:vAlign w:val="center"/>
          </w:tcPr>
          <w:p>
            <w:pPr>
              <w:pStyle w:val="TableContents"/>
              <w:bidi w:val="0"/>
              <w:spacing w:before="0" w:after="0"/>
              <w:ind w:left="0" w:right="0" w:hanging="0"/>
              <w:jc w:val="left"/>
              <w:rPr/>
            </w:pPr>
            <w:r>
              <w:rPr/>
              <w:t>​</w: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91" w:type="dxa"/>
            <w:tcBorders/>
            <w:vAlign w:val="center"/>
          </w:tcPr>
          <w:p>
            <w:pPr>
              <w:pStyle w:val="TableContents"/>
              <w:bidi w:val="0"/>
              <w:spacing w:before="0" w:after="0"/>
              <w:ind w:left="0" w:right="0" w:hanging="0"/>
              <w:jc w:val="lef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net of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053" w:name="Tc__9Axud6LtkyTcjRBt7gHCw_10_8"/>
      <w:bookmarkStart w:id="2054" w:name="Tc_qAUtD4qfxk69CMUnO6LKrA_10_5"/>
      <w:bookmarkStart w:id="2055" w:name="Tc_mQ_0X8wcEECUjEgwbx5bcA_10_2"/>
      <w:bookmarkStart w:id="2056" w:name="Tc_J0NiPx5XUkmB3G7X_CPrBw_10_0"/>
      <w:bookmarkStart w:id="2057" w:name="Tc_w9ztnTr6cUyXwCJPRfa_Gg_9_0"/>
      <w:bookmarkStart w:id="2058" w:name="Tc_BBEea8bPSU-aDbPky8FVzg_8_0"/>
      <w:bookmarkStart w:id="2059" w:name="Tc_H3vePlkLbUGuMB_V_Vew5g_7_0"/>
      <w:bookmarkStart w:id="2060" w:name="Tc_EXGyGo3Q-EiE_FdIT5rlCw_6_0"/>
      <w:bookmarkStart w:id="2061" w:name="Tc_DUHiXW6ZDE20IZOcnLhyMQ_5_0"/>
      <w:bookmarkStart w:id="2062" w:name="Tc_h3IAHnnoHUGrQAgcX6Oxng_4_8"/>
      <w:bookmarkStart w:id="2063" w:name="Tc_7yds4kasfkajdlLxb-RFUw_4_5"/>
      <w:bookmarkStart w:id="2064" w:name="Tc_ZKDrkASLGkyNFYGWFjZhMA_4_2"/>
      <w:bookmarkStart w:id="2065" w:name="Tc_0JWaFpuGc0mS5dShHrIoWg_4_0"/>
      <w:bookmarkStart w:id="2066" w:name="Tc_U9q2wdWWNUawwLueNYJCPA_3_8"/>
      <w:bookmarkStart w:id="2067" w:name="Tc_KM2_4Hkf70OXHwMY-4F8FQ_3_5"/>
      <w:bookmarkStart w:id="2068" w:name="Tc_bvxJ1XPfGEa45REhiWh0ow_3_2"/>
      <w:bookmarkStart w:id="2069" w:name="Tc_3cX314C5JU6ewGnEUP5_6w_3_0"/>
      <w:bookmarkStart w:id="2070" w:name="Tc_HZCuxjPz-EucfmXiYP2tYQ_2_8"/>
      <w:bookmarkStart w:id="2071" w:name="Tc_VWFCQaezhka67joAXC8S5A_2_5"/>
      <w:bookmarkStart w:id="2072" w:name="Tc_C2wm9fhI6UmJH3i2RwX3qQ_2_2"/>
      <w:bookmarkStart w:id="2073" w:name="Tc_mWwyUphfsUezRvzVYTaZsg_1_5"/>
      <w:bookmarkStart w:id="2074" w:name="_9fb18626_cce8_40ba_954b_2ed575a18468"/>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r>
        <w:rPr>
          <w:rFonts w:ascii="Times New Roman;Times;serif" w:hAnsi="Times New Roman;Times;serif"/>
          <w:sz w:val="20"/>
        </w:rPr>
        <w:t xml:space="preserve">Discount rates of 5.0 percent and 5.4 percent were used in determining the 2025 and 2024 non-qualified pension plan obligations,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Estimated Benefit Payments: </w:t>
      </w:r>
      <w:r>
        <w:rPr>
          <w:rFonts w:ascii="Times New Roman;Times;serif" w:hAnsi="Times New Roman;Times;serif"/>
          <w:sz w:val="20"/>
        </w:rPr>
        <w:t>The estimated future benefit payments for the next ten years consist of the following as of December 31, 2025:</w:t>
      </w:r>
    </w:p>
    <w:p>
      <w:pPr>
        <w:pStyle w:val="TextBody"/>
        <w:bidi w:val="0"/>
        <w:spacing w:before="0" w:after="0"/>
        <w:ind w:left="0" w:right="0" w:hanging="0"/>
        <w:jc w:val="left"/>
        <w:rPr/>
      </w:pPr>
      <w:r>
        <w:rPr/>
        <w:t>​</w:t>
      </w:r>
    </w:p>
    <w:tbl>
      <w:tblPr>
        <w:tblW w:w="5023" w:type="dxa"/>
        <w:jc w:val="left"/>
        <w:tblInd w:w="0" w:type="dxa"/>
        <w:tblLayout w:type="fixed"/>
        <w:tblCellMar>
          <w:top w:w="0" w:type="dxa"/>
          <w:left w:w="0" w:type="dxa"/>
          <w:bottom w:w="0" w:type="dxa"/>
          <w:right w:w="0" w:type="dxa"/>
        </w:tblCellMar>
      </w:tblPr>
      <w:tblGrid>
        <w:gridCol w:w="1381"/>
        <w:gridCol w:w="109"/>
        <w:gridCol w:w="211"/>
        <w:gridCol w:w="571"/>
        <w:gridCol w:w="109"/>
        <w:gridCol w:w="404"/>
        <w:gridCol w:w="692"/>
        <w:gridCol w:w="109"/>
        <w:gridCol w:w="459"/>
        <w:gridCol w:w="787"/>
        <w:gridCol w:w="191"/>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876935" cy="175260"/>
                      <wp:effectExtent l="0" t="0" r="0" b="0"/>
                      <wp:wrapNone/>
                      <wp:docPr id="743" name="Frame740"/>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69215" cy="175260"/>
                      <wp:effectExtent l="0" t="0" r="0" b="0"/>
                      <wp:wrapNone/>
                      <wp:docPr id="744" name="Frame7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33985" cy="175260"/>
                      <wp:effectExtent l="0" t="0" r="0" b="0"/>
                      <wp:wrapNone/>
                      <wp:docPr id="745" name="Frame7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362585" cy="175260"/>
                      <wp:effectExtent l="0" t="0" r="0" b="0"/>
                      <wp:wrapNone/>
                      <wp:docPr id="746" name="Frame7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9215" cy="175260"/>
                      <wp:effectExtent l="0" t="0" r="0" b="0"/>
                      <wp:wrapNone/>
                      <wp:docPr id="747" name="Frame7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56540" cy="175260"/>
                      <wp:effectExtent l="0" t="0" r="0" b="0"/>
                      <wp:wrapNone/>
                      <wp:docPr id="748" name="Frame745"/>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439420" cy="175260"/>
                      <wp:effectExtent l="0" t="0" r="0" b="0"/>
                      <wp:wrapNone/>
                      <wp:docPr id="749" name="Frame746"/>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69215" cy="175260"/>
                      <wp:effectExtent l="0" t="0" r="0" b="0"/>
                      <wp:wrapNone/>
                      <wp:docPr id="750" name="Frame7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291465" cy="175260"/>
                      <wp:effectExtent l="0" t="0" r="0" b="0"/>
                      <wp:wrapNone/>
                      <wp:docPr id="751" name="Frame748"/>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499745" cy="175260"/>
                      <wp:effectExtent l="0" t="0" r="0" b="0"/>
                      <wp:wrapNone/>
                      <wp:docPr id="752" name="Frame749"/>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121285" cy="175260"/>
                      <wp:effectExtent l="0" t="0" r="0" b="0"/>
                      <wp:wrapNone/>
                      <wp:docPr id="753" name="Frame75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Non-qualified</w:t>
            </w:r>
          </w:p>
        </w:tc>
        <w:tc>
          <w:tcPr>
            <w:tcW w:w="109"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Pension </w:t>
            </w:r>
          </w:p>
        </w:tc>
        <w:tc>
          <w:tcPr>
            <w:tcW w:w="109"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w:t>
            </w:r>
          </w:p>
        </w:tc>
        <w:tc>
          <w:tcPr>
            <w:tcW w:w="191" w:type="dxa"/>
            <w:tcBorders/>
            <w:vAlign w:val="center"/>
          </w:tcPr>
          <w:p>
            <w:pPr>
              <w:pStyle w:val="TableContents"/>
              <w:bidi w:val="0"/>
              <w:spacing w:before="0" w:after="0"/>
              <w:ind w:left="0" w:right="0" w:hanging="0"/>
              <w:jc w:val="left"/>
              <w:rPr/>
            </w:pPr>
            <w:r>
              <w:rPr/>
              <w:t>​</w:t>
            </w:r>
          </w:p>
        </w:tc>
      </w:tr>
      <w:tr>
        <w:trPr/>
        <w:tc>
          <w:tcPr>
            <w:tcW w:w="1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109"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 (1)</w:t>
            </w:r>
          </w:p>
        </w:tc>
        <w:tc>
          <w:tcPr>
            <w:tcW w:w="191" w:type="dxa"/>
            <w:tcBorders/>
            <w:vAlign w:val="center"/>
          </w:tcPr>
          <w:p>
            <w:pPr>
              <w:pStyle w:val="TableContents"/>
              <w:bidi w:val="0"/>
              <w:spacing w:before="0" w:after="0"/>
              <w:ind w:left="0" w:right="0" w:hanging="0"/>
              <w:jc w:val="left"/>
              <w:rPr/>
            </w:pPr>
            <w:r>
              <w:rPr/>
              <w:t> </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109"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0" w:after="0"/>
              <w:ind w:left="0" w:right="0" w:hanging="0"/>
              <w:jc w:val="left"/>
              <w:rPr/>
            </w:pPr>
            <w:r>
              <w:rPr/>
              <w:t>​</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09"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109"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91" w:type="dxa"/>
            <w:tcBorders/>
            <w:vAlign w:val="center"/>
          </w:tcPr>
          <w:p>
            <w:pPr>
              <w:pStyle w:val="TableContents"/>
              <w:bidi w:val="0"/>
              <w:spacing w:before="0" w:after="0"/>
              <w:ind w:left="0" w:right="0" w:hanging="0"/>
              <w:jc w:val="left"/>
              <w:rPr/>
            </w:pPr>
            <w:r>
              <w:rPr/>
              <w:t>​</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09"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2031-2035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vAlign w:val="center"/>
          </w:tcPr>
          <w:p>
            <w:pPr>
              <w:pStyle w:val="TableContents"/>
              <w:bidi w:val="0"/>
              <w:spacing w:before="0" w:after="0"/>
              <w:ind w:left="0" w:right="0" w:hanging="0"/>
              <w:jc w:val="left"/>
              <w:rPr/>
            </w:pPr>
            <w:r>
              <w:rPr/>
              <w:t>​</w:t>
            </w:r>
          </w:p>
        </w:tc>
        <w:tc>
          <w:tcPr>
            <w:tcW w:w="4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91" w:type="dxa"/>
            <w:tcBorders/>
            <w:vAlign w:val="center"/>
          </w:tcPr>
          <w:p>
            <w:pPr>
              <w:pStyle w:val="TableContents"/>
              <w:bidi w:val="0"/>
              <w:spacing w:before="0" w:after="0"/>
              <w:ind w:left="0" w:right="0" w:hanging="0"/>
              <w:jc w:val="left"/>
              <w:rPr/>
            </w:pPr>
            <w:r>
              <w:rPr/>
              <w:t>​</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shd w:fill="CCEEFF" w:val="clear"/>
            <w:vAlign w:val="center"/>
          </w:tcPr>
          <w:p>
            <w:pPr>
              <w:pStyle w:val="TableContents"/>
              <w:bidi w:val="0"/>
              <w:spacing w:before="0" w:after="0"/>
              <w:ind w:left="0" w:right="0" w:hanging="0"/>
              <w:jc w:val="left"/>
              <w:rPr/>
            </w:pPr>
            <w:r>
              <w:rPr/>
              <w:t>​</w:t>
            </w:r>
          </w:p>
        </w:tc>
        <w:tc>
          <w:tcPr>
            <w:tcW w:w="4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4832" w:type="dxa"/>
        <w:jc w:val="left"/>
        <w:tblInd w:w="0" w:type="dxa"/>
        <w:tblLayout w:type="fixed"/>
        <w:tblCellMar>
          <w:top w:w="0" w:type="dxa"/>
          <w:left w:w="0" w:type="dxa"/>
          <w:bottom w:w="0" w:type="dxa"/>
          <w:right w:w="0" w:type="dxa"/>
        </w:tblCellMar>
      </w:tblPr>
      <w:tblGrid>
        <w:gridCol w:w="331"/>
        <w:gridCol w:w="45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45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of participant contributions and Medicare Part D subsidies.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Defined Contribution Plans: </w:t>
      </w:r>
      <w:r>
        <w:rPr>
          <w:rFonts w:ascii="Times New Roman;Times;serif" w:hAnsi="Times New Roman;Times;serif"/>
          <w:sz w:val="20"/>
        </w:rPr>
        <w:t xml:space="preserve">The Company sponsors defined contribution plans that qualify under Sections 401(a) and 401(k) of the Internal Revenue Code. The Company may make discretionary matching contributions equal to a specified percentage of each participant’s 401(k) contributions and makes other non-discretionary contributions. For the year ended December 31, 2025, the Company provided employees with discretionary matching contributions of up to 3 percent of eligible employee compensation, and for a select group of employees, up to 4 percent of eligible employee compensation. The Company’s matching contributions and other contributions expensed in 2025, 2024 and 2023 were $6.3 million, $4.6 million and $4.2 million,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may also provide a discretionary profit sharing contribution under the qualified defined contribution plans to non-bargaining unit employees, if both a minimum threshold of Company performance is achieved and the Board of Directors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Discretionary profit sharing contributions expensed in 2025, 2024 and 2023 were $2.2 million, $3.1 million and $3.1 million,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Multi-employer Bargaining Plans: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 employer plans because assets contributed to the multi-employer plan by one employer may be used to provide benefits to employees of other participating employers. Additionally, if one employer stops contributing to the plan, the unfunded obligations of the plan may be borne by the remaining participating employers.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2025, the Company’s estimated benefit plan withdrawal obligations were $124.0 million. Except as described in Note 12, no withdrawal obligations have been recorded by the Company in the Consolidated Balance Sheets at December 31, 2025 and 2024, as the Company has no present intention of withdrawing from and does not anticipate termination of any of these plans.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2025 and 2024 is for the plan’s year-end at December 31, 2025 and 2024, respectively. The zone status is based on information that the Company received from the plan and is certified by the plan’s actuary. Among other factors, plans in the red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075" w:name="Tc_nHsPNSVddkSgg7ElVcWcyw_24_20"/>
      <w:bookmarkStart w:id="2076" w:name="Tc_oN781PdAs0O0oayzRhFOXQ_24_17"/>
      <w:bookmarkStart w:id="2077" w:name="Tc_d9i2ly9FvEmNux3N-G1k7A_24_14"/>
      <w:bookmarkStart w:id="2078" w:name="Tc_Se0CDtm3Wk2Kc46OnTgGrQ_24_0"/>
      <w:bookmarkStart w:id="2079" w:name="Tc_TJ5QaDErIkCW8hIXfimj_Q_23_25"/>
      <w:bookmarkStart w:id="2080" w:name="Tc__IJDcBgpn0GPUonareX_HA_23_23"/>
      <w:bookmarkStart w:id="2081" w:name="Tc_xpS79XVQtkS_35MLs-vytg_23_21"/>
      <w:bookmarkStart w:id="2082" w:name="Tc_x-OgbUdAR0uu_hogCVEhgg_23_18"/>
      <w:bookmarkStart w:id="2083" w:name="Tc_sX0ivaOhqUulcteA9UCjOw_23_15"/>
      <w:bookmarkStart w:id="2084" w:name="Tc_sXCMYLBW_0aUetdf5sz51Q_23_12"/>
      <w:bookmarkStart w:id="2085" w:name="Tc__FkgYWjFkEyZwxIjw4ZeBg_23_10"/>
      <w:bookmarkStart w:id="2086" w:name="Tc_m-kgr0yM1kS5zPSboJujQQ_23_8"/>
      <w:bookmarkStart w:id="2087" w:name="Tc_8XqVkS8Yx0uz8Ft4ncv0GA_23_6"/>
      <w:bookmarkStart w:id="2088" w:name="Tc_fVELkKklOkuCV1LwX_TGnw_23_4"/>
      <w:bookmarkStart w:id="2089" w:name="Tc_4ew5oTaJpEWb1sHGZp7swg_23_2"/>
      <w:bookmarkStart w:id="2090" w:name="Tc_3uquOmNNNUyvMYHhQPWJ9g_23_0"/>
      <w:bookmarkStart w:id="2091" w:name="Tc_m0hWwg9YTEOswz5MpTeRtQ_22_25"/>
      <w:bookmarkStart w:id="2092" w:name="Tc_YD9d-v0gLk-raxIEPLSXtQ_22_23"/>
      <w:bookmarkStart w:id="2093" w:name="Tc_wHIdMTpMsUOUjkVcIwKNTg_22_12"/>
      <w:bookmarkStart w:id="2094" w:name="Tc_TgZfIJgWZUCrZNFBY4Xhxg_22_10"/>
      <w:bookmarkStart w:id="2095" w:name="Tc_IXYnOlL8gEWLE5nAeCo2mA_22_8"/>
      <w:bookmarkStart w:id="2096" w:name="Tc_crDLY3RkvUGsGFQWYh8dTg_22_6"/>
      <w:bookmarkStart w:id="2097" w:name="Tc_F2oY4x2yfU6w8M5fWPPhYQ_22_2"/>
      <w:bookmarkStart w:id="2098" w:name="Tc_Htf0esLmtkK3zh0u0FBWdw_22_0"/>
      <w:bookmarkStart w:id="2099" w:name="Tc_c5mkwtAtg0ioXnN8PShXzw_21_25"/>
      <w:bookmarkStart w:id="2100" w:name="Tc_hV7MeelQ4UiqwRZpoC7TkA_21_23"/>
      <w:bookmarkStart w:id="2101" w:name="Tc_gdBW0ufNNES5xKU4aGtT7w_21_12"/>
      <w:bookmarkStart w:id="2102" w:name="Tc_PahoSvtFb0S3aBfVs61k6Q_21_10"/>
      <w:bookmarkStart w:id="2103" w:name="Tc_rqIG1Eyg9EaZIdyC2p8y_A_21_8"/>
      <w:bookmarkStart w:id="2104" w:name="Tc_Cmy_Y2W5eEejyCBqycvZ3Q_21_6"/>
      <w:bookmarkStart w:id="2105" w:name="Tc_Oz7Giqx7D0iCJnn3mYdKrw_21_2"/>
      <w:bookmarkStart w:id="2106" w:name="Tc_yr5lMReGm0WWX50dU-_gdw_21_0"/>
      <w:bookmarkStart w:id="2107" w:name="Tc_XQEn27PZAUuwfyiol1Y--g_20_25"/>
      <w:bookmarkStart w:id="2108" w:name="Tc_tpmt0RmwdkCXoDPsdLF1NA_20_23"/>
      <w:bookmarkStart w:id="2109" w:name="Tc_8yETdOEunUmj9tRMwoimfA_20_12"/>
      <w:bookmarkStart w:id="2110" w:name="Tc_RgpXClhARkmyyqXsFmkdTA_20_10"/>
      <w:bookmarkStart w:id="2111" w:name="Tc_zY-3jZDhakWR92pKSvvIAw_20_8"/>
      <w:bookmarkStart w:id="2112" w:name="Tc_c6Y_jB4sOEG3MikyjIJeXg_20_6"/>
      <w:bookmarkStart w:id="2113" w:name="Tc__3Qh4GkpMUeziQLHRBRGjA_20_2"/>
      <w:bookmarkStart w:id="2114" w:name="Tc_cfU7vksU5ES-FW9Y_vgbMQ_20_0"/>
      <w:bookmarkStart w:id="2115" w:name="Tc_pPap-LIl30SaKli6wINxNg_19_25"/>
      <w:bookmarkStart w:id="2116" w:name="Tc__Z-PJx4T5EyT5Zyud2Di-g_19_23"/>
      <w:bookmarkStart w:id="2117" w:name="Tc_UMBAQrUp-EubPHKDPnhddg_19_12"/>
      <w:bookmarkStart w:id="2118" w:name="Tc__hSzUzAxrEWFUVpmPqfOMw_19_10"/>
      <w:bookmarkStart w:id="2119" w:name="Tc_9sgFsFT7W0GYIZalaW998Q_19_8"/>
      <w:bookmarkStart w:id="2120" w:name="Tc_khX--hrpj0KsHHOytHqKmw_19_6"/>
      <w:bookmarkStart w:id="2121" w:name="Tc_iwCS8UYBcE-JtUn-ws8t9Q_19_2"/>
      <w:bookmarkStart w:id="2122" w:name="Tc_mwD5iZ2HcU-zPUd9D0h6mw_19_0"/>
      <w:bookmarkStart w:id="2123" w:name="Tc_AI5sjw1AHEWTRFMTH2CPQA_18_25"/>
      <w:bookmarkStart w:id="2124" w:name="Tc_F7pBKMR1bkiFFLkkdjhUpw_17_25"/>
      <w:bookmarkStart w:id="2125" w:name="Tc_ffK1366eyUuRuTDisKZ6zA_16_25"/>
      <w:bookmarkStart w:id="2126" w:name="Tc_JGsy4gK5wEiLxxLYUnZ14w_16_23"/>
      <w:bookmarkStart w:id="2127" w:name="Tc_JaEPn6Y2z0CrAK1mhknAyg_16_12"/>
      <w:bookmarkStart w:id="2128" w:name="Tc_2XEC6SI5vUCdNu75-VqrUw_16_10"/>
      <w:bookmarkStart w:id="2129" w:name="Tc_Q_y3Hd-GCUm9BRT5Hsh1cw_16_8"/>
      <w:bookmarkStart w:id="2130" w:name="Tc_pcAtIHSn3kKZorMTntd8vA_16_6"/>
      <w:bookmarkStart w:id="2131" w:name="Tc_46-nfCTJ2UmSt0U7-mQLXw_16_2"/>
      <w:bookmarkStart w:id="2132" w:name="Tc_KYWDQas0qUmt4-kFLKllxw_16_0"/>
      <w:bookmarkStart w:id="2133" w:name="Tc_FF4hAxivIkqm7KuwV4Um1A_15_25"/>
      <w:bookmarkStart w:id="2134" w:name="Tc_cPjMxQvaRk6SFus5bzJ0rw_15_23"/>
      <w:bookmarkStart w:id="2135" w:name="Tc_SFoumsPg8kugz1DMsHeuqA_15_12"/>
      <w:bookmarkStart w:id="2136" w:name="Tc_R0VEoOVRX02NdfP0mXpUoQ_15_10"/>
      <w:bookmarkStart w:id="2137" w:name="Tc_AHIGxcBRlEanfM-w86F-kg_15_8"/>
      <w:bookmarkStart w:id="2138" w:name="Tc_eSAWQZU3-UedFrkPyZSztg_15_6"/>
      <w:bookmarkStart w:id="2139" w:name="Tc_iCFCELCMXkKhEnntc8zFwA_15_2"/>
      <w:bookmarkStart w:id="2140" w:name="Tc_bDDcOoucsU6LU89YtPNWJQ_15_0"/>
      <w:bookmarkStart w:id="2141" w:name="Tc_KBqfTFAFS0CK8hG_dmuNwg_14_25"/>
      <w:bookmarkStart w:id="2142" w:name="Tc_wBFswxZkt0S7cWCg71Zh-A_14_23"/>
      <w:bookmarkStart w:id="2143" w:name="Tc_17Kq-TLq60K3s5W0HBiPTQ_14_12"/>
      <w:bookmarkStart w:id="2144" w:name="Tc_BEFNV6evfUu5L2EFf6nn_A_14_10"/>
      <w:bookmarkStart w:id="2145" w:name="Tc_eJ-vYDJxoUumpxBgZ00e-w_14_8"/>
      <w:bookmarkStart w:id="2146" w:name="Tc_b9lv0BDWBE-DHmuiqlguGA_14_6"/>
      <w:bookmarkStart w:id="2147" w:name="Tc_OOtJermQBkefco4GctZ0jA_14_2"/>
      <w:bookmarkStart w:id="2148" w:name="Tc_rTZQbgH0OUKerSHuZKOPsA_14_0"/>
      <w:bookmarkStart w:id="2149" w:name="Tc_0Icr-sF5O0m6QuVrDCKnHg_13_25"/>
      <w:bookmarkStart w:id="2150" w:name="Tc_iRXjEPR_VUaRLZUhuc9V_Q_13_23"/>
      <w:bookmarkStart w:id="2151" w:name="Tc_itH9iHeek0CPNLGbv2A7xw_13_12"/>
      <w:bookmarkStart w:id="2152" w:name="Tc_NpoAsyb6EkmhwU3pNVS3wg_13_10"/>
      <w:bookmarkStart w:id="2153" w:name="Tc_Vnm5PDdkqE28L34_Tzk72g_13_8"/>
      <w:bookmarkStart w:id="2154" w:name="Tc_B0NGKT7Ik0CVQ8CqhuUjBw_13_6"/>
      <w:bookmarkStart w:id="2155" w:name="Tc_jxuxLV4id0CKYnxdcYqxdQ_13_2"/>
      <w:bookmarkStart w:id="2156" w:name="Tc_Q0xL9gDCAkWMHxqKxQeLSA_13_0"/>
      <w:bookmarkStart w:id="2157" w:name="Tc_481OOJxMJ0G7WBPsB43bow_12_25"/>
      <w:bookmarkStart w:id="2158" w:name="Tc_SJLPuB7UPkmtbrGflzCpHQ_12_23"/>
      <w:bookmarkStart w:id="2159" w:name="Tc_jhxGnbkYG0WVBd6pTQlz8A_12_12"/>
      <w:bookmarkStart w:id="2160" w:name="Tc__30NdXvQDk6EUM27dL2H9Q_12_10"/>
      <w:bookmarkStart w:id="2161" w:name="Tc_NN5y9UZf4kODhAquCHOS3Q_12_8"/>
      <w:bookmarkStart w:id="2162" w:name="Tc_fkUDwwnHKUqA-BI46Z7WeA_12_6"/>
      <w:bookmarkStart w:id="2163" w:name="Tc_D38I0c-K6kifD-cqRUceNA_12_2"/>
      <w:bookmarkStart w:id="2164" w:name="Tc_comQtrY5EUuewYJv14ASPg_12_0"/>
      <w:bookmarkStart w:id="2165" w:name="Tc_eHdoXMfggES0wrZaQR59LA_11_25"/>
      <w:bookmarkStart w:id="2166" w:name="Tc_uGLghLR_HUO6U_DSCyFdvA_10_25"/>
      <w:bookmarkStart w:id="2167" w:name="Tc_09rGkxJlfESkN3H6fYrkYg_10_23"/>
      <w:bookmarkStart w:id="2168" w:name="Tc_06aRQk4zoUimdBB32kgn4w_10_12"/>
      <w:bookmarkStart w:id="2169" w:name="Tc_InzmuiUcN0mNjQZ8mbniSg_10_10"/>
      <w:bookmarkStart w:id="2170" w:name="Tc_93LrZpvzgku8ATBElYpTrw_10_8"/>
      <w:bookmarkStart w:id="2171" w:name="Tc_myATp_nErU2Gc4C_JgCL1Q_10_6"/>
      <w:bookmarkStart w:id="2172" w:name="Tc_gZ5jDDC-zUWm2fcX4dOYCw_10_2"/>
      <w:bookmarkStart w:id="2173" w:name="Tc_emtPxCEwdEy6NgqCbl-VMA_10_0"/>
      <w:bookmarkStart w:id="2174" w:name="Tc_YZvKQzEvpU2-wn7XKgwkiA_9_25"/>
      <w:bookmarkStart w:id="2175" w:name="Tc_NW8ZKLW9EEW4R-2DJJnY5A_8_25"/>
      <w:bookmarkStart w:id="2176" w:name="Tc_ZtJJaT1uNka_F1-IxCTXqA_8_23"/>
      <w:bookmarkStart w:id="2177" w:name="Tc_jwzd3zWDs02GA-pCq94Vjw_8_12"/>
      <w:bookmarkStart w:id="2178" w:name="Tc_45qYy2PYQ0en6UtzaPmdFw_8_10"/>
      <w:bookmarkStart w:id="2179" w:name="Tc_9AR_D42uZ0iC_zeL6Z-bEA_8_8"/>
      <w:bookmarkStart w:id="2180" w:name="Tc_rvBy3Aqdx0KlFJzSwMqx1w_8_6"/>
      <w:bookmarkStart w:id="2181" w:name="Tc_qgPl8gZwvk24hv9yS3TPOg_8_2"/>
      <w:bookmarkStart w:id="2182" w:name="Tc_a2qZxloSj0O1XCSyL5vBOQ_8_0"/>
      <w:bookmarkStart w:id="2183" w:name="Tc_4Mb4tscqVku01HHtXStRvA_7_25"/>
      <w:bookmarkStart w:id="2184" w:name="Tc_t7oS-dM76E6y-9PdNoxfWw_7_23"/>
      <w:bookmarkStart w:id="2185" w:name="Tc_LrMxMyzRj0mEBfRSp3x9Ew_7_12"/>
      <w:bookmarkStart w:id="2186" w:name="Tc_GtAqE48KrUa7mpIlrrXzbw_7_10"/>
      <w:bookmarkStart w:id="2187" w:name="Tc_4Ig3SIaA6kKwWCdLLOfDXQ_7_8"/>
      <w:bookmarkStart w:id="2188" w:name="Tc_gv4YStvLNUu8E4P8teAvOg_7_6"/>
      <w:bookmarkStart w:id="2189" w:name="Tc_Q4Wb4AUycE2rrQXD2faFFg_7_2"/>
      <w:bookmarkStart w:id="2190" w:name="Tc_Tezl_Oag3EuLQDuAJN8Vuw_7_0"/>
      <w:bookmarkStart w:id="2191" w:name="Tc_Dcg1Pfur-UG5xiuTSDYeXw_6_25"/>
      <w:bookmarkStart w:id="2192" w:name="Tc_RldESfF6LEG5GFacCZMgHg_6_23"/>
      <w:bookmarkStart w:id="2193" w:name="Tc_KUkYh4WN0EC7veKdPCc7cw_6_20"/>
      <w:bookmarkStart w:id="2194" w:name="Tc_lWS03Is1a0i9MlVDh1ckpA_6_17"/>
      <w:bookmarkStart w:id="2195" w:name="Tc_xTgnb5F920Kdy-4eryWt3w_6_14"/>
      <w:bookmarkStart w:id="2196" w:name="Tc_RoSPEp4TKkeJe-FkXx4ywA_6_12"/>
      <w:bookmarkStart w:id="2197" w:name="Tc_8nYyCOjpi06r5ZZFMx_6Kg_6_10"/>
      <w:bookmarkStart w:id="2198" w:name="Tc_He0vAjsGZUenZjtNhGmzOQ_6_8"/>
      <w:bookmarkStart w:id="2199" w:name="Tc_nUDIk6-hIkW7yTrqxkK8oA_6_6"/>
      <w:bookmarkStart w:id="2200" w:name="Tc_f2OZxW0QuUOdnLlmrE98gg_6_2"/>
      <w:bookmarkStart w:id="2201" w:name="Tc_l3z61FqB60eIQmTr22gzqw_6_0"/>
      <w:bookmarkStart w:id="2202" w:name="Tc_1fYyEMrGz02yTSwStPHMzQ_5_25"/>
      <w:bookmarkStart w:id="2203" w:name="Tc_JmTXvR6LPkOCFUhAiQ8bnw_5_23"/>
      <w:bookmarkStart w:id="2204" w:name="Tc_r0EZw8QYLE-moEOCM-OZAA_5_20"/>
      <w:bookmarkStart w:id="2205" w:name="Tc_4YCdy0GRY0eQgb8n8CHMXA_5_17"/>
      <w:bookmarkStart w:id="2206" w:name="Tc_xFHcTyQtM0uNn4ZKu_adfw_5_14"/>
      <w:bookmarkStart w:id="2207" w:name="Tc_QMUuX5J1aEeh6niJ93BMpQ_5_12"/>
      <w:bookmarkStart w:id="2208" w:name="Tc_-WVUzrelNkWTbHy3Gk_t5A_5_10"/>
      <w:bookmarkStart w:id="2209" w:name="Tc_EwufZZS-6ke6Z0jW7B3JvA_5_8"/>
      <w:bookmarkStart w:id="2210" w:name="Tc_rZ49x-ksO0mQlKIxYqw5mQ_5_6"/>
      <w:bookmarkStart w:id="2211" w:name="Tc_G7fQnN5imEWfJ6Wr5YBplw_5_4"/>
      <w:bookmarkStart w:id="2212" w:name="Tc_dYVM5XtytkWCUmtfzytYRA_5_2"/>
      <w:bookmarkStart w:id="2213" w:name="Tc_BtVNNjnG-kmcog_vAgMYbA_5_0"/>
      <w:bookmarkStart w:id="2214" w:name="Tc_a_vQff08-06teDIlfaLRwg_4_25"/>
      <w:bookmarkStart w:id="2215" w:name="Tc_SsZf6Piqe0q79raue5LfLA_4_23"/>
      <w:bookmarkStart w:id="2216" w:name="Tc_2qoRv9BAiE-NECZj2fFpJA_4_14"/>
      <w:bookmarkStart w:id="2217" w:name="Tc_PmdgdPITIkWGGfTpmMy1-A_4_12"/>
      <w:bookmarkStart w:id="2218" w:name="Tc_YIyqXeSMc0a5JE8iJ3KUrw_4_10"/>
      <w:bookmarkStart w:id="2219" w:name="Tc_oZGUW6KhukClRBf8wguJ8A_4_6"/>
      <w:bookmarkStart w:id="2220" w:name="Tc_kaDBB4Ld6ketCo5vuzFGWw_4_2"/>
      <w:bookmarkStart w:id="2221" w:name="Tc_nXbjTIESOEWRZkjjvQ6Vxg_3_14"/>
      <w:bookmarkStart w:id="2222" w:name="Tc_rmCmDlVFN0CUtM6GyzhM3w_3_12"/>
      <w:bookmarkStart w:id="2223" w:name="Tc_hQD7QjMY5keC1L4QRGWLng_3_10"/>
      <w:bookmarkStart w:id="2224" w:name="Tc_uFEVYP5_8kmAHOI7AzmIug_3_6"/>
      <w:bookmarkStart w:id="2225" w:name="Tc_aa8KfqZN9U28H5uTL6vXWQ_2_6"/>
      <w:bookmarkStart w:id="2226" w:name="Tc_8o70Frfvm0-o7yJ_4Pa3nQ_1_6"/>
      <w:bookmarkStart w:id="2227" w:name="_18638895_3a1d_41d9_8444_da574882bb9a"/>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r>
        <w:rPr>
          <w:rFonts w:ascii="Times New Roman;Times;serif" w:hAnsi="Times New Roman;Times;serif"/>
          <w:sz w:val="20"/>
        </w:rPr>
        <w:t xml:space="preserve">zone are generally less than 65 percent funded; plans in the orange zone are both a) less than 80 percent funded and b) have an accumulated/expected funding deficiency in any of the next </w:t>
      </w:r>
      <w:r>
        <w:rPr>
          <w:rFonts w:ascii="Times New Roman;Times;serif" w:hAnsi="Times New Roman;Times;serif"/>
          <w:b w:val="false"/>
          <w:i w:val="false"/>
          <w:caps w:val="false"/>
          <w:smallCaps w:val="false"/>
          <w:sz w:val="20"/>
        </w:rPr>
        <w:t>six</w:t>
      </w:r>
      <w:r>
        <w:rPr>
          <w:rFonts w:ascii="Times New Roman;Times;serif" w:hAnsi="Times New Roman;Times;serif"/>
          <w:sz w:val="20"/>
        </w:rPr>
        <w:t xml:space="preserve"> plan years, net of any amortization extensions; plans in the yellow zone meet either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of the criteria mentioned in the orange zone;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pStyle w:val="TextBody"/>
        <w:bidi w:val="0"/>
        <w:spacing w:before="0" w:after="0"/>
        <w:ind w:left="0" w:right="0" w:hanging="0"/>
        <w:jc w:val="left"/>
        <w:rPr/>
      </w:pPr>
      <w:r>
        <w:rPr/>
        <w:t>​</w:t>
      </w:r>
    </w:p>
    <w:tbl>
      <w:tblPr>
        <w:tblW w:w="11722" w:type="dxa"/>
        <w:jc w:val="left"/>
        <w:tblInd w:w="0" w:type="dxa"/>
        <w:tblLayout w:type="fixed"/>
        <w:tblCellMar>
          <w:top w:w="0" w:type="dxa"/>
          <w:left w:w="0" w:type="dxa"/>
          <w:bottom w:w="0" w:type="dxa"/>
          <w:right w:w="0" w:type="dxa"/>
        </w:tblCellMar>
      </w:tblPr>
      <w:tblGrid>
        <w:gridCol w:w="991"/>
        <w:gridCol w:w="346"/>
        <w:gridCol w:w="796"/>
        <w:gridCol w:w="346"/>
        <w:gridCol w:w="406"/>
        <w:gridCol w:w="346"/>
        <w:gridCol w:w="511"/>
        <w:gridCol w:w="346"/>
        <w:gridCol w:w="511"/>
        <w:gridCol w:w="346"/>
        <w:gridCol w:w="856"/>
        <w:gridCol w:w="346"/>
        <w:gridCol w:w="736"/>
        <w:gridCol w:w="346"/>
        <w:gridCol w:w="181"/>
        <w:gridCol w:w="361"/>
        <w:gridCol w:w="346"/>
        <w:gridCol w:w="181"/>
        <w:gridCol w:w="361"/>
        <w:gridCol w:w="346"/>
        <w:gridCol w:w="181"/>
        <w:gridCol w:w="361"/>
        <w:gridCol w:w="346"/>
        <w:gridCol w:w="646"/>
        <w:gridCol w:w="346"/>
        <w:gridCol w:w="646"/>
        <w:gridCol w:w="19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629285" cy="175260"/>
                      <wp:effectExtent l="0" t="0" r="0" b="0"/>
                      <wp:wrapNone/>
                      <wp:docPr id="754" name="Frame75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19710" cy="175260"/>
                      <wp:effectExtent l="0" t="0" r="0" b="0"/>
                      <wp:wrapNone/>
                      <wp:docPr id="755" name="Frame7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505460" cy="175260"/>
                      <wp:effectExtent l="0" t="0" r="0" b="0"/>
                      <wp:wrapNone/>
                      <wp:docPr id="756" name="Frame75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219710" cy="175260"/>
                      <wp:effectExtent l="0" t="0" r="0" b="0"/>
                      <wp:wrapNone/>
                      <wp:docPr id="757" name="Frame7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19710" cy="175260"/>
                      <wp:effectExtent l="0" t="0" r="0" b="0"/>
                      <wp:wrapNone/>
                      <wp:docPr id="758" name="Frame7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324485" cy="175260"/>
                      <wp:effectExtent l="0" t="0" r="0" b="0"/>
                      <wp:wrapNone/>
                      <wp:docPr id="759" name="Frame75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19710" cy="175260"/>
                      <wp:effectExtent l="0" t="0" r="0" b="0"/>
                      <wp:wrapNone/>
                      <wp:docPr id="760" name="Frame7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324485" cy="175260"/>
                      <wp:effectExtent l="0" t="0" r="0" b="0"/>
                      <wp:wrapNone/>
                      <wp:docPr id="761" name="Frame75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19710" cy="175260"/>
                      <wp:effectExtent l="0" t="0" r="0" b="0"/>
                      <wp:wrapNone/>
                      <wp:docPr id="762" name="Frame7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543560" cy="175260"/>
                      <wp:effectExtent l="0" t="0" r="0" b="0"/>
                      <wp:wrapNone/>
                      <wp:docPr id="763" name="Frame76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19710" cy="175260"/>
                      <wp:effectExtent l="0" t="0" r="0" b="0"/>
                      <wp:wrapNone/>
                      <wp:docPr id="764" name="Frame7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467360" cy="175260"/>
                      <wp:effectExtent l="0" t="0" r="0" b="0"/>
                      <wp:wrapNone/>
                      <wp:docPr id="765" name="Frame76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19710" cy="175260"/>
                      <wp:effectExtent l="0" t="0" r="0" b="0"/>
                      <wp:wrapNone/>
                      <wp:docPr id="766" name="Frame7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114935" cy="175260"/>
                      <wp:effectExtent l="0" t="0" r="0" b="0"/>
                      <wp:wrapNone/>
                      <wp:docPr id="767" name="Frame7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29235" cy="175260"/>
                      <wp:effectExtent l="0" t="0" r="0" b="0"/>
                      <wp:wrapNone/>
                      <wp:docPr id="768" name="Frame7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19710" cy="175260"/>
                      <wp:effectExtent l="0" t="0" r="0" b="0"/>
                      <wp:wrapNone/>
                      <wp:docPr id="769" name="Frame7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14935" cy="175260"/>
                      <wp:effectExtent l="0" t="0" r="0" b="0"/>
                      <wp:wrapNone/>
                      <wp:docPr id="770" name="Frame7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29235" cy="175260"/>
                      <wp:effectExtent l="0" t="0" r="0" b="0"/>
                      <wp:wrapNone/>
                      <wp:docPr id="771" name="Frame7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19710" cy="175260"/>
                      <wp:effectExtent l="0" t="0" r="0" b="0"/>
                      <wp:wrapNone/>
                      <wp:docPr id="772" name="Frame7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114935" cy="175260"/>
                      <wp:effectExtent l="0" t="0" r="0" b="0"/>
                      <wp:wrapNone/>
                      <wp:docPr id="773" name="Frame77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229235" cy="175260"/>
                      <wp:effectExtent l="0" t="0" r="0" b="0"/>
                      <wp:wrapNone/>
                      <wp:docPr id="774" name="Frame7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19710" cy="175260"/>
                      <wp:effectExtent l="0" t="0" r="0" b="0"/>
                      <wp:wrapNone/>
                      <wp:docPr id="775" name="Frame7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410210" cy="175260"/>
                      <wp:effectExtent l="0" t="0" r="0" b="0"/>
                      <wp:wrapNone/>
                      <wp:docPr id="776" name="Frame77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19710" cy="175260"/>
                      <wp:effectExtent l="0" t="0" r="0" b="0"/>
                      <wp:wrapNone/>
                      <wp:docPr id="777" name="Frame7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410210" cy="175260"/>
                      <wp:effectExtent l="0" t="0" r="0" b="0"/>
                      <wp:wrapNone/>
                      <wp:docPr id="778" name="Frame77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121285" cy="175260"/>
                      <wp:effectExtent l="0" t="0" r="0" b="0"/>
                      <wp:wrapNone/>
                      <wp:docPr id="779" name="Frame77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Pension</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68" w:type="dxa"/>
            <w:gridSpan w:val="3"/>
            <w:tcBorders/>
            <w:vAlign w:val="center"/>
          </w:tcPr>
          <w:p>
            <w:pPr>
              <w:pStyle w:val="TableContents"/>
              <w:bidi w:val="0"/>
              <w:spacing w:before="0" w:after="0"/>
              <w:ind w:left="0" w:right="0" w:hanging="0"/>
              <w:jc w:val="center"/>
              <w:rPr/>
            </w:pPr>
            <w:r>
              <w:rPr/>
              <w:t> </w:t>
            </w:r>
            <w:r>
              <w:rPr>
                <w:rFonts w:ascii="Times New Roman;Times;serif" w:hAnsi="Times New Roman;Times;serif"/>
                <w:b/>
                <w:sz w:val="12"/>
              </w:rPr>
              <w:t>Protection Act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Zone as of</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FIP/RP Status</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5%</w:t>
            </w:r>
          </w:p>
        </w:tc>
        <w:tc>
          <w:tcPr>
            <w:tcW w:w="346" w:type="dxa"/>
            <w:tcBorders/>
            <w:vAlign w:val="center"/>
          </w:tcPr>
          <w:p>
            <w:pPr>
              <w:pStyle w:val="TableContents"/>
              <w:bidi w:val="0"/>
              <w:spacing w:before="0" w:after="0"/>
              <w:ind w:left="0" w:right="0" w:hanging="0"/>
              <w:jc w:val="left"/>
              <w:rPr/>
            </w:pPr>
            <w:r>
              <w:rPr/>
              <w:t>​</w:t>
            </w:r>
          </w:p>
        </w:tc>
        <w:tc>
          <w:tcPr>
            <w:tcW w:w="2318"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Contributions of Matson</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EIN/Pension</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December 31, </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Pending/</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Contributor</w:t>
            </w:r>
          </w:p>
        </w:tc>
        <w:tc>
          <w:tcPr>
            <w:tcW w:w="346" w:type="dxa"/>
            <w:tcBorders/>
            <w:vAlign w:val="center"/>
          </w:tcPr>
          <w:p>
            <w:pPr>
              <w:pStyle w:val="TableContents"/>
              <w:bidi w:val="0"/>
              <w:spacing w:before="0" w:after="0"/>
              <w:ind w:left="0" w:right="0" w:hanging="0"/>
              <w:jc w:val="left"/>
              <w:rPr/>
            </w:pPr>
            <w:r>
              <w:rPr/>
              <w:t>​</w:t>
            </w:r>
          </w:p>
        </w:tc>
        <w:tc>
          <w:tcPr>
            <w:tcW w:w="23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 millions)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Surcharge</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Expiration</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Pension Funds</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Plan Number</w:t>
            </w:r>
          </w:p>
        </w:tc>
        <w:tc>
          <w:tcPr>
            <w:tcW w:w="346" w:type="dxa"/>
            <w:tcBorders/>
            <w:vAlign w:val="center"/>
          </w:tcPr>
          <w:p>
            <w:pPr>
              <w:pStyle w:val="TableContents"/>
              <w:bidi w:val="0"/>
              <w:spacing w:before="0" w:after="0"/>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Notes</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Implemented</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 2025</w:t>
            </w:r>
          </w:p>
        </w:tc>
        <w:tc>
          <w:tcPr>
            <w:tcW w:w="346" w:type="dxa"/>
            <w:tcBorders/>
            <w:vAlign w:val="center"/>
          </w:tcPr>
          <w:p>
            <w:pPr>
              <w:pStyle w:val="TableContents"/>
              <w:bidi w:val="0"/>
              <w:spacing w:before="0" w:after="0"/>
              <w:ind w:left="0" w:right="0" w:hanging="0"/>
              <w:jc w:val="left"/>
              <w:rPr/>
            </w:pPr>
            <w:r>
              <w:rPr/>
              <w:t>  ​ ​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346" w:type="dxa"/>
            <w:tcBorders/>
            <w:vAlign w:val="center"/>
          </w:tcPr>
          <w:p>
            <w:pPr>
              <w:pStyle w:val="TableContents"/>
              <w:bidi w:val="0"/>
              <w:spacing w:before="0" w:after="0"/>
              <w:ind w:left="0" w:right="0" w:hanging="0"/>
              <w:jc w:val="left"/>
              <w:rPr/>
            </w:pPr>
            <w:r>
              <w:rPr/>
              <w:t>  ​ ​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46" w:type="dxa"/>
            <w:tcBorders/>
            <w:vAlign w:val="center"/>
          </w:tcPr>
          <w:p>
            <w:pPr>
              <w:pStyle w:val="TableContents"/>
              <w:bidi w:val="0"/>
              <w:spacing w:before="0" w:after="0"/>
              <w:ind w:left="0" w:right="0" w:hanging="0"/>
              <w:jc w:val="left"/>
              <w:rPr/>
            </w:pPr>
            <w:r>
              <w:rPr/>
              <w:t>  ​ ​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46" w:type="dxa"/>
            <w:tcBorders/>
            <w:vAlign w:val="center"/>
          </w:tcPr>
          <w:p>
            <w:pPr>
              <w:pStyle w:val="TableContents"/>
              <w:bidi w:val="0"/>
              <w:spacing w:before="0" w:after="0"/>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2"/>
              </w:rPr>
              <w:t>Imposed</w:t>
            </w:r>
          </w:p>
        </w:tc>
        <w:tc>
          <w:tcPr>
            <w:tcW w:w="346" w:type="dxa"/>
            <w:tcBorders/>
            <w:vAlign w:val="center"/>
          </w:tcPr>
          <w:p>
            <w:pPr>
              <w:pStyle w:val="TableContents"/>
              <w:bidi w:val="0"/>
              <w:spacing w:before="0" w:after="0"/>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Date (1)</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American Radio Association Pension Fund</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13-6161999-001</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Implemented</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6/15/2028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Hawaii Longshore Pension Plan</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99-0314293-001</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6/30/2028</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Master, Mates and Pilots Pension Plan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13-6372630-001</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6/15/2027,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6/15/2028</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Masters, Mates and Pilots Adjustable Pension Plan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37-1719247-001</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6/15/2027,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6/15/2028</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MEBA Pension Trust - Defined Benefit Plan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51-6029896-001</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6/15/2028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OCU Pension Trust Plan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26-1574440-001</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0.4</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6/30/2030</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MFOW Supplementary Pension Plan</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94-6201677-001</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Yellow</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Yellow</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6/30/2026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SIU Pacific District Pension Plan</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94-6061923-001</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6/30/2026</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Alaska Teamster - Employer Pension Plan</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92-6003463-024</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Red</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Red</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Implemented</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6/30/2026,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6/30/2027,</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6/30/2028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All Alaska Longshore Pension Plan</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91-6085352-001</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Yes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6/30/2028</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Western Conference of Teamsters Pension Plan </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91-6145047-001</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3/31/2028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Western Conference of Teamsters Supplemental Benefit Trust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95-3746907-001</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3/31/2028</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OPEIU Local 153 Pension Plan</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13-2864289-001</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Red</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Red</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Implemented</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11/9/2028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Seafarers Pension Plan</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13-6100329-001</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Green</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6/30/2027</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4472" w:type="dxa"/>
        <w:jc w:val="left"/>
        <w:tblInd w:w="0" w:type="dxa"/>
        <w:tblLayout w:type="fixed"/>
        <w:tblCellMar>
          <w:top w:w="0" w:type="dxa"/>
          <w:left w:w="0" w:type="dxa"/>
          <w:bottom w:w="0" w:type="dxa"/>
          <w:right w:w="0" w:type="dxa"/>
        </w:tblCellMar>
      </w:tblPr>
      <w:tblGrid>
        <w:gridCol w:w="286"/>
        <w:gridCol w:w="418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4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Represents the expiration date of the collective bargaining agreement.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Company does not make contributions directly to the Seafarers Pension Plan. Instead, contributions are made to the Seafarers Health and Benefits Plan, and are subsequently re-allocated to the Seafarers Pension Plan at the discretion of the plan Trustees.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also contributes to multi-employer plans that provide post-retirement health and other benefits other than pensions under the terms of collective-bargaining agreements. Benefits provided to active and retired employees and their eligible dependents under these plans include medical, dental, vision and prescription drugs. These plans are not subject to the PBGC plan termination and withdrawal liability provisions of ERISA applicable to multi-employer defined benefit pension plans. Contributions made to these plans were $40.8 million, $41.2 million and $37.7 million in 2025, 2024 and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Multi-employer Defined Contribution Plans:</w:t>
      </w:r>
      <w:r>
        <w:rPr>
          <w:rFonts w:ascii="Times New Roman;Times;serif" w:hAnsi="Times New Roman;Times;serif"/>
          <w:sz w:val="20"/>
        </w:rPr>
        <w:t xml:space="preserve"> The Company contributes to six multi-employer defined contribution pension plans. These plans are not subject to the withdrawal liability provisions of ERISA or the PBGC applicable to multi-employer defined benefit pension plans. Contributions made to these plans by the Company were $6.0 million, $6.0 million and $5.7 million in 2025, 2024 and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228" w:name="Tc_hXkvuyy7cUWmEeh_5cygEg_12_2"/>
      <w:bookmarkStart w:id="2229" w:name="Tc_E9pNU1TRLEybzZMVy1VIQA_12_0"/>
      <w:bookmarkStart w:id="2230" w:name="Tc_QHdFLbXggkuNyNI7A997pQ_11_0"/>
      <w:bookmarkStart w:id="2231" w:name="Tc_qgWXUYPJfECUMTpfz-6RWA_10_0"/>
      <w:bookmarkStart w:id="2232" w:name="Tc_wyiHirYHdkeJ1hS6JCDc6w_9_0"/>
      <w:bookmarkStart w:id="2233" w:name="Tc_DTd2YoG2Zk2je4a058mWwQ_8_0"/>
      <w:bookmarkStart w:id="2234" w:name="Tc_jzUYD65uJ0aVdPYEZPhYXw_7_0"/>
      <w:bookmarkStart w:id="2235" w:name="Tc_1R6vcVkmH0eDAanFpUi8Sw_6_0"/>
      <w:bookmarkStart w:id="2236" w:name="Tc_U5WYqaQy0kKQWDXWmyD-8A_5_0"/>
      <w:bookmarkStart w:id="2237" w:name="Tc_LL-1K6o9LUGxTdHwTP8phg_4_0"/>
      <w:bookmarkStart w:id="2238" w:name="Tc_rvG9ISqtjk2J4jYZ6eJQ8g_3_0"/>
      <w:bookmarkStart w:id="2239" w:name="Tc_vzZIlSsTPk-DuR0ktYbMKg_2_2"/>
      <w:bookmarkStart w:id="2240" w:name="Tc_IrWtVj4Wc02FAkbrwc_u0A_2_0"/>
      <w:bookmarkStart w:id="2241" w:name="Tc__E0uFGBocUaPAqnhE6kIOw_1_2"/>
      <w:bookmarkStart w:id="2242" w:name="Tc_a5ceYfD0dUq81fkNUpFqiw_1_0"/>
      <w:bookmarkStart w:id="2243" w:name="a12MULTIEMPLOYERWITHDRAWALLIABILITY_1572"/>
      <w:bookmarkStart w:id="2244" w:name="Tc_hXkvuyy7cUWmEeh_5cygEg_12_2"/>
      <w:bookmarkStart w:id="2245" w:name="Tc_E9pNU1TRLEybzZMVy1VIQA_12_0"/>
      <w:bookmarkStart w:id="2246" w:name="Tc_QHdFLbXggkuNyNI7A997pQ_11_0"/>
      <w:bookmarkStart w:id="2247" w:name="Tc_qgWXUYPJfECUMTpfz-6RWA_10_0"/>
      <w:bookmarkStart w:id="2248" w:name="Tc_wyiHirYHdkeJ1hS6JCDc6w_9_0"/>
      <w:bookmarkStart w:id="2249" w:name="Tc_DTd2YoG2Zk2je4a058mWwQ_8_0"/>
      <w:bookmarkStart w:id="2250" w:name="Tc_jzUYD65uJ0aVdPYEZPhYXw_7_0"/>
      <w:bookmarkStart w:id="2251" w:name="Tc_1R6vcVkmH0eDAanFpUi8Sw_6_0"/>
      <w:bookmarkStart w:id="2252" w:name="Tc_U5WYqaQy0kKQWDXWmyD-8A_5_0"/>
      <w:bookmarkStart w:id="2253" w:name="Tc_LL-1K6o9LUGxTdHwTP8phg_4_0"/>
      <w:bookmarkStart w:id="2254" w:name="Tc_rvG9ISqtjk2J4jYZ6eJQ8g_3_0"/>
      <w:bookmarkStart w:id="2255" w:name="Tc_vzZIlSsTPk-DuR0ktYbMKg_2_2"/>
      <w:bookmarkStart w:id="2256" w:name="Tc_IrWtVj4Wc02FAkbrwc_u0A_2_0"/>
      <w:bookmarkStart w:id="2257" w:name="Tc__E0uFGBocUaPAqnhE6kIOw_1_2"/>
      <w:bookmarkStart w:id="2258" w:name="Tc_a5ceYfD0dUq81fkNUpFqiw_1_0"/>
      <w:bookmarkStart w:id="2259" w:name="a12MULTIEMPLOYERWITHDRAWALLIABILITY_1572"/>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p>
    <w:tbl>
      <w:tblPr>
        <w:tblW w:w="5102" w:type="dxa"/>
        <w:jc w:val="left"/>
        <w:tblInd w:w="0" w:type="dxa"/>
        <w:tblLayout w:type="fixed"/>
        <w:tblCellMar>
          <w:top w:w="0" w:type="dxa"/>
          <w:left w:w="0" w:type="dxa"/>
          <w:bottom w:w="0" w:type="dxa"/>
          <w:right w:w="0" w:type="dxa"/>
        </w:tblCellMar>
      </w:tblPr>
      <w:tblGrid>
        <w:gridCol w:w="376"/>
        <w:gridCol w:w="4726"/>
      </w:tblGrid>
      <w:tr>
        <w:trPr/>
        <w:tc>
          <w:tcPr>
            <w:tcW w:w="3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12.</w:t>
            </w:r>
          </w:p>
        </w:tc>
        <w:tc>
          <w:tcPr>
            <w:tcW w:w="47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MULTI-EMPLOYER WITHDRAWAL LIABILITIES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acquired Horizon on May 29, 2015. Prior to this acquisition, Horizon had ceased all of its operations in Puerto Rico during the first quarter of 2015, which resulted in a mass withdrawal from its multi-employer ILA-PRSSA pension fund. The Company assumed this liability as part of the acquisition. The Company estimated the mass withdrawal liability based upon the required undiscounted quarterly payment of approximately $1.0 million to be paid to the ILA-PRSSA pension fund over a period which ends in March 2040, discounted to present value using the Company’s incremental borrowing rate. Future estimated annual payments to be paid to the ILA-PRSSA pension fund as of December 31, 2025 were as follows:</w:t>
      </w:r>
    </w:p>
    <w:p>
      <w:pPr>
        <w:pStyle w:val="TextBody"/>
        <w:bidi w:val="0"/>
        <w:spacing w:before="0" w:after="0"/>
        <w:ind w:left="0" w:right="0" w:hanging="0"/>
        <w:jc w:val="left"/>
        <w:rPr/>
      </w:pPr>
      <w:r>
        <w:rPr/>
        <w:t>​</w:t>
      </w:r>
    </w:p>
    <w:tbl>
      <w:tblPr>
        <w:tblW w:w="7889" w:type="dxa"/>
        <w:jc w:val="left"/>
        <w:tblInd w:w="0" w:type="dxa"/>
        <w:tblLayout w:type="fixed"/>
        <w:tblCellMar>
          <w:top w:w="0" w:type="dxa"/>
          <w:left w:w="0" w:type="dxa"/>
          <w:bottom w:w="0" w:type="dxa"/>
          <w:right w:w="0" w:type="dxa"/>
        </w:tblCellMar>
      </w:tblPr>
      <w:tblGrid>
        <w:gridCol w:w="6901"/>
        <w:gridCol w:w="146"/>
        <w:gridCol w:w="211"/>
        <w:gridCol w:w="631"/>
      </w:tblGrid>
      <w:tr>
        <w:trPr/>
        <w:tc>
          <w:tcPr>
            <w:tcW w:w="6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4382135" cy="175260"/>
                      <wp:effectExtent l="0" t="0" r="0" b="0"/>
                      <wp:wrapNone/>
                      <wp:docPr id="780" name="Frame777"/>
                      <a:graphic xmlns:a="http://schemas.openxmlformats.org/drawingml/2006/main">
                        <a:graphicData uri="http://schemas.microsoft.com/office/word/2010/wordprocessingShape">
                          <wps:wsp>
                            <wps:cNvSpPr txBox="1"/>
                            <wps:spPr>
                              <a:xfrm>
                                <a:off x="0" y="0"/>
                                <a:ext cx="438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92710" cy="175260"/>
                      <wp:effectExtent l="0" t="0" r="0" b="0"/>
                      <wp:wrapNone/>
                      <wp:docPr id="781" name="Frame7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133985" cy="175260"/>
                      <wp:effectExtent l="0" t="0" r="0" b="0"/>
                      <wp:wrapNone/>
                      <wp:docPr id="782" name="Frame7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400685" cy="175260"/>
                      <wp:effectExtent l="0" t="0" r="0" b="0"/>
                      <wp:wrapNone/>
                      <wp:docPr id="783" name="Frame78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14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remaining future undiscounted payments due to the ILA-PRSSA pension fund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representing interest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multi-employer withdrawal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multi-employer withdrawal liability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multi-employer withdrawal liability</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260" w:name="Tc_FIl5KeiBrEOdle4ALM2soQ_15_14"/>
      <w:bookmarkStart w:id="2261" w:name="Tc_BMxwKDEGpUesjTpn8iwJIQ_15_11"/>
      <w:bookmarkStart w:id="2262" w:name="Tc_hY2JQXS_-0-r3OJrs3rh6A_15_8"/>
      <w:bookmarkStart w:id="2263" w:name="Tc_kUJ9HiBOC0yd3tqd7IKMLw_15_5"/>
      <w:bookmarkStart w:id="2264" w:name="Tc_mFqsUIuHpkiuTKmb4wic3A_15_2"/>
      <w:bookmarkStart w:id="2265" w:name="Tc_-AFUsVDZQkKthiYXozDqjg_15_0"/>
      <w:bookmarkStart w:id="2266" w:name="Tc_fM1fzOj5EUWM3U4F-5Dw4Q_14_9"/>
      <w:bookmarkStart w:id="2267" w:name="Tc_BGeFi8Y78ki50Zg9gOeROg_14_6"/>
      <w:bookmarkStart w:id="2268" w:name="Tc_QsVMloJ5KEyKFuiscjR2Jg_14_3"/>
      <w:bookmarkStart w:id="2269" w:name="Tc_wh0xrMHMTEqR9PRth0yU5A_14_0"/>
      <w:bookmarkStart w:id="2270" w:name="Tc_U9O7LYPMZkKpa6dkbEdv3w_13_9"/>
      <w:bookmarkStart w:id="2271" w:name="Tc_yyuTyq0nQUuAUYNTyoiEeQ_13_6"/>
      <w:bookmarkStart w:id="2272" w:name="Tc_sSjd_Eq0XUWNkadwURBPfw_13_3"/>
      <w:bookmarkStart w:id="2273" w:name="Tc_2lRY-5OJz025-1FRpfuWPQ_13_0"/>
      <w:bookmarkStart w:id="2274" w:name="Tc_f9uSevfjY0q4PSvYq2Obqg_12_12"/>
      <w:bookmarkStart w:id="2275" w:name="Tc_JS2A_2x_HUm5zS5-TBSSzA_12_0"/>
      <w:bookmarkStart w:id="2276" w:name="Tc_jlWq4_00XEKyIYy6a5vLNw_11_12"/>
      <w:bookmarkStart w:id="2277" w:name="Tc_YbkgE7fpDEWhkDA7jBg8QQ_11_9"/>
      <w:bookmarkStart w:id="2278" w:name="Tc_uCvvxZL3_0G8u2LMKFXdmA_11_3"/>
      <w:bookmarkStart w:id="2279" w:name="Tc_aRjNyEA-Y0-uUWsNu7u63w_11_0"/>
      <w:bookmarkStart w:id="2280" w:name="Tc_B_DWGHAor0i029dHYYMyqg_10_0"/>
      <w:bookmarkStart w:id="2281" w:name="Tc_jf_hWPQATk2usLNgim1tFg_9_9"/>
      <w:bookmarkStart w:id="2282" w:name="Tc_7wSh_OosLkWjZrhBR75Www_9_6"/>
      <w:bookmarkStart w:id="2283" w:name="Tc_t26gFKFlZkmd0AUwnzCQXg_9_3"/>
      <w:bookmarkStart w:id="2284" w:name="Tc_SZWPQZuSZEuG-82Qdug3mA_9_0"/>
      <w:bookmarkStart w:id="2285" w:name="Tc_iaXHGwrtyE6ssZsyyRTOnA_8_9"/>
      <w:bookmarkStart w:id="2286" w:name="Tc_t9oDt-DbaUaFYbKQnh0HAQ_8_6"/>
      <w:bookmarkStart w:id="2287" w:name="Tc_XOTmzm-1L0qVvSOCc7uE1g_8_3"/>
      <w:bookmarkStart w:id="2288" w:name="Tc_4Ofgn-wr9UWusYAS9QEDfA_8_0"/>
      <w:bookmarkStart w:id="2289" w:name="Tc_WOlBjrKEJ0OrQwpsZVuYTQ_7_12"/>
      <w:bookmarkStart w:id="2290" w:name="Tc_O8Pv7JnhDUe6E7GxI89Y_g_7_0"/>
      <w:bookmarkStart w:id="2291" w:name="Tc_E5lFrMYAUUCFynBH_FiiIQ_6_12"/>
      <w:bookmarkStart w:id="2292" w:name="Tc_BmLk_cbm-kWX8_xQb4rmsQ_6_9"/>
      <w:bookmarkStart w:id="2293" w:name="Tc_m8RoulnMZkSjq3JngpdCSQ_6_3"/>
      <w:bookmarkStart w:id="2294" w:name="Tc_MyjZd8iojE2QDQ7C3VliXw_6_0"/>
      <w:bookmarkStart w:id="2295" w:name="Tc_aYyfAgRkOk6cq36PPzjjGw_5_14"/>
      <w:bookmarkStart w:id="2296" w:name="Tc_idFy6N4QNUinWnkqnluamQ_5_11"/>
      <w:bookmarkStart w:id="2297" w:name="Tc_7eubzqE4WEKFfpI31pxRsQ_5_8"/>
      <w:bookmarkStart w:id="2298" w:name="Tc_0ZFjyjYXykO3RQNTsFay2A_5_5"/>
      <w:bookmarkStart w:id="2299" w:name="Tc_8KYVpYN1y0qNqdQqw6LV1w_5_2"/>
      <w:bookmarkStart w:id="2300" w:name="Tc_cnnQjTgQcUyKBoQNPvTKPA_5_0"/>
      <w:bookmarkStart w:id="2301" w:name="Tc_icDinlpaHEurUAFJ1sWQ2Q_4_14"/>
      <w:bookmarkStart w:id="2302" w:name="Tc_Pfo2As6uf0-gl4mOATlXbA_4_11"/>
      <w:bookmarkStart w:id="2303" w:name="Tc_h89czTKeQUmNGGMB82FbMw_4_8"/>
      <w:bookmarkStart w:id="2304" w:name="Tc_jTdYAQnsJk2PwEF1FPe3Hw_4_5"/>
      <w:bookmarkStart w:id="2305" w:name="Tc_8OfxpW9mh02eZUvIKq6BIw_4_2"/>
      <w:bookmarkStart w:id="2306" w:name="Tc_53DRxq2inkGRsPN2PUse3g_4_0"/>
      <w:bookmarkStart w:id="2307" w:name="Tc_YrSmgArrOkOslXAvnpLTwQ_3_14"/>
      <w:bookmarkStart w:id="2308" w:name="Tc_jQlSJNBBgUiM8ypuB3AN4w_3_8"/>
      <w:bookmarkStart w:id="2309" w:name="Tc_w18w6RC9QUK0XIDNlSdmsA_3_5"/>
      <w:bookmarkStart w:id="2310" w:name="Tc_y0qB9upbC0Cmng590EDX9w_3_2"/>
      <w:bookmarkStart w:id="2311" w:name="Tc_QPgXxBEST0WduGTg1JYbAw_2_14"/>
      <w:bookmarkStart w:id="2312" w:name="Tc_kpda8DJGrU6dHFiw_u6FKw_2_8"/>
      <w:bookmarkStart w:id="2313" w:name="Tc_bF2-aMHa8UqwWScbjzZ_Nw_2_5"/>
      <w:bookmarkStart w:id="2314" w:name="Tc_avD-ogZw2UqeoHeUoZ8L1Q_1_14"/>
      <w:bookmarkStart w:id="2315" w:name="Tc_YdIlYtTkzkKuD3zBvRMgBQ_1_8"/>
      <w:bookmarkStart w:id="2316" w:name="_27ebfb64_30f4_4fbd_8cd5_a6168913359d"/>
      <w:bookmarkStart w:id="2317" w:name="a13ACCUMULATEDOTHERCOMPREHENSIVEINCOMELO"/>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r>
        <w:rPr>
          <w:rFonts w:ascii="Times New Roman;Times;serif" w:hAnsi="Times New Roman;Times;serif"/>
          <w:b/>
          <w:i w:val="false"/>
          <w:caps w:val="false"/>
          <w:smallCaps w:val="false"/>
          <w:sz w:val="20"/>
        </w:rPr>
        <w:t>13.</w:t>
      </w:r>
      <w:r>
        <w:rPr>
          <w:rFonts w:ascii="Times New Roman;Times;serif" w:hAnsi="Times New Roman;Times;serif"/>
          <w:b/>
          <w:sz w:val="20"/>
          <w:shd w:fill="FFFFFF" w:val="clear"/>
        </w:rPr>
        <w:t>ACCUMULATED OTHER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consist of the following for the years ended December 31, 2025 and 2024:</w:t>
      </w:r>
    </w:p>
    <w:p>
      <w:pPr>
        <w:pStyle w:val="TextBody"/>
        <w:bidi w:val="0"/>
        <w:spacing w:before="0" w:after="0"/>
        <w:ind w:left="0" w:right="0" w:hanging="0"/>
        <w:jc w:val="left"/>
        <w:rPr/>
      </w:pPr>
      <w:r>
        <w:rPr/>
        <w:t>​</w:t>
      </w:r>
    </w:p>
    <w:tbl>
      <w:tblPr>
        <w:tblW w:w="9669" w:type="dxa"/>
        <w:jc w:val="left"/>
        <w:tblInd w:w="0" w:type="dxa"/>
        <w:tblLayout w:type="fixed"/>
        <w:tblCellMar>
          <w:top w:w="0" w:type="dxa"/>
          <w:left w:w="0" w:type="dxa"/>
          <w:bottom w:w="0" w:type="dxa"/>
          <w:right w:w="0" w:type="dxa"/>
        </w:tblCellMar>
      </w:tblPr>
      <w:tblGrid>
        <w:gridCol w:w="3346"/>
        <w:gridCol w:w="346"/>
        <w:gridCol w:w="211"/>
        <w:gridCol w:w="586"/>
        <w:gridCol w:w="346"/>
        <w:gridCol w:w="285"/>
        <w:gridCol w:w="631"/>
        <w:gridCol w:w="346"/>
        <w:gridCol w:w="260"/>
        <w:gridCol w:w="521"/>
        <w:gridCol w:w="346"/>
        <w:gridCol w:w="211"/>
        <w:gridCol w:w="481"/>
        <w:gridCol w:w="346"/>
        <w:gridCol w:w="404"/>
        <w:gridCol w:w="812"/>
        <w:gridCol w:w="19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124710" cy="175260"/>
                      <wp:effectExtent l="0" t="0" r="0" b="0"/>
                      <wp:wrapNone/>
                      <wp:docPr id="784" name="Frame781"/>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19710" cy="175260"/>
                      <wp:effectExtent l="0" t="0" r="0" b="0"/>
                      <wp:wrapNone/>
                      <wp:docPr id="785" name="Frame7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133985" cy="175260"/>
                      <wp:effectExtent l="0" t="0" r="0" b="0"/>
                      <wp:wrapNone/>
                      <wp:docPr id="786" name="Frame7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372110" cy="175260"/>
                      <wp:effectExtent l="0" t="0" r="0" b="0"/>
                      <wp:wrapNone/>
                      <wp:docPr id="787" name="Frame78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19710" cy="175260"/>
                      <wp:effectExtent l="0" t="0" r="0" b="0"/>
                      <wp:wrapNone/>
                      <wp:docPr id="788" name="Frame7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180975" cy="175260"/>
                      <wp:effectExtent l="0" t="0" r="0" b="0"/>
                      <wp:wrapNone/>
                      <wp:docPr id="789" name="Frame78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400685" cy="175260"/>
                      <wp:effectExtent l="0" t="0" r="0" b="0"/>
                      <wp:wrapNone/>
                      <wp:docPr id="790" name="Frame78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219710" cy="175260"/>
                      <wp:effectExtent l="0" t="0" r="0" b="0"/>
                      <wp:wrapNone/>
                      <wp:docPr id="791" name="Frame7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165100" cy="175260"/>
                      <wp:effectExtent l="0" t="0" r="0" b="0"/>
                      <wp:wrapNone/>
                      <wp:docPr id="792" name="Frame78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330835" cy="175260"/>
                      <wp:effectExtent l="0" t="0" r="0" b="0"/>
                      <wp:wrapNone/>
                      <wp:docPr id="793" name="Frame790"/>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219710" cy="175260"/>
                      <wp:effectExtent l="0" t="0" r="0" b="0"/>
                      <wp:wrapNone/>
                      <wp:docPr id="794" name="Frame7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133985" cy="175260"/>
                      <wp:effectExtent l="0" t="0" r="0" b="0"/>
                      <wp:wrapNone/>
                      <wp:docPr id="795" name="Frame7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305435" cy="175260"/>
                      <wp:effectExtent l="0" t="0" r="0" b="0"/>
                      <wp:wrapNone/>
                      <wp:docPr id="796" name="Frame79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219710" cy="175260"/>
                      <wp:effectExtent l="0" t="0" r="0" b="0"/>
                      <wp:wrapNone/>
                      <wp:docPr id="797" name="Frame7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256540" cy="175260"/>
                      <wp:effectExtent l="0" t="0" r="0" b="0"/>
                      <wp:wrapNone/>
                      <wp:docPr id="798" name="Frame795"/>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515620" cy="175260"/>
                      <wp:effectExtent l="0" t="0" r="0" b="0"/>
                      <wp:wrapNone/>
                      <wp:docPr id="799" name="Frame796"/>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21285" cy="175260"/>
                      <wp:effectExtent l="0" t="0" r="0" b="0"/>
                      <wp:wrapNone/>
                      <wp:docPr id="800" name="Frame79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gain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(loss) in the Consolidated Statements of Income and Comprehensive Income is shown net of tax benefit (expense) of $5.6 million, $(2.5) million and $(1.2) million for the years ended December 2025, 2024 and 2023, respectively.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left"/>
        <w:rPr>
          <w:rFonts w:ascii="Times New Roman;Times;serif" w:hAnsi="Times New Roman;Times;serif"/>
          <w:sz w:val="20"/>
        </w:rPr>
      </w:pPr>
      <w:bookmarkStart w:id="2318" w:name="Tc_NDVGMfrW6kaHE8gXeKQQhg_8_23"/>
      <w:bookmarkStart w:id="2319" w:name="Tc_W8UB0mFjz02TMcc3pN_MAQ_8_18"/>
      <w:bookmarkStart w:id="2320" w:name="Tc_nVGSFhtbLkGJdhlPbR5dDA_8_15"/>
      <w:bookmarkStart w:id="2321" w:name="Tc_t7PqFQkCNEihAktbEGUFww_8_10"/>
      <w:bookmarkStart w:id="2322" w:name="Tc_u9eWqg0SRE2xrybD3nzGxQ_8_7"/>
      <w:bookmarkStart w:id="2323" w:name="Tc_9q4uI9Lq-UKcKe8aWQJutg_8_2"/>
      <w:bookmarkStart w:id="2324" w:name="Tc_zIsw7sSSPUu1BapMKHZXvw_8_0"/>
      <w:bookmarkStart w:id="2325" w:name="Tc_9spzHIeVQEmKBpGrMNX2Zw_7_19"/>
      <w:bookmarkStart w:id="2326" w:name="Tc_mECJLN6yF0CustBdZlqygQ_7_11"/>
      <w:bookmarkStart w:id="2327" w:name="Tc_e-h8oCZJQ0u2hG3m1AxBvw_7_3"/>
      <w:bookmarkStart w:id="2328" w:name="Tc_nYFgYjJbXUuzz1oSa7P0OA_7_0"/>
      <w:bookmarkStart w:id="2329" w:name="Tc_7PqID0UTfUmU1-6VHntCIA_6_23"/>
      <w:bookmarkStart w:id="2330" w:name="Tc_7wg_dGFia0eLF_cnHoOSeA_6_18"/>
      <w:bookmarkStart w:id="2331" w:name="Tc_Nv8MMgnHpkiI2I3H3m3ckA_6_15"/>
      <w:bookmarkStart w:id="2332" w:name="Tc_htvlKaI0Bkqxw07nJjOjDw_6_10"/>
      <w:bookmarkStart w:id="2333" w:name="Tc_IV5-bI1Vd0CteVewWElVDw_6_7"/>
      <w:bookmarkStart w:id="2334" w:name="Tc_a1A3aJWC8U-UliC8IoswGw_6_2"/>
      <w:bookmarkStart w:id="2335" w:name="Tc_aErNjJdqWE25z00tCFCv0Q_6_0"/>
      <w:bookmarkStart w:id="2336" w:name="Tc_YUKUxxW6cEi8DU4Z7CRHjw_5_23"/>
      <w:bookmarkStart w:id="2337" w:name="Tc_tDO9WYeaYky5VA7_BseHcw_5_21"/>
      <w:bookmarkStart w:id="2338" w:name="Tc_MH5wRAAzQ0GCBl4XaI-AcA_5_18"/>
      <w:bookmarkStart w:id="2339" w:name="Tc_YVU53FgxLE6bUL0kvs29hA_5_15"/>
      <w:bookmarkStart w:id="2340" w:name="Tc_V45gnXezrk-0VG16bUcLgw_5_13"/>
      <w:bookmarkStart w:id="2341" w:name="Tc_N9d4sb2U3EG5k6wwVTi3aw_5_10"/>
      <w:bookmarkStart w:id="2342" w:name="Tc_-7OjjTXaN0exnFJ_4zP7kg_5_7"/>
      <w:bookmarkStart w:id="2343" w:name="Tc_KWPmQuxAu06aylQbFhmvgw_5_5"/>
      <w:bookmarkStart w:id="2344" w:name="Tc_gUaw0WeIqkilf3uCDCS5ug_5_2"/>
      <w:bookmarkStart w:id="2345" w:name="Tc_VVPFlNruj0S46Zzct1a-VQ_5_0"/>
      <w:bookmarkStart w:id="2346" w:name="Tc_N_SbTqjZJUu0TkRzWG25mw_4_23"/>
      <w:bookmarkStart w:id="2347" w:name="Tc_St8dz-pmr022TAuuiBGOyA_4_21"/>
      <w:bookmarkStart w:id="2348" w:name="Tc_2aN3E7Ufu0GG1Ik828q_hg_4_18"/>
      <w:bookmarkStart w:id="2349" w:name="Tc_5SyYFyWGwUS8bX3JOGkvjQ_4_15"/>
      <w:bookmarkStart w:id="2350" w:name="Tc_0MVP4Y99AU6M1v-3a_y6lQ_4_13"/>
      <w:bookmarkStart w:id="2351" w:name="Tc_gZ0qYyhw6U6oeQFLXYsPog_4_10"/>
      <w:bookmarkStart w:id="2352" w:name="Tc_rFYpN_RjPUGwYhFBWXcExg_4_7"/>
      <w:bookmarkStart w:id="2353" w:name="Tc_iPjEfYOrQk6srb9dDf4WcQ_4_5"/>
      <w:bookmarkStart w:id="2354" w:name="Tc_qd2lj_4EkUGnSXTasLqcWA_4_2"/>
      <w:bookmarkStart w:id="2355" w:name="Tc_Cb6qCUpNckq2l8o-rQfQhA_3_23"/>
      <w:bookmarkStart w:id="2356" w:name="Tc_ajUodhZlJkuMKCILpBymYA_3_21"/>
      <w:bookmarkStart w:id="2357" w:name="Tc__6sRgC3EgEG2xY8lf_uXLg_3_15"/>
      <w:bookmarkStart w:id="2358" w:name="Tc_cOGq7VoJVkqy0FrvPPCVDw_3_13"/>
      <w:bookmarkStart w:id="2359" w:name="Tc_ujbcF949wU2FFY-e8kaZAg_3_7"/>
      <w:bookmarkStart w:id="2360" w:name="Tc_RKxb1IGYpkiMNIpAQxBYyw_3_5"/>
      <w:bookmarkStart w:id="2361" w:name="Tc_ioj_l-G5PECIXrukNDEONQ_2_23"/>
      <w:bookmarkStart w:id="2362" w:name="Tc_lubKdZl0fUaJK20rUgdKvQ_2_21"/>
      <w:bookmarkStart w:id="2363" w:name="Tc_XX-wVkaMPEC6L91QpDf8gw_2_15"/>
      <w:bookmarkStart w:id="2364" w:name="Tc_9XJnIGQRa0yvQgnPy-NtOA_2_13"/>
      <w:bookmarkStart w:id="2365" w:name="Tc_OCIZpO7Qhki5o9e9Qf9J8Q_2_7"/>
      <w:bookmarkStart w:id="2366" w:name="Tc_6HRWQTKokk20IvkpcSmd7Q_2_5"/>
      <w:bookmarkStart w:id="2367" w:name="Tc_IB4VZi3860ir6xBxPSvfZg_1_18"/>
      <w:bookmarkStart w:id="2368" w:name="Tc_mwJzljRFJUu2yB-xZwEJBw_1_10"/>
      <w:bookmarkStart w:id="2369" w:name="Tc_tjbYMcwII0uFMeK-SJ8yTA_1_2"/>
      <w:bookmarkStart w:id="2370" w:name="a14EARNINGSPERSHARE_521384"/>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r>
        <w:rPr>
          <w:rFonts w:ascii="Times New Roman;Times;serif" w:hAnsi="Times New Roman;Times;serif"/>
          <w:b/>
          <w:i w:val="false"/>
          <w:caps w:val="false"/>
          <w:smallCaps w:val="false"/>
          <w:sz w:val="20"/>
        </w:rPr>
        <w:t>14.</w:t>
      </w:r>
      <w:r>
        <w:rPr>
          <w:rFonts w:ascii="Times New Roman;Times;serif" w:hAnsi="Times New Roman;Times;serif"/>
          <w:b/>
          <w:sz w:val="20"/>
        </w:rPr>
        <w:t>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 are determined by dividing net income by the weighted-average common shares outstanding during the year. The calculation of diluted earnings per share includes the dilutive effect of non-vested restricted stock units. The computation of weighted average common shares outstanding excluded a nominal amount of anti-dilutive restricted stock units for each of the years ended December 31, 2025, 2024 and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computations for basic and diluted earnings per share for the years ended December 31, 2025, 2024 and 2023 are as follows:</w:t>
      </w:r>
    </w:p>
    <w:p>
      <w:pPr>
        <w:pStyle w:val="TextBody"/>
        <w:bidi w:val="0"/>
        <w:spacing w:before="0" w:after="0"/>
        <w:ind w:left="0" w:right="0" w:hanging="0"/>
        <w:jc w:val="left"/>
        <w:rPr/>
      </w:pPr>
      <w:r>
        <w:rPr/>
        <w:t>​</w:t>
      </w:r>
    </w:p>
    <w:tbl>
      <w:tblPr>
        <w:tblW w:w="11215" w:type="dxa"/>
        <w:jc w:val="left"/>
        <w:tblInd w:w="0" w:type="dxa"/>
        <w:tblLayout w:type="fixed"/>
        <w:tblCellMar>
          <w:top w:w="0" w:type="dxa"/>
          <w:left w:w="0" w:type="dxa"/>
          <w:bottom w:w="0" w:type="dxa"/>
          <w:right w:w="0" w:type="dxa"/>
        </w:tblCellMar>
      </w:tblPr>
      <w:tblGrid>
        <w:gridCol w:w="2041"/>
        <w:gridCol w:w="346"/>
        <w:gridCol w:w="196"/>
        <w:gridCol w:w="511"/>
        <w:gridCol w:w="346"/>
        <w:gridCol w:w="601"/>
        <w:gridCol w:w="346"/>
        <w:gridCol w:w="196"/>
        <w:gridCol w:w="511"/>
        <w:gridCol w:w="346"/>
        <w:gridCol w:w="196"/>
        <w:gridCol w:w="511"/>
        <w:gridCol w:w="346"/>
        <w:gridCol w:w="601"/>
        <w:gridCol w:w="346"/>
        <w:gridCol w:w="196"/>
        <w:gridCol w:w="511"/>
        <w:gridCol w:w="346"/>
        <w:gridCol w:w="196"/>
        <w:gridCol w:w="511"/>
        <w:gridCol w:w="346"/>
        <w:gridCol w:w="601"/>
        <w:gridCol w:w="346"/>
        <w:gridCol w:w="196"/>
        <w:gridCol w:w="52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1296035" cy="175260"/>
                      <wp:effectExtent l="0" t="0" r="0" b="0"/>
                      <wp:wrapNone/>
                      <wp:docPr id="801" name="Frame798"/>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219710" cy="175260"/>
                      <wp:effectExtent l="0" t="0" r="0" b="0"/>
                      <wp:wrapNone/>
                      <wp:docPr id="802" name="Frame7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124460" cy="175260"/>
                      <wp:effectExtent l="0" t="0" r="0" b="0"/>
                      <wp:wrapNone/>
                      <wp:docPr id="803" name="Frame8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324485" cy="175260"/>
                      <wp:effectExtent l="0" t="0" r="0" b="0"/>
                      <wp:wrapNone/>
                      <wp:docPr id="804" name="Frame80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219710" cy="175260"/>
                      <wp:effectExtent l="0" t="0" r="0" b="0"/>
                      <wp:wrapNone/>
                      <wp:docPr id="805" name="Frame8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381635" cy="175260"/>
                      <wp:effectExtent l="0" t="0" r="0" b="0"/>
                      <wp:wrapNone/>
                      <wp:docPr id="806" name="Frame80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219710" cy="175260"/>
                      <wp:effectExtent l="0" t="0" r="0" b="0"/>
                      <wp:wrapNone/>
                      <wp:docPr id="807" name="Frame8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124460" cy="175260"/>
                      <wp:effectExtent l="0" t="0" r="0" b="0"/>
                      <wp:wrapNone/>
                      <wp:docPr id="808" name="Frame8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324485" cy="175260"/>
                      <wp:effectExtent l="0" t="0" r="0" b="0"/>
                      <wp:wrapNone/>
                      <wp:docPr id="809" name="Frame80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219710" cy="175260"/>
                      <wp:effectExtent l="0" t="0" r="0" b="0"/>
                      <wp:wrapNone/>
                      <wp:docPr id="810" name="Frame8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124460" cy="175260"/>
                      <wp:effectExtent l="0" t="0" r="0" b="0"/>
                      <wp:wrapNone/>
                      <wp:docPr id="811" name="Frame8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324485" cy="175260"/>
                      <wp:effectExtent l="0" t="0" r="0" b="0"/>
                      <wp:wrapNone/>
                      <wp:docPr id="812" name="Frame80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219710" cy="175260"/>
                      <wp:effectExtent l="0" t="0" r="0" b="0"/>
                      <wp:wrapNone/>
                      <wp:docPr id="813" name="Frame8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381635" cy="175260"/>
                      <wp:effectExtent l="0" t="0" r="0" b="0"/>
                      <wp:wrapNone/>
                      <wp:docPr id="814" name="Frame81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219710" cy="175260"/>
                      <wp:effectExtent l="0" t="0" r="0" b="0"/>
                      <wp:wrapNone/>
                      <wp:docPr id="815" name="Frame8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124460" cy="175260"/>
                      <wp:effectExtent l="0" t="0" r="0" b="0"/>
                      <wp:wrapNone/>
                      <wp:docPr id="816" name="Frame8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324485" cy="175260"/>
                      <wp:effectExtent l="0" t="0" r="0" b="0"/>
                      <wp:wrapNone/>
                      <wp:docPr id="817" name="Frame81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219710" cy="175260"/>
                      <wp:effectExtent l="0" t="0" r="0" b="0"/>
                      <wp:wrapNone/>
                      <wp:docPr id="818" name="Frame8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124460" cy="175260"/>
                      <wp:effectExtent l="0" t="0" r="0" b="0"/>
                      <wp:wrapNone/>
                      <wp:docPr id="819" name="Frame8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324485" cy="175260"/>
                      <wp:effectExtent l="0" t="0" r="0" b="0"/>
                      <wp:wrapNone/>
                      <wp:docPr id="820" name="Frame81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219710" cy="175260"/>
                      <wp:effectExtent l="0" t="0" r="0" b="0"/>
                      <wp:wrapNone/>
                      <wp:docPr id="821" name="Frame8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381635" cy="175260"/>
                      <wp:effectExtent l="0" t="0" r="0" b="0"/>
                      <wp:wrapNone/>
                      <wp:docPr id="822" name="Frame81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219710" cy="175260"/>
                      <wp:effectExtent l="0" t="0" r="0" b="0"/>
                      <wp:wrapNone/>
                      <wp:docPr id="823" name="Frame8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124460" cy="175260"/>
                      <wp:effectExtent l="0" t="0" r="0" b="0"/>
                      <wp:wrapNone/>
                      <wp:docPr id="824" name="Frame8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334010" cy="175260"/>
                      <wp:effectExtent l="0" t="0" r="0" b="0"/>
                      <wp:wrapNone/>
                      <wp:docPr id="825" name="Frame82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Year Ended December 31, 2025</w:t>
            </w:r>
          </w:p>
        </w:tc>
        <w:tc>
          <w:tcPr>
            <w:tcW w:w="346" w:type="dxa"/>
            <w:tcBorders/>
            <w:vAlign w:val="center"/>
          </w:tcPr>
          <w:p>
            <w:pPr>
              <w:pStyle w:val="TableContents"/>
              <w:bidi w:val="0"/>
              <w:spacing w:before="0" w:after="0"/>
              <w:ind w:left="0" w:right="0" w:hanging="0"/>
              <w:jc w:val="left"/>
              <w:rPr/>
            </w:pPr>
            <w:r>
              <w:rPr/>
              <w:t>​</w:t>
            </w:r>
          </w:p>
        </w:tc>
        <w:tc>
          <w:tcPr>
            <w:tcW w:w="27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Year Ended December 31, 2024</w:t>
            </w:r>
          </w:p>
        </w:tc>
        <w:tc>
          <w:tcPr>
            <w:tcW w:w="346" w:type="dxa"/>
            <w:tcBorders/>
            <w:vAlign w:val="center"/>
          </w:tcPr>
          <w:p>
            <w:pPr>
              <w:pStyle w:val="TableContents"/>
              <w:bidi w:val="0"/>
              <w:spacing w:before="0" w:after="0"/>
              <w:ind w:left="0" w:right="0" w:hanging="0"/>
              <w:jc w:val="left"/>
              <w:rPr/>
            </w:pPr>
            <w:r>
              <w:rPr/>
              <w:t>​</w:t>
            </w:r>
          </w:p>
        </w:tc>
        <w:tc>
          <w:tcPr>
            <w:tcW w:w="272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Year Ended December 31, 2023</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Per</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Per</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346" w:type="dxa"/>
            <w:tcBorders/>
            <w:vAlign w:val="center"/>
          </w:tcPr>
          <w:p>
            <w:pPr>
              <w:pStyle w:val="TableContents"/>
              <w:bidi w:val="0"/>
              <w:spacing w:before="0" w:after="0"/>
              <w:ind w:left="0" w:right="0" w:hanging="0"/>
              <w:jc w:val="left"/>
              <w:rPr/>
            </w:pPr>
            <w:r>
              <w:rPr/>
              <w:t>  ​ ​ ​</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Per</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346" w:type="dxa"/>
            <w:tcBorders/>
            <w:vAlign w:val="center"/>
          </w:tcPr>
          <w:p>
            <w:pPr>
              <w:pStyle w:val="TableContents"/>
              <w:bidi w:val="0"/>
              <w:spacing w:before="0" w:after="0"/>
              <w:ind w:left="0" w:right="0" w:hanging="0"/>
              <w:jc w:val="left"/>
              <w:rPr/>
            </w:pPr>
            <w:r>
              <w:rPr/>
              <w:t>​</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Net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Net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Net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w:t>
            </w:r>
          </w:p>
        </w:tc>
        <w:tc>
          <w:tcPr>
            <w:tcW w:w="346" w:type="dxa"/>
            <w:tcBorders/>
            <w:vAlign w:val="center"/>
          </w:tcPr>
          <w:p>
            <w:pPr>
              <w:pStyle w:val="TableContents"/>
              <w:bidi w:val="0"/>
              <w:spacing w:before="0" w:after="0"/>
              <w:ind w:left="0" w:right="0" w:hanging="0"/>
              <w:jc w:val="left"/>
              <w:rPr/>
            </w:pPr>
            <w:r>
              <w:rPr/>
              <w:t>​</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 millions, except per share amounts)</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444.8</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476.4</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8.42</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Dilutive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444.8</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476.4</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71" w:name="Tc_IyVS6GJB9kqJGO-IIqHmag_5_8"/>
      <w:bookmarkStart w:id="2372" w:name="Tc_IQ4cMTvXSUOFlyd-AytgJA_5_5"/>
      <w:bookmarkStart w:id="2373" w:name="Tc_XZEp8foim0aA4y_p7HQAhw_5_2"/>
      <w:bookmarkStart w:id="2374" w:name="Tc_Om7fA9gfS0mS5R3dmai1tQ_5_0"/>
      <w:bookmarkStart w:id="2375" w:name="Tc_vY2exATHF0mispyBqJTLag_4_8"/>
      <w:bookmarkStart w:id="2376" w:name="Tc_9ToDAFAD1UOxoyPrQ3liJQ_4_5"/>
      <w:bookmarkStart w:id="2377" w:name="Tc_FWQ_MkFCBkmZzo1eR4z5BQ_4_2"/>
      <w:bookmarkStart w:id="2378" w:name="Tc_h2GldNJmREiEOsiiSld5AQ_4_0"/>
      <w:bookmarkStart w:id="2379" w:name="Tc_pB0rePxC1E2G-fcN6A2v_A_3_8"/>
      <w:bookmarkStart w:id="2380" w:name="Tc_-4auVU4wmkelW7pS6dc6bQ_3_5"/>
      <w:bookmarkStart w:id="2381" w:name="Tc_u92bclNShUaOXmf-hi4-Dw_3_2"/>
      <w:bookmarkStart w:id="2382" w:name="Tc_A3iizD_t5US6o21LN8z68A_3_0"/>
      <w:bookmarkStart w:id="2383" w:name="Tc_6I8VbhwxW0mgSpBzAob9oA_2_8"/>
      <w:bookmarkStart w:id="2384" w:name="Tc_QpRjEwACkEWfNw-ykevwFA_2_5"/>
      <w:bookmarkStart w:id="2385" w:name="Tc_z8GLOV6ijEGo14ImdlQ_rQ_2_2"/>
      <w:bookmarkStart w:id="2386" w:name="Tc_W7KjL0iKm02NO5SAnMEiug_2_0"/>
      <w:bookmarkStart w:id="2387" w:name="Tc_NKpGctqcYkuzKHHHGqtI6Q_1_2"/>
      <w:bookmarkStart w:id="2388" w:name="a15SHAREDBASEDAWARDS_81471"/>
      <w:bookmarkStart w:id="2389" w:name="Tc_IyVS6GJB9kqJGO-IIqHmag_5_8"/>
      <w:bookmarkStart w:id="2390" w:name="Tc_IQ4cMTvXSUOFlyd-AytgJA_5_5"/>
      <w:bookmarkStart w:id="2391" w:name="Tc_XZEp8foim0aA4y_p7HQAhw_5_2"/>
      <w:bookmarkStart w:id="2392" w:name="Tc_Om7fA9gfS0mS5R3dmai1tQ_5_0"/>
      <w:bookmarkStart w:id="2393" w:name="Tc_vY2exATHF0mispyBqJTLag_4_8"/>
      <w:bookmarkStart w:id="2394" w:name="Tc_9ToDAFAD1UOxoyPrQ3liJQ_4_5"/>
      <w:bookmarkStart w:id="2395" w:name="Tc_FWQ_MkFCBkmZzo1eR4z5BQ_4_2"/>
      <w:bookmarkStart w:id="2396" w:name="Tc_h2GldNJmREiEOsiiSld5AQ_4_0"/>
      <w:bookmarkStart w:id="2397" w:name="Tc_pB0rePxC1E2G-fcN6A2v_A_3_8"/>
      <w:bookmarkStart w:id="2398" w:name="Tc_-4auVU4wmkelW7pS6dc6bQ_3_5"/>
      <w:bookmarkStart w:id="2399" w:name="Tc_u92bclNShUaOXmf-hi4-Dw_3_2"/>
      <w:bookmarkStart w:id="2400" w:name="Tc_A3iizD_t5US6o21LN8z68A_3_0"/>
      <w:bookmarkStart w:id="2401" w:name="Tc_6I8VbhwxW0mgSpBzAob9oA_2_8"/>
      <w:bookmarkStart w:id="2402" w:name="Tc_QpRjEwACkEWfNw-ykevwFA_2_5"/>
      <w:bookmarkStart w:id="2403" w:name="Tc_z8GLOV6ijEGo14ImdlQ_rQ_2_2"/>
      <w:bookmarkStart w:id="2404" w:name="Tc_W7KjL0iKm02NO5SAnMEiug_2_0"/>
      <w:bookmarkStart w:id="2405" w:name="Tc_NKpGctqcYkuzKHHHGqtI6Q_1_2"/>
      <w:bookmarkStart w:id="2406" w:name="a15SHAREDBASEDAWARDS_81471"/>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p>
    <w:tbl>
      <w:tblPr>
        <w:tblW w:w="2777" w:type="dxa"/>
        <w:jc w:val="left"/>
        <w:tblInd w:w="0" w:type="dxa"/>
        <w:tblLayout w:type="fixed"/>
        <w:tblCellMar>
          <w:top w:w="0" w:type="dxa"/>
          <w:left w:w="0" w:type="dxa"/>
          <w:bottom w:w="0" w:type="dxa"/>
          <w:right w:w="0" w:type="dxa"/>
        </w:tblCellMar>
      </w:tblPr>
      <w:tblGrid>
        <w:gridCol w:w="376"/>
        <w:gridCol w:w="2401"/>
      </w:tblGrid>
      <w:tr>
        <w:trPr/>
        <w:tc>
          <w:tcPr>
            <w:tcW w:w="3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15.</w:t>
            </w:r>
          </w:p>
        </w:tc>
        <w:tc>
          <w:tcPr>
            <w:tcW w:w="240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SHARE-BASED AWARDS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April 24, 2025, the shareholders of the Company adopted and approved the Matson, Inc. 2025 Incentive Compensation Plan (the “2025 Plan”) which serves as a successor to the Amended and Restated 2016 Plan. Under the 2025 Plan, 1.4 million shares of common stock were reserved for issuance. The 2025 Plan consists of three separate incentive compensation programs: (i) the discretionary grant program, (ii) the stock issuance program, and (iii) the automatic grant program for the non-employee members of the Company’s Board of Directors, which are described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Discretionary Grant Program</w:t>
      </w:r>
      <w:r>
        <w:rPr>
          <w:rFonts w:ascii="Times New Roman;Times;serif" w:hAnsi="Times New Roman;Times;serif"/>
          <w:sz w:val="20"/>
        </w:rPr>
        <w:t xml:space="preserve"> — Under the Discretionary Grant Program, stock options may be granted with an exercise price no less than 100 percent of the fair market value (defined as the closing market price) of the Company’s common stock on the date of the grant. No stock options have been granted under the 2025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Stock Issuance Program</w:t>
      </w:r>
      <w:r>
        <w:rPr>
          <w:rFonts w:ascii="Times New Roman;Times;serif" w:hAnsi="Times New Roman;Times;serif"/>
          <w:sz w:val="20"/>
        </w:rPr>
        <w:t xml:space="preserve"> — Under the Stock Issuance Program, shares of common stock, restricted stock units or performance shares may be granted. Time-based equity awards generally vest ratably over three years. Provided certain three-year performance targets are achieved, performance-based equity awards generally vest on the three-year anniversary date of the grant.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Automatic Grant Program</w:t>
      </w:r>
      <w:r>
        <w:rPr>
          <w:rFonts w:ascii="Times New Roman;Times;serif" w:hAnsi="Times New Roman;Times;serif"/>
          <w:sz w:val="20"/>
        </w:rPr>
        <w:t xml:space="preserve"> — At each annual shareholder meeting, non-employee directors will receive an award of restricted stock units that entitle the holder to an equivalent number of shares of common stock upon vesting, under the Automatic Grant Program. Awards of restricted stock units granted under the program generally vest on the one-year anniversary of the grant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shares of common stock authorized to be issued under the 2025 Plan may be drawn from shares of the Company’s authorized but unissued common stock or from shares of its common stock that the Company acquires, including shares purchased on the open market or in private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 and other information related to share-based awards for the years ended December 31, 2025, 2024 and 2023 are as follows:</w:t>
      </w:r>
    </w:p>
    <w:p>
      <w:pPr>
        <w:pStyle w:val="TextBody"/>
        <w:bidi w:val="0"/>
        <w:spacing w:before="0" w:after="0"/>
        <w:ind w:left="0" w:right="0" w:hanging="0"/>
        <w:jc w:val="left"/>
        <w:rPr/>
      </w:pPr>
      <w:r>
        <w:rPr/>
        <w:t>​</w:t>
      </w:r>
    </w:p>
    <w:tbl>
      <w:tblPr>
        <w:tblW w:w="8856" w:type="dxa"/>
        <w:jc w:val="left"/>
        <w:tblInd w:w="0" w:type="dxa"/>
        <w:tblLayout w:type="fixed"/>
        <w:tblCellMar>
          <w:top w:w="0" w:type="dxa"/>
          <w:left w:w="0" w:type="dxa"/>
          <w:bottom w:w="0" w:type="dxa"/>
          <w:right w:w="0" w:type="dxa"/>
        </w:tblCellMar>
      </w:tblPr>
      <w:tblGrid>
        <w:gridCol w:w="5596"/>
        <w:gridCol w:w="346"/>
        <w:gridCol w:w="211"/>
        <w:gridCol w:w="466"/>
        <w:gridCol w:w="346"/>
        <w:gridCol w:w="211"/>
        <w:gridCol w:w="466"/>
        <w:gridCol w:w="346"/>
        <w:gridCol w:w="211"/>
        <w:gridCol w:w="466"/>
        <w:gridCol w:w="191"/>
      </w:tblGrid>
      <w:tr>
        <w:trP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3553460" cy="175260"/>
                      <wp:effectExtent l="0" t="0" r="0" b="0"/>
                      <wp:wrapNone/>
                      <wp:docPr id="826" name="Frame823"/>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219710" cy="175260"/>
                      <wp:effectExtent l="0" t="0" r="0" b="0"/>
                      <wp:wrapNone/>
                      <wp:docPr id="827" name="Frame8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133985" cy="175260"/>
                      <wp:effectExtent l="0" t="0" r="0" b="0"/>
                      <wp:wrapNone/>
                      <wp:docPr id="828" name="Frame8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295910" cy="175260"/>
                      <wp:effectExtent l="0" t="0" r="0" b="0"/>
                      <wp:wrapNone/>
                      <wp:docPr id="829" name="Frame82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219710" cy="175260"/>
                      <wp:effectExtent l="0" t="0" r="0" b="0"/>
                      <wp:wrapNone/>
                      <wp:docPr id="830" name="Frame8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133985" cy="175260"/>
                      <wp:effectExtent l="0" t="0" r="0" b="0"/>
                      <wp:wrapNone/>
                      <wp:docPr id="831" name="Frame8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295910" cy="175260"/>
                      <wp:effectExtent l="0" t="0" r="0" b="0"/>
                      <wp:wrapNone/>
                      <wp:docPr id="832" name="Frame82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219710" cy="175260"/>
                      <wp:effectExtent l="0" t="0" r="0" b="0"/>
                      <wp:wrapNone/>
                      <wp:docPr id="833" name="Frame8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133985" cy="175260"/>
                      <wp:effectExtent l="0" t="0" r="0" b="0"/>
                      <wp:wrapNone/>
                      <wp:docPr id="834" name="Frame8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295910" cy="175260"/>
                      <wp:effectExtent l="0" t="0" r="0" b="0"/>
                      <wp:wrapNone/>
                      <wp:docPr id="835" name="Frame83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121285" cy="175260"/>
                      <wp:effectExtent l="0" t="0" r="0" b="0"/>
                      <wp:wrapNone/>
                      <wp:docPr id="836" name="Frame83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91" w:type="dxa"/>
            <w:tcBorders/>
            <w:vAlign w:val="center"/>
          </w:tcPr>
          <w:p>
            <w:pPr>
              <w:pStyle w:val="TableContents"/>
              <w:bidi w:val="0"/>
              <w:spacing w:before="0" w:after="0"/>
              <w:ind w:left="0" w:right="0" w:hanging="0"/>
              <w:jc w:val="left"/>
              <w:rPr/>
            </w:pPr>
            <w:r>
              <w:rPr/>
              <w:t> </w:t>
            </w:r>
          </w:p>
        </w:tc>
      </w:tr>
      <w:tr>
        <w:trPr/>
        <w:tc>
          <w:tcPr>
            <w:tcW w:w="5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Share-based compensation expense, net of estimated forfeitures (in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benefit realized upon stock vesting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91"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Fair value of stock vested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unrecognized compensation cost related to non-vested restricted stock units and performance-based equity awards was $20.7 million. Unrecognized compensation cost is expected to be recognized over a weighted average period of approximately 1.6 years.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407" w:name="Tc_6LLHfjbPhkih-5pzbCazzw_9_4"/>
      <w:bookmarkStart w:id="2408" w:name="Tc_GV4KACfeZ0asejfJCyC5YQ_9_0"/>
      <w:bookmarkStart w:id="2409" w:name="Tc_yUWb56LufEaiACd1BXLIjw_8_4"/>
      <w:bookmarkStart w:id="2410" w:name="Tc_aWE2j41vDEeGAAowoQsQcQ_8_0"/>
      <w:bookmarkStart w:id="2411" w:name="Tc_Z0T7cipHXEidPuQaEAitbw_7_4"/>
      <w:bookmarkStart w:id="2412" w:name="Tc_SegGMMDT4USe_lHDssmJBg_7_0"/>
      <w:bookmarkStart w:id="2413" w:name="Tc_GqVJfha7v0moQjHFat0CXw_6_4"/>
      <w:bookmarkStart w:id="2414" w:name="Tc_ZRT7fq4MtEucHms-Hazspw_6_0"/>
      <w:bookmarkStart w:id="2415" w:name="Tc_YTXIVphNs0e9wLxmcKKm2Q_5_4"/>
      <w:bookmarkStart w:id="2416" w:name="Tc_pkMS9O5850Scgf80b5NeOA_5_0"/>
      <w:bookmarkStart w:id="2417" w:name="Tc_szemGqCnL0y6Vc8vupCLSg_4_4"/>
      <w:bookmarkStart w:id="2418" w:name="Tc_UkO0FVsAjUSbZnlUPZ0g-w_4_0"/>
      <w:bookmarkStart w:id="2419" w:name="Tc_QG9TN2XbIUOJE4A2-hSP9Q_3_4"/>
      <w:bookmarkStart w:id="2420" w:name="Tc_6UfCYUuakkK5f6uJeIZ7Zw_3_2"/>
      <w:bookmarkStart w:id="2421" w:name="Tc_mzz0qdnIrkCEW0x6lO5aZQ_2_4"/>
      <w:bookmarkStart w:id="2422" w:name="Tc_gObMfna-_EODkf-2pgY-0A_2_2"/>
      <w:bookmarkStart w:id="2423" w:name="Tc_GAv3QCR_hE-pqNAz0iRCkA_1_4"/>
      <w:bookmarkStart w:id="2424" w:name="Tc_awn0-fbd4E6cK2-pSdLjcw_1_2"/>
      <w:bookmarkStart w:id="2425" w:name="_e8c8eb58_240c_4ab0_a175_b1405b565cd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r>
        <w:rPr>
          <w:rFonts w:ascii="Times New Roman;Times;serif" w:hAnsi="Times New Roman;Times;serif"/>
          <w:sz w:val="20"/>
        </w:rPr>
        <w:t>The following table summarizes non-vested restricted stock unit activity through December 31, 2025 (in thousands, except weighted average grant-date fair value amounts):</w:t>
      </w:r>
    </w:p>
    <w:tbl>
      <w:tblPr>
        <w:tblW w:w="6031" w:type="dxa"/>
        <w:jc w:val="left"/>
        <w:tblInd w:w="0" w:type="dxa"/>
        <w:tblLayout w:type="fixed"/>
        <w:tblCellMar>
          <w:top w:w="0" w:type="dxa"/>
          <w:left w:w="0" w:type="dxa"/>
          <w:bottom w:w="0" w:type="dxa"/>
          <w:right w:w="0" w:type="dxa"/>
        </w:tblCellMar>
      </w:tblPr>
      <w:tblGrid>
        <w:gridCol w:w="2941"/>
        <w:gridCol w:w="346"/>
        <w:gridCol w:w="931"/>
        <w:gridCol w:w="346"/>
        <w:gridCol w:w="303"/>
        <w:gridCol w:w="973"/>
        <w:gridCol w:w="19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1867535" cy="175260"/>
                      <wp:effectExtent l="0" t="0" r="0" b="0"/>
                      <wp:wrapNone/>
                      <wp:docPr id="837" name="Frame834"/>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219710" cy="175260"/>
                      <wp:effectExtent l="0" t="0" r="0" b="0"/>
                      <wp:wrapNone/>
                      <wp:docPr id="838" name="Frame8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591185" cy="175260"/>
                      <wp:effectExtent l="0" t="0" r="0" b="0"/>
                      <wp:wrapNone/>
                      <wp:docPr id="839" name="Frame8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219710" cy="175260"/>
                      <wp:effectExtent l="0" t="0" r="0" b="0"/>
                      <wp:wrapNone/>
                      <wp:docPr id="840" name="Frame8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192405" cy="175260"/>
                      <wp:effectExtent l="0" t="0" r="0" b="0"/>
                      <wp:wrapNone/>
                      <wp:docPr id="841" name="Frame83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617855" cy="175260"/>
                      <wp:effectExtent l="0" t="0" r="0" b="0"/>
                      <wp:wrapNone/>
                      <wp:docPr id="842" name="Frame839"/>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121285" cy="175260"/>
                      <wp:effectExtent l="0" t="0" r="0" b="0"/>
                      <wp:wrapNone/>
                      <wp:docPr id="843" name="Frame84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Plan</w:t>
            </w:r>
          </w:p>
        </w:tc>
        <w:tc>
          <w:tcPr>
            <w:tcW w:w="346" w:type="dxa"/>
            <w:tcBorders/>
            <w:vAlign w:val="center"/>
          </w:tcPr>
          <w:p>
            <w:pPr>
              <w:pStyle w:val="TableContents"/>
              <w:bidi w:val="0"/>
              <w:spacing w:before="0" w:after="0"/>
              <w:ind w:left="0" w:right="0" w:hanging="0"/>
              <w:jc w:val="left"/>
              <w:rPr/>
            </w:pPr>
            <w:r>
              <w:rPr/>
              <w:t>  ​ ​ ​</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Units</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139.16</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120.70</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Added by performance factor (1)</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108.77</w:t>
            </w:r>
          </w:p>
        </w:tc>
        <w:tc>
          <w:tcPr>
            <w:tcW w:w="191" w:type="dxa"/>
            <w:tcBorders/>
            <w:vAlign w:val="center"/>
          </w:tcPr>
          <w:p>
            <w:pPr>
              <w:pStyle w:val="TableContents"/>
              <w:bidi w:val="0"/>
              <w:spacing w:before="0" w:after="0"/>
              <w:ind w:left="0" w:right="0" w:hanging="0"/>
              <w:jc w:val="left"/>
              <w:rPr/>
            </w:pPr>
            <w:r>
              <w:rPr/>
              <w:t>​</w:t>
            </w:r>
          </w:p>
        </w:tc>
      </w:tr>
    </w:tbl>
    <w:tbl>
      <w:tblPr>
        <w:tblW w:w="3242" w:type="dxa"/>
        <w:jc w:val="left"/>
        <w:tblInd w:w="0" w:type="dxa"/>
        <w:tblLayout w:type="fixed"/>
        <w:tblCellMar>
          <w:top w:w="0" w:type="dxa"/>
          <w:left w:w="0" w:type="dxa"/>
          <w:bottom w:w="0" w:type="dxa"/>
          <w:right w:w="0" w:type="dxa"/>
        </w:tblCellMar>
      </w:tblPr>
      <w:tblGrid>
        <w:gridCol w:w="331"/>
        <w:gridCol w:w="29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2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shares paid out above target.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426" w:name="Tc_SnTdwJfHmUi4LEZSn64oJA_14_15"/>
      <w:bookmarkStart w:id="2427" w:name="Tc_1QjbNZmYokOqiRlD0tPquw_14_14"/>
      <w:bookmarkStart w:id="2428" w:name="Tc_Nj2zCwfsDkuWAY3wvdGHrA_14_11"/>
      <w:bookmarkStart w:id="2429" w:name="Tc_Fg5ecVse1UyWHvAwWkoBbw_14_9"/>
      <w:bookmarkStart w:id="2430" w:name="Tc_YzuHR2Qv1kuENdwuRrwp3w_14_8"/>
      <w:bookmarkStart w:id="2431" w:name="Tc_dS12tS8P8EmeolqEkoh7kg_14_5"/>
      <w:bookmarkStart w:id="2432" w:name="Tc_5viK47xQcUKPlZFsKtxt4Q_14_2"/>
      <w:bookmarkStart w:id="2433" w:name="Tc_1yWJssT660W6J9gV0HijYw_14_0"/>
      <w:bookmarkStart w:id="2434" w:name="Tc_RoeLuIyE30OkKV3SukFzJQ_13_15"/>
      <w:bookmarkStart w:id="2435" w:name="Tc_I1soX2vxjUyC4vJhqENk3A_13_14"/>
      <w:bookmarkStart w:id="2436" w:name="Tc_Pze_IfwDpES4P2rIL8gw6A_13_12"/>
      <w:bookmarkStart w:id="2437" w:name="Tc_C6oJhqSoIU6YRDdVTNmwIg_13_11"/>
      <w:bookmarkStart w:id="2438" w:name="Tc_NTmy2hV3rUqYlDxKA05Pfg_13_8"/>
      <w:bookmarkStart w:id="2439" w:name="Tc_5pAkTjNh7kSSNQd9fta4nA_13_5"/>
      <w:bookmarkStart w:id="2440" w:name="Tc_w_isoo6OiEWUaVTRDcaBlQ_13_2"/>
      <w:bookmarkStart w:id="2441" w:name="Tc_gaymSc1NqUOFS28bbRCDLw_13_0"/>
      <w:bookmarkStart w:id="2442" w:name="Tc_slgz8W_GBEGR93RS3KUdtg_12_15"/>
      <w:bookmarkStart w:id="2443" w:name="Tc_g6-hZi1tW0KpyJh1pAkKCg_12_14"/>
      <w:bookmarkStart w:id="2444" w:name="Tc_zCwlyTiFPUCVtxXCMEQtng_12_12"/>
      <w:bookmarkStart w:id="2445" w:name="Tc_QlzYnTdVv0i7Iyo2AAj1qw_12_11"/>
      <w:bookmarkStart w:id="2446" w:name="Tc_tCPcXcHIK0StGo68xy3hDA_12_8"/>
      <w:bookmarkStart w:id="2447" w:name="Tc_eVhkzJlZOEmkS6SnqHhl-g_12_5"/>
      <w:bookmarkStart w:id="2448" w:name="Tc_DJWsEcaJIEOD_EOlGoiDow_12_2"/>
      <w:bookmarkStart w:id="2449" w:name="Tc_oHfep4l8kUmfZUm_XYy3Lg_12_0"/>
      <w:bookmarkStart w:id="2450" w:name="Tc_3PugFI7CBECZ7uqNvUv1iA_11_15"/>
      <w:bookmarkStart w:id="2451" w:name="Tc_UIRPYf8hm0C0JfE1AQCQOw_11_14"/>
      <w:bookmarkStart w:id="2452" w:name="Tc_djh7fl9jREKD9sOCMt2wKw_11_12"/>
      <w:bookmarkStart w:id="2453" w:name="Tc_F_k10mV9MkSeGiAqvVY1Gw_11_11"/>
      <w:bookmarkStart w:id="2454" w:name="Tc_HlUr7tcT8kGElQgh3U8mTw_11_8"/>
      <w:bookmarkStart w:id="2455" w:name="Tc_2voqNZ03j0KKKepZLfS1SQ_11_5"/>
      <w:bookmarkStart w:id="2456" w:name="Tc_jf14sJorY0WHqafLV1v-HQ_11_2"/>
      <w:bookmarkStart w:id="2457" w:name="Tc_esYRRYLXw0-OPhqfKlLBDQ_11_0"/>
      <w:bookmarkStart w:id="2458" w:name="Tc_tDUfHt5quUmP0tJxFE_TkA_10_5"/>
      <w:bookmarkStart w:id="2459" w:name="Tc_epO0nloRh0iEJU4OIcEnyg_10_2"/>
      <w:bookmarkStart w:id="2460" w:name="Tc_AHYrW6ZoaUqR5y7sPpIQdQ_10_0"/>
      <w:bookmarkStart w:id="2461" w:name="Tc_uQqmUYepZEW8VorB28olJw_8_15"/>
      <w:bookmarkStart w:id="2462" w:name="Tc_Tmhoje_GW0-ujZZcPGlUBQ_8_14"/>
      <w:bookmarkStart w:id="2463" w:name="Tc_1kVcfs_OqEiS9XqkiJCI_A_8_11"/>
      <w:bookmarkStart w:id="2464" w:name="Tc_7sE785j9BEi8X8HVPVnphQ_8_9"/>
      <w:bookmarkStart w:id="2465" w:name="Tc_6LnNoW7KB0W241imbV20jQ_8_8"/>
      <w:bookmarkStart w:id="2466" w:name="Tc_fjspZz3E0k2gMr7sfurWxQ_8_5"/>
      <w:bookmarkStart w:id="2467" w:name="Tc_J9381S21P0Srxbw-wzpO1g_8_2"/>
      <w:bookmarkStart w:id="2468" w:name="Tc_9HqBGGFB80umkc6fllciaA_8_0"/>
      <w:bookmarkStart w:id="2469" w:name="Tc_8cPviAxc_EWTdBiTK82m3Q_7_15"/>
      <w:bookmarkStart w:id="2470" w:name="Tc_vS9ciPfmSU6JJFK2fh1XDA_7_14"/>
      <w:bookmarkStart w:id="2471" w:name="Tc_hkSVGsiq1Ey2e59nMsBWFg_7_12"/>
      <w:bookmarkStart w:id="2472" w:name="Tc_MIu6RhwI30eV3g3XQg72Wg_7_11"/>
      <w:bookmarkStart w:id="2473" w:name="Tc_uRdxlEjLlkCYgZlOEW8e5A_7_8"/>
      <w:bookmarkStart w:id="2474" w:name="Tc_EGYNfYET1UW5GmkLVzaOXg_7_5"/>
      <w:bookmarkStart w:id="2475" w:name="Tc_ekyjW27ZlkeHGbe248-gEw_7_2"/>
      <w:bookmarkStart w:id="2476" w:name="Tc_DDSKqZVjNEOJGAn4TG__ig_7_0"/>
      <w:bookmarkStart w:id="2477" w:name="Tc_C3zNPWlHWUygxVVF_56hcQ_6_15"/>
      <w:bookmarkStart w:id="2478" w:name="Tc_-cVEXZIiQUG0nAi82parRg_6_14"/>
      <w:bookmarkStart w:id="2479" w:name="Tc_dWwrcr2ui0eGLuV9ry8S0w_6_12"/>
      <w:bookmarkStart w:id="2480" w:name="Tc_NNk98jmyz0Osx5g9EGOn2g_6_11"/>
      <w:bookmarkStart w:id="2481" w:name="Tc_G5o3kuy2G0SJ2UhRctykAw_6_8"/>
      <w:bookmarkStart w:id="2482" w:name="Tc_6KuLwKB3Nk-Z6jDU2VLH6w_6_5"/>
      <w:bookmarkStart w:id="2483" w:name="Tc_xACcTAgAoEmzmh7UdlD-iA_6_2"/>
      <w:bookmarkStart w:id="2484" w:name="Tc_wx0fhgKRXkOchZB4RkkVwQ_6_0"/>
      <w:bookmarkStart w:id="2485" w:name="Tc_ftp8eGvmyE2LQiOo3TpZNw_5_15"/>
      <w:bookmarkStart w:id="2486" w:name="Tc_9uXl-EZ070-OSA6XUgg81A_5_14"/>
      <w:bookmarkStart w:id="2487" w:name="Tc_5nSmj3S0uUS5D8lI2__oOQ_5_12"/>
      <w:bookmarkStart w:id="2488" w:name="Tc_y42rZBjxcUGuZNBeZWSk6w_5_11"/>
      <w:bookmarkStart w:id="2489" w:name="Tc_ifphuP084UmwSipFpKwUOw_5_8"/>
      <w:bookmarkStart w:id="2490" w:name="Tc_w1xywrgsRUSkdQTJr56oUw_5_5"/>
      <w:bookmarkStart w:id="2491" w:name="Tc_O2SBpOejRkODOqEoHAJ3mw_5_2"/>
      <w:bookmarkStart w:id="2492" w:name="Tc_rd7gTx0OS0Wh8DhD9sTOsg_5_0"/>
      <w:bookmarkStart w:id="2493" w:name="Tc_h9LY3OxuB0-D45QhgUdmow_4_5"/>
      <w:bookmarkStart w:id="2494" w:name="Tc_3xhMBAbiWkCZWAWw_46A5Q_4_2"/>
      <w:bookmarkStart w:id="2495" w:name="Tc_j_GjJax03UmiUXrw-2UgaQ_4_0"/>
      <w:bookmarkStart w:id="2496" w:name="Tc_4GYgyckfPkedyBsnssfowA_3_14"/>
      <w:bookmarkStart w:id="2497" w:name="Tc_FMqdSPmrYUeOqfM7tgvOfw_3_11"/>
      <w:bookmarkStart w:id="2498" w:name="Tc_rWh7c-6gAk-HNEekPEi_Mg_3_8"/>
      <w:bookmarkStart w:id="2499" w:name="Tc_r-dUSj8PUkODss38bVeOKQ_3_5"/>
      <w:bookmarkStart w:id="2500" w:name="Tc_THWxChIM8U673Nz0vxJRKw_3_2"/>
      <w:bookmarkStart w:id="2501" w:name="Tc_C-YrPoQYcUmtQc_Z1nj0mw_2_14"/>
      <w:bookmarkStart w:id="2502" w:name="Tc_h0b-PkEFsUuZvkjAtQ7KRg_2_11"/>
      <w:bookmarkStart w:id="2503" w:name="Tc_cmYefL1-B0OvIl7xRoIMJw_2_8"/>
      <w:bookmarkStart w:id="2504" w:name="Tc_0Wy--ibgokuiJnpjNer3jQ_2_2"/>
      <w:bookmarkStart w:id="2505" w:name="Tc_8-Ca4r-dVkWu99nsjh3osA_1_14"/>
      <w:bookmarkStart w:id="2506" w:name="Tc_ev6KGc5HTUWmUVt9HVIU8g_1_11"/>
      <w:bookmarkStart w:id="2507" w:name="Tc_fBviZPmQYUOZOrJ9MP7mFA_1_8"/>
      <w:bookmarkStart w:id="2508" w:name="a16FAIRVALUEOFFINANCIALINSTRUMENTS_1903"/>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r>
        <w:rPr>
          <w:rFonts w:ascii="Times New Roman;Times;serif" w:hAnsi="Times New Roman;Times;serif"/>
          <w:b/>
          <w:i w:val="false"/>
          <w:caps w:val="false"/>
          <w:smallCaps w:val="false"/>
          <w:sz w:val="20"/>
        </w:rPr>
        <w:t>16.</w:t>
      </w:r>
      <w:r>
        <w:rPr>
          <w:rFonts w:ascii="Times New Roman;Times;serif" w:hAnsi="Times New Roman;Times;serif"/>
          <w:b/>
          <w:sz w:val="20"/>
        </w:rPr>
        <w:t>FAIR VALUE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uses Level 1 inputs for the fair values of its cash and cash equivalents, and CCF cash and cash equivalent and investments, and Level 2 inputs for its fixed rate debt. The fair values of cash and cash equivalents, and CCF cash and cash equivalents approximate their carrying values due to the nature of the instruments. The fair value of CCF investments is calculated based upon quoted prices available in active markets. The fair value of fixed rate debt is calculated based upon interest rates available for debt with terms and maturities similar to the Company’s existing debt arrangements.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carrying value and fair value of the Company’s financial instruments consists of the following as of December 31, 2025 and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76"/>
        <w:gridCol w:w="346"/>
        <w:gridCol w:w="448"/>
        <w:gridCol w:w="1136"/>
        <w:gridCol w:w="346"/>
        <w:gridCol w:w="309"/>
        <w:gridCol w:w="837"/>
        <w:gridCol w:w="346"/>
        <w:gridCol w:w="352"/>
        <w:gridCol w:w="954"/>
        <w:gridCol w:w="346"/>
        <w:gridCol w:w="299"/>
        <w:gridCol w:w="813"/>
        <w:gridCol w:w="346"/>
        <w:gridCol w:w="450"/>
        <w:gridCol w:w="743"/>
        <w:gridCol w:w="158"/>
      </w:tblGrid>
      <w:tr>
        <w:trPr/>
        <w:tc>
          <w:tcPr>
            <w:tcW w:w="1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254760" cy="175260"/>
                      <wp:effectExtent l="0" t="0" r="0" b="0"/>
                      <wp:wrapNone/>
                      <wp:docPr id="844" name="Frame841"/>
                      <a:graphic xmlns:a="http://schemas.openxmlformats.org/drawingml/2006/main">
                        <a:graphicData uri="http://schemas.microsoft.com/office/word/2010/wordprocessingShape">
                          <wps:wsp>
                            <wps:cNvSpPr txBox="1"/>
                            <wps:spPr>
                              <a:xfrm>
                                <a:off x="0" y="0"/>
                                <a:ext cx="125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219710" cy="175260"/>
                      <wp:effectExtent l="0" t="0" r="0" b="0"/>
                      <wp:wrapNone/>
                      <wp:docPr id="845" name="Frame8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284480" cy="175260"/>
                      <wp:effectExtent l="0" t="0" r="0" b="0"/>
                      <wp:wrapNone/>
                      <wp:docPr id="846" name="Frame843"/>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721360" cy="175260"/>
                      <wp:effectExtent l="0" t="0" r="0" b="0"/>
                      <wp:wrapNone/>
                      <wp:docPr id="847" name="Frame844"/>
                      <a:graphic xmlns:a="http://schemas.openxmlformats.org/drawingml/2006/main">
                        <a:graphicData uri="http://schemas.microsoft.com/office/word/2010/wordprocessingShape">
                          <wps:wsp>
                            <wps:cNvSpPr txBox="1"/>
                            <wps:spPr>
                              <a:xfrm>
                                <a:off x="0" y="0"/>
                                <a:ext cx="72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219710" cy="175260"/>
                      <wp:effectExtent l="0" t="0" r="0" b="0"/>
                      <wp:wrapNone/>
                      <wp:docPr id="848" name="Frame8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196215" cy="175260"/>
                      <wp:effectExtent l="0" t="0" r="0" b="0"/>
                      <wp:wrapNone/>
                      <wp:docPr id="849" name="Frame846"/>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531495" cy="175260"/>
                      <wp:effectExtent l="0" t="0" r="0" b="0"/>
                      <wp:wrapNone/>
                      <wp:docPr id="850" name="Frame847"/>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219710" cy="175260"/>
                      <wp:effectExtent l="0" t="0" r="0" b="0"/>
                      <wp:wrapNone/>
                      <wp:docPr id="851" name="Frame8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223520" cy="175260"/>
                      <wp:effectExtent l="0" t="0" r="0" b="0"/>
                      <wp:wrapNone/>
                      <wp:docPr id="852" name="Frame849"/>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605790" cy="175260"/>
                      <wp:effectExtent l="0" t="0" r="0" b="0"/>
                      <wp:wrapNone/>
                      <wp:docPr id="853" name="Frame850"/>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219710" cy="175260"/>
                      <wp:effectExtent l="0" t="0" r="0" b="0"/>
                      <wp:wrapNone/>
                      <wp:docPr id="854" name="Frame8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189865" cy="175260"/>
                      <wp:effectExtent l="0" t="0" r="0" b="0"/>
                      <wp:wrapNone/>
                      <wp:docPr id="855" name="Frame85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516255" cy="175260"/>
                      <wp:effectExtent l="0" t="0" r="0" b="0"/>
                      <wp:wrapNone/>
                      <wp:docPr id="856" name="Frame853"/>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219710" cy="175260"/>
                      <wp:effectExtent l="0" t="0" r="0" b="0"/>
                      <wp:wrapNone/>
                      <wp:docPr id="857" name="Frame8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285750" cy="175260"/>
                      <wp:effectExtent l="0" t="0" r="0" b="0"/>
                      <wp:wrapNone/>
                      <wp:docPr id="858" name="Frame855"/>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471805" cy="175260"/>
                      <wp:effectExtent l="0" t="0" r="0" b="0"/>
                      <wp:wrapNone/>
                      <wp:docPr id="859" name="Frame856"/>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100330" cy="175260"/>
                      <wp:effectExtent l="0" t="0" r="0" b="0"/>
                      <wp:wrapNone/>
                      <wp:docPr id="860" name="Frame857"/>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84"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11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14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w:t>
            </w:r>
          </w:p>
        </w:tc>
        <w:tc>
          <w:tcPr>
            <w:tcW w:w="346" w:type="dxa"/>
            <w:tcBorders/>
            <w:vAlign w:val="center"/>
          </w:tcPr>
          <w:p>
            <w:pPr>
              <w:pStyle w:val="TableContents"/>
              <w:bidi w:val="0"/>
              <w:spacing w:before="0" w:after="0"/>
              <w:ind w:left="0" w:right="0" w:hanging="0"/>
              <w:jc w:val="left"/>
              <w:rPr/>
            </w:pPr>
            <w:r>
              <w:rPr/>
              <w:t>​</w:t>
            </w:r>
          </w:p>
        </w:tc>
        <w:tc>
          <w:tcPr>
            <w:tcW w:w="11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w:t>
            </w:r>
            <w:r>
              <w:rPr>
                <w:rFonts w:ascii="Times New Roman;Times;serif" w:hAnsi="Times New Roman;Times;serif"/>
                <w:b/>
                <w:sz w:val="16"/>
              </w:rPr>
              <w:t>Carrying Value    </w:t>
            </w:r>
          </w:p>
        </w:tc>
        <w:tc>
          <w:tcPr>
            <w:tcW w:w="346" w:type="dxa"/>
            <w:tcBorders/>
            <w:vAlign w:val="center"/>
          </w:tcPr>
          <w:p>
            <w:pPr>
              <w:pStyle w:val="TableContents"/>
              <w:bidi w:val="0"/>
              <w:spacing w:before="0" w:after="0"/>
              <w:ind w:left="0" w:right="0" w:hanging="0"/>
              <w:jc w:val="left"/>
              <w:rPr/>
            </w:pPr>
            <w:r>
              <w:rPr/>
              <w:t>  ​ ​ ​</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 ​ ​ ​ ​</w:t>
            </w:r>
            <w:r>
              <w:rPr>
                <w:rFonts w:ascii="Times New Roman;Times;serif" w:hAnsi="Times New Roman;Times;serif"/>
                <w:b/>
                <w:sz w:val="16"/>
              </w:rPr>
              <w:t>Total         </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46" w:type="dxa"/>
            <w:tcBorders/>
            <w:vAlign w:val="center"/>
          </w:tcPr>
          <w:p>
            <w:pPr>
              <w:pStyle w:val="TableContents"/>
              <w:bidi w:val="0"/>
              <w:spacing w:before="0" w:after="0"/>
              <w:ind w:left="0" w:right="0" w:hanging="0"/>
              <w:jc w:val="left"/>
              <w:rPr/>
            </w:pPr>
            <w:r>
              <w:rPr/>
              <w:t>  ​ ​ ​</w:t>
            </w:r>
          </w:p>
        </w:tc>
        <w:tc>
          <w:tcPr>
            <w:tcW w:w="11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58" w:type="dxa"/>
            <w:tcBorders/>
            <w:vAlign w:val="center"/>
          </w:tcPr>
          <w:p>
            <w:pPr>
              <w:pStyle w:val="TableContents"/>
              <w:bidi w:val="0"/>
              <w:spacing w:before="0" w:after="0"/>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15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w:t>
            </w:r>
          </w:p>
        </w:tc>
        <w:tc>
          <w:tcPr>
            <w:tcW w:w="579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2025</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11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15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w:t>
            </w:r>
          </w:p>
        </w:tc>
        <w:tc>
          <w:tcPr>
            <w:tcW w:w="5795"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 ​ ​ ​ ​ ​ ​ ​ ​ ​ ​ ​ ​ ​</w:t>
            </w:r>
            <w:r>
              <w:rPr>
                <w:rFonts w:ascii="Times New Roman;Times;serif" w:hAnsi="Times New Roman;Times;serif"/>
                <w:b/>
                <w:sz w:val="16"/>
              </w:rPr>
              <w:t>Fair Value Measurements at December 31, 2024        </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4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509" w:name="Tc_ceqozMPXR0Kxr-PE2iSIfA_5_2"/>
      <w:bookmarkStart w:id="2510" w:name="Tc_Zleczdn-9USVM7IlQ5ALCg_5_0"/>
      <w:bookmarkStart w:id="2511" w:name="Tc_HfiDu4E6-kKNLTMkJQiLNg_4_2"/>
      <w:bookmarkStart w:id="2512" w:name="Tc_vsrOf1gE8UmBaoxW7TfgEg_4_0"/>
      <w:bookmarkStart w:id="2513" w:name="Tc_48XSZ_56G0eo0zMxxKrGmQ_3_2"/>
      <w:bookmarkStart w:id="2514" w:name="Tc_Lbbn8ijFQEK_V-7pom4spw_3_0"/>
      <w:bookmarkStart w:id="2515" w:name="Tc_M55OQ89NmUaorgXl4i_FIg_2_2"/>
      <w:bookmarkStart w:id="2516" w:name="Tc_7Km0A1Vhyk6wtubtWJDj-w_2_0"/>
      <w:bookmarkStart w:id="2517" w:name="Tc_DX4BMUfRkkmQELeR-G5qbw_1_2"/>
      <w:bookmarkStart w:id="2518" w:name="Tc_sbOCIgpuckKLqhMAZE6Lqw_1_0"/>
      <w:bookmarkStart w:id="2519" w:name="_45bda769_66fd_4c2a_943f_249a25e95a9a"/>
      <w:bookmarkStart w:id="2520" w:name="a17COMMITMENTSANDCONTINGENCIES_716468"/>
      <w:bookmarkStart w:id="2521" w:name="Tc_ceqozMPXR0Kxr-PE2iSIfA_5_2"/>
      <w:bookmarkStart w:id="2522" w:name="Tc_Zleczdn-9USVM7IlQ5ALCg_5_0"/>
      <w:bookmarkStart w:id="2523" w:name="Tc_HfiDu4E6-kKNLTMkJQiLNg_4_2"/>
      <w:bookmarkStart w:id="2524" w:name="Tc_vsrOf1gE8UmBaoxW7TfgEg_4_0"/>
      <w:bookmarkStart w:id="2525" w:name="Tc_48XSZ_56G0eo0zMxxKrGmQ_3_2"/>
      <w:bookmarkStart w:id="2526" w:name="Tc_Lbbn8ijFQEK_V-7pom4spw_3_0"/>
      <w:bookmarkStart w:id="2527" w:name="Tc_M55OQ89NmUaorgXl4i_FIg_2_2"/>
      <w:bookmarkStart w:id="2528" w:name="Tc_7Km0A1Vhyk6wtubtWJDj-w_2_0"/>
      <w:bookmarkStart w:id="2529" w:name="Tc_DX4BMUfRkkmQELeR-G5qbw_1_2"/>
      <w:bookmarkStart w:id="2530" w:name="Tc_sbOCIgpuckKLqhMAZE6Lqw_1_0"/>
      <w:bookmarkStart w:id="2531" w:name="_45bda769_66fd_4c2a_943f_249a25e95a9a"/>
      <w:bookmarkStart w:id="2532" w:name="a17COMMITMENTSANDCONTINGENCIES_716468"/>
      <w:bookmarkEnd w:id="2521"/>
      <w:bookmarkEnd w:id="2522"/>
      <w:bookmarkEnd w:id="2523"/>
      <w:bookmarkEnd w:id="2524"/>
      <w:bookmarkEnd w:id="2525"/>
      <w:bookmarkEnd w:id="2526"/>
      <w:bookmarkEnd w:id="2527"/>
      <w:bookmarkEnd w:id="2528"/>
      <w:bookmarkEnd w:id="2529"/>
      <w:bookmarkEnd w:id="2530"/>
      <w:bookmarkEnd w:id="2531"/>
      <w:bookmarkEnd w:id="2532"/>
    </w:p>
    <w:tbl>
      <w:tblPr>
        <w:tblW w:w="4202" w:type="dxa"/>
        <w:jc w:val="left"/>
        <w:tblInd w:w="0" w:type="dxa"/>
        <w:tblLayout w:type="fixed"/>
        <w:tblCellMar>
          <w:top w:w="0" w:type="dxa"/>
          <w:left w:w="0" w:type="dxa"/>
          <w:bottom w:w="0" w:type="dxa"/>
          <w:right w:w="0" w:type="dxa"/>
        </w:tblCellMar>
      </w:tblPr>
      <w:tblGrid>
        <w:gridCol w:w="376"/>
        <w:gridCol w:w="3826"/>
      </w:tblGrid>
      <w:tr>
        <w:trPr/>
        <w:tc>
          <w:tcPr>
            <w:tcW w:w="3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17.</w:t>
            </w:r>
          </w:p>
        </w:tc>
        <w:tc>
          <w:tcPr>
            <w:tcW w:w="38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Commitments:</w:t>
      </w:r>
      <w:r>
        <w:rPr>
          <w:rFonts w:ascii="Times New Roman;Times;serif" w:hAnsi="Times New Roman;Times;serif"/>
          <w:sz w:val="20"/>
        </w:rPr>
        <w:t xml:space="preserve"> Commitments and contractual obligations, excluding debt obligations (see Note 8), lease commitments (see Note 9), pension and post-retirement plan obligations (see Note 11), and multi-employer withdrawal liabilities (see Note 12), are as follows as of December 31, 2025:</w:t>
      </w:r>
    </w:p>
    <w:p>
      <w:pPr>
        <w:pStyle w:val="TextBody"/>
        <w:bidi w:val="0"/>
        <w:spacing w:before="0" w:after="0"/>
        <w:ind w:left="0" w:right="0" w:hanging="0"/>
        <w:jc w:val="left"/>
        <w:rPr/>
      </w:pPr>
      <w:r>
        <w:rPr/>
        <w:t>​</w:t>
      </w:r>
    </w:p>
    <w:tbl>
      <w:tblPr>
        <w:tblW w:w="5475" w:type="dxa"/>
        <w:jc w:val="left"/>
        <w:tblInd w:w="0" w:type="dxa"/>
        <w:tblLayout w:type="fixed"/>
        <w:tblCellMar>
          <w:top w:w="0" w:type="dxa"/>
          <w:left w:w="0" w:type="dxa"/>
          <w:bottom w:w="0" w:type="dxa"/>
          <w:right w:w="0" w:type="dxa"/>
        </w:tblCellMar>
      </w:tblPr>
      <w:tblGrid>
        <w:gridCol w:w="4156"/>
        <w:gridCol w:w="346"/>
        <w:gridCol w:w="211"/>
        <w:gridCol w:w="571"/>
        <w:gridCol w:w="191"/>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2639060" cy="175260"/>
                      <wp:effectExtent l="0" t="0" r="0" b="0"/>
                      <wp:wrapNone/>
                      <wp:docPr id="861" name="Frame858"/>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219710" cy="175260"/>
                      <wp:effectExtent l="0" t="0" r="0" b="0"/>
                      <wp:wrapNone/>
                      <wp:docPr id="862" name="Frame8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133985" cy="175260"/>
                      <wp:effectExtent l="0" t="0" r="0" b="0"/>
                      <wp:wrapNone/>
                      <wp:docPr id="863" name="Frame8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362585" cy="175260"/>
                      <wp:effectExtent l="0" t="0" r="0" b="0"/>
                      <wp:wrapNone/>
                      <wp:docPr id="864" name="Frame8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121285" cy="175260"/>
                      <wp:effectExtent l="0" t="0" r="0" b="0"/>
                      <wp:wrapNone/>
                      <wp:docPr id="865" name="Frame86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Commitments and Contractual Obligations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Standby letters of credit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Bonds (2)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1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construction obligations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Vendor and other obligations (4)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191" w:type="dxa"/>
            <w:tcBorders/>
            <w:vAlign w:val="center"/>
          </w:tcPr>
          <w:p>
            <w:pPr>
              <w:pStyle w:val="TableContents"/>
              <w:bidi w:val="0"/>
              <w:spacing w:before="0" w:after="0"/>
              <w:ind w:left="0" w:right="0" w:hanging="0"/>
              <w:jc w:val="left"/>
              <w:rPr/>
            </w:pPr>
            <w:r>
              <w:rPr/>
              <w:t>​</w:t>
            </w:r>
          </w:p>
        </w:tc>
      </w:tr>
    </w:tbl>
    <w:tbl>
      <w:tblPr>
        <w:tblW w:w="10112" w:type="dxa"/>
        <w:jc w:val="left"/>
        <w:tblInd w:w="0" w:type="dxa"/>
        <w:tblLayout w:type="fixed"/>
        <w:tblCellMar>
          <w:top w:w="0" w:type="dxa"/>
          <w:left w:w="0" w:type="dxa"/>
          <w:bottom w:w="0" w:type="dxa"/>
          <w:right w:w="0" w:type="dxa"/>
        </w:tblCellMar>
      </w:tblPr>
      <w:tblGrid>
        <w:gridCol w:w="331"/>
        <w:gridCol w:w="978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Standby letters of credit are required for the Company’s uninsured workers’ compensation and other insurance programs, and other needs.</w:t>
            </w:r>
          </w:p>
        </w:tc>
      </w:tr>
    </w:tbl>
    <w:tbl>
      <w:tblPr>
        <w:tblW w:w="8792" w:type="dxa"/>
        <w:jc w:val="left"/>
        <w:tblInd w:w="0" w:type="dxa"/>
        <w:tblLayout w:type="fixed"/>
        <w:tblCellMar>
          <w:top w:w="0" w:type="dxa"/>
          <w:left w:w="0" w:type="dxa"/>
          <w:bottom w:w="0" w:type="dxa"/>
          <w:right w:w="0" w:type="dxa"/>
        </w:tblCellMar>
      </w:tblPr>
      <w:tblGrid>
        <w:gridCol w:w="331"/>
        <w:gridCol w:w="84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8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Bonds represent U.S. Customs bonds, contract guarantee related performance bonds, and bonds related to other matters.</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Vessel construction obligations represent remaining contractual obligations (excluding owner’s items and change orders) entered into for the construction of three</w:t>
            </w:r>
            <w:r>
              <w:rPr>
                <w:caps w:val="false"/>
                <w:smallCaps w:val="false"/>
              </w:rPr>
              <w:t xml:space="preserve"> </w:t>
            </w:r>
            <w:r>
              <w:rPr>
                <w:rFonts w:ascii="Times New Roman;Times;serif" w:hAnsi="Times New Roman;Times;serif"/>
                <w:b w:val="false"/>
                <w:i w:val="false"/>
                <w:caps w:val="false"/>
                <w:smallCaps w:val="false"/>
                <w:sz w:val="16"/>
              </w:rPr>
              <w:t>new Jones Act vessels.</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Vendor and other obligations include: (i) non-cancellable contractual capital project obligations; (ii) dry-docking related obligations; and (iii) other contractual obligations. Amounts are considered obligations if a contract has been agreed to specifying significant terms of the contract, and the amounts are not reflected in the Consolidated Balance Sheets as of December 31, 2025.</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amounts are not recorded on the Company’s Consolidated Balance Sheet as of December 31, 2025 and it is not expected that the Company or its subsidiaries will be called upon to advance funds under these commitments and contractual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Contingencies:</w:t>
      </w:r>
      <w:r>
        <w:rPr>
          <w:rFonts w:ascii="Times New Roman;Times;serif" w:hAnsi="Times New Roman;Times;serif"/>
          <w:sz w:val="20"/>
        </w:rPr>
        <w:t xml:space="preserve"> Contingencies and other litigation related matters are described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Environmental Matters:</w:t>
            </w:r>
            <w:r>
              <w:rPr>
                <w:caps w:val="false"/>
                <w:smallCaps w:val="false"/>
              </w:rPr>
              <w:t xml:space="preserve"> </w:t>
            </w:r>
            <w:r>
              <w:rPr>
                <w:rFonts w:ascii="Times New Roman;Times;serif" w:hAnsi="Times New Roman;Times;serif"/>
                <w:b w:val="false"/>
                <w:i w:val="false"/>
                <w:caps w:val="false"/>
                <w:smallCaps w:val="false"/>
                <w:sz w:val="20"/>
              </w:rPr>
              <w:t>The Company faces certain risks that could result in material expenditures related to environmental remediation. The Company believes, that based on all information currently available to it, the Company is currently in compliance, in all material respects, with applicable environmental laws and regulations.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Other Matters:</w:t>
            </w:r>
            <w:r>
              <w:rPr>
                <w:caps w:val="false"/>
                <w:smallCaps w:val="false"/>
              </w:rPr>
              <w:t xml:space="preserve"> </w:t>
            </w:r>
            <w:r>
              <w:rPr>
                <w:rFonts w:ascii="Times New Roman;Times;serif" w:hAnsi="Times New Roman;Times;serif"/>
                <w:b w:val="false"/>
                <w:i w:val="false"/>
                <w:caps w:val="false"/>
                <w:smallCaps w:val="false"/>
                <w:sz w:val="20"/>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33" w:name="CHANGESINANDDISAGREEMENTSWITH_709385"/>
      <w:bookmarkStart w:id="2534" w:name="ITEM9_624748"/>
      <w:bookmarkStart w:id="2535" w:name="_dd77aa04_b464_4bcc_8443_7b31808da5b9"/>
      <w:bookmarkEnd w:id="2533"/>
      <w:bookmarkEnd w:id="2534"/>
      <w:bookmarkEnd w:id="2535"/>
      <w:r>
        <w:rPr>
          <w:rFonts w:ascii="Times New Roman;Times;serif" w:hAnsi="Times New Roman;Times;serif"/>
          <w:b/>
          <w:sz w:val="20"/>
        </w:rPr>
        <w:t>ITEM 9. CHANGES IN AND DISAGREEMENTS WITH ACCOUNTANTS ON ACCOUNTING AND FINANCIAL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36" w:name="CONTROLSANDPROCEDURES_22095"/>
      <w:bookmarkStart w:id="2537" w:name="ITEM9A_17759"/>
      <w:bookmarkStart w:id="2538" w:name="_4a0cc472_5e7d_4e1a_8ac5_a01bec2a6b8d"/>
      <w:bookmarkEnd w:id="2536"/>
      <w:bookmarkEnd w:id="2537"/>
      <w:bookmarkEnd w:id="2538"/>
      <w:r>
        <w:rPr>
          <w:rFonts w:ascii="Times New Roman;Times;serif" w:hAnsi="Times New Roman;Times;serif"/>
          <w:b/>
          <w:sz w:val="20"/>
        </w:rPr>
        <w:t>ITEM 9A.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39" w:name="ConclusionRegardingEffectivenessofDisclo"/>
      <w:bookmarkEnd w:id="2539"/>
      <w:r>
        <w:rPr>
          <w:rFonts w:ascii="Times New Roman;Times;serif" w:hAnsi="Times New Roman;Times;serif"/>
          <w:b/>
          <w:sz w:val="20"/>
        </w:rPr>
        <w:t>Conclusion Regarding Effectiveness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were effective.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40" w:name="InternalControloverFinancialReporting_40"/>
      <w:bookmarkEnd w:id="2540"/>
      <w:r>
        <w:rPr>
          <w:rFonts w:ascii="Times New Roman;Times;serif" w:hAnsi="Times New Roman;Times;serif"/>
          <w:b/>
          <w:sz w:val="20"/>
        </w:rPr>
        <w:t>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page 42 for management’s annual report on internal control over financial reporting, which is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page 43 for the attestation report of the independent registered public accounting firm on the Company’s internal control over financial reporting, which is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have not been any changes in the Company’s internal control over financial reporting (as such term is defined in Rules 13a-15(f) and 15d-15(f) under the Exchange Act) during the Company’s fiscal fourth quarter ended December 31, 2025,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41" w:name="OTHERINFORMATION_885089"/>
      <w:bookmarkStart w:id="2542" w:name="ITEM9B_691225"/>
      <w:bookmarkStart w:id="2543" w:name="_4352a0b3_4326_4642_9533_3f82fc3b18fa"/>
      <w:bookmarkEnd w:id="2541"/>
      <w:bookmarkEnd w:id="2542"/>
      <w:bookmarkEnd w:id="2543"/>
      <w:r>
        <w:rPr>
          <w:rFonts w:ascii="Times New Roman;Times;serif" w:hAnsi="Times New Roman;Times;serif"/>
          <w:b/>
          <w:sz w:val="20"/>
        </w:rPr>
        <w:t>ITEM 9B.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Trading Plans</w:t>
      </w:r>
      <w:r>
        <w:rPr>
          <w:rFonts w:ascii="Times New Roman;Times;serif" w:hAnsi="Times New Roman;Times;serif"/>
          <w:sz w:val="20"/>
        </w:rPr>
        <w:t>: During the quarter ended December 31, 2025, no director or Section 16 officer adopted or terminated any Rule 10b5-1 trading arrangements or non-Rule 10b5-1 trading arrangements (as defined in Item 408(a) of Regulation S-K).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44" w:name="ITEM9CDISCLOSUREREGARDINGFOREIGNJURISDIC"/>
      <w:bookmarkStart w:id="2545" w:name="_b9666eaf_4df8_40ec_ac80_114e743552c1"/>
      <w:bookmarkEnd w:id="2544"/>
      <w:bookmarkEnd w:id="2545"/>
      <w:r>
        <w:rPr>
          <w:rFonts w:ascii="Times New Roman;Times;serif" w:hAnsi="Times New Roman;Times;serif"/>
          <w:b/>
          <w:sz w:val="20"/>
        </w:rPr>
        <w:t>ITEM 9C. DISCLOSURE REGARDING FOREIGN JURISDICTIONS THAT PREVENT INSPECTIONS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546" w:name="PARTIII_728073"/>
      <w:bookmarkStart w:id="2547" w:name="_b9b1a352_5b4c_4095_871f_1f317458d679"/>
      <w:bookmarkEnd w:id="2546"/>
      <w:bookmarkEnd w:id="2547"/>
      <w:r>
        <w:rPr>
          <w:rFonts w:ascii="Times New Roman;Times;serif" w:hAnsi="Times New Roman;Times;serif"/>
          <w:b/>
          <w:sz w:val="20"/>
        </w:rPr>
        <w:t>PART III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48" w:name="DIRECTORSEXECUTIVEOFFICERSANDCORPORATEGO"/>
      <w:bookmarkStart w:id="2549" w:name="ITEM10_866725"/>
      <w:bookmarkEnd w:id="2548"/>
      <w:bookmarkEnd w:id="2549"/>
      <w:r>
        <w:rPr>
          <w:rFonts w:ascii="Times New Roman;Times;serif" w:hAnsi="Times New Roman;Times;serif"/>
          <w:b/>
          <w:sz w:val="20"/>
        </w:rPr>
        <w:t>ITEM 10. DIRECTORS, EXECUTIVE OFFICERS AND CORPORATE GOVERNANCE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50" w:name="Directors_614497"/>
      <w:bookmarkStart w:id="2551" w:name="Directors_614497"/>
      <w:bookmarkEnd w:id="2551"/>
    </w:p>
    <w:tbl>
      <w:tblPr>
        <w:tblW w:w="1356" w:type="dxa"/>
        <w:jc w:val="left"/>
        <w:tblInd w:w="0" w:type="dxa"/>
        <w:tblLayout w:type="fixed"/>
        <w:tblCellMar>
          <w:top w:w="0" w:type="dxa"/>
          <w:left w:w="0" w:type="dxa"/>
          <w:bottom w:w="0" w:type="dxa"/>
          <w:right w:w="0" w:type="dxa"/>
        </w:tblCellMar>
      </w:tblPr>
      <w:tblGrid>
        <w:gridCol w:w="124"/>
        <w:gridCol w:w="286"/>
        <w:gridCol w:w="94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w:t>
            </w:r>
          </w:p>
        </w:tc>
        <w:tc>
          <w:tcPr>
            <w:tcW w:w="9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Directors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about the directors of Matson required under this item will be included under the section captioned “Election of Directors” in Matson’s Proxy Statement for the 2026 Annual Meeting of Shareholders to be filed with the SEC within 120 days of the fiscal year ended December 31, 2025 (“Matson’s 2026 Proxy Statement”), which section is incorporated herein by reference.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52" w:name="InformationAboutOurExecutiveOfficers_817"/>
      <w:bookmarkStart w:id="2553" w:name="InformationAboutOurExecutiveOfficers_817"/>
      <w:bookmarkEnd w:id="2553"/>
    </w:p>
    <w:tbl>
      <w:tblPr>
        <w:tblW w:w="4146" w:type="dxa"/>
        <w:jc w:val="left"/>
        <w:tblInd w:w="0" w:type="dxa"/>
        <w:tblLayout w:type="fixed"/>
        <w:tblCellMar>
          <w:top w:w="0" w:type="dxa"/>
          <w:left w:w="0" w:type="dxa"/>
          <w:bottom w:w="0" w:type="dxa"/>
          <w:right w:w="0" w:type="dxa"/>
        </w:tblCellMar>
      </w:tblPr>
      <w:tblGrid>
        <w:gridCol w:w="124"/>
        <w:gridCol w:w="28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w:t>
            </w:r>
          </w:p>
        </w:tc>
        <w:tc>
          <w:tcPr>
            <w:tcW w:w="373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Information About Our Executive Officers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about the executive officers of Matson required under this item will be included under the subsection captioned “Executive Officers” in Matson’s 2026 Proxy Statement, which subsection is incorporated herein by reference.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54" w:name="CorporateGovernance_928646"/>
      <w:bookmarkStart w:id="2555" w:name="CorporateGovernance_928646"/>
      <w:bookmarkEnd w:id="2555"/>
    </w:p>
    <w:tbl>
      <w:tblPr>
        <w:tblW w:w="2526" w:type="dxa"/>
        <w:jc w:val="left"/>
        <w:tblInd w:w="0" w:type="dxa"/>
        <w:tblLayout w:type="fixed"/>
        <w:tblCellMar>
          <w:top w:w="0" w:type="dxa"/>
          <w:left w:w="0" w:type="dxa"/>
          <w:bottom w:w="0" w:type="dxa"/>
          <w:right w:w="0" w:type="dxa"/>
        </w:tblCellMar>
      </w:tblPr>
      <w:tblGrid>
        <w:gridCol w:w="124"/>
        <w:gridCol w:w="28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w:t>
            </w:r>
          </w:p>
        </w:tc>
        <w:tc>
          <w:tcPr>
            <w:tcW w:w="211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Corporate Governance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about the Audit Committee of the Matson Board of Directors and compliance with Section 16(a) of the Exchange Act, will be included under the subsections captioned “Board of Directors and Committees of the Board” and, if applicable, “Delinquent Section 16(a) Reports” in Matson’s 2026 Proxy Statement, which subsections are incorporated herein by reference.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56" w:name="CodeofEthics_238242"/>
      <w:bookmarkStart w:id="2557" w:name="CodeofEthics_238242"/>
      <w:bookmarkEnd w:id="2557"/>
    </w:p>
    <w:tbl>
      <w:tblPr>
        <w:tblW w:w="1776" w:type="dxa"/>
        <w:jc w:val="left"/>
        <w:tblInd w:w="0" w:type="dxa"/>
        <w:tblLayout w:type="fixed"/>
        <w:tblCellMar>
          <w:top w:w="0" w:type="dxa"/>
          <w:left w:w="0" w:type="dxa"/>
          <w:bottom w:w="0" w:type="dxa"/>
          <w:right w:w="0" w:type="dxa"/>
        </w:tblCellMar>
      </w:tblPr>
      <w:tblGrid>
        <w:gridCol w:w="124"/>
        <w:gridCol w:w="28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w:t>
            </w:r>
          </w:p>
        </w:tc>
        <w:tc>
          <w:tcPr>
            <w:tcW w:w="136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Code of Ethics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about Matson’s Code of Ethics required under this item will be included under the subsection captioned “Code of Ethics” in Matson’s 2026 Proxy Statement, which subsection is incorporated herein by reference.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58" w:name="EInsiderTradingPolicy_989193"/>
      <w:bookmarkStart w:id="2559" w:name="EInsiderTradingPolicy_989193"/>
      <w:bookmarkEnd w:id="2559"/>
    </w:p>
    <w:tbl>
      <w:tblPr>
        <w:tblW w:w="2496" w:type="dxa"/>
        <w:jc w:val="left"/>
        <w:tblInd w:w="0" w:type="dxa"/>
        <w:tblLayout w:type="fixed"/>
        <w:tblCellMar>
          <w:top w:w="0" w:type="dxa"/>
          <w:left w:w="0" w:type="dxa"/>
          <w:bottom w:w="0" w:type="dxa"/>
          <w:right w:w="0" w:type="dxa"/>
        </w:tblCellMar>
      </w:tblPr>
      <w:tblGrid>
        <w:gridCol w:w="124"/>
        <w:gridCol w:w="28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w:t>
            </w:r>
          </w:p>
        </w:tc>
        <w:tc>
          <w:tcPr>
            <w:tcW w:w="208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Insider Trading Policy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about Matson’s Insider Trading Policy required under this item will be included under the subsection captioned “Insider Trading Policy” in Matson’s 2026 Proxy Statement, which subsection is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560" w:name="EXECUTIVECOMPENSATION_873772"/>
      <w:bookmarkStart w:id="2561" w:name="ITEM11_516683"/>
      <w:bookmarkStart w:id="2562" w:name="_a6db207a_e6b4_4d23_a45f_54abefb6d5ef"/>
      <w:bookmarkEnd w:id="2560"/>
      <w:bookmarkEnd w:id="2561"/>
      <w:bookmarkEnd w:id="2562"/>
      <w:r>
        <w:rPr>
          <w:rFonts w:ascii="Times New Roman;Times;serif" w:hAnsi="Times New Roman;Times;serif"/>
          <w:b/>
          <w:sz w:val="20"/>
        </w:rPr>
        <w:t>ITEM 11. EXECUTIVE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under this item will be included under the section captioned “Executive Compensation” and the subsections captioned “Compensation of Directors” and “Pay Risk Assessment” in Matson’s 2026 Proxy Statement, which section and subsections are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563" w:name="SECURITYOWNERSHIPOFCERTAINBENEFICIALOWNE"/>
      <w:bookmarkStart w:id="2564" w:name="ITEM12_862382"/>
      <w:bookmarkStart w:id="2565" w:name="_dbe5f9f8_3447_4226_b551_8540b7c8c889"/>
      <w:bookmarkEnd w:id="2563"/>
      <w:bookmarkEnd w:id="2564"/>
      <w:bookmarkEnd w:id="2565"/>
      <w:r>
        <w:rPr>
          <w:rFonts w:ascii="Times New Roman;Times;serif" w:hAnsi="Times New Roman;Times;serif"/>
          <w:b/>
          <w:sz w:val="20"/>
        </w:rPr>
        <w:t>ITEM 12. SECURITY OWNERSHIP OF CERTAIN BENEFICIAL OWNERS AND MANAGEMENT</w:t>
      </w:r>
      <w:r>
        <w:rPr>
          <w:rFonts w:ascii="Times New Roman;Times;serif" w:hAnsi="Times New Roman;Times;serif"/>
          <w:sz w:val="20"/>
        </w:rPr>
        <w:t xml:space="preserve"> </w:t>
      </w:r>
      <w:r>
        <w:rPr>
          <w:rFonts w:ascii="Times New Roman;Times;serif" w:hAnsi="Times New Roman;Times;serif"/>
          <w:b/>
          <w:sz w:val="20"/>
        </w:rPr>
        <w:t>AND RELATED STOCKHOLDER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Equity Compensation Plan Information:</w:t>
      </w:r>
      <w:r>
        <w:rPr>
          <w:rFonts w:ascii="Times New Roman;Times;serif" w:hAnsi="Times New Roman;Times;serif"/>
          <w:sz w:val="20"/>
        </w:rPr>
        <w:t xml:space="preserve"> The following table sets forth, as of December 31, 2025, certain information regarding Matson’s equity compensation plan:</w:t>
      </w:r>
    </w:p>
    <w:tbl>
      <w:tblPr>
        <w:tblW w:w="10205" w:type="dxa"/>
        <w:jc w:val="left"/>
        <w:tblInd w:w="0" w:type="dxa"/>
        <w:tblLayout w:type="fixed"/>
        <w:tblCellMar>
          <w:top w:w="0" w:type="dxa"/>
          <w:left w:w="0" w:type="dxa"/>
          <w:bottom w:w="0" w:type="dxa"/>
          <w:right w:w="0" w:type="dxa"/>
        </w:tblCellMar>
      </w:tblPr>
      <w:tblGrid>
        <w:gridCol w:w="4171"/>
        <w:gridCol w:w="226"/>
        <w:gridCol w:w="1271"/>
        <w:gridCol w:w="301"/>
        <w:gridCol w:w="146"/>
        <w:gridCol w:w="196"/>
        <w:gridCol w:w="1509"/>
        <w:gridCol w:w="301"/>
        <w:gridCol w:w="146"/>
        <w:gridCol w:w="1459"/>
        <w:gridCol w:w="286"/>
        <w:gridCol w:w="193"/>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2648585" cy="175260"/>
                      <wp:effectExtent l="0" t="0" r="0" b="0"/>
                      <wp:wrapNone/>
                      <wp:docPr id="866" name="Frame863"/>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143510" cy="175260"/>
                      <wp:effectExtent l="0" t="0" r="0" b="0"/>
                      <wp:wrapNone/>
                      <wp:docPr id="867" name="Frame8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807085" cy="175260"/>
                      <wp:effectExtent l="0" t="0" r="0" b="0"/>
                      <wp:wrapNone/>
                      <wp:docPr id="868" name="Frame865"/>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191135" cy="175260"/>
                      <wp:effectExtent l="0" t="0" r="0" b="0"/>
                      <wp:wrapNone/>
                      <wp:docPr id="869" name="Frame86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92710" cy="175260"/>
                      <wp:effectExtent l="0" t="0" r="0" b="0"/>
                      <wp:wrapNone/>
                      <wp:docPr id="870" name="Frame8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124460" cy="175260"/>
                      <wp:effectExtent l="0" t="0" r="0" b="0"/>
                      <wp:wrapNone/>
                      <wp:docPr id="871" name="Frame8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958215" cy="175260"/>
                      <wp:effectExtent l="0" t="0" r="0" b="0"/>
                      <wp:wrapNone/>
                      <wp:docPr id="872" name="Frame869"/>
                      <a:graphic xmlns:a="http://schemas.openxmlformats.org/drawingml/2006/main">
                        <a:graphicData uri="http://schemas.microsoft.com/office/word/2010/wordprocessingShape">
                          <wps:wsp>
                            <wps:cNvSpPr txBox="1"/>
                            <wps:spPr>
                              <a:xfrm>
                                <a:off x="0" y="0"/>
                                <a:ext cx="958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191135" cy="175260"/>
                      <wp:effectExtent l="0" t="0" r="0" b="0"/>
                      <wp:wrapNone/>
                      <wp:docPr id="873" name="Frame87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92710" cy="175260"/>
                      <wp:effectExtent l="0" t="0" r="0" b="0"/>
                      <wp:wrapNone/>
                      <wp:docPr id="874" name="Frame8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926465" cy="175260"/>
                      <wp:effectExtent l="0" t="0" r="0" b="0"/>
                      <wp:wrapNone/>
                      <wp:docPr id="875" name="Frame872"/>
                      <a:graphic xmlns:a="http://schemas.openxmlformats.org/drawingml/2006/main">
                        <a:graphicData uri="http://schemas.microsoft.com/office/word/2010/wordprocessingShape">
                          <wps:wsp>
                            <wps:cNvSpPr txBox="1"/>
                            <wps:spPr>
                              <a:xfrm>
                                <a:off x="0" y="0"/>
                                <a:ext cx="926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181610" cy="175260"/>
                      <wp:effectExtent l="0" t="0" r="0" b="0"/>
                      <wp:wrapNone/>
                      <wp:docPr id="876" name="Frame87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122555" cy="175260"/>
                      <wp:effectExtent l="0" t="0" r="0" b="0"/>
                      <wp:wrapNone/>
                      <wp:docPr id="877" name="Frame874"/>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7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509"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28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4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2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01" w:type="dxa"/>
            <w:tcBorders/>
            <w:vAlign w:val="center"/>
          </w:tcPr>
          <w:p>
            <w:pPr>
              <w:pStyle w:val="TableContents"/>
              <w:bidi w:val="0"/>
              <w:spacing w:before="0" w:after="0"/>
              <w:ind w:left="0" w:right="0" w:hanging="0"/>
              <w:jc w:val="center"/>
              <w:rPr/>
            </w:pPr>
            <w:r>
              <w:rPr/>
              <w:t>  ​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w:t>
            </w:r>
          </w:p>
        </w:tc>
        <w:tc>
          <w:tcPr>
            <w:tcW w:w="1509"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  ​ ​</w:t>
            </w:r>
          </w:p>
        </w:tc>
        <w:tc>
          <w:tcPr>
            <w:tcW w:w="146" w:type="dxa"/>
            <w:tcBorders/>
            <w:vAlign w:val="center"/>
          </w:tcPr>
          <w:p>
            <w:pPr>
              <w:pStyle w:val="TableContents"/>
              <w:bidi w:val="0"/>
              <w:spacing w:before="0" w:after="0"/>
              <w:ind w:left="0" w:right="0" w:hanging="0"/>
              <w:jc w:val="center"/>
              <w:rPr/>
            </w:pPr>
            <w:r>
              <w:rPr/>
              <w:t> </w:t>
            </w:r>
          </w:p>
        </w:tc>
        <w:tc>
          <w:tcPr>
            <w:tcW w:w="14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available for</w:t>
            </w:r>
          </w:p>
        </w:tc>
        <w:tc>
          <w:tcPr>
            <w:tcW w:w="28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be issued</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w:t>
            </w:r>
          </w:p>
        </w:tc>
        <w:tc>
          <w:tcPr>
            <w:tcW w:w="15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4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issuance under</w:t>
            </w:r>
          </w:p>
        </w:tc>
        <w:tc>
          <w:tcPr>
            <w:tcW w:w="28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upon exercise of</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w:t>
            </w:r>
          </w:p>
        </w:tc>
        <w:tc>
          <w:tcPr>
            <w:tcW w:w="15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4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equity compensation </w:t>
            </w:r>
          </w:p>
        </w:tc>
        <w:tc>
          <w:tcPr>
            <w:tcW w:w="28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w:t>
            </w:r>
          </w:p>
        </w:tc>
        <w:tc>
          <w:tcPr>
            <w:tcW w:w="15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4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plans (excluding shares </w:t>
            </w:r>
          </w:p>
        </w:tc>
        <w:tc>
          <w:tcPr>
            <w:tcW w:w="28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 </w:t>
            </w:r>
          </w:p>
        </w:tc>
      </w:tr>
      <w:tr>
        <w:trPr/>
        <w:tc>
          <w:tcPr>
            <w:tcW w:w="4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226" w:type="dxa"/>
            <w:tcBorders/>
            <w:vAlign w:val="center"/>
          </w:tcPr>
          <w:p>
            <w:pPr>
              <w:pStyle w:val="TableContents"/>
              <w:bidi w:val="0"/>
              <w:spacing w:before="0" w:after="0"/>
              <w:ind w:left="0" w:right="0" w:hanging="0"/>
              <w:jc w:val="left"/>
              <w:rPr/>
            </w:pPr>
            <w:r>
              <w:rPr/>
              <w:t>​</w:t>
            </w:r>
          </w:p>
        </w:tc>
        <w:tc>
          <w:tcPr>
            <w:tcW w:w="1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4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reflected in column (a))</w:t>
            </w:r>
          </w:p>
        </w:tc>
        <w:tc>
          <w:tcPr>
            <w:tcW w:w="28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 </w:t>
            </w:r>
          </w:p>
        </w:tc>
      </w:tr>
      <w:tr>
        <w:trPr/>
        <w:tc>
          <w:tcPr>
            <w:tcW w:w="41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27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w:t>
            </w:r>
          </w:p>
        </w:tc>
        <w:tc>
          <w:tcPr>
            <w:tcW w:w="3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509"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w:t>
            </w:r>
          </w:p>
        </w:tc>
        <w:tc>
          <w:tcPr>
            <w:tcW w:w="3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459"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w:t>
            </w:r>
          </w:p>
        </w:tc>
        <w:tc>
          <w:tcPr>
            <w:tcW w:w="28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compensation plans approved by shareholders</w:t>
            </w:r>
          </w:p>
        </w:tc>
        <w:tc>
          <w:tcPr>
            <w:tcW w:w="226" w:type="dxa"/>
            <w:tcBorders/>
            <w:vAlign w:val="center"/>
          </w:tcPr>
          <w:p>
            <w:pPr>
              <w:pStyle w:val="TableContents"/>
              <w:bidi w:val="0"/>
              <w:spacing w:before="0" w:after="0"/>
              <w:ind w:left="0" w:right="0" w:hanging="0"/>
              <w:jc w:val="left"/>
              <w:rPr/>
            </w:pPr>
            <w:r>
              <w:rPr/>
              <w:t>​</w:t>
            </w:r>
          </w:p>
        </w:tc>
        <w:tc>
          <w:tcPr>
            <w:tcW w:w="12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404,250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09"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w:t>
            </w:r>
          </w:p>
        </w:tc>
        <w:tc>
          <w:tcPr>
            <w:tcW w:w="146" w:type="dxa"/>
            <w:tcBorders/>
            <w:vAlign w:val="center"/>
          </w:tcPr>
          <w:p>
            <w:pPr>
              <w:pStyle w:val="TableContents"/>
              <w:bidi w:val="0"/>
              <w:spacing w:before="0" w:after="0"/>
              <w:ind w:left="0" w:right="0" w:hanging="0"/>
              <w:jc w:val="left"/>
              <w:rPr/>
            </w:pPr>
            <w:r>
              <w:rPr/>
              <w:t>​</w:t>
            </w:r>
          </w:p>
        </w:tc>
        <w:tc>
          <w:tcPr>
            <w:tcW w:w="14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1,198,259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w:t>
            </w:r>
          </w:p>
        </w:tc>
        <w:tc>
          <w:tcPr>
            <w:tcW w:w="193" w:type="dxa"/>
            <w:tcBorders/>
            <w:vAlign w:val="center"/>
          </w:tcPr>
          <w:p>
            <w:pPr>
              <w:pStyle w:val="TableContents"/>
              <w:bidi w:val="0"/>
              <w:spacing w:before="0" w:after="0"/>
              <w:ind w:left="0" w:right="0" w:hanging="0"/>
              <w:jc w:val="lef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compensation plans not approved by shareholders</w:t>
            </w:r>
          </w:p>
        </w:tc>
        <w:tc>
          <w:tcPr>
            <w:tcW w:w="226" w:type="dxa"/>
            <w:tcBorders/>
            <w:shd w:fill="CCEEFF" w:val="clear"/>
            <w:vAlign w:val="center"/>
          </w:tcPr>
          <w:p>
            <w:pPr>
              <w:pStyle w:val="TableContents"/>
              <w:bidi w:val="0"/>
              <w:spacing w:before="0" w:after="0"/>
              <w:ind w:left="0" w:right="0" w:hanging="0"/>
              <w:jc w:val="left"/>
              <w:rPr/>
            </w:pPr>
            <w:r>
              <w:rPr/>
              <w:t>​</w:t>
            </w:r>
          </w:p>
        </w:tc>
        <w:tc>
          <w:tcPr>
            <w:tcW w:w="1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14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226" w:type="dxa"/>
            <w:tcBorders/>
            <w:vAlign w:val="center"/>
          </w:tcPr>
          <w:p>
            <w:pPr>
              <w:pStyle w:val="TableContents"/>
              <w:bidi w:val="0"/>
              <w:spacing w:before="0" w:after="0"/>
              <w:ind w:left="0" w:right="0" w:hanging="0"/>
              <w:jc w:val="left"/>
              <w:rPr/>
            </w:pPr>
            <w:r>
              <w:rPr/>
              <w:t>​</w:t>
            </w:r>
          </w:p>
        </w:tc>
        <w:tc>
          <w:tcPr>
            <w:tcW w:w="12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404,250</w:t>
            </w:r>
          </w:p>
        </w:tc>
        <w:tc>
          <w:tcPr>
            <w:tcW w:w="3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14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1,198,259</w:t>
            </w:r>
          </w:p>
        </w:tc>
        <w:tc>
          <w:tcPr>
            <w:tcW w:w="28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This includes 197,784 shares subject to unvested restricted stock unit awards and 206,466 shares subject to unvested Performance Share awards.</w:t>
            </w:r>
          </w:p>
        </w:tc>
      </w:tr>
    </w:tbl>
    <w:tbl>
      <w:tblPr>
        <w:tblW w:w="6032" w:type="dxa"/>
        <w:jc w:val="left"/>
        <w:tblInd w:w="0" w:type="dxa"/>
        <w:tblLayout w:type="fixed"/>
        <w:tblCellMar>
          <w:top w:w="0" w:type="dxa"/>
          <w:left w:w="0" w:type="dxa"/>
          <w:bottom w:w="0" w:type="dxa"/>
          <w:right w:w="0" w:type="dxa"/>
        </w:tblCellMar>
      </w:tblPr>
      <w:tblGrid>
        <w:gridCol w:w="331"/>
        <w:gridCol w:w="57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5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Restricted stock unit and Performance Share awards do not have exercise prices.</w:t>
            </w:r>
          </w:p>
        </w:tc>
      </w:tr>
    </w:tbl>
    <w:tbl>
      <w:tblPr>
        <w:tblW w:w="4637" w:type="dxa"/>
        <w:jc w:val="left"/>
        <w:tblInd w:w="0" w:type="dxa"/>
        <w:tblLayout w:type="fixed"/>
        <w:tblCellMar>
          <w:top w:w="0" w:type="dxa"/>
          <w:left w:w="0" w:type="dxa"/>
          <w:bottom w:w="0" w:type="dxa"/>
          <w:right w:w="0" w:type="dxa"/>
        </w:tblCellMar>
      </w:tblPr>
      <w:tblGrid>
        <w:gridCol w:w="331"/>
        <w:gridCol w:w="43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4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shares are available for issuance under the 2025 Plan.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information required under this item will be included under the section captioned “Security Ownership of Certain Shareholders” and the subsection captioned “Security Ownership of Directors and Executive Officers” in Matson’s 2026 Proxy Statement, which section and subsection are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566" w:name="CERTAINRELATIONSHIPSANDRELATEDTRANSACTIO"/>
      <w:bookmarkStart w:id="2567" w:name="ITEM13_482640"/>
      <w:bookmarkStart w:id="2568" w:name="_9c098408_e67d_483e_b543_e2fb3d8d2b1f"/>
      <w:bookmarkEnd w:id="2566"/>
      <w:bookmarkEnd w:id="2567"/>
      <w:bookmarkEnd w:id="2568"/>
      <w:r>
        <w:rPr>
          <w:rFonts w:ascii="Times New Roman;Times;serif" w:hAnsi="Times New Roman;Times;serif"/>
          <w:b/>
          <w:sz w:val="20"/>
        </w:rPr>
        <w:t>ITEM 13. CERTAIN RELATIONSHIPS AND RELATED TRANSACTIONS, AND DIRECTOR</w:t>
      </w:r>
      <w:r>
        <w:rPr>
          <w:rFonts w:ascii="Times New Roman;Times;serif" w:hAnsi="Times New Roman;Times;serif"/>
          <w:sz w:val="20"/>
        </w:rPr>
        <w:t xml:space="preserve"> </w:t>
      </w:r>
      <w:r>
        <w:rPr>
          <w:rFonts w:ascii="Times New Roman;Times;serif" w:hAnsi="Times New Roman;Times;serif"/>
          <w:b/>
          <w:sz w:val="20"/>
        </w:rPr>
        <w:t>INDEPENDENCE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under this item will be included in the section captioned “Election of Directors” and the subsection captioned “Certain Relationships and Transactions” in Matson’s 2026 Proxy Statement, which section and subsection are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69" w:name="ITEM14_376704"/>
      <w:bookmarkStart w:id="2570" w:name="_059d4ca1_424d_4c4b_8c29_14cc501c61c4"/>
      <w:bookmarkEnd w:id="2569"/>
      <w:bookmarkEnd w:id="2570"/>
      <w:r>
        <w:rPr>
          <w:rFonts w:ascii="Times New Roman;Times;serif" w:hAnsi="Times New Roman;Times;serif"/>
          <w:b/>
          <w:sz w:val="20"/>
        </w:rPr>
        <w:t>ITEM 14. PRINCIPAL ACCOUNTANT FEES AND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under this item will be included under the sections captioned “Audit Committee Report” and “Ratification of Appointment of Independent Registered Public Accounting Firm” in Matson’s 2026 Proxy Statement, which sections are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71" w:name="PARTIV_375527"/>
      <w:bookmarkStart w:id="2572" w:name="_97046e2b_88d2_4f5a_a788_a0fe2779e270"/>
      <w:bookmarkEnd w:id="2571"/>
      <w:bookmarkEnd w:id="2572"/>
      <w:r>
        <w:rPr>
          <w:rFonts w:ascii="Times New Roman;Times;serif" w:hAnsi="Times New Roman;Times;serif"/>
          <w:b/>
          <w:sz w:val="20"/>
        </w:rPr>
        <w:t>PART IV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73" w:name="EXHIBITSANDFINANCIALSTATEMENTSCHEDULES_1"/>
      <w:bookmarkStart w:id="2574" w:name="ITEM15_109040"/>
      <w:bookmarkEnd w:id="2573"/>
      <w:bookmarkEnd w:id="2574"/>
      <w:r>
        <w:rPr>
          <w:rFonts w:ascii="Times New Roman;Times;serif" w:hAnsi="Times New Roman;Times;serif"/>
          <w:b/>
          <w:sz w:val="20"/>
        </w:rPr>
        <w:t>ITEM 15. EXHIBITS AND FINANCIAL STATEMENT SCHEDULES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75" w:name="FinancialStatements_19970"/>
      <w:bookmarkStart w:id="2576" w:name="FinancialStatements_19970"/>
      <w:bookmarkEnd w:id="2576"/>
    </w:p>
    <w:tbl>
      <w:tblPr>
        <w:tblW w:w="2267" w:type="dxa"/>
        <w:jc w:val="left"/>
        <w:tblInd w:w="0" w:type="dxa"/>
        <w:tblLayout w:type="fixed"/>
        <w:tblCellMar>
          <w:top w:w="0" w:type="dxa"/>
          <w:left w:w="0" w:type="dxa"/>
          <w:bottom w:w="0" w:type="dxa"/>
          <w:right w:w="0" w:type="dxa"/>
        </w:tblCellMar>
      </w:tblPr>
      <w:tblGrid>
        <w:gridCol w:w="346"/>
        <w:gridCol w:w="1921"/>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p>
        </w:tc>
        <w:tc>
          <w:tcPr>
            <w:tcW w:w="192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Statements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Consolidated Financial Statements are set forth in Item 8 of Part II above.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77" w:name="FinancialStatementSchedules_544128"/>
      <w:bookmarkStart w:id="2578" w:name="FinancialStatementSchedules_544128"/>
      <w:bookmarkEnd w:id="2578"/>
    </w:p>
    <w:tbl>
      <w:tblPr>
        <w:tblW w:w="3062" w:type="dxa"/>
        <w:jc w:val="left"/>
        <w:tblInd w:w="0" w:type="dxa"/>
        <w:tblLayout w:type="fixed"/>
        <w:tblCellMar>
          <w:top w:w="0" w:type="dxa"/>
          <w:left w:w="0" w:type="dxa"/>
          <w:bottom w:w="0" w:type="dxa"/>
          <w:right w:w="0" w:type="dxa"/>
        </w:tblCellMar>
      </w:tblPr>
      <w:tblGrid>
        <w:gridCol w:w="346"/>
        <w:gridCol w:w="2716"/>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p>
        </w:tc>
        <w:tc>
          <w:tcPr>
            <w:tcW w:w="271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Statement Schedules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schedules are omitted because of the absence of the conditions under which they are required or because the information called for is included in the Consolidated Financial Statements or notes thereto.</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79" w:name="ExhibitsRequiredbyItem601ofRegulationSK_"/>
      <w:bookmarkStart w:id="2580" w:name="ExhibitsRequiredbyItem601ofRegulationSK_"/>
      <w:bookmarkEnd w:id="2580"/>
    </w:p>
    <w:tbl>
      <w:tblPr>
        <w:tblW w:w="4622" w:type="dxa"/>
        <w:jc w:val="left"/>
        <w:tblInd w:w="0" w:type="dxa"/>
        <w:tblLayout w:type="fixed"/>
        <w:tblCellMar>
          <w:top w:w="0" w:type="dxa"/>
          <w:left w:w="0" w:type="dxa"/>
          <w:bottom w:w="0" w:type="dxa"/>
          <w:right w:w="0" w:type="dxa"/>
        </w:tblCellMar>
      </w:tblPr>
      <w:tblGrid>
        <w:gridCol w:w="346"/>
        <w:gridCol w:w="4276"/>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xml:space="preserve"> </w:t>
            </w:r>
          </w:p>
        </w:tc>
        <w:tc>
          <w:tcPr>
            <w:tcW w:w="427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Exhibits Required by Item 601 of Regulation S</w:t>
            </w:r>
            <w:r>
              <w:rPr>
                <w:rFonts w:ascii="Times New Roman;Times;serif" w:hAnsi="Times New Roman;Times;serif"/>
                <w:sz w:val="20"/>
              </w:rPr>
              <w:t>-</w:t>
            </w:r>
            <w:r>
              <w:rPr>
                <w:rFonts w:ascii="Times New Roman;Times;serif" w:hAnsi="Times New Roman;Times;serif"/>
                <w:b/>
                <w:sz w:val="20"/>
              </w:rPr>
              <w:t>K</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 not filed herewith are incorporated by reference to the exhibit number and previous filing shown in parentheses. All previous exhibits were filed with the Securities and Exchange Commission in Washington, D.C.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 filed pursuant to the Securities Exchange Act of 1934 were filed under file number 001-34187. Shareholders may obtain copies of exhibits for a copying and handling charge of $0.15 per page by writing to Corporate Secretary, Matson, Inc., 2121 North California Blvd., Walnut Creek, California 94596.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9829" w:type="dxa"/>
            <w:tcBorders/>
            <w:vAlign w:val="center"/>
          </w:tcPr>
          <w:p>
            <w:pPr>
              <w:pStyle w:val="TableContents"/>
              <w:bidi w:val="0"/>
              <w:spacing w:before="0" w:after="283"/>
              <w:ind w:left="0" w:right="0" w:hanging="0"/>
              <w:jc w:val="left"/>
              <w:rPr>
                <w:sz w:val="4"/>
                <w:szCs w:val="4"/>
              </w:rPr>
            </w:pPr>
            <w:r>
              <w:rPr>
                <w:sz w:val="4"/>
                <w:szCs w:val="4"/>
              </w:rPr>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of acquisition, reorganization, arrangement, liquidation or succession.</w:t>
            </w:r>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829"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Agreement and Plan of Merger, dated as of November 11, 2014, by and among Matson Navigation Company, Inc., Hogan Acquisition Inc. and Horizon Lines, Inc. (incorporated by reference to Exhibit 2.1 of Matson’s Form 8-K dated November 11, 2014).</w:t>
              </w:r>
            </w:hyperlink>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9829"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Amendment No. 1 to Agreement and Plan of Merger, dated as of February 13, 2015, by and among Matson Navigation Company, Inc., Hogan Acquisition Inc. and Horizon Lines, Inc. (incorporated by reference to Exhibit 2.1 of Matson’s Form 8-K dated February 17, 2015).</w:t>
              </w:r>
            </w:hyperlink>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9829"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Contribution, Assumption and Purchase Agreement, dated as of November 11, 2014, by and among The Pasha Group, SR Holding LLC, Horizon Lines, Inc. and Sunrise Operations LLC (incorporated by reference to Exhibit 2.2 of Horizon Lines, Inc.’s Form 8-K dated November 13, 2014).</w:t>
              </w:r>
            </w:hyperlink>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9829"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Amendment No. 1 to the Contribution, Assumption and Purchase Agreement, dated as of May 29, 2015, by and among The Pasha Group, SR Holding LLC, Horizon Lines, Inc. and Sunrise Operations LLC (incorporated by reference to Exhibit 2.2 of Matson’s Form 10-Q for the quarter ended June 30, 2015).</w:t>
              </w:r>
            </w:hyperlink>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Articles of incorporation and bylaws.</w:t>
            </w:r>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829"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Amended and Restated Articles of Incorporation of Matson, Inc. (incorporated by reference to Exhibit 3.1 of Matson’s Form 10-Q for the quarter ended June 30, 2012).</w:t>
              </w:r>
            </w:hyperlink>
          </w:p>
        </w:tc>
      </w:tr>
      <w:tr>
        <w:trPr/>
        <w:tc>
          <w:tcPr>
            <w:tcW w:w="376" w:type="dxa"/>
            <w:tcBorders/>
            <w:vAlign w:val="center"/>
          </w:tcPr>
          <w:p>
            <w:pPr>
              <w:pStyle w:val="TableContents"/>
              <w:bidi w:val="0"/>
              <w:spacing w:before="0" w:after="0"/>
              <w:ind w:left="0" w:right="0" w:hanging="0"/>
              <w:jc w:val="left"/>
              <w:rPr>
                <w:shd w:fill="FFFF00" w:val="clear"/>
              </w:rPr>
            </w:pPr>
            <w:r>
              <w:rPr>
                <w:shd w:fill="FFFF00" w:val="clear"/>
              </w:rPr>
              <w:t>​</w:t>
            </w:r>
          </w:p>
        </w:tc>
        <w:tc>
          <w:tcPr>
            <w:tcW w:w="9829"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829"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Articles of Amendment to Change Corporate Name (incorporated by reference to Exhibit 4.2 of Matson’s Form S-8 dated October 26, 2012).</w:t>
              </w:r>
            </w:hyperlink>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9829"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Amended and Restated Bylaws of Matson, Inc. (as amended as of November 6, 2013) (incorporated by reference to Exhibit 3.1 of Matson’s Form 10-Q for the quarter ended September 30, 2013).</w:t>
              </w:r>
            </w:hyperlink>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29"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Description of Registered Securities (incorporated by reference to Exhibit 4 of Matson’s Form 10-K for the year ended December 31, 2019).</w:t>
              </w:r>
            </w:hyperlink>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9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 contracts.</w:t>
            </w:r>
          </w:p>
        </w:tc>
      </w:tr>
      <w:tr>
        <w:trPr/>
        <w:tc>
          <w:tcPr>
            <w:tcW w:w="376" w:type="dxa"/>
            <w:tcBorders/>
            <w:vAlign w:val="center"/>
          </w:tcPr>
          <w:p>
            <w:pPr>
              <w:pStyle w:val="TableContents"/>
              <w:bidi w:val="0"/>
              <w:spacing w:before="0" w:after="0"/>
              <w:ind w:left="0" w:right="0" w:hanging="0"/>
              <w:jc w:val="left"/>
              <w:rPr/>
            </w:pPr>
            <w:r>
              <w:rPr/>
              <w:t>​</w:t>
            </w:r>
          </w:p>
        </w:tc>
        <w:tc>
          <w:tcPr>
            <w:tcW w:w="982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3"/>
        <w:gridCol w:w="9592"/>
      </w:tblGrid>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592"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Third Amended and Restated Credit Agreement among Matson, Inc., Bank of America, N.A. as the Agent, and the lenders party thereto, dated as of July 23, 2025 (incorporated by reference to Exhibit 10.3 of Matson’s Form 10-Q for the quarter ended June 30, 2025).</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592"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Amendment to Third Amended and Restated Note Purchase Agreement among Matson, Inc. and the purchasers named therein, dated as of June 29, 2017 (incorporated by reference to Exhibit 10.4 of Matson’s Form 8-K dated June 30, 2017).</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9592"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Amendment to Note Purchase Agreement among Matson, Inc. and the purchasers named therein, dated as of June 29, 2017 (incorporated by reference to Exhibit 10.5 of Matson’s Form 8-K dated June 30, 2017).</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92"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Note Purchase Agreement among Matson, Inc. and the purchasers party thereto, dated as of December 21, 2016 (incorporated by reference to Exhibit 10.1 of Matson’s Form 8-K dated December 22, 2016).</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9592"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Third Amended and Restated Note Purchase and Private Shelf Agreement among Matson, Inc. and the purchasers party thereto, dated as of September 14, 2016 (incorporated by reference to Exhibit 10.1 of Matson’s Form 8-K dated September 14, 2016).</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9592"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Amendment to Third Amended and Restated Note Purchase and Private Shelf Agreement among Matson, Inc. and the purchasers named therein, dated as of March 31, 2020 (incorporated by reference to Exhibit 10.4 of Matson’s Form 8-K dated April 6,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9592"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Amendment to December 21, 2016 Note Purchase Agreement among Matson, Inc. and the purchasers named therein, dated as of March 31, 2020 (incorporated by reference to Exhibit 10.5 of Matson’s Form 8-K dated April 6,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9592"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Fourth Amendment to December 21, 2016 Note Purchase Agreement among Matson, Inc. and the purchasers named therein, dated as of July 23, 2025 (incorporated by reference to Exhibit 10.5 of Matson’s Form 10-Q for the quarter ended June 30, 2025).</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9592"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Fourth Amendment to Third Amended and Restated Note Purchase and Private Shelf Agreement among Matson, Inc. and the purchasers party thereto, dated as of July 23, 2025 (incorporated by reference to Exhibit 10.4 of Matson’s Form 10-Q for the quarter ended June 30, 2025).</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9592"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Amended and Restated Limited Liability Company Agreement of SSA Terminals, LLC by and between SSA Ventures, Inc. and Matson Ventures, Inc., dated as of April 24, 2002 (certain portions of this exhibit have been omitted pursuant to a confidential treatment request submitted to the Commission) (incorporated by reference to Exhibit 10.1 of Matson’s Form 10-Q for the quarter ended June 30, 2012).</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9592"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Parent Company Agreement, dated as of April 24, 2002, by and among SSA Pacific Terminals, Inc., formerly known as Stevedoring Services of America, Inc., SSA Ventures, Inc., Matson Navigation Company, Inc. and Matson Ventures, Inc. (incorporated by reference to Exhibit 10.2 of Matson’s Form 10-Q for the quarter ended June 30, 2012).</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9592"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Matson, Inc. Deferred Compensation Plan for Outside Directors (incorporated by reference to Exhibit 10.34 of Matson’s Form 10-K for the year ended December 31, 2012).</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9592"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Consolidated Agreement, Contract No. MA-14454 dated as of April 27, 2020 among Matson Navigation Company, Inc., the United States of America, represented by the Maritime Administrator of the Maritime Administration and, with respect to certain provisions, Matson, Inc. (incorporated by reference to Exhibit 10.1 of Matson’s Form 8-K dated April 30,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9592"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Note Purchase Agreement dated as of April 27, 2020 among Matson Navigation Company, Inc., the United States of America, represented by the Maritime Administrator of the Maritime Administration and the Federal Financing Bank (incorporated by reference to Exhibit 10.2 of Matson’s Form 8-K dated April 30,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3"/>
        <w:gridCol w:w="9592"/>
      </w:tblGrid>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9592"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Affiliate Guaranty dated as of April 27, 2020 executed by Matson, Inc. (incorporated by reference to Exhibit 10.3 of Matson’s Form 8-K dated April 30,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9592"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Amendment No. 1 dated June 22, 2020, to Consolidated Agreement, Contract No. MA-14454 dated as of April 27, 2020 among Matson Navigation Company, Inc., the United States of America, represented by the Maritime Administrator of the Maritime Administration and, with respect to certain provisions, Matson, Inc. (incorporated by reference to Exhibit 10.1 of Matson’s Form 8-K dated June 25,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9592"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Note Purchase Agreement dated as of June 22, 2020 among Matson Navigation Company, Inc., the United States of America, represented by the Maritime Administrator of the Maritime Administration and the Federal Financing Bank (incorporated by reference to Exhibit 10.2 of Matson’s Form 8-K dated June 25,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9592"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Amendment dated June 22, 2020 to Affiliate Guaranty dated as of April 27, 2020 executed by Matson, Inc. and consented to by MARAD (incorporated by reference to Exhibit 10.3 of Matson’s Form 8-K dated June 25,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9592"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Matson, Inc. Excess Benefits Plan, amended and restated effective August 27, 2014 (incorporated by reference to Exhibit 10.1 of Matson’s Form 8-K dated August 28, 2014).</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9592"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Form of Letter Agreement entered into with certain executive officers (incorporated by reference to Exhibit 10.45 of Matson’s Form 10-K for the year ended December 31, 2012).</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9592"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Schedule identifying executive officers who have entered into Form of Letter Agreement (incorporated by reference to Exhibit 10.42 of Matson’s Form 10-K for the year ended December 31, 2014).</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9592"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Form of Letter Agreement entered into with executive officer (incorporated by reference to Exhibit 10.1 of Matson’s Form 8-K dated October 24, 2014).</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9592"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Letter Agreement Counter Parties (incorporated by reference to Exhibit 10.1 of Matson’s Form 10-Q for the quarter ended September 30, 2025).</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9592"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Amended and Restated Matson, Inc. Executive Severance Plan (incorporated by reference to Exhibit 10.28 of Matson’s Form 10-K for the year ended December 31,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9592"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Matson, Inc. Deferred Compensation Plan (incorporated by reference to Exhibit 10.51 of Matson’s Form 10-K for the year ended December 31, 2012).</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9592"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Amendment No. 1 to the Matson, Inc. Deferred Compensation Plan (incorporated by reference to Exhibit 10.30 of Matson’s Form 10-K for the year ended December 31, 2020).</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9592"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Form of Capital Construction Fund Agreement with Matson Navigation Company, as amended by Addendums No. 2, No. 5, No. 18, No. 20, No. 31 and No. 33 thereto (incorporated by reference to Exhibit 10.35 of Matson’s Form 10-K for the year ended December 31, 2021).</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9592"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Form of Voting Agreement, dated as of November 11, 2014, among Matson Navigation Company, Inc. and certain holders of voting securities of Horizon Lines, Inc. (incorporated by reference to Exhibit 10.1 of Matson’s Form 8-K dated November 11, 2014).</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10.29*</w:t>
            </w:r>
          </w:p>
        </w:tc>
        <w:tc>
          <w:tcPr>
            <w:tcW w:w="9592"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Amended and Restated Matson, Inc. 2016 Incentive Compensation Plan (incorporated by reference to Exhibit 99.1 of Matson’s Form S-8 date July 30, 2021).</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w:t>
            </w:r>
          </w:p>
        </w:tc>
        <w:tc>
          <w:tcPr>
            <w:tcW w:w="9592"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Amended and Restated Matson, Inc. Cash Incentive Plan, effective January 1, 2016 (incorporated by reference to Exhibit 10.63 of Matson’s Form 10-K for the year ended December 31, 2016).</w:t>
              </w:r>
            </w:hyperlink>
          </w:p>
        </w:tc>
      </w:tr>
      <w:tr>
        <w:trPr/>
        <w:tc>
          <w:tcPr>
            <w:tcW w:w="613" w:type="dxa"/>
            <w:tcBorders/>
            <w:vAlign w:val="center"/>
          </w:tcPr>
          <w:p>
            <w:pPr>
              <w:pStyle w:val="TableContents"/>
              <w:bidi w:val="0"/>
              <w:spacing w:before="0" w:after="0"/>
              <w:ind w:left="0" w:right="0" w:hanging="0"/>
              <w:jc w:val="left"/>
              <w:rPr/>
            </w:pPr>
            <w:r>
              <w:rPr/>
              <w:t>​</w:t>
            </w:r>
          </w:p>
        </w:tc>
        <w:tc>
          <w:tcPr>
            <w:tcW w:w="9592" w:type="dxa"/>
            <w:tcBorders/>
            <w:vAlign w:val="center"/>
          </w:tcPr>
          <w:p>
            <w:pPr>
              <w:pStyle w:val="TableContents"/>
              <w:bidi w:val="0"/>
              <w:spacing w:before="0" w:after="0"/>
              <w:ind w:left="0" w:right="0" w:hanging="0"/>
              <w:jc w:val="left"/>
              <w:rPr/>
            </w:pPr>
            <w:r>
              <w:rPr/>
              <w:t>​</w:t>
            </w:r>
          </w:p>
        </w:tc>
      </w:tr>
      <w:tr>
        <w:trPr/>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10.31*</w:t>
            </w:r>
          </w:p>
        </w:tc>
        <w:tc>
          <w:tcPr>
            <w:tcW w:w="9592"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Form of 2016 Plan Restricted Stock Unit Award Agreement for Non-Employee Directors (Deferral Election) (incorporated by reference to Exhibit 10.65 of Matson’s Form 10-K for the year ended December 31, 2016).</w:t>
              </w:r>
            </w:hyperlink>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25"/>
        <w:gridCol w:w="9580"/>
      </w:tblGrid>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10.32*</w:t>
            </w:r>
          </w:p>
        </w:tc>
        <w:tc>
          <w:tcPr>
            <w:tcW w:w="9580"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Form of 2016 Plan Performance Share Award Agreement for Executive Employees (ROIC) (incorporated by reference to Exhibit 10.47 of Matson’s Form 10-K for the year ended December 31, 2020).</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10.33*</w:t>
            </w:r>
          </w:p>
        </w:tc>
        <w:tc>
          <w:tcPr>
            <w:tcW w:w="9580"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Form of 2016 Plan Performance Share Award Agreement for Executive Employees (TSR) (incorporated by reference to Exhibit 10.48 of Matson’s Form 10-K for the year ended December 31, 2020).</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10.34*</w:t>
            </w:r>
          </w:p>
        </w:tc>
        <w:tc>
          <w:tcPr>
            <w:tcW w:w="9580"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Form of 2016 Plan Performance Share Award Agreement for Non-Executive Employees (incorporated by reference to Exhibit 10.49 of Matson’s Form 10-K for the year ended December 31, 2020).</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10.35*</w:t>
            </w:r>
          </w:p>
        </w:tc>
        <w:tc>
          <w:tcPr>
            <w:tcW w:w="9580" w:type="dxa"/>
            <w:tcBorders/>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Form of 2016 Plan Time-Based Restricted Stock Unit Agreement for Executive Employees (incorporated by reference to Exhibit 10.50 of Matson’s Form 10-K for the year ended December 31, 2020).</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10.36*</w:t>
            </w:r>
          </w:p>
        </w:tc>
        <w:tc>
          <w:tcPr>
            <w:tcW w:w="9580"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Form of 2016 Plan Time-Based Restricted Stock Unit Agreement for Non-Executive Employees (incorporated by reference to Exhibit 10.51 of Matson’s Form 10-K for the year ended December 31, 2020).</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10.37*</w:t>
            </w:r>
          </w:p>
        </w:tc>
        <w:tc>
          <w:tcPr>
            <w:tcW w:w="9580" w:type="dxa"/>
            <w:tcBorders/>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Form of 2016 Plan Restricted Stock Unit Award Agreement for Non-Employee Directors (No Deferral) (incorporated by reference to Exhibit 10.52 of Matson’s Form 10-K for the year ended December 31, 2020).</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10.38*</w:t>
            </w:r>
          </w:p>
        </w:tc>
        <w:tc>
          <w:tcPr>
            <w:tcW w:w="9580" w:type="dxa"/>
            <w:tcBorders/>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Form of 2016 Plan Restricted Stock Unit Award Agreement for Non-Employee Directors (Deferral Election) (incorporated by reference to Exhibit 10.53 of Matson’s Form 10-K for the year ended December 31, 2020).</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10.39</w:t>
            </w:r>
          </w:p>
        </w:tc>
        <w:tc>
          <w:tcPr>
            <w:tcW w:w="9580" w:type="dxa"/>
            <w:tcBorders/>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Amendment to Third Amended and Restated Note Purchase and Private Shelf Agreement, dated as of March 31, 2021 (incorporated by reference to Exhibit 10.2 of Matson’s Form 8-K dated April 5, 2021).</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10.40</w:t>
            </w:r>
          </w:p>
        </w:tc>
        <w:tc>
          <w:tcPr>
            <w:tcW w:w="9580" w:type="dxa"/>
            <w:tcBorders/>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Amendment to Note Purchase Agreement dated December 21, 2016, dated as of March 31, 2021 (incorporated by reference to Exhibit 10.3 of Matson’s Form 8-K dated April 5, 2021).</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10.41†</w:t>
            </w:r>
          </w:p>
        </w:tc>
        <w:tc>
          <w:tcPr>
            <w:tcW w:w="9580" w:type="dxa"/>
            <w:tcBorders/>
            <w:vAlign w:val="center"/>
          </w:tcPr>
          <w:p>
            <w:pPr>
              <w:pStyle w:val="TableContents"/>
              <w:bidi w:val="0"/>
              <w:spacing w:before="0" w:after="0"/>
              <w:ind w:left="0" w:right="0" w:hanging="0"/>
              <w:jc w:val="left"/>
              <w:rPr/>
            </w:pPr>
            <w:hyperlink r:id="rId54">
              <w:r>
                <w:rPr>
                  <w:rStyle w:val="InternetLink"/>
                  <w:rFonts w:ascii="Times New Roman;Times;serif" w:hAnsi="Times New Roman;Times;serif"/>
                  <w:b w:val="false"/>
                  <w:i w:val="false"/>
                  <w:caps w:val="false"/>
                  <w:smallCaps w:val="false"/>
                  <w:sz w:val="20"/>
                </w:rPr>
                <w:t>Shipbuilding Contract Vessel Type Aloha Class L – Hull No. 040, by and between Philly Shipyard, Inc. and Matson Navigation Company, Inc., dated as of November 1, 2022 (incorporated by reference to Exhibit 10.48 of Matson’ s Form 10-K for the year ended December 31, 2022).</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10.42†</w:t>
            </w:r>
          </w:p>
        </w:tc>
        <w:tc>
          <w:tcPr>
            <w:tcW w:w="9580" w:type="dxa"/>
            <w:tcBorders/>
            <w:vAlign w:val="center"/>
          </w:tcPr>
          <w:p>
            <w:pPr>
              <w:pStyle w:val="TableContents"/>
              <w:bidi w:val="0"/>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Shipbuilding Contract Vessel Type Aloha Class L – Hull No. 041, by and between Philly Shipyard, Inc. and Matson Navigation Company, Inc., dated as of November 1, 2022 (incorporated by reference to Exhibit 10.49 of Matson’ s Form 10-K for the year ended December 31, 2022).</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10.43†</w:t>
            </w:r>
          </w:p>
        </w:tc>
        <w:tc>
          <w:tcPr>
            <w:tcW w:w="9580" w:type="dxa"/>
            <w:tcBorders/>
            <w:vAlign w:val="center"/>
          </w:tcPr>
          <w:p>
            <w:pPr>
              <w:pStyle w:val="TableContents"/>
              <w:bidi w:val="0"/>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Shipbuilding Contract Vessel Type Aloha Class L – Hull No. 042, by and between Philly Shipyard, Inc. and Matson Navigation Company, Inc., dated as of November 1, 2022 (incorporated by reference to Exhibit 10.50 of Matson’ s Form 10-K for the year ended December 31, 2022).</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10.44*</w:t>
            </w:r>
          </w:p>
        </w:tc>
        <w:tc>
          <w:tcPr>
            <w:tcW w:w="9580" w:type="dxa"/>
            <w:tcBorders/>
            <w:vAlign w:val="center"/>
          </w:tcPr>
          <w:p>
            <w:pPr>
              <w:pStyle w:val="TableContents"/>
              <w:bidi w:val="0"/>
              <w:spacing w:before="0" w:after="0"/>
              <w:ind w:left="0" w:right="0" w:hanging="0"/>
              <w:jc w:val="left"/>
              <w:rPr/>
            </w:pPr>
            <w:hyperlink r:id="rId57">
              <w:r>
                <w:rPr>
                  <w:rStyle w:val="InternetLink"/>
                  <w:rFonts w:ascii="Times New Roman;Times;serif" w:hAnsi="Times New Roman;Times;serif"/>
                  <w:b w:val="false"/>
                  <w:i w:val="false"/>
                  <w:caps w:val="false"/>
                  <w:smallCaps w:val="false"/>
                  <w:sz w:val="20"/>
                </w:rPr>
                <w:t>Form of 2016 Plan Performance Share Award Agreement for Executive Employees (ROIC) for grants awarded after January 1, 2023 (incorporated by reference to Exhibit 10.45 of Matson’s Form 10-K for the year ended December 31, 2023).</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10.45*</w:t>
            </w:r>
          </w:p>
        </w:tc>
        <w:tc>
          <w:tcPr>
            <w:tcW w:w="9580" w:type="dxa"/>
            <w:tcBorders/>
            <w:vAlign w:val="center"/>
          </w:tcPr>
          <w:p>
            <w:pPr>
              <w:pStyle w:val="TableContents"/>
              <w:bidi w:val="0"/>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rPr>
                <w:t>Form of 2016 Plan Performance Share Award Agreement for Non-Executive Employees (ROIC) for grants awarded after January 1, 2023 (incorporated by reference to Exhibit 10.46 of Matson’s Form 10-K for the year ended December 31, 2023).</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r>
        <w:trPr/>
        <w:tc>
          <w:tcPr>
            <w:tcW w:w="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10.46*</w:t>
            </w:r>
          </w:p>
        </w:tc>
        <w:tc>
          <w:tcPr>
            <w:tcW w:w="9580" w:type="dxa"/>
            <w:tcBorders/>
            <w:vAlign w:val="center"/>
          </w:tcPr>
          <w:p>
            <w:pPr>
              <w:pStyle w:val="TableContents"/>
              <w:bidi w:val="0"/>
              <w:spacing w:before="0" w:after="0"/>
              <w:ind w:left="0" w:right="0" w:hanging="0"/>
              <w:jc w:val="left"/>
              <w:rPr/>
            </w:pPr>
            <w:hyperlink r:id="rId59">
              <w:r>
                <w:rPr>
                  <w:rStyle w:val="InternetLink"/>
                  <w:rFonts w:ascii="Times New Roman;Times;serif" w:hAnsi="Times New Roman;Times;serif"/>
                  <w:b w:val="false"/>
                  <w:i w:val="false"/>
                  <w:caps w:val="false"/>
                  <w:smallCaps w:val="false"/>
                  <w:sz w:val="20"/>
                </w:rPr>
                <w:t>Form of 2016 Plan Performance Share Award Agreement for Executive Employees (TSR) for grants awarded after January 1, 2024 (incorporated by reference to Exhibit 10.47 of Matson’s Form 10-K for the year ended December 31, 2023).</w:t>
              </w:r>
            </w:hyperlink>
          </w:p>
        </w:tc>
      </w:tr>
      <w:tr>
        <w:trPr/>
        <w:tc>
          <w:tcPr>
            <w:tcW w:w="625"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32"/>
        <w:gridCol w:w="9573"/>
      </w:tblGrid>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10.47*</w:t>
            </w:r>
          </w:p>
        </w:tc>
        <w:tc>
          <w:tcPr>
            <w:tcW w:w="9573" w:type="dxa"/>
            <w:tcBorders/>
            <w:vAlign w:val="center"/>
          </w:tcPr>
          <w:p>
            <w:pPr>
              <w:pStyle w:val="TableContents"/>
              <w:bidi w:val="0"/>
              <w:spacing w:before="0" w:after="0"/>
              <w:ind w:left="0" w:right="0" w:hanging="0"/>
              <w:jc w:val="left"/>
              <w:rPr/>
            </w:pPr>
            <w:hyperlink r:id="rId60">
              <w:r>
                <w:rPr>
                  <w:rStyle w:val="InternetLink"/>
                  <w:rFonts w:ascii="Times New Roman;Times;serif" w:hAnsi="Times New Roman;Times;serif"/>
                  <w:b w:val="false"/>
                  <w:i w:val="false"/>
                  <w:caps w:val="false"/>
                  <w:smallCaps w:val="false"/>
                  <w:sz w:val="20"/>
                </w:rPr>
                <w:t>Form of 2016 Plan Time-Based Restricted Stock Unit Agreement for Executive Employees for grants awarded after January 1, 2024 (incorporated by reference to Exhibit 10.48 of Matson’s Form 10-K for the year ended December 31, 2023).</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10.48*</w:t>
            </w:r>
          </w:p>
        </w:tc>
        <w:tc>
          <w:tcPr>
            <w:tcW w:w="9573" w:type="dxa"/>
            <w:tcBorders/>
            <w:vAlign w:val="center"/>
          </w:tcPr>
          <w:p>
            <w:pPr>
              <w:pStyle w:val="TableContents"/>
              <w:bidi w:val="0"/>
              <w:spacing w:before="0" w:after="0"/>
              <w:ind w:left="0" w:right="0" w:hanging="0"/>
              <w:jc w:val="left"/>
              <w:rPr/>
            </w:pPr>
            <w:hyperlink r:id="rId61">
              <w:r>
                <w:rPr>
                  <w:rStyle w:val="InternetLink"/>
                  <w:rFonts w:ascii="Times New Roman;Times;serif" w:hAnsi="Times New Roman;Times;serif"/>
                  <w:b w:val="false"/>
                  <w:i w:val="false"/>
                  <w:caps w:val="false"/>
                  <w:smallCaps w:val="false"/>
                  <w:sz w:val="20"/>
                </w:rPr>
                <w:t>Form of 2016 Plan Time-Based Restricted Stock Unit Agreement for Non-Executive Employees for grants awarded after January 1, 2024 (incorporated by reference to Exhibit 10.49 of Matson’s Form 10-K for the year ended December 31, 2023).</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10.49*</w:t>
            </w:r>
          </w:p>
        </w:tc>
        <w:tc>
          <w:tcPr>
            <w:tcW w:w="9573" w:type="dxa"/>
            <w:tcBorders/>
            <w:vAlign w:val="center"/>
          </w:tcPr>
          <w:p>
            <w:pPr>
              <w:pStyle w:val="TableContents"/>
              <w:bidi w:val="0"/>
              <w:spacing w:before="0" w:after="0"/>
              <w:ind w:left="0" w:right="0" w:hanging="0"/>
              <w:jc w:val="left"/>
              <w:rPr/>
            </w:pPr>
            <w:hyperlink r:id="rId62">
              <w:r>
                <w:rPr>
                  <w:rStyle w:val="InternetLink"/>
                  <w:rFonts w:ascii="Times New Roman;Times;serif" w:hAnsi="Times New Roman;Times;serif"/>
                  <w:b w:val="false"/>
                  <w:i w:val="false"/>
                  <w:caps w:val="false"/>
                  <w:smallCaps w:val="false"/>
                  <w:sz w:val="20"/>
                </w:rPr>
                <w:t>Matson, Inc. 2025 Incentive Compensation Plan (incorporated by reference to Exhibit 10.1 of Matson’s Form 8-K dated April 28, 2025).</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10.50*</w:t>
            </w:r>
          </w:p>
        </w:tc>
        <w:tc>
          <w:tcPr>
            <w:tcW w:w="9573" w:type="dxa"/>
            <w:tcBorders/>
            <w:vAlign w:val="center"/>
          </w:tcPr>
          <w:p>
            <w:pPr>
              <w:pStyle w:val="TableContents"/>
              <w:bidi w:val="0"/>
              <w:spacing w:before="0" w:after="0"/>
              <w:ind w:left="0" w:right="0" w:hanging="0"/>
              <w:jc w:val="left"/>
              <w:rPr/>
            </w:pPr>
            <w:hyperlink r:id="rId63">
              <w:r>
                <w:rPr>
                  <w:rStyle w:val="InternetLink"/>
                  <w:rFonts w:ascii="Times New Roman;Times;serif" w:hAnsi="Times New Roman;Times;serif"/>
                  <w:b w:val="false"/>
                  <w:i w:val="false"/>
                  <w:caps w:val="false"/>
                  <w:smallCaps w:val="false"/>
                  <w:sz w:val="20"/>
                </w:rPr>
                <w:t>Form of 2025 Plan Performance Share Award Agreement (ROIC metric) for Executive Employees (incorporated by reference to Exhibit 10.7 of Matson’s Form 10-Q for the quarter ended June 30, 2025).</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10.51*</w:t>
            </w:r>
          </w:p>
        </w:tc>
        <w:tc>
          <w:tcPr>
            <w:tcW w:w="9573" w:type="dxa"/>
            <w:tcBorders/>
            <w:vAlign w:val="center"/>
          </w:tcPr>
          <w:p>
            <w:pPr>
              <w:pStyle w:val="TableContents"/>
              <w:bidi w:val="0"/>
              <w:spacing w:before="0" w:after="0"/>
              <w:ind w:left="0" w:right="0" w:hanging="0"/>
              <w:jc w:val="left"/>
              <w:rPr/>
            </w:pPr>
            <w:hyperlink r:id="rId64">
              <w:r>
                <w:rPr>
                  <w:rStyle w:val="InternetLink"/>
                  <w:rFonts w:ascii="Times New Roman;Times;serif" w:hAnsi="Times New Roman;Times;serif"/>
                  <w:b w:val="false"/>
                  <w:i w:val="false"/>
                  <w:caps w:val="false"/>
                  <w:smallCaps w:val="false"/>
                  <w:sz w:val="20"/>
                </w:rPr>
                <w:t>Form of 2025 Plan Performance Share Award Agreement (TSR metric) for Executive Employees (incorporated by reference to Exhibit 10.8 of Matson’s Form 10-Q for the quarter ended June 30, 2025).</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10.52*</w:t>
            </w:r>
          </w:p>
        </w:tc>
        <w:tc>
          <w:tcPr>
            <w:tcW w:w="9573" w:type="dxa"/>
            <w:tcBorders/>
            <w:vAlign w:val="center"/>
          </w:tcPr>
          <w:p>
            <w:pPr>
              <w:pStyle w:val="TableContents"/>
              <w:bidi w:val="0"/>
              <w:spacing w:before="0" w:after="0"/>
              <w:ind w:left="0" w:right="0" w:hanging="0"/>
              <w:jc w:val="left"/>
              <w:rPr/>
            </w:pPr>
            <w:hyperlink r:id="rId65">
              <w:r>
                <w:rPr>
                  <w:rStyle w:val="InternetLink"/>
                  <w:rFonts w:ascii="Times New Roman;Times;serif" w:hAnsi="Times New Roman;Times;serif"/>
                  <w:b w:val="false"/>
                  <w:i w:val="false"/>
                  <w:caps w:val="false"/>
                  <w:smallCaps w:val="false"/>
                  <w:sz w:val="20"/>
                </w:rPr>
                <w:t>Form of 2025 Plan Performance Share Award Agreement for Non-Executive Employees (incorporated by reference to Exhibit 10.9 of Matson’s Form 10-Q for the quarter ended June 30, 2025).</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10.53*</w:t>
            </w:r>
          </w:p>
        </w:tc>
        <w:tc>
          <w:tcPr>
            <w:tcW w:w="9573" w:type="dxa"/>
            <w:tcBorders/>
            <w:vAlign w:val="center"/>
          </w:tcPr>
          <w:p>
            <w:pPr>
              <w:pStyle w:val="TableContents"/>
              <w:bidi w:val="0"/>
              <w:spacing w:before="0" w:after="0"/>
              <w:ind w:left="0" w:right="0" w:hanging="0"/>
              <w:jc w:val="left"/>
              <w:rPr/>
            </w:pPr>
            <w:hyperlink r:id="rId66">
              <w:r>
                <w:rPr>
                  <w:rStyle w:val="InternetLink"/>
                  <w:rFonts w:ascii="Times New Roman;Times;serif" w:hAnsi="Times New Roman;Times;serif"/>
                  <w:b w:val="false"/>
                  <w:i w:val="false"/>
                  <w:caps w:val="false"/>
                  <w:smallCaps w:val="false"/>
                  <w:sz w:val="20"/>
                </w:rPr>
                <w:t>Form of 2025 Plan Time-Based Restricted Stock Unit Award Agreement for Executive Employees (incorporated by reference to Exhibit 10.10 of Matson’s Form 10-Q for the quarter ended June 30, 2025).</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10.54*</w:t>
            </w:r>
          </w:p>
        </w:tc>
        <w:tc>
          <w:tcPr>
            <w:tcW w:w="9573" w:type="dxa"/>
            <w:tcBorders/>
            <w:vAlign w:val="center"/>
          </w:tcPr>
          <w:p>
            <w:pPr>
              <w:pStyle w:val="TableContents"/>
              <w:bidi w:val="0"/>
              <w:spacing w:before="0" w:after="0"/>
              <w:ind w:left="0" w:right="0" w:hanging="0"/>
              <w:jc w:val="left"/>
              <w:rPr/>
            </w:pPr>
            <w:hyperlink r:id="rId67">
              <w:r>
                <w:rPr>
                  <w:rStyle w:val="InternetLink"/>
                  <w:rFonts w:ascii="Times New Roman;Times;serif" w:hAnsi="Times New Roman;Times;serif"/>
                  <w:b w:val="false"/>
                  <w:i w:val="false"/>
                  <w:caps w:val="false"/>
                  <w:smallCaps w:val="false"/>
                  <w:sz w:val="20"/>
                </w:rPr>
                <w:t>Form of 2025 Plan Time-Based Restricted Stock Unit Award Agreement for Non-Executive Employees (incorporated by reference to Exhibit 10.11 of Matson’s Form 10-Q for the quarter ended June 30, 2025).</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10.55*</w:t>
            </w:r>
          </w:p>
        </w:tc>
        <w:tc>
          <w:tcPr>
            <w:tcW w:w="9573" w:type="dxa"/>
            <w:tcBorders/>
            <w:vAlign w:val="center"/>
          </w:tcPr>
          <w:p>
            <w:pPr>
              <w:pStyle w:val="TableContents"/>
              <w:bidi w:val="0"/>
              <w:spacing w:before="0" w:after="0"/>
              <w:ind w:left="0" w:right="0" w:hanging="0"/>
              <w:jc w:val="left"/>
              <w:rPr/>
            </w:pPr>
            <w:hyperlink r:id="rId68">
              <w:r>
                <w:rPr>
                  <w:rStyle w:val="InternetLink"/>
                  <w:rFonts w:ascii="Times New Roman;Times;serif" w:hAnsi="Times New Roman;Times;serif"/>
                  <w:b w:val="false"/>
                  <w:i w:val="false"/>
                  <w:caps w:val="false"/>
                  <w:smallCaps w:val="false"/>
                  <w:sz w:val="20"/>
                </w:rPr>
                <w:t>Form of 2025 Plan Restricted Stock Unit Award Agreement for Non-Employee Directors (Deferral Election) (incorporated by reference to Exhibit 10.12 of Matson’s Form 10-Q for the quarter ended June 30, 2025).</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10.56*</w:t>
            </w:r>
          </w:p>
        </w:tc>
        <w:tc>
          <w:tcPr>
            <w:tcW w:w="9573" w:type="dxa"/>
            <w:tcBorders/>
            <w:vAlign w:val="center"/>
          </w:tcPr>
          <w:p>
            <w:pPr>
              <w:pStyle w:val="TableContents"/>
              <w:bidi w:val="0"/>
              <w:spacing w:before="0" w:after="0"/>
              <w:ind w:left="0" w:right="0" w:hanging="0"/>
              <w:jc w:val="left"/>
              <w:rPr/>
            </w:pPr>
            <w:hyperlink r:id="rId69">
              <w:r>
                <w:rPr>
                  <w:rStyle w:val="InternetLink"/>
                  <w:rFonts w:ascii="Times New Roman;Times;serif" w:hAnsi="Times New Roman;Times;serif"/>
                  <w:b w:val="false"/>
                  <w:i w:val="false"/>
                  <w:caps w:val="false"/>
                  <w:smallCaps w:val="false"/>
                  <w:sz w:val="20"/>
                </w:rPr>
                <w:t>Form of 2025 Plan Restricted Stock Unit Award Agreement for Non-Employee Directors (No Deferral) (incorporated by reference to Exhibit 10.13 of Matson’s Form 10-Q for the quarter ended June 30, 2025).</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w:t>
            </w:r>
          </w:p>
        </w:tc>
        <w:tc>
          <w:tcPr>
            <w:tcW w:w="9573" w:type="dxa"/>
            <w:tcBorders/>
            <w:vAlign w:val="center"/>
          </w:tcPr>
          <w:p>
            <w:pPr>
              <w:pStyle w:val="TableContents"/>
              <w:bidi w:val="0"/>
              <w:spacing w:before="0" w:after="0"/>
              <w:ind w:left="0" w:right="0" w:hanging="0"/>
              <w:jc w:val="left"/>
              <w:rPr/>
            </w:pPr>
            <w:hyperlink r:id="rId70">
              <w:r>
                <w:rPr>
                  <w:rStyle w:val="InternetLink"/>
                  <w:rFonts w:ascii="Times New Roman;Times;serif" w:hAnsi="Times New Roman;Times;serif"/>
                  <w:b w:val="false"/>
                  <w:i w:val="false"/>
                  <w:caps w:val="false"/>
                  <w:smallCaps w:val="false"/>
                  <w:sz w:val="20"/>
                </w:rPr>
                <w:t>Matson, Inc. Insider Trading Policy (incorporated by reference to Exhibit 19 of Matson’s Form 10-K for the year ended December 31, 2024).</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573" w:type="dxa"/>
            <w:tcBorders/>
            <w:vAlign w:val="center"/>
          </w:tcPr>
          <w:p>
            <w:pPr>
              <w:pStyle w:val="TableContents"/>
              <w:bidi w:val="0"/>
              <w:spacing w:before="0" w:after="0"/>
              <w:ind w:left="0" w:right="0" w:hanging="0"/>
              <w:jc w:val="left"/>
              <w:rPr/>
            </w:pPr>
            <w:hyperlink w:anchor="matx-20251231xex21.htm">
              <w:r>
                <w:rPr>
                  <w:rStyle w:val="InternetLink"/>
                  <w:rFonts w:ascii="Times New Roman;Times;serif" w:hAnsi="Times New Roman;Times;serif"/>
                  <w:b w:val="false"/>
                  <w:i w:val="false"/>
                  <w:caps w:val="false"/>
                  <w:smallCaps w:val="false"/>
                  <w:sz w:val="20"/>
                </w:rPr>
                <w:t>Matson, Inc. Subsidiaries as of December 31, 2025.</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9573" w:type="dxa"/>
            <w:tcBorders/>
            <w:vAlign w:val="center"/>
          </w:tcPr>
          <w:p>
            <w:pPr>
              <w:pStyle w:val="TableContents"/>
              <w:bidi w:val="0"/>
              <w:spacing w:before="0" w:after="0"/>
              <w:ind w:left="0" w:right="0" w:hanging="0"/>
              <w:jc w:val="left"/>
              <w:rPr/>
            </w:pPr>
            <w:hyperlink w:anchor="matx-20251231xex23.htm">
              <w:r>
                <w:rPr>
                  <w:rStyle w:val="InternetLink"/>
                  <w:rFonts w:ascii="Times New Roman;Times;serif" w:hAnsi="Times New Roman;Times;serif"/>
                  <w:b w:val="false"/>
                  <w:i w:val="false"/>
                  <w:caps w:val="false"/>
                  <w:smallCaps w:val="false"/>
                  <w:sz w:val="20"/>
                </w:rPr>
                <w:t>Consent of Deloitte &amp; Touche, LLP dated February 27, 2026.</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573" w:type="dxa"/>
            <w:tcBorders/>
            <w:vAlign w:val="center"/>
          </w:tcPr>
          <w:p>
            <w:pPr>
              <w:pStyle w:val="TableContents"/>
              <w:bidi w:val="0"/>
              <w:spacing w:before="0" w:after="0"/>
              <w:ind w:left="0" w:right="0" w:hanging="0"/>
              <w:jc w:val="left"/>
              <w:rPr/>
            </w:pPr>
            <w:hyperlink w:anchor="matx-20251231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573" w:type="dxa"/>
            <w:tcBorders/>
            <w:vAlign w:val="center"/>
          </w:tcPr>
          <w:p>
            <w:pPr>
              <w:pStyle w:val="TableContents"/>
              <w:bidi w:val="0"/>
              <w:spacing w:before="0" w:after="0"/>
              <w:ind w:left="0" w:right="0" w:hanging="0"/>
              <w:jc w:val="left"/>
              <w:rPr/>
            </w:pPr>
            <w:hyperlink w:anchor="matx-20251231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573" w:type="dxa"/>
            <w:tcBorders/>
            <w:vAlign w:val="center"/>
          </w:tcPr>
          <w:p>
            <w:pPr>
              <w:pStyle w:val="TableContents"/>
              <w:bidi w:val="0"/>
              <w:spacing w:before="0" w:after="0"/>
              <w:ind w:left="0" w:right="0" w:hanging="0"/>
              <w:jc w:val="left"/>
              <w:rPr/>
            </w:pPr>
            <w:hyperlink w:anchor="matx-20251231xex32.htm">
              <w:r>
                <w:rPr>
                  <w:rStyle w:val="InternetLink"/>
                  <w:rFonts w:ascii="Times New Roman;Times;serif" w:hAnsi="Times New Roman;Times;serif"/>
                  <w:b w:val="false"/>
                  <w:i w:val="false"/>
                  <w:caps w:val="false"/>
                  <w:smallCaps w:val="false"/>
                  <w:sz w:val="20"/>
                </w:rPr>
                <w:t>Certifications of Chief Executive Officer and Chief Financial Officer Pursuant to 18 U.S.C. Section 1350, as Adopted Pursuant to Section 906 of the Sarbanes-Oxley Act of 2002.</w:t>
              </w:r>
            </w:hyperlink>
          </w:p>
        </w:tc>
      </w:tr>
      <w:tr>
        <w:trPr/>
        <w:tc>
          <w:tcPr>
            <w:tcW w:w="632" w:type="dxa"/>
            <w:tcBorders/>
            <w:vAlign w:val="center"/>
          </w:tcPr>
          <w:p>
            <w:pPr>
              <w:pStyle w:val="TableContents"/>
              <w:bidi w:val="0"/>
              <w:spacing w:before="0" w:after="0"/>
              <w:ind w:left="0" w:right="0" w:hanging="0"/>
              <w:jc w:val="left"/>
              <w:rPr/>
            </w:pPr>
            <w:r>
              <w:rPr/>
              <w:t>​</w:t>
            </w:r>
          </w:p>
        </w:tc>
        <w:tc>
          <w:tcPr>
            <w:tcW w:w="9573" w:type="dxa"/>
            <w:tcBorders/>
            <w:vAlign w:val="center"/>
          </w:tcPr>
          <w:p>
            <w:pPr>
              <w:pStyle w:val="TableContents"/>
              <w:bidi w:val="0"/>
              <w:spacing w:before="0" w:after="0"/>
              <w:ind w:left="0" w:right="0" w:hanging="0"/>
              <w:jc w:val="left"/>
              <w:rPr/>
            </w:pPr>
            <w:r>
              <w:rPr/>
              <w:t>​</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w:t>
            </w:r>
          </w:p>
        </w:tc>
        <w:tc>
          <w:tcPr>
            <w:tcW w:w="9573" w:type="dxa"/>
            <w:tcBorders/>
            <w:vAlign w:val="center"/>
          </w:tcPr>
          <w:p>
            <w:pPr>
              <w:pStyle w:val="TableContents"/>
              <w:bidi w:val="0"/>
              <w:spacing w:before="0" w:after="0"/>
              <w:ind w:left="0" w:right="0" w:hanging="0"/>
              <w:jc w:val="left"/>
              <w:rPr/>
            </w:pPr>
            <w:hyperlink r:id="rId71">
              <w:r>
                <w:rPr>
                  <w:rStyle w:val="InternetLink"/>
                  <w:rFonts w:ascii="Times New Roman;Times;serif" w:hAnsi="Times New Roman;Times;serif"/>
                  <w:b w:val="false"/>
                  <w:i w:val="false"/>
                  <w:caps w:val="false"/>
                  <w:smallCaps w:val="false"/>
                  <w:sz w:val="20"/>
                </w:rPr>
                <w:t>Policy Regarding Recoupment of Certain Compensation (as amended and restated October 26, 2023) (incorporated by reference to Exhibit 97 of Matson’s Form 10-K for the year ended December 31, 2023).</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75"/>
        <w:gridCol w:w="9330"/>
      </w:tblGrid>
      <w:tr>
        <w:trPr/>
        <w:tc>
          <w:tcPr>
            <w:tcW w:w="875" w:type="dxa"/>
            <w:tcBorders/>
            <w:vAlign w:val="center"/>
          </w:tcPr>
          <w:p>
            <w:pPr>
              <w:pStyle w:val="TableContents"/>
              <w:bidi w:val="0"/>
              <w:spacing w:before="0" w:after="0"/>
              <w:ind w:left="0" w:right="0" w:hanging="0"/>
              <w:jc w:val="left"/>
              <w:rPr/>
            </w:pPr>
            <w:r>
              <w:rPr/>
              <w:t>​</w:t>
            </w:r>
          </w:p>
        </w:tc>
        <w:tc>
          <w:tcPr>
            <w:tcW w:w="9330" w:type="dxa"/>
            <w:tcBorders/>
            <w:vAlign w:val="center"/>
          </w:tcPr>
          <w:p>
            <w:pPr>
              <w:pStyle w:val="TableContents"/>
              <w:bidi w:val="0"/>
              <w:spacing w:before="0" w:after="0"/>
              <w:ind w:left="0" w:right="0" w:hanging="0"/>
              <w:jc w:val="left"/>
              <w:rPr/>
            </w:pPr>
            <w:r>
              <w:rPr/>
              <w:t>​</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101.PRE** </w:t>
            </w:r>
          </w:p>
        </w:tc>
        <w:tc>
          <w:tcPr>
            <w:tcW w:w="9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63"/>
        <w:gridCol w:w="9642"/>
      </w:tblGrid>
      <w:tr>
        <w:trPr/>
        <w:tc>
          <w:tcPr>
            <w:tcW w:w="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6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Indicates management contract or compensatory plan or arrangement.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pBdr/>
        <w:bidi w:val="0"/>
        <w:spacing w:before="0" w:after="0"/>
        <w:ind w:left="0" w:right="0" w:hanging="720"/>
        <w:jc w:val="left"/>
        <w:rPr/>
      </w:pPr>
      <w:r>
        <w:rPr/>
        <w:t>†            </w:t>
      </w:r>
      <w:r>
        <w:rPr>
          <w:rFonts w:ascii="Times New Roman;Times;serif" w:hAnsi="Times New Roman;Times;serif"/>
          <w:sz w:val="20"/>
        </w:rPr>
        <w:t>Certain identified information has been excluded from this exhibit pursuant to Item 601(b)(10)(iv) of Regulation S-K because it is both (i) not material and (ii) the type that the registrant treats as private or confidential.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581" w:name="ITEM16FORM10KSUMMARY_677024"/>
      <w:bookmarkStart w:id="2582" w:name="_27f72275_ae26_49a3_8cb2_3eb45aad25ad"/>
      <w:bookmarkEnd w:id="2581"/>
      <w:bookmarkEnd w:id="2582"/>
      <w:r>
        <w:rPr>
          <w:rFonts w:ascii="Times New Roman;Times;serif" w:hAnsi="Times New Roman;Times;serif"/>
          <w:b/>
          <w:sz w:val="18"/>
        </w:rPr>
        <w:t>ITEM 16. FORM 10-K SUMMARY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583" w:name="SIGNATURES_636330"/>
      <w:bookmarkStart w:id="2584" w:name="_973288e1_5dc3_4720_9e5e_27b346c825a9"/>
      <w:bookmarkEnd w:id="2583"/>
      <w:bookmarkEnd w:id="2584"/>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4157" w:type="dxa"/>
        <w:jc w:val="left"/>
        <w:tblInd w:w="0" w:type="dxa"/>
        <w:tblLayout w:type="fixed"/>
        <w:tblCellMar>
          <w:top w:w="0" w:type="dxa"/>
          <w:left w:w="0" w:type="dxa"/>
          <w:bottom w:w="0" w:type="dxa"/>
          <w:right w:w="0" w:type="dxa"/>
        </w:tblCellMar>
      </w:tblPr>
      <w:tblGrid>
        <w:gridCol w:w="2086"/>
        <w:gridCol w:w="2071"/>
      </w:tblGrid>
      <w:tr>
        <w:trPr/>
        <w:tc>
          <w:tcPr>
            <w:tcW w:w="208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MATSON, INC.</w:t>
            </w:r>
          </w:p>
        </w:tc>
      </w:tr>
      <w:tr>
        <w:trPr/>
        <w:tc>
          <w:tcPr>
            <w:tcW w:w="208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208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2026</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J. Cox</w:t>
            </w:r>
          </w:p>
        </w:tc>
      </w:tr>
      <w:tr>
        <w:trPr/>
        <w:tc>
          <w:tcPr>
            <w:tcW w:w="208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Matthew J. Cox</w:t>
            </w:r>
          </w:p>
        </w:tc>
      </w:tr>
      <w:tr>
        <w:trPr/>
        <w:tc>
          <w:tcPr>
            <w:tcW w:w="208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Chairman and </w:t>
            </w:r>
          </w:p>
        </w:tc>
      </w:tr>
      <w:tr>
        <w:trPr/>
        <w:tc>
          <w:tcPr>
            <w:tcW w:w="208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in the capacities and on the dates indicated.</w:t>
      </w:r>
    </w:p>
    <w:p>
      <w:pPr>
        <w:pStyle w:val="TextBody"/>
        <w:bidi w:val="0"/>
        <w:spacing w:before="0" w:after="0"/>
        <w:ind w:left="0" w:right="0" w:hanging="0"/>
        <w:jc w:val="left"/>
        <w:rPr/>
      </w:pPr>
      <w:r>
        <w:rPr/>
        <w:t>​</w:t>
      </w:r>
    </w:p>
    <w:tbl>
      <w:tblPr>
        <w:tblW w:w="8336" w:type="dxa"/>
        <w:jc w:val="left"/>
        <w:tblInd w:w="0" w:type="dxa"/>
        <w:tblLayout w:type="fixed"/>
        <w:tblCellMar>
          <w:top w:w="0" w:type="dxa"/>
          <w:left w:w="0" w:type="dxa"/>
          <w:bottom w:w="28" w:type="dxa"/>
          <w:right w:w="0" w:type="dxa"/>
        </w:tblCellMar>
      </w:tblPr>
      <w:tblGrid>
        <w:gridCol w:w="2086"/>
        <w:gridCol w:w="109"/>
        <w:gridCol w:w="4396"/>
        <w:gridCol w:w="109"/>
        <w:gridCol w:w="1636"/>
      </w:tblGrid>
      <w:tr>
        <w:trPr/>
        <w:tc>
          <w:tcPr>
            <w:tcW w:w="20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109" w:type="dxa"/>
            <w:tcBorders>
              <w:bottom w:val="single" w:sz="2" w:space="0" w:color="000000"/>
            </w:tcBorders>
            <w:vAlign w:val="center"/>
          </w:tcPr>
          <w:p>
            <w:pPr>
              <w:pStyle w:val="TableContents"/>
              <w:bidi w:val="0"/>
              <w:spacing w:before="0" w:after="0"/>
              <w:ind w:left="0" w:right="0" w:hanging="0"/>
              <w:jc w:val="center"/>
              <w:rPr>
                <w:shd w:fill="FFFF00" w:val="clear"/>
              </w:rPr>
            </w:pPr>
            <w:r>
              <w:rPr>
                <w:shd w:fill="FFFF00" w:val="clear"/>
              </w:rPr>
              <w:t>​</w:t>
            </w:r>
          </w:p>
        </w:tc>
        <w:tc>
          <w:tcPr>
            <w:tcW w:w="43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109" w:type="dxa"/>
            <w:tcBorders>
              <w:bottom w:val="single" w:sz="2" w:space="0" w:color="000000"/>
            </w:tcBorders>
            <w:vAlign w:val="center"/>
          </w:tcPr>
          <w:p>
            <w:pPr>
              <w:pStyle w:val="TableContents"/>
              <w:bidi w:val="0"/>
              <w:spacing w:before="0" w:after="0"/>
              <w:ind w:left="0" w:right="0" w:hanging="0"/>
              <w:jc w:val="center"/>
              <w:rPr/>
            </w:pPr>
            <w:r>
              <w:rPr/>
              <w:t>​</w:t>
            </w:r>
          </w:p>
        </w:tc>
        <w:tc>
          <w:tcPr>
            <w:tcW w:w="16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0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0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Chairman and Chief Executive Officer </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2026</w:t>
            </w:r>
          </w:p>
        </w:tc>
      </w:tr>
      <w:tr>
        <w:trPr/>
        <w:tc>
          <w:tcPr>
            <w:tcW w:w="20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Meredith J. Ching</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2026</w:t>
            </w:r>
          </w:p>
        </w:tc>
      </w:tr>
      <w:tr>
        <w:trPr/>
        <w:tc>
          <w:tcPr>
            <w:tcW w:w="20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Meredith J. Ching</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H. Fukunaga</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2026</w:t>
            </w:r>
          </w:p>
        </w:tc>
      </w:tr>
      <w:tr>
        <w:trPr/>
        <w:tc>
          <w:tcPr>
            <w:tcW w:w="20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H. Fukunaga</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Stanley M. Kuriyama</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2026</w:t>
            </w:r>
          </w:p>
        </w:tc>
      </w:tr>
      <w:tr>
        <w:trPr/>
        <w:tc>
          <w:tcPr>
            <w:tcW w:w="20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Stanley M. Kuriyama</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Constance H. Lau</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2026</w:t>
            </w:r>
          </w:p>
        </w:tc>
      </w:tr>
      <w:tr>
        <w:trPr/>
        <w:tc>
          <w:tcPr>
            <w:tcW w:w="20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Constance H. Lau</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Bradley D. Tilden</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2026</w:t>
            </w:r>
          </w:p>
        </w:tc>
      </w:tr>
      <w:tr>
        <w:trPr/>
        <w:tc>
          <w:tcPr>
            <w:tcW w:w="20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Bradley D. Tilden</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Jenai S. Wall</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2026</w:t>
            </w:r>
          </w:p>
        </w:tc>
      </w:tr>
      <w:tr>
        <w:trPr/>
        <w:tc>
          <w:tcPr>
            <w:tcW w:w="20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Jenai S. Wall</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2026</w:t>
            </w:r>
          </w:p>
        </w:tc>
      </w:tr>
      <w:tr>
        <w:trPr/>
        <w:tc>
          <w:tcPr>
            <w:tcW w:w="20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L. Stuck</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Vice President and Controller </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2026</w:t>
            </w:r>
          </w:p>
        </w:tc>
      </w:tr>
      <w:tr>
        <w:trPr/>
        <w:tc>
          <w:tcPr>
            <w:tcW w:w="20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L. Stuck</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lineRule="auto" w:line="285" w:before="0" w:after="120"/>
        <w:ind w:left="0" w:right="0" w:hanging="0"/>
        <w:jc w:val="right"/>
        <w:rPr>
          <w:rFonts w:ascii="Times New Roman;Times;serif" w:hAnsi="Times New Roman;Times;serif"/>
          <w:b/>
          <w:sz w:val="20"/>
        </w:rPr>
      </w:pPr>
      <w:bookmarkStart w:id="2585" w:name="matx-20251231xex21.htm"/>
      <w:bookmarkStart w:id="2586" w:name="ksmatx20251231xex21"/>
      <w:bookmarkEnd w:id="2585"/>
      <w:bookmarkEnd w:id="2586"/>
      <w:r>
        <w:rPr>
          <w:rFonts w:ascii="Times New Roman;Times;serif" w:hAnsi="Times New Roman;Times;serif"/>
          <w:b/>
          <w:sz w:val="20"/>
        </w:rPr>
        <w:t>EXHIBIT 21</w:t>
      </w:r>
      <w:r>
        <w:br w:type="page"/>
      </w:r>
    </w:p>
    <w:p>
      <w:pPr>
        <w:pStyle w:val="TextBody"/>
        <w:bidi w:val="0"/>
        <w:spacing w:lineRule="auto" w:line="285" w:before="0" w:after="120"/>
        <w:ind w:left="0" w:right="0" w:hanging="0"/>
        <w:jc w:val="center"/>
        <w:rPr>
          <w:rFonts w:ascii="Times New Roman;Times;serif" w:hAnsi="Times New Roman;Times;serif"/>
          <w:b/>
          <w:sz w:val="20"/>
        </w:rPr>
      </w:pPr>
      <w:r>
        <w:rPr>
          <w:rFonts w:ascii="Times New Roman;Times;serif" w:hAnsi="Times New Roman;Times;serif"/>
          <w:b/>
          <w:sz w:val="20"/>
        </w:rPr>
        <w:t>MATSON, INC.</w:t>
      </w:r>
    </w:p>
    <w:p>
      <w:pPr>
        <w:pStyle w:val="TextBody"/>
        <w:bidi w:val="0"/>
        <w:spacing w:lineRule="auto" w:line="285" w:before="0" w:after="120"/>
        <w:ind w:left="0" w:right="0" w:hanging="0"/>
        <w:jc w:val="center"/>
        <w:rPr>
          <w:rFonts w:ascii="Times New Roman;Times;serif" w:hAnsi="Times New Roman;Times;serif"/>
          <w:b/>
          <w:sz w:val="20"/>
        </w:rPr>
      </w:pPr>
      <w:r>
        <w:rPr>
          <w:rFonts w:ascii="Times New Roman;Times;serif" w:hAnsi="Times New Roman;Times;serif"/>
          <w:b/>
          <w:sz w:val="20"/>
        </w:rPr>
        <w:t>Subsidiaries as of December 31, 2025</w:t>
      </w:r>
    </w:p>
    <w:p>
      <w:pPr>
        <w:pStyle w:val="TextBody"/>
        <w:bidi w:val="0"/>
        <w:spacing w:lineRule="auto" w:line="285" w:before="100" w:after="100"/>
        <w:ind w:left="0" w:right="0" w:hanging="0"/>
        <w:jc w:val="center"/>
        <w:rPr/>
      </w:pPr>
      <w:r>
        <w:rPr/>
        <w:t>​</w:t>
      </w:r>
    </w:p>
    <w:tbl>
      <w:tblPr>
        <w:tblW w:w="5698" w:type="dxa"/>
        <w:jc w:val="left"/>
        <w:tblInd w:w="0" w:type="dxa"/>
        <w:tblLayout w:type="fixed"/>
        <w:tblCellMar>
          <w:top w:w="0" w:type="dxa"/>
          <w:left w:w="0" w:type="dxa"/>
          <w:bottom w:w="0" w:type="dxa"/>
          <w:right w:w="0" w:type="dxa"/>
        </w:tblCellMar>
      </w:tblPr>
      <w:tblGrid>
        <w:gridCol w:w="3811"/>
        <w:gridCol w:w="146"/>
        <w:gridCol w:w="174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92710" cy="29210"/>
                      <wp:effectExtent l="0" t="0" r="0" b="0"/>
                      <wp:wrapNone/>
                      <wp:docPr id="878" name="Frame875"/>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p>
        </w:tc>
      </w:tr>
      <w:tr>
        <w:trPr/>
        <w:tc>
          <w:tcPr>
            <w:tcW w:w="381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ABHI-Crockett, Inc.</w:t>
            </w:r>
          </w:p>
        </w:tc>
        <w:tc>
          <w:tcPr>
            <w:tcW w:w="146" w:type="dxa"/>
            <w:tcBorders/>
            <w:shd w:fill="CCEEFF" w:val="clear"/>
            <w:vAlign w:val="center"/>
          </w:tcPr>
          <w:p>
            <w:pPr>
              <w:pStyle w:val="TableContents"/>
              <w:bidi w:val="0"/>
              <w:spacing w:lineRule="auto" w:line="304" w:before="0" w:after="0"/>
              <w:ind w:left="0" w:right="0" w:hanging="0"/>
              <w:jc w:val="left"/>
              <w:rPr/>
            </w:pPr>
            <w:r>
              <w:rPr/>
              <w:t> </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Hawaii</w:t>
            </w:r>
          </w:p>
        </w:tc>
      </w:tr>
      <w:tr>
        <w:trPr/>
        <w:tc>
          <w:tcPr>
            <w:tcW w:w="381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Navigation Company, Inc.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Hawaii</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shd w:fill="CCEEFF" w:val="clear"/>
            <w:vAlign w:val="center"/>
          </w:tcPr>
          <w:p>
            <w:pPr>
              <w:pStyle w:val="TableContents"/>
              <w:bidi w:val="0"/>
              <w:spacing w:lineRule="auto" w:line="304" w:before="0" w:after="0"/>
              <w:ind w:left="0" w:right="0" w:hanging="0"/>
              <w:jc w:val="left"/>
              <w:rPr/>
            </w:pPr>
            <w:r>
              <w:rPr/>
              <w:t> </w:t>
            </w:r>
          </w:p>
        </w:tc>
        <w:tc>
          <w:tcPr>
            <w:tcW w:w="1741" w:type="dxa"/>
            <w:tcBorders/>
            <w:shd w:fill="CCEEFF" w:val="clear"/>
            <w:vAlign w:val="center"/>
          </w:tcPr>
          <w:p>
            <w:pPr>
              <w:pStyle w:val="TableContents"/>
              <w:bidi w:val="0"/>
              <w:spacing w:lineRule="auto" w:line="304" w:before="0" w:after="0"/>
              <w:ind w:left="0" w:right="0" w:hanging="0"/>
              <w:jc w:val="left"/>
              <w:rPr/>
            </w:pPr>
            <w:r>
              <w:rPr/>
              <w:t> </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Alaska, Inc.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285" w:before="0" w:after="0"/>
              <w:ind w:left="0" w:right="0" w:hanging="0"/>
              <w:jc w:val="left"/>
              <w:rPr/>
            </w:pPr>
            <w:r>
              <w:rPr/>
              <w:t>​</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Lines Holding Corp.</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285" w:before="0" w:after="0"/>
              <w:ind w:left="0" w:right="0" w:hanging="0"/>
              <w:jc w:val="left"/>
              <w:rPr/>
            </w:pPr>
            <w:r>
              <w:rPr/>
              <w:t>​</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Lines of Puerto Rico, LLC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HLPR Holding Corp.</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Logistics, LLC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285" w:before="0" w:after="0"/>
              <w:ind w:left="0" w:right="0" w:hanging="0"/>
              <w:jc w:val="left"/>
              <w:rPr/>
            </w:pPr>
            <w:r>
              <w:rPr/>
              <w:t>​</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Services Group, LLC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Aero Logistics, LLC</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Lines, LLC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285" w:before="0" w:after="0"/>
              <w:ind w:left="0" w:right="0" w:hanging="0"/>
              <w:jc w:val="left"/>
              <w:rPr/>
            </w:pPr>
            <w:r>
              <w:rPr/>
              <w:t>​</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Lines of Guam, LLC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Lines Vessels, LLC</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H-L Distribution Service, LLC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Navigation Company of Alaska, LLC</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285" w:before="0" w:after="0"/>
              <w:ind w:left="0" w:right="0" w:hanging="0"/>
              <w:jc w:val="left"/>
              <w:rPr/>
            </w:pPr>
            <w:r>
              <w:rPr/>
              <w:t>​</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Lines Merchant Vessels, LLC</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285" w:before="0" w:after="0"/>
              <w:ind w:left="0" w:right="0" w:hanging="0"/>
              <w:jc w:val="left"/>
              <w:rPr/>
            </w:pPr>
            <w:r>
              <w:rPr/>
              <w:t>​</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Lines Alaska Vessels, LLC</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Horizon Lines Alaska Terminals, LLC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Logistics, Inc.</w:t>
            </w:r>
          </w:p>
        </w:tc>
        <w:tc>
          <w:tcPr>
            <w:tcW w:w="146" w:type="dxa"/>
            <w:tcBorders/>
            <w:shd w:fill="CCEEFF" w:val="clear"/>
            <w:vAlign w:val="center"/>
          </w:tcPr>
          <w:p>
            <w:pPr>
              <w:pStyle w:val="TableContents"/>
              <w:bidi w:val="0"/>
              <w:spacing w:lineRule="auto" w:line="304" w:before="0" w:after="0"/>
              <w:ind w:left="0" w:right="0" w:hanging="0"/>
              <w:jc w:val="left"/>
              <w:rPr/>
            </w:pPr>
            <w:r>
              <w:rPr/>
              <w:t> </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Hawaii</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vAlign w:val="center"/>
          </w:tcPr>
          <w:p>
            <w:pPr>
              <w:pStyle w:val="TableContents"/>
              <w:bidi w:val="0"/>
              <w:spacing w:lineRule="auto" w:line="304" w:before="0" w:after="0"/>
              <w:ind w:left="0" w:right="0" w:hanging="0"/>
              <w:jc w:val="left"/>
              <w:rPr/>
            </w:pPr>
            <w:r>
              <w:rPr/>
              <w:t> </w:t>
            </w:r>
          </w:p>
        </w:tc>
        <w:tc>
          <w:tcPr>
            <w:tcW w:w="1741" w:type="dxa"/>
            <w:tcBorders/>
            <w:vAlign w:val="center"/>
          </w:tcPr>
          <w:p>
            <w:pPr>
              <w:pStyle w:val="TableContents"/>
              <w:bidi w:val="0"/>
              <w:spacing w:lineRule="auto" w:line="304" w:before="0" w:after="0"/>
              <w:ind w:left="0" w:right="0" w:hanging="0"/>
              <w:jc w:val="left"/>
              <w:rPr/>
            </w:pPr>
            <w:r>
              <w:rPr/>
              <w:t> </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Logistics Services, LLC</w:t>
            </w:r>
          </w:p>
        </w:tc>
        <w:tc>
          <w:tcPr>
            <w:tcW w:w="146" w:type="dxa"/>
            <w:tcBorders/>
            <w:shd w:fill="CCEEFF" w:val="clear"/>
            <w:vAlign w:val="center"/>
          </w:tcPr>
          <w:p>
            <w:pPr>
              <w:pStyle w:val="TableContents"/>
              <w:bidi w:val="0"/>
              <w:spacing w:lineRule="auto" w:line="304" w:before="0" w:after="0"/>
              <w:ind w:left="0" w:right="0" w:hanging="0"/>
              <w:jc w:val="left"/>
              <w:rPr/>
            </w:pPr>
            <w:r>
              <w:rPr/>
              <w:t> </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Hawaii</w:t>
            </w:r>
          </w:p>
        </w:tc>
      </w:tr>
      <w:tr>
        <w:trPr/>
        <w:tc>
          <w:tcPr>
            <w:tcW w:w="3811" w:type="dxa"/>
            <w:tcBorders/>
            <w:shd w:fill="FFFF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Logistics, MX, S. de R.L. de C.V.</w:t>
            </w:r>
          </w:p>
        </w:tc>
        <w:tc>
          <w:tcPr>
            <w:tcW w:w="146" w:type="dxa"/>
            <w:tcBorders/>
            <w:shd w:fill="FFFFFF" w:val="clear"/>
            <w:vAlign w:val="center"/>
          </w:tcPr>
          <w:p>
            <w:pPr>
              <w:pStyle w:val="TableContents"/>
              <w:bidi w:val="0"/>
              <w:spacing w:lineRule="auto" w:line="285" w:before="0" w:after="0"/>
              <w:ind w:left="0" w:right="0" w:hanging="0"/>
              <w:jc w:val="left"/>
              <w:rPr/>
            </w:pPr>
            <w:r>
              <w:rPr/>
              <w:t>​</w:t>
            </w:r>
          </w:p>
        </w:tc>
        <w:tc>
          <w:tcPr>
            <w:tcW w:w="17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Mexico</w:t>
            </w:r>
          </w:p>
        </w:tc>
      </w:tr>
      <w:tr>
        <w:trPr/>
        <w:tc>
          <w:tcPr>
            <w:tcW w:w="3811" w:type="dxa"/>
            <w:tcBorders/>
            <w:shd w:fill="CCEC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Logistics Warehousing, Inc.</w:t>
            </w:r>
          </w:p>
        </w:tc>
        <w:tc>
          <w:tcPr>
            <w:tcW w:w="146" w:type="dxa"/>
            <w:tcBorders/>
            <w:shd w:fill="CCECFF" w:val="clear"/>
            <w:vAlign w:val="center"/>
          </w:tcPr>
          <w:p>
            <w:pPr>
              <w:pStyle w:val="TableContents"/>
              <w:bidi w:val="0"/>
              <w:spacing w:lineRule="auto" w:line="304" w:before="0" w:after="0"/>
              <w:ind w:left="0" w:right="0" w:hanging="0"/>
              <w:jc w:val="left"/>
              <w:rPr/>
            </w:pPr>
            <w:r>
              <w:rPr/>
              <w:t> </w:t>
            </w:r>
          </w:p>
        </w:tc>
        <w:tc>
          <w:tcPr>
            <w:tcW w:w="1741" w:type="dxa"/>
            <w:tcBorders/>
            <w:shd w:fill="CCEC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Hawaii</w:t>
            </w:r>
          </w:p>
        </w:tc>
      </w:tr>
      <w:tr>
        <w:trPr/>
        <w:tc>
          <w:tcPr>
            <w:tcW w:w="3811" w:type="dxa"/>
            <w:tcBorders/>
            <w:shd w:fill="FFFF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Span Intermediate, LLC</w:t>
            </w:r>
          </w:p>
        </w:tc>
        <w:tc>
          <w:tcPr>
            <w:tcW w:w="146" w:type="dxa"/>
            <w:tcBorders/>
            <w:shd w:fill="FFFFFF" w:val="clear"/>
            <w:vAlign w:val="center"/>
          </w:tcPr>
          <w:p>
            <w:pPr>
              <w:pStyle w:val="TableContents"/>
              <w:bidi w:val="0"/>
              <w:spacing w:lineRule="auto" w:line="285" w:before="0" w:after="0"/>
              <w:ind w:left="0" w:right="0" w:hanging="0"/>
              <w:jc w:val="left"/>
              <w:rPr/>
            </w:pPr>
            <w:r>
              <w:rPr/>
              <w:t>​</w:t>
            </w:r>
          </w:p>
        </w:tc>
        <w:tc>
          <w:tcPr>
            <w:tcW w:w="17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C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Subsidiary:</w:t>
            </w:r>
          </w:p>
        </w:tc>
        <w:tc>
          <w:tcPr>
            <w:tcW w:w="146" w:type="dxa"/>
            <w:tcBorders/>
            <w:shd w:fill="CCECFF" w:val="clear"/>
            <w:vAlign w:val="center"/>
          </w:tcPr>
          <w:p>
            <w:pPr>
              <w:pStyle w:val="TableContents"/>
              <w:bidi w:val="0"/>
              <w:spacing w:lineRule="auto" w:line="285" w:before="0" w:after="0"/>
              <w:ind w:left="0" w:right="0" w:hanging="0"/>
              <w:jc w:val="left"/>
              <w:rPr/>
            </w:pPr>
            <w:r>
              <w:rPr/>
              <w:t>​</w:t>
            </w:r>
          </w:p>
        </w:tc>
        <w:tc>
          <w:tcPr>
            <w:tcW w:w="1741" w:type="dxa"/>
            <w:tcBorders/>
            <w:shd w:fill="CCECFF" w:val="clear"/>
            <w:vAlign w:val="center"/>
          </w:tcPr>
          <w:p>
            <w:pPr>
              <w:pStyle w:val="TableContents"/>
              <w:bidi w:val="0"/>
              <w:spacing w:lineRule="auto" w:line="285" w:before="0" w:after="0"/>
              <w:ind w:left="0" w:right="0" w:hanging="0"/>
              <w:jc w:val="left"/>
              <w:rPr/>
            </w:pPr>
            <w:r>
              <w:rPr/>
              <w:t>​</w:t>
            </w:r>
          </w:p>
        </w:tc>
      </w:tr>
      <w:tr>
        <w:trPr/>
        <w:tc>
          <w:tcPr>
            <w:tcW w:w="3811" w:type="dxa"/>
            <w:tcBorders/>
            <w:shd w:fill="FFFF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Span Acquisition Co., LLC</w:t>
            </w:r>
          </w:p>
        </w:tc>
        <w:tc>
          <w:tcPr>
            <w:tcW w:w="146" w:type="dxa"/>
            <w:tcBorders/>
            <w:shd w:fill="FFFFFF" w:val="clear"/>
            <w:vAlign w:val="center"/>
          </w:tcPr>
          <w:p>
            <w:pPr>
              <w:pStyle w:val="TableContents"/>
              <w:bidi w:val="0"/>
              <w:spacing w:lineRule="auto" w:line="285" w:before="0" w:after="0"/>
              <w:ind w:left="0" w:right="0" w:hanging="0"/>
              <w:jc w:val="left"/>
              <w:rPr/>
            </w:pPr>
            <w:r>
              <w:rPr/>
              <w:t>​</w:t>
            </w:r>
          </w:p>
        </w:tc>
        <w:tc>
          <w:tcPr>
            <w:tcW w:w="17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C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shd w:fill="CCECFF" w:val="clear"/>
            <w:vAlign w:val="center"/>
          </w:tcPr>
          <w:p>
            <w:pPr>
              <w:pStyle w:val="TableContents"/>
              <w:bidi w:val="0"/>
              <w:spacing w:lineRule="auto" w:line="285" w:before="0" w:after="0"/>
              <w:ind w:left="0" w:right="0" w:hanging="0"/>
              <w:jc w:val="left"/>
              <w:rPr/>
            </w:pPr>
            <w:r>
              <w:rPr/>
              <w:t>​</w:t>
            </w:r>
          </w:p>
        </w:tc>
        <w:tc>
          <w:tcPr>
            <w:tcW w:w="1741" w:type="dxa"/>
            <w:tcBorders/>
            <w:shd w:fill="CCECFF" w:val="clear"/>
            <w:vAlign w:val="center"/>
          </w:tcPr>
          <w:p>
            <w:pPr>
              <w:pStyle w:val="TableContents"/>
              <w:bidi w:val="0"/>
              <w:spacing w:lineRule="auto" w:line="285" w:before="0" w:after="0"/>
              <w:ind w:left="0" w:right="0" w:hanging="0"/>
              <w:jc w:val="left"/>
              <w:rPr/>
            </w:pPr>
            <w:r>
              <w:rPr/>
              <w:t>​</w:t>
            </w:r>
          </w:p>
        </w:tc>
      </w:tr>
      <w:tr>
        <w:trPr/>
        <w:tc>
          <w:tcPr>
            <w:tcW w:w="3811" w:type="dxa"/>
            <w:tcBorders/>
            <w:shd w:fill="FFFF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Span-Alaska Transportation, LLC</w:t>
            </w:r>
          </w:p>
        </w:tc>
        <w:tc>
          <w:tcPr>
            <w:tcW w:w="146" w:type="dxa"/>
            <w:tcBorders/>
            <w:shd w:fill="FFFFFF" w:val="clear"/>
            <w:vAlign w:val="center"/>
          </w:tcPr>
          <w:p>
            <w:pPr>
              <w:pStyle w:val="TableContents"/>
              <w:bidi w:val="0"/>
              <w:spacing w:lineRule="auto" w:line="285" w:before="0" w:after="0"/>
              <w:ind w:left="0" w:right="0" w:hanging="0"/>
              <w:jc w:val="left"/>
              <w:rPr/>
            </w:pPr>
            <w:r>
              <w:rPr/>
              <w:t>​</w:t>
            </w:r>
          </w:p>
        </w:tc>
        <w:tc>
          <w:tcPr>
            <w:tcW w:w="17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Washington</w:t>
            </w:r>
          </w:p>
        </w:tc>
      </w:tr>
      <w:tr>
        <w:trPr/>
        <w:tc>
          <w:tcPr>
            <w:tcW w:w="3811" w:type="dxa"/>
            <w:tcBorders/>
            <w:shd w:fill="CCEC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 xml:space="preserve">Alaska Freight Express, LLC </w:t>
            </w:r>
          </w:p>
        </w:tc>
        <w:tc>
          <w:tcPr>
            <w:tcW w:w="146" w:type="dxa"/>
            <w:tcBorders/>
            <w:shd w:fill="CCECFF" w:val="clear"/>
            <w:vAlign w:val="center"/>
          </w:tcPr>
          <w:p>
            <w:pPr>
              <w:pStyle w:val="TableContents"/>
              <w:bidi w:val="0"/>
              <w:spacing w:lineRule="auto" w:line="285" w:before="0" w:after="0"/>
              <w:ind w:left="0" w:right="0" w:hanging="0"/>
              <w:jc w:val="left"/>
              <w:rPr/>
            </w:pPr>
            <w:r>
              <w:rPr/>
              <w:t>​</w:t>
            </w:r>
          </w:p>
        </w:tc>
        <w:tc>
          <w:tcPr>
            <w:tcW w:w="1741" w:type="dxa"/>
            <w:tcBorders/>
            <w:shd w:fill="CCEC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Washington</w:t>
            </w:r>
          </w:p>
        </w:tc>
      </w:tr>
      <w:tr>
        <w:trPr/>
        <w:tc>
          <w:tcPr>
            <w:tcW w:w="3811" w:type="dxa"/>
            <w:tcBorders/>
            <w:shd w:fill="FFFF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Midnight Sun Transportation Services, LLC</w:t>
            </w:r>
          </w:p>
        </w:tc>
        <w:tc>
          <w:tcPr>
            <w:tcW w:w="146" w:type="dxa"/>
            <w:tcBorders/>
            <w:shd w:fill="FFFFFF" w:val="clear"/>
            <w:vAlign w:val="center"/>
          </w:tcPr>
          <w:p>
            <w:pPr>
              <w:pStyle w:val="TableContents"/>
              <w:bidi w:val="0"/>
              <w:spacing w:lineRule="auto" w:line="285" w:before="0" w:after="0"/>
              <w:ind w:left="0" w:right="0" w:hanging="0"/>
              <w:jc w:val="left"/>
              <w:rPr/>
            </w:pPr>
            <w:r>
              <w:rPr/>
              <w:t>​</w:t>
            </w:r>
          </w:p>
        </w:tc>
        <w:tc>
          <w:tcPr>
            <w:tcW w:w="17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Alaska</w:t>
            </w:r>
          </w:p>
        </w:tc>
      </w:tr>
      <w:tr>
        <w:trPr/>
        <w:tc>
          <w:tcPr>
            <w:tcW w:w="3811" w:type="dxa"/>
            <w:tcBorders/>
            <w:shd w:fill="CCEC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AERAS Technologies, LLC</w:t>
            </w:r>
          </w:p>
        </w:tc>
        <w:tc>
          <w:tcPr>
            <w:tcW w:w="146" w:type="dxa"/>
            <w:tcBorders/>
            <w:shd w:fill="CCECFF" w:val="clear"/>
            <w:vAlign w:val="center"/>
          </w:tcPr>
          <w:p>
            <w:pPr>
              <w:pStyle w:val="TableContents"/>
              <w:bidi w:val="0"/>
              <w:spacing w:lineRule="auto" w:line="285" w:before="0" w:after="0"/>
              <w:ind w:left="0" w:right="0" w:hanging="0"/>
              <w:jc w:val="left"/>
              <w:rPr/>
            </w:pPr>
            <w:r>
              <w:rPr/>
              <w:t>​</w:t>
            </w:r>
          </w:p>
        </w:tc>
        <w:tc>
          <w:tcPr>
            <w:tcW w:w="1741" w:type="dxa"/>
            <w:tcBorders/>
            <w:shd w:fill="CCEC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California</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Navigation Vessels, LLC</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Delaware</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Terminals, Inc.</w:t>
            </w:r>
          </w:p>
        </w:tc>
        <w:tc>
          <w:tcPr>
            <w:tcW w:w="146" w:type="dxa"/>
            <w:tcBorders/>
            <w:shd w:fill="CCEEFF" w:val="clear"/>
            <w:vAlign w:val="center"/>
          </w:tcPr>
          <w:p>
            <w:pPr>
              <w:pStyle w:val="TableContents"/>
              <w:bidi w:val="0"/>
              <w:spacing w:lineRule="auto" w:line="304" w:before="0" w:after="0"/>
              <w:ind w:left="0" w:right="0" w:hanging="0"/>
              <w:jc w:val="left"/>
              <w:rPr/>
            </w:pPr>
            <w:r>
              <w:rPr/>
              <w:t> </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Hawaii</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Ventures, Inc.</w:t>
            </w:r>
          </w:p>
        </w:tc>
        <w:tc>
          <w:tcPr>
            <w:tcW w:w="146" w:type="dxa"/>
            <w:tcBorders/>
            <w:vAlign w:val="center"/>
          </w:tcPr>
          <w:p>
            <w:pPr>
              <w:pStyle w:val="TableContents"/>
              <w:bidi w:val="0"/>
              <w:spacing w:lineRule="auto" w:line="304" w:before="0" w:after="0"/>
              <w:ind w:left="0" w:right="0" w:hanging="0"/>
              <w:jc w:val="left"/>
              <w:rPr/>
            </w:pPr>
            <w:r>
              <w:rPr/>
              <w:t> </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Hawaii</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Logistics (Shanghai) Co., Ltd.</w:t>
            </w:r>
          </w:p>
        </w:tc>
        <w:tc>
          <w:tcPr>
            <w:tcW w:w="146" w:type="dxa"/>
            <w:tcBorders/>
            <w:shd w:fill="CCEEFF" w:val="clear"/>
            <w:vAlign w:val="center"/>
          </w:tcPr>
          <w:p>
            <w:pPr>
              <w:pStyle w:val="TableContents"/>
              <w:bidi w:val="0"/>
              <w:spacing w:lineRule="auto" w:line="304" w:before="0" w:after="0"/>
              <w:ind w:left="0" w:right="0" w:hanging="0"/>
              <w:jc w:val="left"/>
              <w:rPr/>
            </w:pPr>
            <w:r>
              <w:rPr/>
              <w:t> </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China</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Shipping (Hong Kong) Limited</w:t>
            </w:r>
          </w:p>
        </w:tc>
        <w:tc>
          <w:tcPr>
            <w:tcW w:w="146" w:type="dxa"/>
            <w:tcBorders/>
            <w:vAlign w:val="center"/>
          </w:tcPr>
          <w:p>
            <w:pPr>
              <w:pStyle w:val="TableContents"/>
              <w:bidi w:val="0"/>
              <w:spacing w:lineRule="auto" w:line="304" w:before="0" w:after="0"/>
              <w:ind w:left="0" w:right="0" w:hanging="0"/>
              <w:jc w:val="left"/>
              <w:rPr/>
            </w:pPr>
            <w:r>
              <w:rPr/>
              <w:t> </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Hong Kong</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Shipping (Shanghai) Co., Ltd.</w:t>
            </w:r>
          </w:p>
        </w:tc>
        <w:tc>
          <w:tcPr>
            <w:tcW w:w="146" w:type="dxa"/>
            <w:tcBorders/>
            <w:shd w:fill="CCEEFF" w:val="clear"/>
            <w:vAlign w:val="center"/>
          </w:tcPr>
          <w:p>
            <w:pPr>
              <w:pStyle w:val="TableContents"/>
              <w:bidi w:val="0"/>
              <w:spacing w:lineRule="auto" w:line="304" w:before="0" w:after="0"/>
              <w:ind w:left="0" w:right="0" w:hanging="0"/>
              <w:jc w:val="left"/>
              <w:rPr/>
            </w:pPr>
            <w:r>
              <w:rPr/>
              <w:t> </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China</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Logistics Limited</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Hong Kong</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Shipping Japan KK</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Japan</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South Pacific Holdco Limited</w:t>
            </w:r>
          </w:p>
        </w:tc>
        <w:tc>
          <w:tcPr>
            <w:tcW w:w="146" w:type="dxa"/>
            <w:tcBorders/>
            <w:vAlign w:val="center"/>
          </w:tcPr>
          <w:p>
            <w:pPr>
              <w:pStyle w:val="TableContents"/>
              <w:bidi w:val="0"/>
              <w:spacing w:lineRule="auto" w:line="304" w:before="0" w:after="0"/>
              <w:ind w:left="0" w:right="0" w:hanging="0"/>
              <w:jc w:val="left"/>
              <w:rPr/>
            </w:pPr>
            <w:r>
              <w:rPr/>
              <w:t> </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New Zealand</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Subsidiary:</w:t>
            </w:r>
          </w:p>
        </w:tc>
        <w:tc>
          <w:tcPr>
            <w:tcW w:w="146" w:type="dxa"/>
            <w:tcBorders/>
            <w:shd w:fill="CCEEFF" w:val="clear"/>
            <w:vAlign w:val="center"/>
          </w:tcPr>
          <w:p>
            <w:pPr>
              <w:pStyle w:val="TableContents"/>
              <w:bidi w:val="0"/>
              <w:spacing w:lineRule="auto" w:line="304" w:before="0" w:after="0"/>
              <w:ind w:left="0" w:right="0" w:hanging="0"/>
              <w:jc w:val="left"/>
              <w:rPr/>
            </w:pPr>
            <w:r>
              <w:rPr/>
              <w:t> </w:t>
            </w:r>
          </w:p>
        </w:tc>
        <w:tc>
          <w:tcPr>
            <w:tcW w:w="1741" w:type="dxa"/>
            <w:tcBorders/>
            <w:shd w:fill="CCEEFF" w:val="clear"/>
            <w:vAlign w:val="center"/>
          </w:tcPr>
          <w:p>
            <w:pPr>
              <w:pStyle w:val="TableContents"/>
              <w:bidi w:val="0"/>
              <w:spacing w:lineRule="auto" w:line="304" w:before="0" w:after="0"/>
              <w:ind w:left="0" w:right="0" w:hanging="0"/>
              <w:jc w:val="left"/>
              <w:rPr/>
            </w:pPr>
            <w:r>
              <w:rPr/>
              <w:t> </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Matson South Pacific Limited</w:t>
            </w:r>
          </w:p>
        </w:tc>
        <w:tc>
          <w:tcPr>
            <w:tcW w:w="146" w:type="dxa"/>
            <w:tcBorders/>
            <w:vAlign w:val="center"/>
          </w:tcPr>
          <w:p>
            <w:pPr>
              <w:pStyle w:val="TableContents"/>
              <w:bidi w:val="0"/>
              <w:spacing w:lineRule="auto" w:line="304" w:before="0" w:after="0"/>
              <w:ind w:left="0" w:right="0" w:hanging="0"/>
              <w:jc w:val="left"/>
              <w:rPr/>
            </w:pPr>
            <w:r>
              <w:rPr/>
              <w:t> </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New Zealand</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Subsidiaries:</w:t>
            </w:r>
          </w:p>
        </w:tc>
        <w:tc>
          <w:tcPr>
            <w:tcW w:w="146" w:type="dxa"/>
            <w:tcBorders/>
            <w:shd w:fill="CCEEFF" w:val="clear"/>
            <w:vAlign w:val="center"/>
          </w:tcPr>
          <w:p>
            <w:pPr>
              <w:pStyle w:val="TableContents"/>
              <w:bidi w:val="0"/>
              <w:spacing w:lineRule="auto" w:line="304" w:before="0" w:after="0"/>
              <w:ind w:left="0" w:right="0" w:hanging="0"/>
              <w:jc w:val="left"/>
              <w:rPr/>
            </w:pPr>
            <w:r>
              <w:rPr/>
              <w:t> </w:t>
            </w:r>
          </w:p>
        </w:tc>
        <w:tc>
          <w:tcPr>
            <w:tcW w:w="1741" w:type="dxa"/>
            <w:tcBorders/>
            <w:shd w:fill="CCEEFF" w:val="clear"/>
            <w:vAlign w:val="center"/>
          </w:tcPr>
          <w:p>
            <w:pPr>
              <w:pStyle w:val="TableContents"/>
              <w:bidi w:val="0"/>
              <w:spacing w:lineRule="auto" w:line="304" w:before="0" w:after="0"/>
              <w:ind w:left="0" w:right="0" w:hanging="0"/>
              <w:jc w:val="left"/>
              <w:rPr/>
            </w:pPr>
            <w:r>
              <w:rPr/>
              <w:t> </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Tranz Pacific Ship Management Limited</w:t>
            </w:r>
          </w:p>
        </w:tc>
        <w:tc>
          <w:tcPr>
            <w:tcW w:w="146" w:type="dxa"/>
            <w:tcBorders/>
            <w:vAlign w:val="center"/>
          </w:tcPr>
          <w:p>
            <w:pPr>
              <w:pStyle w:val="TableContents"/>
              <w:bidi w:val="0"/>
              <w:spacing w:lineRule="auto" w:line="304" w:before="0" w:after="0"/>
              <w:ind w:left="0" w:right="0" w:hanging="0"/>
              <w:jc w:val="left"/>
              <w:rPr/>
            </w:pPr>
            <w:r>
              <w:rPr/>
              <w:t> </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New Zealand</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Island Chief Shipping Limited</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Antigua &amp; Barbuda</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Liloa II Shipping Limited</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Antigua &amp; Barbuda</w:t>
            </w:r>
          </w:p>
        </w:tc>
      </w:tr>
      <w:tr>
        <w:trPr/>
        <w:tc>
          <w:tcPr>
            <w:tcW w:w="381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Olomana Shipping Limited</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74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Antigua &amp; Barbuda</w:t>
            </w:r>
          </w:p>
        </w:tc>
      </w:tr>
      <w:tr>
        <w:trPr/>
        <w:tc>
          <w:tcPr>
            <w:tcW w:w="3811"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Papa Mau Shipping Limited</w:t>
            </w:r>
          </w:p>
        </w:tc>
        <w:tc>
          <w:tcPr>
            <w:tcW w:w="146" w:type="dxa"/>
            <w:tcBorders/>
            <w:vAlign w:val="center"/>
          </w:tcPr>
          <w:p>
            <w:pPr>
              <w:pStyle w:val="TableContents"/>
              <w:bidi w:val="0"/>
              <w:spacing w:lineRule="auto" w:line="285" w:before="0" w:after="0"/>
              <w:ind w:left="0" w:right="0" w:hanging="0"/>
              <w:jc w:val="left"/>
              <w:rPr/>
            </w:pPr>
            <w:r>
              <w:rPr/>
              <w:t>​</w:t>
            </w:r>
          </w:p>
        </w:tc>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Antigua &amp; Barbuda</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587" w:name="matx-20251231xex23.htm"/>
      <w:bookmarkStart w:id="2588" w:name="ksmatx20251231xex23"/>
      <w:bookmarkEnd w:id="2587"/>
      <w:bookmarkEnd w:id="2588"/>
      <w:r>
        <w:rPr>
          <w:rFonts w:ascii="Times New Roman;Times;serif" w:hAnsi="Times New Roman;Times;serif"/>
          <w:b/>
          <w:sz w:val="20"/>
        </w:rPr>
        <w:t>EXHIBIT 23</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Registration Statement Nos. 333-258289, 333-212194 and 333-287001 on Form S-8 of our report dated February 27, 2026, relating to the consolidated financial statements of Matson, Inc. and subsidiaries and the effectiveness of Matson, Inc. and subsidiaries’ internal control over financial reporting appearing in this Annual Report on Form 10-K for the year ended December 31, 2025.</w:t>
      </w:r>
    </w:p>
    <w:p>
      <w:pPr>
        <w:pStyle w:val="TextBody"/>
        <w:bidi w:val="0"/>
        <w:spacing w:lineRule="auto" w:line="285" w:before="0" w:after="0"/>
        <w:ind w:left="0" w:right="0" w:hanging="0"/>
        <w:jc w:val="left"/>
        <w:rPr/>
      </w:pPr>
      <w:r>
        <w:rPr/>
        <w:t>​</w:t>
      </w:r>
    </w:p>
    <w:tbl>
      <w:tblPr>
        <w:tblW w:w="2420" w:type="dxa"/>
        <w:jc w:val="left"/>
        <w:tblInd w:w="0" w:type="dxa"/>
        <w:tblLayout w:type="fixed"/>
        <w:tblCellMar>
          <w:top w:w="0" w:type="dxa"/>
          <w:left w:w="0" w:type="dxa"/>
          <w:bottom w:w="0" w:type="dxa"/>
          <w:right w:w="0" w:type="dxa"/>
        </w:tblCellMar>
      </w:tblPr>
      <w:tblGrid>
        <w:gridCol w:w="2266"/>
        <w:gridCol w:w="154"/>
      </w:tblGrid>
      <w:tr>
        <w:trPr/>
        <w:tc>
          <w:tcPr>
            <w:tcW w:w="226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6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Honolulu, Hawaii</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27, 2026</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589" w:name="matx-20251231xex31d1.htm"/>
      <w:bookmarkStart w:id="2590" w:name="ksmatx20251231xex31d1"/>
      <w:bookmarkEnd w:id="2589"/>
      <w:bookmarkEnd w:id="2590"/>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Matthew J. Cox,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Annual Report on Form 10-K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3126" w:type="dxa"/>
        <w:jc w:val="left"/>
        <w:tblInd w:w="0" w:type="dxa"/>
        <w:tblLayout w:type="fixed"/>
        <w:tblCellMar>
          <w:top w:w="0" w:type="dxa"/>
          <w:left w:w="0" w:type="dxa"/>
          <w:bottom w:w="0" w:type="dxa"/>
          <w:right w:w="0" w:type="dxa"/>
        </w:tblCellMar>
      </w:tblPr>
      <w:tblGrid>
        <w:gridCol w:w="124"/>
        <w:gridCol w:w="346"/>
        <w:gridCol w:w="2656"/>
      </w:tblGrid>
      <w:tr>
        <w:trPr/>
        <w:tc>
          <w:tcPr>
            <w:tcW w:w="1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 Chairman and</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27, 2026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591" w:name="matx-20251231xex31d2.htm"/>
      <w:bookmarkStart w:id="2592" w:name="ksmatx20251231xex31d2"/>
      <w:bookmarkEnd w:id="2591"/>
      <w:bookmarkEnd w:id="2592"/>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Joel M. Wine,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Annual Report on Form 10-K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center"/>
        <w:rPr/>
      </w:pPr>
      <w:r>
        <w:rPr/>
        <w:t>​</w:t>
      </w:r>
    </w:p>
    <w:tbl>
      <w:tblPr>
        <w:tblW w:w="3831" w:type="dxa"/>
        <w:jc w:val="left"/>
        <w:tblInd w:w="0" w:type="dxa"/>
        <w:tblLayout w:type="fixed"/>
        <w:tblCellMar>
          <w:top w:w="0" w:type="dxa"/>
          <w:left w:w="0" w:type="dxa"/>
          <w:bottom w:w="0" w:type="dxa"/>
          <w:right w:w="0" w:type="dxa"/>
        </w:tblCellMar>
      </w:tblPr>
      <w:tblGrid>
        <w:gridCol w:w="124"/>
        <w:gridCol w:w="346"/>
        <w:gridCol w:w="3361"/>
      </w:tblGrid>
      <w:tr>
        <w:trPr/>
        <w:tc>
          <w:tcPr>
            <w:tcW w:w="1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6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 Executive Vice President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and Chief Financial Officer</w:t>
            </w:r>
          </w:p>
        </w:tc>
      </w:tr>
    </w:tbl>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27, 2026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593" w:name="matx-20251231xex32.htm"/>
      <w:bookmarkStart w:id="2594" w:name="ksmatx20251231xex32"/>
      <w:bookmarkEnd w:id="2593"/>
      <w:bookmarkEnd w:id="2594"/>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Matson, Inc. (the “Company”) on Form 10-K for the fiscal year ended December 31, 2025 as filed with the Securities and Exchange Commission on the date hereof (the “Report”), Matthew J. Cox, as Chairman and Chief Executive Officer of the Company, and Joel M. Wine, as Executive Vice President and Chief Financial Officer of the Company, hereby certify, pursuant to 18 U.S.C. Section 1350, as adopted pursuant to Section 906 of the Sarbanes-Oxley Act of 2002, that to their knowledge:</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(1)The Report fully complies with the requirements of Section 13(a) or 15(d) of the Securities Exchange Act of 1934; and</w:t>
      </w:r>
    </w:p>
    <w:p>
      <w:pPr>
        <w:pStyle w:val="TextBody"/>
        <w:bidi w:val="0"/>
        <w:spacing w:lineRule="auto" w:line="285" w:before="0" w:after="0"/>
        <w:ind w:left="0" w:right="0" w:firstLine="72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(2)The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tbl>
      <w:tblPr>
        <w:tblW w:w="5196" w:type="dxa"/>
        <w:jc w:val="left"/>
        <w:tblInd w:w="0" w:type="dxa"/>
        <w:tblLayout w:type="fixed"/>
        <w:tblCellMar>
          <w:top w:w="0" w:type="dxa"/>
          <w:left w:w="0" w:type="dxa"/>
          <w:bottom w:w="0" w:type="dxa"/>
          <w:right w:w="0" w:type="dxa"/>
        </w:tblCellMar>
      </w:tblPr>
      <w:tblGrid>
        <w:gridCol w:w="646"/>
        <w:gridCol w:w="4396"/>
        <w:gridCol w:w="154"/>
      </w:tblGrid>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27, 2026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vAlign w:val="center"/>
          </w:tcPr>
          <w:p>
            <w:pPr>
              <w:pStyle w:val="TableContents"/>
              <w:pBdr/>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27, 2026</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3453/000155837025001875/matx-20241231x10k.htm" TargetMode="External"/><Relationship Id="rId6" Type="http://schemas.openxmlformats.org/officeDocument/2006/relationships/hyperlink" Target="http://www.sec.gov/Archives/edgar/data/3453/000110465914079225/a14-24264_1ex2d1.htm" TargetMode="External"/><Relationship Id="rId7" Type="http://schemas.openxmlformats.org/officeDocument/2006/relationships/hyperlink" Target="http://www.sec.gov/Archives/edgar/data/3453/000110465915011288/a15-4783_1ex2d1.htm" TargetMode="External"/><Relationship Id="rId8" Type="http://schemas.openxmlformats.org/officeDocument/2006/relationships/hyperlink" Target="http://www.sec.gov/Archives/edgar/data/1302707/000119312514411216/d820290dex22.htm" TargetMode="External"/><Relationship Id="rId9" Type="http://schemas.openxmlformats.org/officeDocument/2006/relationships/hyperlink" Target="http://www.sec.gov/Archives/edgar/data/3453/000110465915056414/a15-12015_1ex2d2.htm" TargetMode="External"/><Relationship Id="rId10" Type="http://schemas.openxmlformats.org/officeDocument/2006/relationships/hyperlink" Target="http://www.sec.gov/Archives/edgar/data/3453/000110465912056234/a12-16487_1ex3d1.htm" TargetMode="External"/><Relationship Id="rId11" Type="http://schemas.openxmlformats.org/officeDocument/2006/relationships/hyperlink" Target="http://www.sec.gov/Archives/edgar/data/3453/000110465912071639/a12-24769_1ex4d2.htm" TargetMode="External"/><Relationship Id="rId12" Type="http://schemas.openxmlformats.org/officeDocument/2006/relationships/hyperlink" Target="http://www.sec.gov/Archives/edgar/data/3453/000110465913082371/a13-19562_1ex3d1.htm" TargetMode="External"/><Relationship Id="rId13" Type="http://schemas.openxmlformats.org/officeDocument/2006/relationships/hyperlink" Target="https://www.sec.gov/Archives/edgar/data/3453/000155837020001757/ex-4.htm" TargetMode="External"/><Relationship Id="rId14" Type="http://schemas.openxmlformats.org/officeDocument/2006/relationships/hyperlink" Target="https://www.sec.gov/Archives/edgar/data/3453/000155837025009928/matx-20250630xex10d3.htm" TargetMode="External"/><Relationship Id="rId15" Type="http://schemas.openxmlformats.org/officeDocument/2006/relationships/hyperlink" Target="http://www.sec.gov/Archives/edgar/data/3453/000110465917043034/a17-15994_1ex10d4.htm" TargetMode="External"/><Relationship Id="rId16" Type="http://schemas.openxmlformats.org/officeDocument/2006/relationships/hyperlink" Target="http://www.sec.gov/Archives/edgar/data/3453/000110465917043034/a17-15994_1ex10d5.htm" TargetMode="External"/><Relationship Id="rId17" Type="http://schemas.openxmlformats.org/officeDocument/2006/relationships/hyperlink" Target="http://www.sec.gov/Archives/edgar/data/3453/000110465916163397/a16-23408_1ex10d1.htm" TargetMode="External"/><Relationship Id="rId18" Type="http://schemas.openxmlformats.org/officeDocument/2006/relationships/hyperlink" Target="http://www.sec.gov/Archives/edgar/data/3453/000110465916144681/a16-18469_1ex10d1.htm" TargetMode="External"/><Relationship Id="rId19" Type="http://schemas.openxmlformats.org/officeDocument/2006/relationships/hyperlink" Target="https://www.sec.gov/Archives/edgar/data/3453/000155837020003631/ex-10d4.htm" TargetMode="External"/><Relationship Id="rId20" Type="http://schemas.openxmlformats.org/officeDocument/2006/relationships/hyperlink" Target="https://www.sec.gov/Archives/edgar/data/3453/000155837020003631/ex-10d5.htm" TargetMode="External"/><Relationship Id="rId21" Type="http://schemas.openxmlformats.org/officeDocument/2006/relationships/hyperlink" Target="https://www.sec.gov/Archives/edgar/data/3453/000155837025009928/matx-20250630xex10d5.htm" TargetMode="External"/><Relationship Id="rId22" Type="http://schemas.openxmlformats.org/officeDocument/2006/relationships/hyperlink" Target="https://www.sec.gov/Archives/edgar/data/3453/000155837025009928/matx-20250630xex10d4.htm" TargetMode="External"/><Relationship Id="rId23" Type="http://schemas.openxmlformats.org/officeDocument/2006/relationships/hyperlink" Target="http://www.sec.gov/Archives/edgar/data/3453/000110465912056234/a12-16487_1ex10d1.htm" TargetMode="External"/><Relationship Id="rId24" Type="http://schemas.openxmlformats.org/officeDocument/2006/relationships/hyperlink" Target="http://www.sec.gov/Archives/edgar/data/3453/000110465912056234/a12-16487_1ex10d2.htm" TargetMode="External"/><Relationship Id="rId25" Type="http://schemas.openxmlformats.org/officeDocument/2006/relationships/hyperlink" Target="http://www.sec.gov/Archives/edgar/data/3453/000110465913016637/a12-29099_1ex10d34.htm" TargetMode="External"/><Relationship Id="rId26" Type="http://schemas.openxmlformats.org/officeDocument/2006/relationships/hyperlink" Target="https://www.sec.gov/Archives/edgar/data/3453/000155837020004825/matx-20200427xex10d1.htm" TargetMode="External"/><Relationship Id="rId27" Type="http://schemas.openxmlformats.org/officeDocument/2006/relationships/hyperlink" Target="https://www.sec.gov/Archives/edgar/data/3453/000155837020004825/matx-20200427xex10d2.htm" TargetMode="External"/><Relationship Id="rId28" Type="http://schemas.openxmlformats.org/officeDocument/2006/relationships/hyperlink" Target="https://www.sec.gov/Archives/edgar/data/3453/000155837020004825/matx-20200427xex10d3.htm" TargetMode="External"/><Relationship Id="rId29" Type="http://schemas.openxmlformats.org/officeDocument/2006/relationships/hyperlink" Target="https://www.sec.gov/Archives/edgar/data/3453/000155837020007781/matx-20200622xex10d1.htm" TargetMode="External"/><Relationship Id="rId30" Type="http://schemas.openxmlformats.org/officeDocument/2006/relationships/hyperlink" Target="https://www.sec.gov/Archives/edgar/data/3453/000155837020007781/matx-20200622xex10d2.htm" TargetMode="External"/><Relationship Id="rId31" Type="http://schemas.openxmlformats.org/officeDocument/2006/relationships/hyperlink" Target="https://www.sec.gov/Archives/edgar/data/3453/000155837020007781/matx-20200622xex10d3.htm" TargetMode="External"/><Relationship Id="rId32" Type="http://schemas.openxmlformats.org/officeDocument/2006/relationships/hyperlink" Target="http://www.sec.gov/Archives/edgar/data/3453/000110465914063623/a14-20075_1ex10d1.htm" TargetMode="External"/><Relationship Id="rId33" Type="http://schemas.openxmlformats.org/officeDocument/2006/relationships/hyperlink" Target="http://www.sec.gov/Archives/edgar/data/3453/000110465913016637/a12-29099_1ex10d45.htm" TargetMode="External"/><Relationship Id="rId34" Type="http://schemas.openxmlformats.org/officeDocument/2006/relationships/hyperlink" Target="http://www.sec.gov/Archives/edgar/data/3453/000110465915014988/a14-26312_1ex10d42.htm" TargetMode="External"/><Relationship Id="rId35" Type="http://schemas.openxmlformats.org/officeDocument/2006/relationships/hyperlink" Target="http://www.sec.gov/Archives/edgar/data/3453/000110465914073470/a14-22649_1ex10d1.htm" TargetMode="External"/><Relationship Id="rId36" Type="http://schemas.openxmlformats.org/officeDocument/2006/relationships/hyperlink" Target="https://www.sec.gov/Archives/edgar/data/3453/000110465925106604/matx-20250930xex10d1.htm" TargetMode="External"/><Relationship Id="rId37" Type="http://schemas.openxmlformats.org/officeDocument/2006/relationships/hyperlink" Target="https://www.sec.gov/Archives/edgar/data/3453/000155837021001909/matx-20201231xex10d28.htm" TargetMode="External"/><Relationship Id="rId38" Type="http://schemas.openxmlformats.org/officeDocument/2006/relationships/hyperlink" Target="http://www.sec.gov/Archives/edgar/data/3453/000110465913016637/a12-29099_1ex10d51.htm" TargetMode="External"/><Relationship Id="rId39" Type="http://schemas.openxmlformats.org/officeDocument/2006/relationships/hyperlink" Target="https://www.sec.gov/Archives/edgar/data/3453/000155837021001909/matx-20201231xex10d30.htm" TargetMode="External"/><Relationship Id="rId40" Type="http://schemas.openxmlformats.org/officeDocument/2006/relationships/hyperlink" Target="https://www.sec.gov/Archives/edgar/data/3453/000155837022002040/matx-20211231xex10d35.htm" TargetMode="External"/><Relationship Id="rId41" Type="http://schemas.openxmlformats.org/officeDocument/2006/relationships/hyperlink" Target="http://www.sec.gov/Archives/edgar/data/3453/000110465914079225/a14-24264_1ex10d1.htm" TargetMode="External"/><Relationship Id="rId42" Type="http://schemas.openxmlformats.org/officeDocument/2006/relationships/hyperlink" Target="https://www.sec.gov/Archives/edgar/data/3453/000155837021009648/tmb-20210730xex99d1.htm" TargetMode="External"/><Relationship Id="rId43" Type="http://schemas.openxmlformats.org/officeDocument/2006/relationships/hyperlink" Target="http://www.sec.gov/Archives/edgar/data/3453/000155837017000947/matx-20161231ex1063a7bab.htm" TargetMode="External"/><Relationship Id="rId44" Type="http://schemas.openxmlformats.org/officeDocument/2006/relationships/hyperlink" Target="http://www.sec.gov/Archives/edgar/data/3453/000155837017000947/matx-20161231ex1065f8a3a.htm" TargetMode="External"/><Relationship Id="rId45" Type="http://schemas.openxmlformats.org/officeDocument/2006/relationships/hyperlink" Target="https://www.sec.gov/Archives/edgar/data/3453/000155837021001909/matx-20201231xex10d47.htm" TargetMode="External"/><Relationship Id="rId46" Type="http://schemas.openxmlformats.org/officeDocument/2006/relationships/hyperlink" Target="https://www.sec.gov/Archives/edgar/data/3453/000155837021001909/matx-20201231xex10d48.htm" TargetMode="External"/><Relationship Id="rId47" Type="http://schemas.openxmlformats.org/officeDocument/2006/relationships/hyperlink" Target="https://www.sec.gov/Archives/edgar/data/3453/000155837021001909/matx-20201231xex10d49.htm" TargetMode="External"/><Relationship Id="rId48" Type="http://schemas.openxmlformats.org/officeDocument/2006/relationships/hyperlink" Target="https://www.sec.gov/Archives/edgar/data/3453/000155837021001909/matx-20201231xex10d50.htm" TargetMode="External"/><Relationship Id="rId49" Type="http://schemas.openxmlformats.org/officeDocument/2006/relationships/hyperlink" Target="https://www.sec.gov/Archives/edgar/data/3453/000155837021001909/matx-20201231xex10d51.htm" TargetMode="External"/><Relationship Id="rId50" Type="http://schemas.openxmlformats.org/officeDocument/2006/relationships/hyperlink" Target="https://www.sec.gov/Archives/edgar/data/3453/000155837021001909/matx-20201231xex10d52.htm" TargetMode="External"/><Relationship Id="rId51" Type="http://schemas.openxmlformats.org/officeDocument/2006/relationships/hyperlink" Target="https://www.sec.gov/Archives/edgar/data/3453/000155837021001909/matx-20201231xex10d53.htm" TargetMode="External"/><Relationship Id="rId52" Type="http://schemas.openxmlformats.org/officeDocument/2006/relationships/hyperlink" Target="https://www.sec.gov/Archives/edgar/data/3453/000155837021003980/matx-20210331xex10d2.htm" TargetMode="External"/><Relationship Id="rId53" Type="http://schemas.openxmlformats.org/officeDocument/2006/relationships/hyperlink" Target="https://www.sec.gov/Archives/edgar/data/3453/000155837021003980/matx-20210331xex10d3.htm" TargetMode="External"/><Relationship Id="rId54" Type="http://schemas.openxmlformats.org/officeDocument/2006/relationships/hyperlink" Target="https://www.sec.gov/Archives/edgar/data/3453/000155837023001961/matx-20221231xex10d48.htm" TargetMode="External"/><Relationship Id="rId55" Type="http://schemas.openxmlformats.org/officeDocument/2006/relationships/hyperlink" Target="https://www.sec.gov/Archives/edgar/data/3453/000155837023001961/matx-20221231xex10d49.htm" TargetMode="External"/><Relationship Id="rId56" Type="http://schemas.openxmlformats.org/officeDocument/2006/relationships/hyperlink" Target="https://www.sec.gov/Archives/edgar/data/3453/000155837023001961/matx-20221231xex10d50.htm" TargetMode="External"/><Relationship Id="rId57" Type="http://schemas.openxmlformats.org/officeDocument/2006/relationships/hyperlink" Target="https://www.sec.gov/Archives/edgar/data/3453/000155837024001570/matx-20231231xex10d45.htm" TargetMode="External"/><Relationship Id="rId58" Type="http://schemas.openxmlformats.org/officeDocument/2006/relationships/hyperlink" Target="https://www.sec.gov/Archives/edgar/data/3453/000155837024001570/matx-20231231xex10d46.htm" TargetMode="External"/><Relationship Id="rId59" Type="http://schemas.openxmlformats.org/officeDocument/2006/relationships/hyperlink" Target="https://www.sec.gov/Archives/edgar/data/3453/000155837024001570/matx-20231231xex10d47.htm" TargetMode="External"/><Relationship Id="rId60" Type="http://schemas.openxmlformats.org/officeDocument/2006/relationships/hyperlink" Target="https://www.sec.gov/Archives/edgar/data/3453/000155837024001570/matx-20231231xex10d48.htm" TargetMode="External"/><Relationship Id="rId61" Type="http://schemas.openxmlformats.org/officeDocument/2006/relationships/hyperlink" Target="https://www.sec.gov/Archives/edgar/data/3453/000155837024001570/matx-20231231xex10d49.htm" TargetMode="External"/><Relationship Id="rId62" Type="http://schemas.openxmlformats.org/officeDocument/2006/relationships/hyperlink" Target="https://www.sec.gov/Archives/edgar/data/3453/000155837025005686/matx-20250424xex10d1.htm" TargetMode="External"/><Relationship Id="rId63" Type="http://schemas.openxmlformats.org/officeDocument/2006/relationships/hyperlink" Target="https://www.sec.gov/Archives/edgar/data/3453/000155837025009928/matx-20250630xex10d7.htm" TargetMode="External"/><Relationship Id="rId64" Type="http://schemas.openxmlformats.org/officeDocument/2006/relationships/hyperlink" Target="https://www.sec.gov/Archives/edgar/data/3453/000155837025009928/matx-20250630xex10d8.htm" TargetMode="External"/><Relationship Id="rId65" Type="http://schemas.openxmlformats.org/officeDocument/2006/relationships/hyperlink" Target="https://www.sec.gov/Archives/edgar/data/3453/000155837025009928/matx-20250630xex10d9.htm" TargetMode="External"/><Relationship Id="rId66" Type="http://schemas.openxmlformats.org/officeDocument/2006/relationships/hyperlink" Target="https://www.sec.gov/Archives/edgar/data/3453/000155837025009928/matx-20250630xex10d10.htm" TargetMode="External"/><Relationship Id="rId67" Type="http://schemas.openxmlformats.org/officeDocument/2006/relationships/hyperlink" Target="https://www.sec.gov/Archives/edgar/data/3453/000155837025009928/matx-20250630xex10d11.htm" TargetMode="External"/><Relationship Id="rId68" Type="http://schemas.openxmlformats.org/officeDocument/2006/relationships/hyperlink" Target="https://www.sec.gov/Archives/edgar/data/3453/000155837025009928/matx-20250630xex10d12.htm" TargetMode="External"/><Relationship Id="rId69" Type="http://schemas.openxmlformats.org/officeDocument/2006/relationships/hyperlink" Target="https://www.sec.gov/Archives/edgar/data/3453/000155837025009928/matx-20250630xex10d13.htm" TargetMode="External"/><Relationship Id="rId70" Type="http://schemas.openxmlformats.org/officeDocument/2006/relationships/hyperlink" Target="https://www.sec.gov/Archives/edgar/data/3453/000155837025001875/matx-20241231xex19.htm" TargetMode="External"/><Relationship Id="rId71" Type="http://schemas.openxmlformats.org/officeDocument/2006/relationships/hyperlink" Target="https://www.sec.gov/Archives/edgar/data/3453/000155837024001570/matx-20231231xex97.htm" TargetMode="External"/><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48579</Words>
  <Characters>273537</Characters>
  <CharactersWithSpaces>327054</CharactersWithSpaces>
  <Paragraphs>14549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