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2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20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3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80" w:type="dxa"/>
            <w:vAlign w:val="bottom"/>
          </w:tcPr>
          <w:p>
            <w:pPr>
              <w:spacing w:after="0"/>
              <w:rPr>
                <w:sz w:val="24"/>
                <w:szCs w:val="24"/>
                <w:color w:val="auto"/>
              </w:rPr>
            </w:pPr>
          </w:p>
        </w:tc>
      </w:tr>
      <w:tr>
        <w:trPr>
          <w:trHeight w:val="230"/>
        </w:trPr>
        <w:tc>
          <w:tcPr>
            <w:tcW w:w="73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80" w:type="dxa"/>
            <w:vAlign w:val="bottom"/>
          </w:tcPr>
          <w:p>
            <w:pPr>
              <w:spacing w:after="0"/>
              <w:rPr>
                <w:sz w:val="24"/>
                <w:szCs w:val="24"/>
                <w:color w:val="auto"/>
              </w:rPr>
            </w:pPr>
          </w:p>
        </w:tc>
      </w:tr>
      <w:tr>
        <w:trPr>
          <w:trHeight w:val="193"/>
        </w:trPr>
        <w:tc>
          <w:tcPr>
            <w:tcW w:w="5020" w:type="dxa"/>
            <w:vAlign w:val="bottom"/>
          </w:tcPr>
          <w:p>
            <w:pPr>
              <w:jc w:val="center"/>
              <w:ind w:right="206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80" w:type="dxa"/>
            <w:vAlign w:val="bottom"/>
          </w:tcPr>
          <w:p>
            <w:pPr>
              <w:jc w:val="right"/>
              <w:ind w:right="37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jc w:val="center"/>
              <w:ind w:left="8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233" w:right="759" w:bottom="1440" w:gutter="0" w:footer="0" w:header="0"/>
        </w:sectPr>
      </w:pPr>
    </w:p>
    <w:p>
      <w:pPr>
        <w:spacing w:after="0" w:line="68" w:lineRule="exact"/>
        <w:rPr>
          <w:sz w:val="24"/>
          <w:szCs w:val="24"/>
          <w:color w:val="auto"/>
        </w:rPr>
      </w:pPr>
    </w:p>
    <w:p>
      <w:pPr>
        <w:ind w:left="1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60"/>
          </w:cols>
          <w:pgMar w:left="760" w:top="233" w:right="759" w:bottom="1440" w:gutter="0" w:footer="0" w:header="0"/>
          <w:type w:val="continuous"/>
        </w:sectPr>
      </w:pPr>
    </w:p>
    <w:p>
      <w:pPr>
        <w:jc w:val="center"/>
        <w:ind w:righ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3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20" w:space="720"/>
            <w:col w:w="3640"/>
          </w:cols>
          <w:pgMar w:left="760" w:top="233" w:right="759" w:bottom="1440" w:gutter="0" w:footer="0" w:header="0"/>
          <w:type w:val="continuous"/>
        </w:sectPr>
      </w:pPr>
    </w:p>
    <w:p>
      <w:pPr>
        <w:ind w:left="6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ind w:right="34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right="114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March 31, 2018: </w:t>
      </w:r>
      <w:r>
        <w:rPr>
          <w:rFonts w:ascii="Arial" w:cs="Arial" w:eastAsia="Arial" w:hAnsi="Arial"/>
          <w:sz w:val="18"/>
          <w:szCs w:val="18"/>
          <w:b w:val="1"/>
          <w:bCs w:val="1"/>
          <w:color w:val="auto"/>
        </w:rPr>
        <w:t>42,654,359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0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11"/>
          </w:tcPr>
          <w:p>
            <w:pPr>
              <w:jc w:val="center"/>
              <w:ind w:right="174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84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940" w:type="dxa"/>
            <w:vAlign w:val="bottom"/>
            <w:gridSpan w:val="10"/>
            <w:vMerge w:val="restart"/>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2"/>
            <w:vMerge w:val="continue"/>
          </w:tcPr>
          <w:p>
            <w:pPr>
              <w:spacing w:after="0"/>
              <w:rPr>
                <w:sz w:val="13"/>
                <w:szCs w:val="13"/>
                <w:color w:val="auto"/>
              </w:rPr>
            </w:pPr>
          </w:p>
        </w:tc>
        <w:tc>
          <w:tcPr>
            <w:tcW w:w="4940" w:type="dxa"/>
            <w:vAlign w:val="bottom"/>
            <w:gridSpan w:val="1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4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20" w:type="dxa"/>
            <w:vAlign w:val="bottom"/>
            <w:gridSpan w:val="7"/>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40" w:type="dxa"/>
            <w:vAlign w:val="bottom"/>
            <w:gridSpan w:val="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960" w:type="dxa"/>
            <w:vAlign w:val="bottom"/>
            <w:gridSpan w:val="19"/>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Part II—OTHER INFORMATION</w:t>
              </w:r>
            </w:hyperlink>
          </w:p>
        </w:tc>
        <w:tc>
          <w:tcPr>
            <w:tcW w:w="526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(411.8)</w:t>
            </w: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Equity in income of Terminal Joint Venture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(457.2)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40" w:type="dxa"/>
            <w:vAlign w:val="bottom"/>
          </w:tcPr>
          <w:p>
            <w:pPr>
              <w:ind w:left="2360"/>
              <w:spacing w:after="0"/>
              <w:rPr>
                <w:sz w:val="20"/>
                <w:szCs w:val="20"/>
                <w:color w:val="auto"/>
              </w:rPr>
            </w:pPr>
            <w:r>
              <w:rPr>
                <w:rFonts w:ascii="Arial" w:cs="Arial" w:eastAsia="Arial" w:hAnsi="Arial"/>
                <w:sz w:val="18"/>
                <w:szCs w:val="18"/>
                <w:color w:val="auto"/>
                <w:w w:val="93"/>
              </w:rPr>
              <w:t>See Notes to Condensed Consolidated Financial Statements.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940" w:type="dxa"/>
            <w:vAlign w:val="bottom"/>
          </w:tcPr>
          <w:p>
            <w:pPr>
              <w:ind w:left="44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Investment in Terminal Joint Venture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Deferred dry-docking costs,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Accruals and other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in income of Terminal Joint Venture</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Distribution from Terminal Joint Venture</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Deferred dry-docking payments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dry-docking amortization</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 accruals and other liabilities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3"/>
        </w:trPr>
        <w:tc>
          <w:tcPr>
            <w:tcW w:w="6840" w:type="dxa"/>
            <w:vAlign w:val="bottom"/>
            <w:gridSpan w:val="2"/>
          </w:tcPr>
          <w:p>
            <w:pPr>
              <w:ind w:left="3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Repayments of debt and capital leases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(68.4)</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and Cash Equivalents, End of the Period</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Income tax paid, net of income tax refunds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rPr>
                <w:sz w:val="20"/>
                <w:szCs w:val="20"/>
                <w:color w:val="auto"/>
              </w:rPr>
            </w:pPr>
            <w:r>
              <w:rPr>
                <w:rFonts w:ascii="Arial" w:cs="Arial" w:eastAsia="Arial" w:hAnsi="Arial"/>
                <w:sz w:val="16"/>
                <w:szCs w:val="16"/>
                <w:color w:val="auto"/>
              </w:rPr>
              <w:t>Non-cash Information: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seven terminal facilities on the U.S. West Coast, including four facilities which are used by MatNav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freight forwarding and other services.</w:t>
      </w:r>
    </w:p>
    <w:p>
      <w:pPr>
        <w:spacing w:after="0" w:line="200" w:lineRule="exact"/>
        <w:rPr>
          <w:sz w:val="20"/>
          <w:szCs w:val="20"/>
          <w:color w:val="auto"/>
        </w:rPr>
      </w:pPr>
    </w:p>
    <w:p>
      <w:pPr>
        <w:spacing w:after="0" w:line="204"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Condensed Consolidated Financial Statements are unaudited, and include the accounts of Matson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2017, filed with the Securities and Exchange Commission (“SEC”) on February 23,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covered by this report is March 31, 2018.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March, or March 30, 2018, for the first quarter 2018.</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2017.</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 xml:space="preserve">Recognition of Revenues and Expenses: </w:t>
      </w:r>
      <w:r>
        <w:rPr>
          <w:rFonts w:ascii="Arial" w:cs="Arial" w:eastAsia="Arial" w:hAnsi="Arial"/>
          <w:sz w:val="16"/>
          <w:szCs w:val="16"/>
          <w:color w:val="auto"/>
        </w:rPr>
        <w:t>Revenue in the Company’s Condensed Consolidated Financial Statements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Terminal and other related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sales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Ship management services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360" w:hanging="317"/>
        <w:spacing w:after="0" w:line="253"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approximately 3 percent of Ocean Transportation revenues and fuel sales which are denominated in foreign currencies.</w:t>
      </w:r>
    </w:p>
    <w:p>
      <w:pPr>
        <w:spacing w:after="0" w:line="111" w:lineRule="exact"/>
        <w:rPr>
          <w:sz w:val="20"/>
          <w:szCs w:val="20"/>
          <w:color w:val="auto"/>
        </w:rPr>
      </w:pPr>
    </w:p>
    <w:p>
      <w:pPr>
        <w:jc w:val="both"/>
        <w:ind w:left="320" w:right="160" w:hanging="317"/>
        <w:spacing w:after="0" w:line="288"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and other related service revenues to third parties are recognized as the services are performed.</w:t>
      </w:r>
    </w:p>
    <w:p>
      <w:pPr>
        <w:spacing w:after="0" w:line="9" w:lineRule="exact"/>
        <w:rPr>
          <w:rFonts w:ascii="Arial" w:cs="Arial" w:eastAsia="Arial" w:hAnsi="Arial"/>
          <w:sz w:val="18"/>
          <w:szCs w:val="18"/>
          <w:color w:val="auto"/>
        </w:rPr>
      </w:pPr>
    </w:p>
    <w:p>
      <w:pPr>
        <w:ind w:left="320" w:hanging="317"/>
        <w:spacing w:after="0" w:line="25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sales revenue is recognized when the Company has completed delivery of the product to the customer in accordance with the terms and conditions of the contract.</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 management services revenue and related costs are recognized in proportion to the services completed.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91" w:lineRule="auto"/>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Logistics revenue transactions are primarily denominated in U.S. dollars except for approximately 3 percent of transportation brokerage and freight forwarding services revenue, and supply chain management and other services revenue categories are denominated in foreign currencies.</w:t>
      </w:r>
    </w:p>
    <w:p>
      <w:pPr>
        <w:spacing w:after="0" w:line="88" w:lineRule="exact"/>
        <w:rPr>
          <w:sz w:val="20"/>
          <w:szCs w:val="20"/>
          <w:color w:val="auto"/>
        </w:rPr>
      </w:pPr>
    </w:p>
    <w:p>
      <w:pPr>
        <w:ind w:left="320" w:right="60" w:hanging="317"/>
        <w:spacing w:after="0" w:line="284"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Logistics 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the contractual relationship with the customer and has latitude in establishing prices.</w:t>
      </w:r>
    </w:p>
    <w:p>
      <w:pPr>
        <w:spacing w:after="0" w:line="4" w:lineRule="exact"/>
        <w:rPr>
          <w:rFonts w:ascii="Arial" w:cs="Arial" w:eastAsia="Arial" w:hAnsi="Arial"/>
          <w:sz w:val="16"/>
          <w:szCs w:val="16"/>
          <w:color w:val="auto"/>
        </w:rPr>
      </w:pPr>
    </w:p>
    <w:p>
      <w:pPr>
        <w:ind w:left="320" w:right="300" w:hanging="317"/>
        <w:spacing w:after="0" w:line="265"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Logistics warehousing and distribution services revenue consist of amounts billed to customers for storage, handling, and value-added packaging of customer merchandise. Storage revenue is recognized in the month the service is provided to the customer. Storage expenses are recognized as incurred. Other warehousing and distribution services revenue and expense are recognized in proportion to the services performed.</w:t>
      </w:r>
    </w:p>
    <w:p>
      <w:pPr>
        <w:ind w:left="320" w:right="460" w:hanging="317"/>
        <w:spacing w:after="0" w:line="26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paid in advance by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customer or when the voyage or transportation services have not commenced as of the end of the fiscal period. The Company’s receivables are classified as short-term as collection terms are for periods of less than one year.</w:t>
      </w:r>
    </w:p>
    <w:p>
      <w:pPr>
        <w:spacing w:after="0" w:line="12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Capital Construction Fund: </w:t>
      </w:r>
      <w:r>
        <w:rPr>
          <w:rFonts w:ascii="Arial" w:cs="Arial" w:eastAsia="Arial" w:hAnsi="Arial"/>
          <w:sz w:val="18"/>
          <w:szCs w:val="18"/>
          <w:color w:val="auto"/>
        </w:rPr>
        <w:t>The Company’s Capital Construction Fund (“CCF”) is described in Note 7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2017. As of March 31, 2018 and December 31, 2017, the following amounts related to the Company’s CCF: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Construction Fund:</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Cash on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Cash on deposit in the CCF is held in a money market account and classified as long-term assets in the Company’s Condensed Consolidated Balance Sheets, as the Company intends to use qualified cash withdrawals to fund long-term investment in the construction of new vessels. During the three months ended March 31, 2018, the Company deposited $53.5 million into the CCF, and made qualifying cash withdrawals of $53.5 million from the CCF, respectively. Eligible accounts receivable that are assigned into the CCF are classified as part of accounts receivable in the Condensed Consolidated Financial Statements due to the nature of the assignment.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Investment in Terminal Joint Venture: </w:t>
      </w:r>
      <w:r>
        <w:rPr>
          <w:rFonts w:ascii="Arial" w:cs="Arial" w:eastAsia="Arial" w:hAnsi="Arial"/>
          <w:sz w:val="17"/>
          <w:szCs w:val="17"/>
          <w:color w:val="auto"/>
        </w:rPr>
        <w:t>The Company’s investment in the Terminal Joint Venture was $96.7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$93.2 million at March 31, 2018 and December 31, 2017, respectively. Condensed income statement information (unaudited)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Terminal Joint Venture for the three months ended March 31, 2018 and 2017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Statements of Operating Income and Net Income (Unaudited) (in millions)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 (1)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Company Share of Net Income</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20" w:hanging="317"/>
        <w:spacing w:after="0" w:line="224" w:lineRule="auto"/>
        <w:tabs>
          <w:tab w:leader="none" w:pos="32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Includes earnings from equity method investments held by the Terminal Joint Venture less earnings allocated to non-controlling interests.</w:t>
      </w:r>
    </w:p>
    <w:p>
      <w:pPr>
        <w:spacing w:after="0" w:line="215"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 connection with the Tax Cuts and Jobs Act that was signed into law on December 22, 2017 (the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the Company recorded a non-cash tax adjustment of $3.3 million due to the application of an estimated 6.6 percent sequestration by the Internal Revenue Service (IRS) on alternative minimum tax (AMT) refunds for the years 2018 to</w:t>
      </w:r>
    </w:p>
    <w:p>
      <w:pPr>
        <w:ind w:right="20"/>
        <w:spacing w:after="0" w:line="295" w:lineRule="auto"/>
        <w:rPr>
          <w:sz w:val="20"/>
          <w:szCs w:val="20"/>
          <w:color w:val="auto"/>
        </w:rPr>
      </w:pPr>
      <w:r>
        <w:rPr>
          <w:rFonts w:ascii="Arial" w:cs="Arial" w:eastAsia="Arial" w:hAnsi="Arial"/>
          <w:sz w:val="16"/>
          <w:szCs w:val="16"/>
          <w:color w:val="auto"/>
        </w:rPr>
        <w:t>2021. The adjustment increased income tax expense during the three months ended March 31, 2018 and is based on recent guidance issued by the IRS and interpretations of the Tax Act that are currently available. The Company will continue to assess the impact of the Tax Act and any related interpretations, when issued, on the Company’s income tax estimates. These and other factors could materially affect the Company’s financial condition or its future operating results.</w:t>
      </w:r>
    </w:p>
    <w:p>
      <w:pPr>
        <w:spacing w:after="0" w:line="1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New Accounting Pronouncements: </w:t>
      </w:r>
      <w:r>
        <w:rPr>
          <w:rFonts w:ascii="Arial" w:cs="Arial" w:eastAsia="Arial" w:hAnsi="Arial"/>
          <w:sz w:val="17"/>
          <w:szCs w:val="17"/>
          <w:i w:val="1"/>
          <w:iCs w:val="1"/>
          <w:color w:val="auto"/>
        </w:rPr>
        <w:t>Revenues from Contracts with Customers (Topic 606), (“ASU 2014-09”):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has adopted ASU 2014-09 commencing the first quarter in 2018 using the modified retrospective method. This method allows the Company to recognize the cumulative effect of initially applying ASU 2014-09 as an adjustment to retained earnings as of December 31, 2017. Prior to adopting ASU 2014-09, the Company performed a review of its revenue contracts and evaluated the Company’s current accounting policies and procedures for recognizing revenues in the Company’s Consolidated Financial Statements, and compared these to the new requirements of ASU 2014-09. In addition, the Company identified the performance obligations and consideration applicable under each contract.</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Based upon our evaluation, the Company determined that the impact of adopting ASU 2014-09 is immaterial because the analysis of the Company’s contracts under ASU 2014-09 supports the recognition of revenue over time as the service is performed, which is consistent with the Company’s current revenue recognition accounting policy. The majority of the Company’s contracts require the Company to provide ocean and logistics transportation services to its customers. Such services are provided by the Company over a period of time, generally, when cargo is being delivered from source to destination point, or as the service is being performed. Therefore, performance obligations are completed in a short period of time due to the nature of the services provided by the Company. Under the new standard, revenues from the majority of the Company’s contracts will continue to be recognized over time as the customer simultaneously receives and consumes the benefit of these services as described in ASU 2014-09. In addition, the identification of performance obligations and related consideration under the new standard is not materially different from our current accounting treatment.</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(“ASU 2018-02”): ASU 2018-02 allows a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accumulated other comprehensive income (loss) to retained earnings for the remeasurement tax effects resulting from the Tax Act. The Company elected to early adopt ASU 2018-02 during the three months ended March 31, 2018, and recorded a reclassification adjustment of $6.0 million between accumulated other comprehensive income (loss) and retained earnings (see Note 7).</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Leases (Topic 842)</w:t>
      </w:r>
      <w:r>
        <w:rPr>
          <w:rFonts w:ascii="Arial" w:cs="Arial" w:eastAsia="Arial" w:hAnsi="Arial"/>
          <w:sz w:val="16"/>
          <w:szCs w:val="16"/>
          <w:color w:val="auto"/>
        </w:rPr>
        <w:t>, (“ASU 2016-02”): ASU 2016-02 requires lessees to record most leases on their balance sheets but</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the expenses in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the implementation of this guidance.</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 2017-07 requires employees that sponsor defined benefit pension and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 The Company adopted ASU 2017-07 during the three months ended March 31, 2018, and recorded a retrospective reclassification adjustment of $(0.8) million from costs and expenses to other income (expenses) in the Condensed Consolidated Statement of Income and Comprehensive Income for the three months ended March 31, 2017.</w:t>
      </w:r>
    </w:p>
    <w:p>
      <w:pPr>
        <w:spacing w:after="0" w:line="394"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and the Logistics segment provides logistics services to the Ocean Transportation segment. Accordingly, inter-segment revenue of $18.3 million and $16.9 million for the three months ended March 31, 2018 and 2017, respectively, have been eliminated from operating revenue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months ended March 31, 2018 and 2017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ind w:left="220"/>
              <w:spacing w:after="0"/>
              <w:rPr>
                <w:sz w:val="20"/>
                <w:szCs w:val="20"/>
                <w:color w:val="auto"/>
              </w:rPr>
            </w:pPr>
            <w:r>
              <w:rPr>
                <w:rFonts w:ascii="Arial" w:cs="Arial" w:eastAsia="Arial" w:hAnsi="Arial"/>
                <w:sz w:val="18"/>
                <w:szCs w:val="18"/>
                <w:color w:val="auto"/>
              </w:rPr>
              <w:t>Ocean Transportation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r>
              <w:rPr>
                <w:rFonts w:ascii="Arial" w:cs="Arial" w:eastAsia="Arial" w:hAnsi="Arial"/>
                <w:sz w:val="18"/>
                <w:szCs w:val="18"/>
                <w:u w:val="single" w:color="auto"/>
                <w:color w:val="auto"/>
              </w:rPr>
              <w:t>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260" w:type="dxa"/>
            <w:vAlign w:val="bottom"/>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72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60" w:hanging="317"/>
        <w:spacing w:after="0" w:line="253" w:lineRule="auto"/>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$10.5 million and $4.9 million of equity in income from the Terminal Joint Venture for the three months ended March 31, 2018 and 2017, respectively.</w:t>
      </w:r>
    </w:p>
    <w:p>
      <w:pPr>
        <w:spacing w:after="0" w:line="390" w:lineRule="exact"/>
        <w:rPr>
          <w:sz w:val="20"/>
          <w:szCs w:val="20"/>
          <w:color w:val="auto"/>
        </w:rPr>
      </w:pPr>
    </w:p>
    <w:p>
      <w:pPr>
        <w:ind w:left="580" w:hanging="577"/>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March 31,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Vessels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1,440.9</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Vessel construction in progress relates to progress payments for the construction of four new vessels to be used within the Hawaii service, capitalized owners’ items and capitalized interest. Capitalized interest was $14.1 million and $10.4 million at March 31,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both March 31,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Ocean</w:t>
            </w:r>
          </w:p>
        </w:tc>
        <w:tc>
          <w:tcPr>
            <w:tcW w:w="200" w:type="dxa"/>
            <w:vAlign w:val="bottom"/>
          </w:tcPr>
          <w:p>
            <w:pPr>
              <w:spacing w:after="0"/>
              <w:rPr>
                <w:sz w:val="14"/>
                <w:szCs w:val="14"/>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4"/>
              </w:rPr>
              <w:t>Logistics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1120" w:type="dxa"/>
            <w:vAlign w:val="bottom"/>
            <w:gridSpan w:val="6"/>
          </w:tcPr>
          <w:p>
            <w:pPr>
              <w:ind w:left="200"/>
              <w:spacing w:after="0"/>
              <w:rPr>
                <w:sz w:val="20"/>
                <w:szCs w:val="20"/>
                <w:color w:val="auto"/>
              </w:rPr>
            </w:pPr>
            <w:r>
              <w:rPr>
                <w:rFonts w:ascii="Arial" w:cs="Arial" w:eastAsia="Arial" w:hAnsi="Arial"/>
                <w:sz w:val="14"/>
                <w:szCs w:val="14"/>
                <w:b w:val="1"/>
                <w:bCs w:val="1"/>
                <w:color w:val="auto"/>
                <w:w w:val="91"/>
              </w:rPr>
              <w:t>Transportation</w:t>
            </w:r>
          </w:p>
        </w:tc>
        <w:tc>
          <w:tcPr>
            <w:tcW w:w="2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380" w:type="dxa"/>
            <w:vAlign w:val="bottom"/>
            <w:gridSpan w:val="4"/>
          </w:tcPr>
          <w:p>
            <w:pPr>
              <w:spacing w:after="0"/>
              <w:rPr>
                <w:sz w:val="20"/>
                <w:szCs w:val="20"/>
                <w:color w:val="auto"/>
              </w:rPr>
            </w:pPr>
            <w:r>
              <w:rPr>
                <w:rFonts w:ascii="Arial" w:cs="Arial" w:eastAsia="Arial" w:hAnsi="Arial"/>
                <w:sz w:val="18"/>
                <w:szCs w:val="18"/>
                <w:color w:val="auto"/>
                <w:w w:val="91"/>
              </w:rPr>
              <w:t>Intangible assets at March 31, 2018 and December 31, 2017 consisted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24"/>
                <w:szCs w:val="24"/>
                <w:color w:val="auto"/>
              </w:rPr>
            </w:pPr>
          </w:p>
        </w:tc>
        <w:tc>
          <w:tcPr>
            <w:tcW w:w="1080" w:type="dxa"/>
            <w:vAlign w:val="bottom"/>
            <w:gridSpan w:val="7"/>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Ocean Transportation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4"/>
          </w:tcPr>
          <w:p>
            <w:pPr>
              <w:jc w:val="right"/>
              <w:ind w:right="142"/>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3"/>
          </w:tcPr>
          <w:p>
            <w:pPr>
              <w:ind w:left="4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Customer Relationships,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195.1</w:t>
            </w: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197.9</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Trade name - Logistics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Intangible Assets, net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222.4</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225.2</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5800" w:type="dxa"/>
            <w:vAlign w:val="bottom"/>
          </w:tcPr>
          <w:p>
            <w:pPr>
              <w:ind w:left="40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80" w:type="dxa"/>
            <w:vAlign w:val="bottom"/>
            <w:gridSpan w:val="2"/>
          </w:tcPr>
          <w:p>
            <w:pPr>
              <w:spacing w:after="0"/>
              <w:rPr>
                <w:sz w:val="20"/>
                <w:szCs w:val="20"/>
                <w:color w:val="auto"/>
              </w:rPr>
            </w:pPr>
            <w:r>
              <w:rPr>
                <w:rFonts w:ascii="Arial" w:cs="Arial" w:eastAsia="Arial" w:hAnsi="Arial"/>
                <w:sz w:val="18"/>
                <w:szCs w:val="18"/>
                <w:color w:val="auto"/>
                <w:w w:val="99"/>
              </w:rPr>
              <w:t>Debt at March 31, 2018 and December 31, 2017 consisted of the following:</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108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5.79 %, payable through 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4"/>
          </w:tcPr>
          <w:p>
            <w:pPr>
              <w:jc w:val="right"/>
              <w:ind w:right="16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4.16 %, payable through 2027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3.14 %, payable through 2031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4.35 %, payable through 2044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Title XI Bonds: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5.27 %, payable through 2029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debt is described in Note 8 to the Consolidated Financial Statements included in Part II, Item 8 of the Company’s Annual Report on Form 10-K for the year ended December 31, 2017. Borrowings under the revolving credit facility are classified as long-term debt in the Condensed Consolidated Balance Sheets, as principal payments are not required until the maturity date of June 29, 2022.</w:t>
      </w:r>
    </w:p>
    <w:p>
      <w:pPr>
        <w:spacing w:after="0" w:line="14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2018, the Company had $285.4 million of remaining availability under the revolving credit facility. The interest rate on borrowings under the revolving credit facility approximated 3.07 percent during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three months ended March 31, 2018 consisted of the following:</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6"/>
              </w:rPr>
              <w:t>Pensions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Retirement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Net gain in prior service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Remeasurement adjustment related to the Tax Act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5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the Tax Act in accordance with ASU 2018-02</w:t>
      </w:r>
      <w:r>
        <w:rPr>
          <w:rFonts w:ascii="Arial" w:cs="Arial" w:eastAsia="Arial" w:hAnsi="Arial"/>
          <w:sz w:val="14"/>
          <w:szCs w:val="14"/>
          <w:i w:val="1"/>
          <w:iCs w:val="1"/>
          <w:color w:val="auto"/>
        </w:rPr>
        <w:t>.</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three months ended March 31, 2017 consisted of the following:</w:t>
      </w:r>
    </w:p>
    <w:tbl>
      <w:tblPr>
        <w:tblLayout w:type="fixed"/>
        <w:tblInd w:w="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Qualified</w:t>
            </w:r>
          </w:p>
        </w:tc>
        <w:tc>
          <w:tcPr>
            <w:tcW w:w="20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Retirement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Other 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80" w:hanging="577"/>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CCF – cash on deposit, and variable and fixed rate debt. The fair values of cash and cash equivalents,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March 31, 2018 and December 31, 2017 were as follows:</w:t>
      </w: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940" w:type="dxa"/>
            <w:vAlign w:val="bottom"/>
          </w:tcPr>
          <w:p>
            <w:pPr>
              <w:jc w:val="center"/>
              <w:ind w:right="76"/>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Fair Value Measurements at March 31, 2018</w:t>
            </w: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254.0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633.6</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633.6</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651.4</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80" w:hanging="577"/>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months ended March 31, 2018 and 2017,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21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March 31, 2018</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March 31, 2017</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5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Per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52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2"/>
                <w:szCs w:val="12"/>
                <w:color w:val="auto"/>
              </w:rPr>
            </w:pPr>
          </w:p>
        </w:tc>
        <w:tc>
          <w:tcPr>
            <w:tcW w:w="52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Share</w:t>
            </w:r>
          </w:p>
        </w:tc>
      </w:tr>
      <w:tr>
        <w:trPr>
          <w:trHeight w:val="161"/>
        </w:trPr>
        <w:tc>
          <w:tcPr>
            <w:tcW w:w="436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23"/>
              <w:spacing w:after="0"/>
              <w:rPr>
                <w:sz w:val="20"/>
                <w:szCs w:val="20"/>
                <w:color w:val="auto"/>
              </w:rPr>
            </w:pPr>
            <w:r>
              <w:rPr>
                <w:rFonts w:ascii="Arial" w:cs="Arial" w:eastAsia="Arial" w:hAnsi="Arial"/>
                <w:sz w:val="14"/>
                <w:szCs w:val="14"/>
                <w:b w:val="1"/>
                <w:bCs w:val="1"/>
                <w:color w:val="auto"/>
                <w:w w:val="81"/>
              </w:rPr>
              <w:t>Income</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Shares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520" w:type="dxa"/>
            <w:vAlign w:val="bottom"/>
          </w:tcPr>
          <w:p>
            <w:pPr>
              <w:jc w:val="right"/>
              <w:ind w:right="23"/>
              <w:spacing w:after="0"/>
              <w:rPr>
                <w:sz w:val="20"/>
                <w:szCs w:val="20"/>
                <w:color w:val="auto"/>
              </w:rPr>
            </w:pPr>
            <w:r>
              <w:rPr>
                <w:rFonts w:ascii="Arial" w:cs="Arial" w:eastAsia="Arial" w:hAnsi="Arial"/>
                <w:sz w:val="14"/>
                <w:szCs w:val="14"/>
                <w:b w:val="1"/>
                <w:bCs w:val="1"/>
                <w:color w:val="auto"/>
                <w:w w:val="81"/>
              </w:rPr>
              <w:t>Income</w:t>
            </w:r>
          </w:p>
        </w:tc>
        <w:tc>
          <w:tcPr>
            <w:tcW w:w="1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399" w:lineRule="exact"/>
        <w:rPr>
          <w:sz w:val="20"/>
          <w:szCs w:val="20"/>
          <w:color w:val="auto"/>
        </w:rPr>
      </w:pPr>
    </w:p>
    <w:p>
      <w:pPr>
        <w:ind w:left="680" w:hanging="677"/>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months ended March 31, 2018, the Company granted approximately 351,600 in total of time-based restricted stock units and performance-based shares to certain of its employees at a weighted-average grant date fair value of $31.35.</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$2.7 million and $2.6 million for the three months ended March 31, 2018 and 2017, respectively. Total unrecognized compensation cost related to unvested share-based compensation arrangements was $19.6 million at March 31, 2018, and is expected to be recognized over a weighted-average period of 2.2 years. Total unrecognized compensation cost may be adjusted for any unearned performance shares or forfeited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7"/>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sponsors qualified defined benefit pension and post-retirement plans (collectively, the “Plans”). The following table provides the components of net periodic benefit cost (benefit) for the Plans for the three months ended March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2017.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2017,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container volume in the Hawaii service in the first quarter 2018 was 1.9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lower year-over-year due primarily to lower eastbound volume as westbound volume was essentially flat. The Hawaii economy continues to be strong, supported primarily by healthy tourism activity and low unemployment. The Company expects flat-to-modest volume growth in 2018, reflecting a solid Hawaii economy and stable market share.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China, the Company’s container volume in the first quarter 2018 was 22.2 percent lower year-over-year largely due to two fewer sailings and lower volume during the Lunar New Year period. Matson continued to realize a sizeable rate premium in the first quarter 2018 and achieved average freight rates moderately higher than the first quarter 2017. For 2018, the Company expects pricing to remain as favorable and to approximate the average rate achieved in 2017 and volume to be modestly lower compared to the levels achieved in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Guam, as expected, the Company’s container volume in the first quarter 2018 was lower on a year-over-year basis, the result of competitive losses. For 2018, the Company expects a heightened competitive environment and lower volume than the levels achieved in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Alaska, the Company’s container volume for the first quarter 2018 was 10.1 percent higher year-over-year, primarily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an increase in northbound volume mainly related to the dry-docking of a competitor’s vessel and one additional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sailing. For 2018, the Company expects volume to be modestly higher than the level achieved in 2017 with improvement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northbound volume, partially offset by lower southbound seafood-related volume due to a moderation from the very strong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seafood harvest levels in 2017.</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a result of the first quarter performance and the outlook trends noted above, the Company expects full year 2018 Ocean Transportation operating income to be modestly higher than the $128.8 million achieved in 2017. In the second quarter 2018, the Company expects Ocean Transportation operating income to approach the level achieved in the second quarter 2017.</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first quarter 2018, operating income for the Company’s Logistics segment was $2.3 million higher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operating income achieved in the first quarter 2017 due to improved performance across almost all of the service lines. For 2018, the Company expects Logistics operating income to be moderately higher than the $20.6 million achieved in 2017. In the second quarter 2018, the Company expects operating income to be moderately higher than the level achieved in the second quarter 2017.</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2018,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$132 million, inclusive of dry-docking amortization of approximately $36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The Company expects full year 2018 EBITDA to be lower than the $296.0 million achieved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2018 to be approximately $23 million.</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 the first quarter 2018, the Company’s effective tax rate was 42.0 percent, which includes a non-cash</w:t>
      </w:r>
      <w:r>
        <w:rPr>
          <w:rFonts w:ascii="Arial" w:cs="Arial" w:eastAsia="Arial" w:hAnsi="Arial"/>
          <w:sz w:val="16"/>
          <w:szCs w:val="16"/>
          <w:i w:val="1"/>
          <w:iCs w:val="1"/>
          <w:color w:val="auto"/>
        </w:rPr>
        <w:t xml:space="preserve"> </w:t>
      </w:r>
      <w:r>
        <w:rPr>
          <w:rFonts w:ascii="Arial" w:cs="Arial" w:eastAsia="Arial" w:hAnsi="Arial"/>
          <w:sz w:val="16"/>
          <w:szCs w:val="16"/>
          <w:color w:val="auto"/>
        </w:rPr>
        <w:t>tax adjustment of $3.3 million resulting from a reduction in the alternative minimum tax receivable under the Tax Cuts and Jobs Act. For the balance of 2018, the Company expects its effective tax rate to be approximately 28 percent.</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Capital and Vessel Dry-docking Expenditures: </w:t>
      </w:r>
      <w:r>
        <w:rPr>
          <w:rFonts w:ascii="Arial" w:cs="Arial" w:eastAsia="Arial" w:hAnsi="Arial"/>
          <w:sz w:val="17"/>
          <w:szCs w:val="17"/>
          <w:color w:val="auto"/>
        </w:rPr>
        <w:t>In the first quarter 2018, the Company made maintenance capital expenditure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of $13.1 million, capitalized vessel construction expenditures of $57.7 million, and dry-docking payments of $4.6 million. For the full year 2018, the Company expects to make maintenance capital expenditure payments of approximately $68 million, vessel construction expenditures (inclusive of capitalized interest and owner’s items) of approximately $388 million, and dry-docking payments of approximately $18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March 31,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w w:val="94"/>
              </w:rPr>
              <w:t>Three Months Ended March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(482.7)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(200.0)%</w:t>
            </w: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232.3 %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106.3 %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interest expense during the three months ended March 31, 2018, compared to the three months ended March 31, 2017, was due to increased interest expense due to higher average debt borrowings, offset by a higher amount of capitalized interest.</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Income tax expense was $10.3 million or 42.0 percent of income before income taxes for the three months ended March 31, 2018, compared to $3.1 million or 30.7 percent of income before income taxes for the three months ended March 31,</w:t>
      </w:r>
    </w:p>
    <w:p>
      <w:pPr>
        <w:ind w:right="100"/>
        <w:spacing w:after="0" w:line="292" w:lineRule="auto"/>
        <w:rPr>
          <w:sz w:val="20"/>
          <w:szCs w:val="20"/>
          <w:color w:val="auto"/>
        </w:rPr>
      </w:pPr>
      <w:r>
        <w:rPr>
          <w:rFonts w:ascii="Arial" w:cs="Arial" w:eastAsia="Arial" w:hAnsi="Arial"/>
          <w:sz w:val="16"/>
          <w:szCs w:val="16"/>
          <w:color w:val="auto"/>
        </w:rPr>
        <w:t>2017. The increase in the effective income tax rate during the three months ended March 31, 2018, was primarily due to the recording of a non-cash tax adjustment of $3.3 million due to an application of an estimated 6.6 percent sequestration by the Internal Revenue Service (IRS) on alternative minimum tax (AMT) refunds. Excluding the impact of this adjustment, the income tax rate for the three months ended March 31, 2018, would have been 28.6 percent, which is lower than the tax rate for the three months ended March 31, 2017, as a result of applying the tax law changes resulting from the Tax 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March 31,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7"/>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(3,400)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Ocean Transportation revenue increased $9.3 million, or 2.5 percent, during the three months ended March 31, 2018, compared with the three months ended March 31, 2017. This increase was primarily due to higher fuel surcharge revenue and higher volume in Alaska, partially offset by lower volume in China and lower revenue in Guam.</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 year-over-year FEU basis, Hawaii container volume decreased by 1.9 percent primarily due to lower eastbound volume; Alaska volume increased by 10.1 percent primarily due to an increase in northbound volumes mainly related to the dry-docking of a competitor’s vessel and one additional sailing; China volume was 22.2 percent lower primarily due to two fewer sailings and lower volume during the Lunar New Year period; and Guam volume was 9.3 percent lower due to increased competition.</w:t>
      </w:r>
    </w:p>
    <w:p>
      <w:pPr>
        <w:spacing w:after="0" w:line="18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Ocean Transportation operating income increased $9.2 million during the three months ended March 31, 2018, compared with the three months ended March 31, 2017. This increase was primarily due to the favorable timing of fuel surcharge collections, lower vessel operating costs, a higher contribution from SSAT, and higher Alaska volume, partially offset by lower volume in China, lower revenue from Guam and higher terminal handling costs.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SSAT terminal joint venture investment contributed $10.5 million during the three months ended March 31, 2018, compared to a $4.9 million contribution during the three months ended March 31, 2017. The increase was nearly equally attributable to improved lift volume and one-time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0"/>
          </w:tcPr>
          <w:p>
            <w:pPr>
              <w:jc w:val="right"/>
              <w:ind w:right="5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Logistics revenue increased $27.7 million, or 26.5 percent, during the three months ended March 31, 2018, compared with the three months ended March 31, 2017. This increase was primarily due to higher highway and intermodal brokerage revenue.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Logistics operating income increased $2.3 million for the three months ended March 31, 2018 compared with the three months ended March 31, 2017. The increase was due primarily to higher contributions from highway brokerage and freight forwarding.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March 31, 2018, compared to December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20" w:hanging="317"/>
        <w:spacing w:after="0" w:line="253"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March 31, 2018 and December 31, 2017, $135.7 million and $134.8 million, respectively, of eligible accounts receivable were assigned to the CCF (see Note 2 of the Condensed Consolidated Financial Statements).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March 31, 2018, the Company had $285.4 million of availability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maturity date of June 29, 2022. The Company’s revolving credit facility is described in Note 8 to the Consolidated Financial Statements included in Part II, Item 8 of the Company’s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0"/>
        <w:spacing w:after="0" w:line="313" w:lineRule="auto"/>
        <w:rPr>
          <w:sz w:val="20"/>
          <w:szCs w:val="20"/>
          <w:color w:val="auto"/>
        </w:rPr>
      </w:pPr>
      <w:r>
        <w:rPr>
          <w:rFonts w:ascii="Arial" w:cs="Arial" w:eastAsia="Arial" w:hAnsi="Arial"/>
          <w:sz w:val="17"/>
          <w:szCs w:val="17"/>
          <w:b w:val="1"/>
          <w:bCs w:val="1"/>
          <w:i w:val="1"/>
          <w:iCs w:val="1"/>
          <w:color w:val="auto"/>
        </w:rPr>
        <w:t>Changes in Cash and Cash Equivalents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changes in the Company’s cash and cash equivalents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2018, compared to the three months ended March 31, 2017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 (3)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year</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year</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Changes in net cash provided by operating activities for the three months ended March 31, 2018, compared to the three months ended March 31, 2017,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related changes,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Distributions from Terminal Joint Venture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17"/>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Distributions received from the Company’s Terminal Joint Venture for the three months ended March 31, 2018 were $7.0 million, compared to no distributions received during the three months ended March 31, 2017. Deferred dry-docking payments decreased during the three months ended March 31, 2018, compared to the three months ended March 31, 2017, due to fewer vessels in dry-docking during the period. Changes in accounts receivable were due to the timing of billings and collections. Changes in prepaid expenses and other assets primarily relates to the timing of insurance prepayments and a reduction in income tax receivable. Changes in accounts payable, accruals and other liabilities were due to the timing of payments associated with those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Changes in net cash used in investing activities for the three months ended March 31, 2018, compared to the three months ended March 31, 2017,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6)</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Vessel construction expenditures including capitalized interest were $57.7 million during the three months ended March 31, 2018, compared to $1.3 million during the three months ended March 31, 2017, and relate to the construction of four new vessels for the Hawaii service. Other capital expenditures decreased to $13.1 million during the three months ended March 31, 2018, compared to $22.9 million during the three months ended March 31, 2017. The decrease was primarily due to lower capital expenditures incurred during 2018 due to the timing of capital projects.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Changes in net cash used in financing activities for the three months ended March 31, 2018, compared to the three months ended March 31, 2017, were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Increase in borrowings under revolving credit facility,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months ended March 31, 2018, net borrowings under the Company’s revolving credit facility was $49.0 million, compared to $44.0 million for the three months ended March 31, 2017. Borrowings from the Company’s revolving credit facility were primarily used to fund progress payments related to the construction of four new vessels for the Hawaii service. During the three months ended March 31, 2018, the Company paid $8.7 million in dividends compared to $8.3 million during the three months ended March 31, 2017. During the three months ended March 31, 2017, the Company paid $0.7 million in the repurchase of Matson common stock. There was no repurchases of any Matson common stock during the three months ended March 31, 2018.</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a working capital deficiency of $6.8 million and $20.3 million at March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There were no material changes during this quarter to the Company’s contractual obligations, commitments, contingencies and off-balance sheet arrangements that are described in Part II, Item 7 of the Company’s Annual Report on Form 10-K for the year ended December 31, 2017, which is incorporated herein by reference, except as described below.</w:t>
      </w:r>
    </w:p>
    <w:tbl>
      <w:tblPr>
        <w:tblLayout w:type="fixed"/>
        <w:tblInd w:w="0" w:type="dxa"/>
        <w:tblCellMar>
          <w:top w:w="0" w:type="dxa"/>
          <w:left w:w="0" w:type="dxa"/>
          <w:bottom w:w="0" w:type="dxa"/>
          <w:right w:w="0" w:type="dxa"/>
        </w:tblCellMar>
      </w:tblPr>
      <w:tr>
        <w:trPr>
          <w:trHeight w:val="162"/>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6"/>
              </w:rPr>
              <w:t>Payment Due By Period</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92"/>
              </w:rPr>
              <w:t>2019-2020</w:t>
            </w:r>
          </w:p>
        </w:tc>
        <w:tc>
          <w:tcPr>
            <w:tcW w:w="1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2021-2022</w:t>
            </w:r>
          </w:p>
        </w:tc>
        <w:tc>
          <w:tcPr>
            <w:tcW w:w="10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(1)</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$ 217.2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$562.5</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right="60" w:hanging="317"/>
        <w:spacing w:after="0" w:line="243" w:lineRule="auto"/>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above for construction of vessels represents the revised timing and amount of the remaining contractual obligations at December 31, 2017 related to the two Aloha Class and two Kanaloa Class vessels to be used in the Hawaii service that are described in Part I, Item 1 “Business” of the Company’s Annual Report on Form 10-K for the year ended December 31, 2017. The 2018 amount includes $53.4 million of capitalized vessel construction expenditures (excluding owners items and capitalized interest) paid by the Company during the three months ended March 31,</w:t>
      </w:r>
    </w:p>
    <w:p>
      <w:pPr>
        <w:ind w:left="320" w:right="540"/>
        <w:spacing w:after="0" w:line="237" w:lineRule="auto"/>
        <w:rPr>
          <w:rFonts w:ascii="Arial" w:cs="Arial" w:eastAsia="Arial" w:hAnsi="Arial"/>
          <w:sz w:val="13"/>
          <w:szCs w:val="13"/>
          <w:color w:val="auto"/>
        </w:rPr>
      </w:pPr>
      <w:r>
        <w:rPr>
          <w:rFonts w:ascii="Arial" w:cs="Arial" w:eastAsia="Arial" w:hAnsi="Arial"/>
          <w:sz w:val="14"/>
          <w:szCs w:val="14"/>
          <w:color w:val="auto"/>
        </w:rPr>
        <w:t>2018. Actual timing and amounts of future payments are subject to change and may be materially different from the amounts estimated by the Company as shown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Company’s first quarter 2018 cash dividend of $0.20 per-share was paid on March 1, 2018 to shareholders of record as of February 8, 2018. On April 26, 2018, the Company’s Board of Directors declared a cash dividend of $0.20 per-share payable on June 7, 2018 to shareholders of record as of the close of business on May 10,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2018, the Company’s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March 31, 2018,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3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right="39"/>
        <w:spacing w:after="0" w:line="293"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On November 4, 2015, the Company announced that Matson’s Board of Directors had approved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of up to 3.0 million shares of common stock through November 2, 2018. Shares can be repurchased in the open market from time to time, and may be made pursuant to a trading plan in accordance with Rule 10b5-1 of the Securities Exchange Act of 1934. During the quarter ended March 31, 2018, no shares were repurchased, excluding shares withheld for employee taxes upon vesting of share-based awards. The maximum number of remaining shares that may be purchased under the share repurchase program was 1,151,288 as of March 31,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6" w:lineRule="exact"/>
        <w:rPr>
          <w:sz w:val="20"/>
          <w:szCs w:val="20"/>
          <w:color w:val="auto"/>
        </w:rPr>
      </w:pPr>
    </w:p>
    <w:p>
      <w:pPr>
        <w:ind w:left="860" w:right="120" w:hanging="863"/>
        <w:spacing w:after="0" w:line="262" w:lineRule="auto"/>
        <w:tabs>
          <w:tab w:leader="none" w:pos="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Chief Executive Officer pursuant to Rule 13a-14(a) or 15d-14(a) of the Securities Exchange Act of 1934.</w:t>
      </w:r>
    </w:p>
    <w:p>
      <w:pPr>
        <w:spacing w:after="0" w:line="156" w:lineRule="exact"/>
        <w:rPr>
          <w:sz w:val="20"/>
          <w:szCs w:val="20"/>
          <w:color w:val="auto"/>
        </w:rPr>
      </w:pPr>
    </w:p>
    <w:p>
      <w:pPr>
        <w:ind w:left="860" w:right="160" w:hanging="863"/>
        <w:spacing w:after="0" w:line="262" w:lineRule="auto"/>
        <w:tabs>
          <w:tab w:leader="none" w:pos="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Chief Financial Officer pursuant to Rule 13a-14(a) or 15d-14(a) of the Securities Exchange Act of 1934.</w:t>
      </w:r>
    </w:p>
    <w:p>
      <w:pPr>
        <w:spacing w:after="0" w:line="156" w:lineRule="exact"/>
        <w:rPr>
          <w:sz w:val="20"/>
          <w:szCs w:val="20"/>
          <w:color w:val="auto"/>
        </w:rPr>
      </w:pPr>
    </w:p>
    <w:p>
      <w:pPr>
        <w:ind w:left="860" w:hanging="857"/>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Certification of Chief Executive Officer and Chief Financial Officer pursuant to 18 U.S.C. Section 1350.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20</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Kevin L. Stuck</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5" w:name="page26"/>
    <w:bookmarkEnd w:id="25"/>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March 31, 2018,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May 2,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2019-12-05T01:08:49Z</dcterms:created>
  <dcterms:modified xsi:type="dcterms:W3CDTF">2019-12-05T01:08:49Z</dcterms:modified>
</cp:coreProperties>
</file>