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x ANNUAL REPORT PURSUANT TO SECTION 13 OR 15(d) OF THE SECURITIES EXCHANGE ACT OF 1934</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60" w:right="32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3" w:right="259" w:bottom="0" w:gutter="0" w:footer="0" w:header="0"/>
        </w:sectPr>
      </w:pPr>
    </w:p>
    <w:p>
      <w:pPr>
        <w:spacing w:after="0" w:line="50"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7" w:lineRule="exact"/>
        <w:rPr>
          <w:sz w:val="24"/>
          <w:szCs w:val="24"/>
          <w:color w:val="auto"/>
        </w:rPr>
      </w:pPr>
    </w:p>
    <w:p>
      <w:pPr>
        <w:sectPr>
          <w:pgSz w:w="11900" w:h="16838" w:orient="portrait"/>
          <w:cols w:equalWidth="0" w:num="2">
            <w:col w:w="6240" w:space="580"/>
            <w:col w:w="4580"/>
          </w:cols>
          <w:pgMar w:left="240" w:top="233" w:right="259" w:bottom="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001-34187</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Matson,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00"/>
          </w:cols>
          <w:pgMar w:left="240" w:top="233" w:right="259" w:bottom="0" w:gutter="0" w:footer="0" w:header="0"/>
          <w:type w:val="continuous"/>
        </w:sectPr>
      </w:pPr>
    </w:p>
    <w:p>
      <w:pPr>
        <w:spacing w:after="0" w:line="107"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Hawaii</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99-0032630</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Identification No.)</w:t>
      </w:r>
    </w:p>
    <w:p>
      <w:pPr>
        <w:spacing w:after="0" w:line="97" w:lineRule="exact"/>
        <w:rPr>
          <w:sz w:val="24"/>
          <w:szCs w:val="24"/>
          <w:color w:val="auto"/>
        </w:rPr>
      </w:pPr>
    </w:p>
    <w:p>
      <w:pPr>
        <w:sectPr>
          <w:pgSz w:w="11900" w:h="16838" w:orient="portrait"/>
          <w:cols w:equalWidth="0" w:num="2">
            <w:col w:w="7240" w:space="720"/>
            <w:col w:w="3440"/>
          </w:cols>
          <w:pgMar w:left="240" w:top="233"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1411 Sand Island Parkway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Honolulu, HI 96819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3"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5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96"/>
        </w:trPr>
        <w:tc>
          <w:tcPr>
            <w:tcW w:w="50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55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Common Stock outstanding at February 23,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43,444,091</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Aggregate market value of Common Stock held by non-affiliates at June 30,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$1,812,878,266</w:t>
      </w:r>
    </w:p>
    <w:p>
      <w:pPr>
        <w:spacing w:after="0" w:line="89" w:lineRule="exact"/>
        <w:rPr>
          <w:sz w:val="24"/>
          <w:szCs w:val="24"/>
          <w:color w:val="auto"/>
        </w:rPr>
      </w:pPr>
    </w:p>
    <w:p>
      <w:pPr>
        <w:ind w:right="2020"/>
        <w:spacing w:after="0" w:line="40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60"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0"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00"/>
          </w:cols>
          <w:pgMar w:left="240" w:top="233" w:right="259" w:bottom="0" w:gutter="0" w:footer="0" w:header="0"/>
          <w:type w:val="continuous"/>
        </w:sectPr>
      </w:pPr>
    </w:p>
    <w:p>
      <w:pPr>
        <w:spacing w:after="0" w:line="49"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40"/>
          </w:cols>
          <w:pgMar w:left="240" w:top="233" w:right="25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42" w:lineRule="exact"/>
        <w:rPr>
          <w:sz w:val="24"/>
          <w:szCs w:val="24"/>
          <w:color w:val="auto"/>
        </w:rPr>
      </w:pPr>
    </w:p>
    <w:p>
      <w:pPr>
        <w:sectPr>
          <w:pgSz w:w="11900" w:h="16838" w:orient="portrait"/>
          <w:cols w:equalWidth="0" w:num="2">
            <w:col w:w="6860" w:space="720"/>
            <w:col w:w="3820"/>
          </w:cols>
          <w:pgMar w:left="240" w:top="233" w:right="259" w:bottom="0" w:gutter="0" w:footer="0" w:header="0"/>
          <w:type w:val="continuous"/>
        </w:sectPr>
      </w:pPr>
    </w:p>
    <w:p>
      <w:pPr>
        <w:ind w:right="2280"/>
        <w:spacing w:after="0" w:line="357"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x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740"/>
        <w:spacing w:after="0" w:line="282" w:lineRule="auto"/>
        <w:rPr>
          <w:sz w:val="20"/>
          <w:szCs w:val="20"/>
          <w:color w:val="auto"/>
        </w:rPr>
      </w:pPr>
      <w:r>
        <w:rPr>
          <w:rFonts w:ascii="Arial" w:cs="Arial" w:eastAsia="Arial" w:hAnsi="Arial"/>
          <w:sz w:val="18"/>
          <w:szCs w:val="18"/>
          <w:b w:val="1"/>
          <w:bCs w:val="1"/>
          <w:color w:val="auto"/>
        </w:rPr>
        <w:t>The following document is incorporated by reference in Part III of the Annual Report on Form 10-K to the extent described therein: Proxy statement for the annual meeting of shareholders of Matson, Inc. to be held April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38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gridSpan w:val="10"/>
          </w:tcPr>
          <w:p>
            <w:pPr>
              <w:jc w:val="center"/>
              <w:ind w:right="42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w:t>
              </w:r>
            </w:hyperlink>
          </w:p>
        </w:tc>
        <w:tc>
          <w:tcPr>
            <w:tcW w:w="424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260" w:type="dxa"/>
            <w:vAlign w:val="bottom"/>
            <w:gridSpan w:val="8"/>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EE"/>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w:t>
              </w:r>
            </w:hyperlink>
          </w:p>
        </w:tc>
        <w:tc>
          <w:tcPr>
            <w:tcW w:w="180" w:type="dxa"/>
            <w:vAlign w:val="bottom"/>
          </w:tcPr>
          <w:p>
            <w:pPr>
              <w:spacing w:after="0"/>
              <w:rPr>
                <w:sz w:val="24"/>
                <w:szCs w:val="24"/>
                <w:color w:val="auto"/>
              </w:rPr>
            </w:pPr>
          </w:p>
        </w:tc>
        <w:tc>
          <w:tcPr>
            <w:tcW w:w="1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Business Description</w:t>
              </w:r>
            </w:hyperlink>
          </w:p>
        </w:tc>
        <w:tc>
          <w:tcPr>
            <w:tcW w:w="7560" w:type="dxa"/>
            <w:vAlign w:val="bottom"/>
            <w:gridSpan w:val="26"/>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(1) Operations</w:t>
              </w:r>
            </w:hyperlink>
          </w:p>
        </w:tc>
        <w:tc>
          <w:tcPr>
            <w:tcW w:w="8040" w:type="dxa"/>
            <w:vAlign w:val="bottom"/>
            <w:gridSpan w:val="3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(2) Maritime Laws and the Jones Act</w:t>
              </w:r>
            </w:hyperlink>
          </w:p>
        </w:tc>
        <w:tc>
          <w:tcPr>
            <w:tcW w:w="6400" w:type="dxa"/>
            <w:vAlign w:val="bottom"/>
            <w:gridSpan w:val="1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3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 Competition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3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 Customers and Rate Regulations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(5) Fuel Costs</w:t>
              </w:r>
            </w:hyperlink>
          </w:p>
        </w:tc>
        <w:tc>
          <w:tcPr>
            <w:tcW w:w="1580" w:type="dxa"/>
            <w:vAlign w:val="bottom"/>
            <w:tcBorders>
              <w:top w:val="single" w:sz="8" w:color="0000EE"/>
            </w:tcBorders>
            <w:gridSpan w:val="14"/>
          </w:tcPr>
          <w:p>
            <w:pPr>
              <w:spacing w:after="0"/>
              <w:rPr>
                <w:sz w:val="17"/>
                <w:szCs w:val="17"/>
                <w:color w:val="auto"/>
              </w:rPr>
            </w:pPr>
          </w:p>
        </w:tc>
        <w:tc>
          <w:tcPr>
            <w:tcW w:w="6480" w:type="dxa"/>
            <w:vAlign w:val="bottom"/>
            <w:gridSpan w:val="1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(6) Seasonality</w:t>
              </w:r>
            </w:hyperlink>
          </w:p>
        </w:tc>
        <w:tc>
          <w:tcPr>
            <w:tcW w:w="7940" w:type="dxa"/>
            <w:vAlign w:val="bottom"/>
            <w:gridSpan w:val="2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3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 Emissions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B.   Employees and Labor Relations</w:t>
              </w:r>
            </w:hyperlink>
          </w:p>
        </w:tc>
        <w:tc>
          <w:tcPr>
            <w:tcW w:w="6780" w:type="dxa"/>
            <w:vAlign w:val="bottom"/>
            <w:gridSpan w:val="19"/>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w:t>
              </w:r>
            </w:hyperlink>
          </w:p>
        </w:tc>
        <w:tc>
          <w:tcPr>
            <w:tcW w:w="9080" w:type="dxa"/>
            <w:vAlign w:val="bottom"/>
            <w:gridSpan w:val="3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Available Information</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560" w:type="dxa"/>
            <w:vAlign w:val="bottom"/>
            <w:gridSpan w:val="3"/>
          </w:tcPr>
          <w:p>
            <w:pPr>
              <w:spacing w:after="0"/>
              <w:rPr>
                <w:sz w:val="24"/>
                <w:szCs w:val="24"/>
                <w:color w:val="auto"/>
              </w:rPr>
            </w:pPr>
          </w:p>
        </w:tc>
        <w:tc>
          <w:tcPr>
            <w:tcW w:w="140" w:type="dxa"/>
            <w:vAlign w:val="bottom"/>
            <w:tcBorders>
              <w:top w:val="single" w:sz="8" w:color="0000EE"/>
            </w:tcBorders>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680" w:type="dxa"/>
            <w:vAlign w:val="bottom"/>
            <w:tcBorders>
              <w:top w:val="single" w:sz="8" w:color="0000EE"/>
            </w:tcBorders>
            <w:gridSpan w:val="9"/>
          </w:tcPr>
          <w:p>
            <w:pPr>
              <w:spacing w:after="0"/>
              <w:rPr>
                <w:sz w:val="24"/>
                <w:szCs w:val="24"/>
                <w:color w:val="auto"/>
              </w:rPr>
            </w:pPr>
          </w:p>
        </w:tc>
        <w:tc>
          <w:tcPr>
            <w:tcW w:w="7500" w:type="dxa"/>
            <w:vAlign w:val="bottom"/>
            <w:gridSpan w:val="25"/>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Item 1B.</w:t>
              </w:r>
            </w:hyperlink>
          </w:p>
        </w:tc>
        <w:tc>
          <w:tcPr>
            <w:tcW w:w="920" w:type="dxa"/>
            <w:vAlign w:val="bottom"/>
            <w:gridSpan w:val="8"/>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24"/>
                <w:szCs w:val="24"/>
                <w:color w:val="auto"/>
              </w:rPr>
            </w:pPr>
          </w:p>
        </w:tc>
        <w:tc>
          <w:tcPr>
            <w:tcW w:w="920" w:type="dxa"/>
            <w:vAlign w:val="bottom"/>
            <w:gridSpan w:val="8"/>
          </w:tcPr>
          <w:p>
            <w:pPr>
              <w:spacing w:after="0"/>
              <w:rPr>
                <w:sz w:val="24"/>
                <w:szCs w:val="24"/>
                <w:color w:val="auto"/>
              </w:rPr>
            </w:pPr>
          </w:p>
        </w:tc>
        <w:tc>
          <w:tcPr>
            <w:tcW w:w="2040" w:type="dxa"/>
            <w:vAlign w:val="bottom"/>
            <w:tcBorders>
              <w:top w:val="single" w:sz="8" w:color="0000EE"/>
            </w:tcBorders>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7040" w:type="dxa"/>
            <w:vAlign w:val="bottom"/>
            <w:gridSpan w:val="20"/>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3.</w:t>
              </w:r>
            </w:hyperlink>
          </w:p>
        </w:tc>
        <w:tc>
          <w:tcPr>
            <w:tcW w:w="1060" w:type="dxa"/>
            <w:vAlign w:val="bottom"/>
            <w:gridSpan w:val="10"/>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4.</w:t>
              </w:r>
            </w:hyperlink>
          </w:p>
        </w:tc>
        <w:tc>
          <w:tcPr>
            <w:tcW w:w="1060" w:type="dxa"/>
            <w:vAlign w:val="bottom"/>
            <w:gridSpan w:val="10"/>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422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5.</w:t>
              </w:r>
            </w:hyperlink>
          </w:p>
        </w:tc>
        <w:tc>
          <w:tcPr>
            <w:tcW w:w="1060" w:type="dxa"/>
            <w:vAlign w:val="bottom"/>
            <w:gridSpan w:val="10"/>
          </w:tcPr>
          <w:p>
            <w:pPr>
              <w:spacing w:after="0"/>
              <w:rPr>
                <w:sz w:val="24"/>
                <w:szCs w:val="24"/>
                <w:color w:val="auto"/>
              </w:rPr>
            </w:pPr>
          </w:p>
        </w:tc>
        <w:tc>
          <w:tcPr>
            <w:tcW w:w="808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1060" w:type="dxa"/>
            <w:vAlign w:val="bottom"/>
            <w:gridSpan w:val="10"/>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7.</w:t>
              </w:r>
            </w:hyperlink>
          </w:p>
        </w:tc>
        <w:tc>
          <w:tcPr>
            <w:tcW w:w="1060" w:type="dxa"/>
            <w:vAlign w:val="bottom"/>
            <w:gridSpan w:val="10"/>
          </w:tcPr>
          <w:p>
            <w:pPr>
              <w:spacing w:after="0"/>
              <w:rPr>
                <w:sz w:val="24"/>
                <w:szCs w:val="24"/>
                <w:color w:val="auto"/>
              </w:rPr>
            </w:pPr>
          </w:p>
        </w:tc>
        <w:tc>
          <w:tcPr>
            <w:tcW w:w="646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4"/>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12"/>
        </w:trPr>
        <w:tc>
          <w:tcPr>
            <w:tcW w:w="1280" w:type="dxa"/>
            <w:vAlign w:val="bottom"/>
            <w:tcBorders>
              <w:bottom w:val="single" w:sz="8" w:color="0000EE"/>
            </w:tcBorders>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Items 7A.</w:t>
              </w:r>
            </w:hyperlink>
          </w:p>
        </w:tc>
        <w:tc>
          <w:tcPr>
            <w:tcW w:w="300" w:type="dxa"/>
            <w:vAlign w:val="bottom"/>
            <w:gridSpan w:val="4"/>
          </w:tcPr>
          <w:p>
            <w:pPr>
              <w:spacing w:after="0"/>
              <w:rPr>
                <w:sz w:val="24"/>
                <w:szCs w:val="24"/>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720" w:type="dxa"/>
            <w:vAlign w:val="bottom"/>
            <w:gridSpan w:val="9"/>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12"/>
        </w:trPr>
        <w:tc>
          <w:tcPr>
            <w:tcW w:w="580" w:type="dxa"/>
            <w:vAlign w:val="bottom"/>
            <w:gridSpan w:val="2"/>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Item 8.</w:t>
              </w:r>
            </w:hyperlink>
          </w:p>
        </w:tc>
        <w:tc>
          <w:tcPr>
            <w:tcW w:w="1000" w:type="dxa"/>
            <w:vAlign w:val="bottom"/>
            <w:gridSpan w:val="9"/>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9.</w:t>
              </w:r>
            </w:hyperlink>
          </w:p>
        </w:tc>
        <w:tc>
          <w:tcPr>
            <w:tcW w:w="60" w:type="dxa"/>
            <w:vAlign w:val="bottom"/>
          </w:tcPr>
          <w:p>
            <w:pPr>
              <w:spacing w:after="0"/>
              <w:rPr>
                <w:sz w:val="24"/>
                <w:szCs w:val="24"/>
                <w:color w:val="auto"/>
              </w:rPr>
            </w:pPr>
          </w:p>
        </w:tc>
        <w:tc>
          <w:tcPr>
            <w:tcW w:w="1000" w:type="dxa"/>
            <w:vAlign w:val="bottom"/>
            <w:gridSpan w:val="9"/>
          </w:tcPr>
          <w:p>
            <w:pPr>
              <w:spacing w:after="0"/>
              <w:rPr>
                <w:sz w:val="24"/>
                <w:szCs w:val="24"/>
                <w:color w:val="auto"/>
              </w:rPr>
            </w:pPr>
          </w:p>
        </w:tc>
        <w:tc>
          <w:tcPr>
            <w:tcW w:w="6480" w:type="dxa"/>
            <w:vAlign w:val="bottom"/>
            <w:tcBorders>
              <w:bottom w:val="single" w:sz="8" w:color="0000EE"/>
            </w:tcBorders>
            <w:gridSpan w:val="34"/>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Changes in and Disagreements with Accountants on Accounting and Financial Disclosure</w:t>
              </w:r>
            </w:hyperlink>
          </w:p>
        </w:tc>
        <w:tc>
          <w:tcPr>
            <w:tcW w:w="2600" w:type="dxa"/>
            <w:vAlign w:val="bottom"/>
            <w:gridSpan w:val="3"/>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Item 9A.</w:t>
              </w:r>
            </w:hyperlink>
          </w:p>
        </w:tc>
        <w:tc>
          <w:tcPr>
            <w:tcW w:w="920" w:type="dxa"/>
            <w:vAlign w:val="bottom"/>
            <w:gridSpan w:val="8"/>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Conclusion Regarding Effectiveness of Disclosure Controls and Procedures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Internal Control over Financial Reporting</w:t>
              </w:r>
            </w:hyperlink>
          </w:p>
        </w:tc>
        <w:tc>
          <w:tcPr>
            <w:tcW w:w="2440" w:type="dxa"/>
            <w:vAlign w:val="bottom"/>
            <w:tcBorders>
              <w:top w:val="single" w:sz="8" w:color="0000EE"/>
            </w:tcBorders>
            <w:gridSpan w:val="10"/>
          </w:tcPr>
          <w:p>
            <w:pPr>
              <w:spacing w:after="0"/>
              <w:rPr>
                <w:sz w:val="24"/>
                <w:szCs w:val="24"/>
                <w:color w:val="auto"/>
              </w:rPr>
            </w:pPr>
          </w:p>
        </w:tc>
        <w:tc>
          <w:tcPr>
            <w:tcW w:w="3640" w:type="dxa"/>
            <w:vAlign w:val="bottom"/>
            <w:gridSpan w:val="5"/>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9B.</w:t>
              </w:r>
            </w:hyperlink>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53"/>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gridSpan w:val="13"/>
          </w:tcPr>
          <w:p>
            <w:pPr>
              <w:ind w:left="20"/>
              <w:spacing w:after="0"/>
              <w:rPr>
                <w:sz w:val="20"/>
                <w:szCs w:val="20"/>
                <w:color w:val="auto"/>
              </w:rPr>
            </w:pPr>
            <w:r>
              <w:rPr>
                <w:rFonts w:ascii="Arial" w:cs="Arial" w:eastAsia="Arial" w:hAnsi="Arial"/>
                <w:sz w:val="18"/>
                <w:szCs w:val="18"/>
                <w:color w:val="auto"/>
              </w:rPr>
              <w:t>i</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580" w:type="dxa"/>
            <w:vAlign w:val="bottom"/>
            <w:gridSpan w:val="1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418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10.</w:t>
              </w:r>
            </w:hyperlink>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A.</w:t>
              </w:r>
            </w:hyperlink>
          </w:p>
        </w:tc>
        <w:tc>
          <w:tcPr>
            <w:tcW w:w="180" w:type="dxa"/>
            <w:vAlign w:val="bottom"/>
          </w:tcPr>
          <w:p>
            <w:pPr>
              <w:spacing w:after="0"/>
              <w:rPr>
                <w:sz w:val="24"/>
                <w:szCs w:val="24"/>
                <w:color w:val="auto"/>
              </w:rPr>
            </w:pPr>
          </w:p>
        </w:tc>
        <w:tc>
          <w:tcPr>
            <w:tcW w:w="4080" w:type="dxa"/>
            <w:vAlign w:val="bottom"/>
            <w:tcBorders>
              <w:top w:val="single" w:sz="8" w:color="0000EE"/>
            </w:tcBorders>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w:t>
              </w:r>
            </w:hyperlink>
          </w:p>
        </w:tc>
        <w:tc>
          <w:tcPr>
            <w:tcW w:w="5000" w:type="dxa"/>
            <w:vAlign w:val="bottom"/>
            <w:gridSpan w:val="13"/>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gridSpan w:val="4"/>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B.</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Executive Officers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gridSpan w:val="4"/>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w:t>
              </w:r>
            </w:hyperlink>
          </w:p>
        </w:tc>
        <w:tc>
          <w:tcPr>
            <w:tcW w:w="200" w:type="dxa"/>
            <w:vAlign w:val="bottom"/>
            <w:gridSpan w:val="2"/>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Corporate Governance</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5"/>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D.</w:t>
              </w:r>
            </w:hyperlink>
          </w:p>
        </w:tc>
        <w:tc>
          <w:tcPr>
            <w:tcW w:w="180" w:type="dxa"/>
            <w:vAlign w:val="bottom"/>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Code of Ethics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3"/>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1200" w:type="dxa"/>
            <w:vAlign w:val="bottom"/>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11.</w:t>
              </w:r>
            </w:hyperlink>
          </w:p>
        </w:tc>
        <w:tc>
          <w:tcPr>
            <w:tcW w:w="20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9"/>
          </w:tcPr>
          <w:p>
            <w:pPr>
              <w:spacing w:after="0" w:line="20" w:lineRule="exact"/>
              <w:rPr>
                <w:sz w:val="1"/>
                <w:szCs w:val="1"/>
                <w:color w:val="auto"/>
              </w:rPr>
            </w:pPr>
          </w:p>
        </w:tc>
        <w:tc>
          <w:tcPr>
            <w:tcW w:w="1800" w:type="dxa"/>
            <w:vAlign w:val="bottom"/>
            <w:gridSpan w:val="16"/>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12.</w:t>
              </w:r>
            </w:hyperlink>
          </w:p>
        </w:tc>
        <w:tc>
          <w:tcPr>
            <w:tcW w:w="908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9"/>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2580" w:type="dxa"/>
            <w:vAlign w:val="bottom"/>
            <w:gridSpan w:val="11"/>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13.</w:t>
              </w:r>
            </w:hyperlink>
          </w:p>
        </w:tc>
        <w:tc>
          <w:tcPr>
            <w:tcW w:w="908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9"/>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2580" w:type="dxa"/>
            <w:vAlign w:val="bottom"/>
            <w:gridSpan w:val="11"/>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158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14.</w:t>
              </w:r>
            </w:hyperlink>
          </w:p>
        </w:tc>
        <w:tc>
          <w:tcPr>
            <w:tcW w:w="908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Principal Accounting Fees and Services</w:t>
              </w:r>
            </w:hyperlink>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-3114675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-3114675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60" w:type="dxa"/>
            <w:vAlign w:val="bottom"/>
            <w:gridSpan w:val="3"/>
          </w:tcPr>
          <w:p>
            <w:pPr>
              <w:jc w:val="right"/>
              <w:ind w:right="487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IV</w:t>
              </w:r>
            </w:hyperlink>
          </w:p>
        </w:tc>
      </w:tr>
      <w:tr>
        <w:trPr>
          <w:trHeight w:val="412"/>
        </w:trPr>
        <w:tc>
          <w:tcPr>
            <w:tcW w:w="1460" w:type="dxa"/>
            <w:vAlign w:val="bottom"/>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15.</w:t>
              </w:r>
            </w:hyperlink>
          </w:p>
        </w:tc>
        <w:tc>
          <w:tcPr>
            <w:tcW w:w="4000" w:type="dxa"/>
            <w:vAlign w:val="bottom"/>
            <w:gridSpan w:val="6"/>
          </w:tcPr>
          <w:p>
            <w:pPr>
              <w:ind w:left="120"/>
              <w:spacing w:after="0"/>
              <w:rPr>
                <w:rFonts w:ascii="Arial" w:cs="Arial" w:eastAsia="Arial" w:hAnsi="Arial"/>
                <w:sz w:val="18"/>
                <w:szCs w:val="18"/>
                <w:color w:val="0000EE"/>
              </w:rPr>
            </w:pPr>
            <w:hyperlink w:anchor="page54">
              <w:r>
                <w:rPr>
                  <w:rFonts w:ascii="Arial" w:cs="Arial" w:eastAsia="Arial" w:hAnsi="Arial"/>
                  <w:sz w:val="18"/>
                  <w:szCs w:val="18"/>
                  <w:color w:val="0000EE"/>
                </w:rPr>
                <w:t>Exhibits and Financial Statement Schedules</w:t>
              </w:r>
            </w:hyperlink>
          </w:p>
        </w:tc>
        <w:tc>
          <w:tcPr>
            <w:tcW w:w="3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rFonts w:ascii="Arial" w:cs="Arial" w:eastAsia="Arial" w:hAnsi="Arial"/>
                <w:sz w:val="18"/>
                <w:szCs w:val="18"/>
                <w:color w:val="0000EE"/>
                <w:w w:val="81"/>
              </w:rPr>
            </w:pPr>
            <w:hyperlink w:anchor="page54">
              <w:r>
                <w:rPr>
                  <w:rFonts w:ascii="Arial" w:cs="Arial" w:eastAsia="Arial" w:hAnsi="Arial"/>
                  <w:sz w:val="18"/>
                  <w:szCs w:val="18"/>
                  <w:color w:val="0000EE"/>
                  <w:w w:val="81"/>
                </w:rPr>
                <w:t>A.</w:t>
              </w:r>
            </w:hyperlink>
          </w:p>
        </w:tc>
        <w:tc>
          <w:tcPr>
            <w:tcW w:w="80" w:type="dxa"/>
            <w:vAlign w:val="bottom"/>
          </w:tcPr>
          <w:p>
            <w:pPr>
              <w:spacing w:after="0"/>
              <w:rPr>
                <w:sz w:val="24"/>
                <w:szCs w:val="24"/>
                <w:color w:val="auto"/>
              </w:rPr>
            </w:pPr>
          </w:p>
        </w:tc>
        <w:tc>
          <w:tcPr>
            <w:tcW w:w="4000" w:type="dxa"/>
            <w:vAlign w:val="bottom"/>
            <w:gridSpan w:val="6"/>
          </w:tcPr>
          <w:p>
            <w:pPr>
              <w:ind w:left="120"/>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w:t>
              </w:r>
            </w:hyperlink>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rFonts w:ascii="Arial" w:cs="Arial" w:eastAsia="Arial" w:hAnsi="Arial"/>
                <w:sz w:val="18"/>
                <w:szCs w:val="18"/>
                <w:color w:val="0000EE"/>
                <w:w w:val="81"/>
              </w:rPr>
            </w:pPr>
            <w:hyperlink w:anchor="page54">
              <w:r>
                <w:rPr>
                  <w:rFonts w:ascii="Arial" w:cs="Arial" w:eastAsia="Arial" w:hAnsi="Arial"/>
                  <w:sz w:val="18"/>
                  <w:szCs w:val="18"/>
                  <w:color w:val="0000EE"/>
                  <w:w w:val="81"/>
                </w:rPr>
                <w:t>B.</w:t>
              </w:r>
            </w:hyperlink>
          </w:p>
        </w:tc>
        <w:tc>
          <w:tcPr>
            <w:tcW w:w="80" w:type="dxa"/>
            <w:vAlign w:val="bottom"/>
          </w:tcPr>
          <w:p>
            <w:pPr>
              <w:spacing w:after="0"/>
              <w:rPr>
                <w:sz w:val="24"/>
                <w:szCs w:val="24"/>
                <w:color w:val="auto"/>
              </w:rPr>
            </w:pPr>
          </w:p>
        </w:tc>
        <w:tc>
          <w:tcPr>
            <w:tcW w:w="4000" w:type="dxa"/>
            <w:vAlign w:val="bottom"/>
            <w:gridSpan w:val="6"/>
          </w:tcPr>
          <w:p>
            <w:pPr>
              <w:ind w:left="120"/>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 Schedules</w:t>
              </w:r>
            </w:hyperlink>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6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   Exhibits Required by Item 601 of Regulation S-K</w:t>
              </w:r>
            </w:hyperlink>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120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2015, see Note 15 to the consolidated financial statements in Item 8 of Part II below.</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 (“MatNav”),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Matson, Inc. Founded in 1882, MatNav is an asset-based business that provides a vital lifeline of ocean freight transportation services to the domestic economies of Hawaii, Alaska, and Guam, and to other island economies in Micronesia and in the South Pacific. MatNav also operates a premium, expedited service from China to Long Beach, California. In addition, subsidiaries of MatNav provide container stevedoring, container equipment maintenance and other terminal services for MatNav and other ocean carriers on the Hawaii islands of Oahu, Hawaii, Maui and Kauai, and in the Alaska locations of Anchorage, Kodiak, Dutch Harbor and Akutan.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 has a 35 percent ownership interest in SSA Terminals, LLC (“SSAT”) through a joint venture between Matson Ventures, Inc., a wholly-owned subsidiary of MatNav, and SSA Ventures, Inc. (“SSA”), a subsidiary of Carrix, Inc. SSAT provides terminal and stevedoring services to various carriers at six terminal facilities on the U.S. West Coast, including to MatNav at three of those facilities. Matson records its share of income in the joint venture in operating expenses within the Ocean Transportation segment due to the nature of SSAT’s operations.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Horizon Acquisition: </w:t>
      </w:r>
      <w:r>
        <w:rPr>
          <w:rFonts w:ascii="Arial" w:cs="Arial" w:eastAsia="Arial" w:hAnsi="Arial"/>
          <w:sz w:val="18"/>
          <w:szCs w:val="18"/>
          <w:color w:val="auto"/>
        </w:rPr>
        <w:t>On May 29, 2015, Matson completed its acquisition of Horizon Lines, Inc. (“Horizon”). As a result, Matson acquired Horizon’s Alaska</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assumed all of Horizon’s non-Hawaii assets and liabilities (the “Horizon Acquisition”). For additional information on the Horizon Acquisition, see Note 3 to the consolidated financial statements in Item 8 of Part II below.</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Matson’s Logistics business is conducted through Matson Logistics, Inc. (“Matson Logistics” or “Logistics”), a wholly-owned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supply chain management, and warehousing and distribution services.</w:t>
      </w:r>
    </w:p>
    <w:p>
      <w:pPr>
        <w:spacing w:after="0" w:line="150"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Matson’s Services: </w:t>
      </w:r>
      <w:r>
        <w:rPr>
          <w:rFonts w:ascii="Arial" w:cs="Arial" w:eastAsia="Arial" w:hAnsi="Arial"/>
          <w:sz w:val="18"/>
          <w:szCs w:val="18"/>
          <w:color w:val="auto"/>
        </w:rPr>
        <w:t>Matson’s Ocean Transportation segment provides the following ocean freight services: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freight services (lift-on/lift-off, roll-on/roll-off and conventional services) between the ports of</w:t>
      </w:r>
      <w:r>
        <w:rPr>
          <w:rFonts w:ascii="Arial" w:cs="Arial" w:eastAsia="Arial" w:hAnsi="Arial"/>
          <w:sz w:val="18"/>
          <w:szCs w:val="18"/>
          <w:i w:val="1"/>
          <w:iCs w:val="1"/>
          <w:color w:val="auto"/>
        </w:rPr>
        <w:t xml:space="preserve"> </w:t>
      </w:r>
      <w:r>
        <w:rPr>
          <w:rFonts w:ascii="Arial" w:cs="Arial" w:eastAsia="Arial" w:hAnsi="Arial"/>
          <w:sz w:val="18"/>
          <w:szCs w:val="18"/>
          <w:color w:val="auto"/>
        </w:rPr>
        <w:t>Long Beach, Oakland, Seattle, and the major ports in Hawaii on the islands of Oahu, Kauai, Maui and Hawaii. Matson is the largest carrier of ocean cargo between the U.S. West Coast and Hawaii.</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Westbound cargo carried by Matson to Hawaii includes dry containers of mixed commodities, refrigerated commodities, packaged foods,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 and automobiles.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24" w:right="239" w:bottom="0" w:gutter="0" w:footer="0" w:header="0"/>
        </w:sectPr>
      </w:pPr>
    </w:p>
    <w:bookmarkStart w:id="3" w:name="page4"/>
    <w:bookmarkEnd w:id="3"/>
    <w:p>
      <w:pPr>
        <w:ind w:right="180"/>
        <w:spacing w:after="0" w:line="286" w:lineRule="auto"/>
        <w:rPr>
          <w:sz w:val="20"/>
          <w:szCs w:val="20"/>
          <w:color w:val="auto"/>
        </w:rPr>
      </w:pPr>
      <w:r>
        <w:rPr>
          <w:rFonts w:ascii="Arial" w:cs="Arial" w:eastAsia="Arial" w:hAnsi="Arial"/>
          <w:sz w:val="17"/>
          <w:szCs w:val="17"/>
          <w:i w:val="1"/>
          <w:iCs w:val="1"/>
          <w:color w:val="auto"/>
        </w:rPr>
        <w:t xml:space="preserve">Alaska Service: </w:t>
      </w:r>
      <w:r>
        <w:rPr>
          <w:rFonts w:ascii="Arial" w:cs="Arial" w:eastAsia="Arial" w:hAnsi="Arial"/>
          <w:sz w:val="17"/>
          <w:szCs w:val="17"/>
          <w:color w:val="auto"/>
        </w:rPr>
        <w:t>Matson’s Alaska service, which Matson acquired on May 29, 2015 as part of the Horizon Acquisition, provides ocean freight services (lift-on/lift-off and conventional services) between the port of Tacoma, Washington, and the ports of Anchorage, Kodiak, and Dutch Harbor in Alaska. The Company also provides a barge service between Dutch Harbor and Akutan, and other transportation services to smaller locations in Alaska.</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Matson’s northbound cargo to Alaska includes dry containers of mixed commodities, refrigerated commodities, packaged foods, household goods, and automobiles. Matson’s southbound cargo from Alaska primarily consists of household goods, automobiles and seafood.</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Matson’s China service is part of an integrated Hawaii/Guam/China service. This service carries cargo from Long Beach to Honolulu and</w:t>
      </w:r>
      <w:r>
        <w:rPr>
          <w:rFonts w:ascii="Arial" w:cs="Arial" w:eastAsia="Arial" w:hAnsi="Arial"/>
          <w:sz w:val="18"/>
          <w:szCs w:val="18"/>
          <w:i w:val="1"/>
          <w:iCs w:val="1"/>
          <w:color w:val="auto"/>
        </w:rPr>
        <w:t xml:space="preserve"> </w:t>
      </w:r>
      <w:r>
        <w:rPr>
          <w:rFonts w:ascii="Arial" w:cs="Arial" w:eastAsia="Arial" w:hAnsi="Arial"/>
          <w:sz w:val="18"/>
          <w:szCs w:val="18"/>
          <w:color w:val="auto"/>
        </w:rPr>
        <w:t>then to Guam. The vessels continue to the ports of Xiamen, Ningbo and Shanghai in China, where they are loaded with cargo to be discharged in Long Beach. These vessels also carry cargo destined to and originating from the Guam and Micronesia services. China cargo consists mainly of garments, footwear, and other retail merchandise.</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Guam Service: </w:t>
      </w:r>
      <w:r>
        <w:rPr>
          <w:rFonts w:ascii="Arial" w:cs="Arial" w:eastAsia="Arial" w:hAnsi="Arial"/>
          <w:sz w:val="16"/>
          <w:szCs w:val="16"/>
          <w:color w:val="auto"/>
        </w:rPr>
        <w:t>Matson’s Guam service provides weekly container and conventional freight services carrying mainly general sustenance cargo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West Coast and Guam. Additionally, Matson provides freight services from Guam to the Commonwealth of the Northern Mariana Islands.</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Micronesia Service: </w:t>
      </w:r>
      <w:r>
        <w:rPr>
          <w:rFonts w:ascii="Arial" w:cs="Arial" w:eastAsia="Arial" w:hAnsi="Arial"/>
          <w:sz w:val="16"/>
          <w:szCs w:val="16"/>
          <w:color w:val="auto"/>
        </w:rPr>
        <w:t>Matson’s Micronesia service provides container and conventional freight services carrying mainly general sustenance cargo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West Coast and the islands of Kwajalein, Ebeye and Majuro in the Republic of the Marshall Islands, the islands of Yap, Pohnpei, Chuuk and Kosrae in the Federated States of Micronesia, and the Republic of Palau. Cargo destined for these locations is transshipped through Guam.</w:t>
      </w:r>
    </w:p>
    <w:p>
      <w:pPr>
        <w:spacing w:after="0" w:line="14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i w:val="1"/>
          <w:iCs w:val="1"/>
          <w:color w:val="auto"/>
        </w:rPr>
        <w:t xml:space="preserve">South Pacific Service: </w:t>
      </w:r>
      <w:r>
        <w:rPr>
          <w:rFonts w:ascii="Arial" w:cs="Arial" w:eastAsia="Arial" w:hAnsi="Arial"/>
          <w:sz w:val="16"/>
          <w:szCs w:val="16"/>
          <w:color w:val="auto"/>
        </w:rPr>
        <w:t>Matson’s South Pacific service provides container and conventional freight services carrying general sustenance cargo between New</w:t>
      </w:r>
      <w:r>
        <w:rPr>
          <w:rFonts w:ascii="Arial" w:cs="Arial" w:eastAsia="Arial" w:hAnsi="Arial"/>
          <w:sz w:val="16"/>
          <w:szCs w:val="16"/>
          <w:i w:val="1"/>
          <w:iCs w:val="1"/>
          <w:color w:val="auto"/>
        </w:rPr>
        <w:t xml:space="preserve"> </w:t>
      </w:r>
      <w:r>
        <w:rPr>
          <w:rFonts w:ascii="Arial" w:cs="Arial" w:eastAsia="Arial" w:hAnsi="Arial"/>
          <w:sz w:val="16"/>
          <w:szCs w:val="16"/>
          <w:color w:val="auto"/>
        </w:rPr>
        <w:t>Zealand and other South Pacific Islands including Fiji, Samoa, American Samoa, Tonga, the Cook Islands, Niue, Vanuatu, Nauru, and the Solomon Islands.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Matson’s Vessel Information: </w:t>
      </w:r>
      <w:r>
        <w:rPr>
          <w:rFonts w:ascii="Arial" w:cs="Arial" w:eastAsia="Arial" w:hAnsi="Arial"/>
          <w:sz w:val="18"/>
          <w:szCs w:val="18"/>
          <w:color w:val="auto"/>
        </w:rPr>
        <w:t>Matson’s fleet includes 23 owned and three chartered vessels. The Matson-owned fleet represents an initial investment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billion and consists of: 17 containerships; two combination container/roll-on/roll-off ships; one roll-on/roll-off barge; and three container barges equipped with cranes (see Critical Accounting Estimates in Item 7 of Part II below for additional information about vessel costs and net book values). The majority of vessels in the Matson-owned fleet have been acquired with the assistance of withdrawals from a Capital Construction Fund (“CCF”) established under Section 607 of the Merchant Marine Act of 1936 (see Note 7 to the consolidated financial statements in Item 8 of Part II below for additional information about the CCF).</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fourth quarter of 2013, MatNav and Philly Shipyard (formerly known as Aker Philadelphia Shipyard, Inc.) entered into definitive agreements pursuant to which Philly Shipyard will construct two new 3,600 twenty-foot equivalent unit (“TEU”) Aloha-class containerships with dual-fuel capable engines, which are expected to be delivered during the third quarter of 2018 and the first quarter of 2019 (the “Shipbuilding Agreements”), at a total cost of approximately $418.0 million. Philly Shipyard’s obligations under the Shipbuilding Agreements are guaranteed by Aker Philadelphia Shipyard ASA, a publicly listed company on the OSLO Stock Exchange.</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a complement to its fleet, as of December 31, 2015, Matson owns approximately 37,400 containers and 12,200 chassis, which represents an initial investment of approximately $295 million, and miscellaneous other equipment. Matson also leases approximately 13,700 containers and 11,100 chassis.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Matson’s U.S. flagged vessels must meet specified seaworthiness standards established by U.S. Coast Guard rules and classification society requirements. These standards require that our ships undergo two dry-docking inspections within a five-year period. The majority of Matson’s U.S. flagged vessels are enrolled in the U.S. Coast Guard’s Underwater Survey in Lieu of Dry-docking (“UWILD”) program. The UWILD program allows eligible ships to meet their intermediate dry-docking requirement with a less costly underwater inspection.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Matson operates four non-U.S. flagged vessels (one owned; one under a bareboat charter arrangement; and two on time charter arrangements) in the Micronesia and South Pacific services. Matson is responsible for ensuring that the owned and bareboat chartered vessels meet international standards for seaworthiness, which among other requirements generally mandate that Matson perform two dry-docking inspections every five years. The dry-dockings of Matson’s time chartered vessels are the responsibility of the ships’ owners.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Vessels owned and chartered by Matson as of December 31, 2015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Maximum</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Maximum</w:t>
            </w: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left="37"/>
              <w:spacing w:after="0"/>
              <w:rPr>
                <w:sz w:val="20"/>
                <w:szCs w:val="20"/>
                <w:color w:val="auto"/>
              </w:rPr>
            </w:pPr>
            <w:r>
              <w:rPr>
                <w:rFonts w:ascii="Arial" w:cs="Arial" w:eastAsia="Arial" w:hAnsi="Arial"/>
                <w:sz w:val="13"/>
                <w:szCs w:val="13"/>
                <w:b w:val="1"/>
                <w:bCs w:val="1"/>
                <w:color w:val="auto"/>
                <w:w w:val="87"/>
              </w:rPr>
              <w:t>Usable Cargo Capacity</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gridSpan w:val="5"/>
          </w:tcPr>
          <w:p>
            <w:pPr>
              <w:spacing w:after="0" w:line="129" w:lineRule="exact"/>
              <w:rPr>
                <w:sz w:val="20"/>
                <w:szCs w:val="20"/>
                <w:color w:val="auto"/>
              </w:rPr>
            </w:pPr>
            <w:r>
              <w:rPr>
                <w:rFonts w:ascii="Arial" w:cs="Arial" w:eastAsia="Arial" w:hAnsi="Arial"/>
                <w:sz w:val="13"/>
                <w:szCs w:val="13"/>
                <w:b w:val="1"/>
                <w:bCs w:val="1"/>
                <w:color w:val="auto"/>
              </w:rPr>
              <w:t>Containers</w:t>
            </w:r>
          </w:p>
        </w:tc>
        <w:tc>
          <w:tcPr>
            <w:tcW w:w="68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83"/>
              </w:rPr>
              <w:t>Vehicles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Owned/</w:t>
            </w:r>
          </w:p>
        </w:tc>
        <w:tc>
          <w:tcPr>
            <w:tcW w:w="10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Official</w:t>
            </w:r>
          </w:p>
        </w:tc>
        <w:tc>
          <w:tcPr>
            <w:tcW w:w="980" w:type="dxa"/>
            <w:vAlign w:val="bottom"/>
            <w:gridSpan w:val="2"/>
          </w:tcPr>
          <w:p>
            <w:pPr>
              <w:ind w:left="280"/>
              <w:spacing w:after="0" w:line="110" w:lineRule="exact"/>
              <w:rPr>
                <w:sz w:val="20"/>
                <w:szCs w:val="20"/>
                <w:color w:val="auto"/>
              </w:rPr>
            </w:pPr>
            <w:r>
              <w:rPr>
                <w:rFonts w:ascii="Arial" w:cs="Arial" w:eastAsia="Arial" w:hAnsi="Arial"/>
                <w:sz w:val="12"/>
                <w:szCs w:val="12"/>
                <w:b w:val="1"/>
                <w:bCs w:val="1"/>
                <w:color w:val="auto"/>
              </w:rPr>
              <w:t>Year</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88"/>
              </w:rPr>
              <w:t>Speed</w:t>
            </w: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4"/>
              </w:rPr>
              <w:t>Deadweight</w:t>
            </w:r>
          </w:p>
        </w:tc>
        <w:tc>
          <w:tcPr>
            <w:tcW w:w="580" w:type="dxa"/>
            <w:vAlign w:val="bottom"/>
            <w:tcBorders>
              <w:top w:val="single" w:sz="8" w:color="auto"/>
            </w:tcBorders>
          </w:tcPr>
          <w:p>
            <w:pPr>
              <w:jc w:val="center"/>
              <w:ind w:left="157"/>
              <w:spacing w:after="0" w:line="110" w:lineRule="exact"/>
              <w:rPr>
                <w:sz w:val="20"/>
                <w:szCs w:val="20"/>
                <w:color w:val="auto"/>
              </w:rPr>
            </w:pPr>
            <w:r>
              <w:rPr>
                <w:rFonts w:ascii="Arial" w:cs="Arial" w:eastAsia="Arial" w:hAnsi="Arial"/>
                <w:sz w:val="12"/>
                <w:szCs w:val="12"/>
                <w:b w:val="1"/>
                <w:bCs w:val="1"/>
                <w:color w:val="auto"/>
                <w:w w:val="96"/>
              </w:rPr>
              <w:t>Reefer</w:t>
            </w: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760" w:type="dxa"/>
            <w:vAlign w:val="bottom"/>
            <w:gridSpan w:val="3"/>
          </w:tcPr>
          <w:p>
            <w:pPr>
              <w:spacing w:after="0"/>
              <w:rPr>
                <w:sz w:val="20"/>
                <w:szCs w:val="20"/>
                <w:color w:val="auto"/>
              </w:rPr>
            </w:pPr>
            <w:r>
              <w:rPr>
                <w:rFonts w:ascii="Arial" w:cs="Arial" w:eastAsia="Arial" w:hAnsi="Arial"/>
                <w:sz w:val="13"/>
                <w:szCs w:val="13"/>
                <w:b w:val="1"/>
                <w:bCs w:val="1"/>
                <w:color w:val="auto"/>
              </w:rPr>
              <w:t>Name of Vessels (1)</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Chartered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Number</w:t>
            </w: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Built</w:t>
            </w: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Length</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(Knots)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(Long Tons)</w:t>
            </w:r>
          </w:p>
        </w:tc>
        <w:tc>
          <w:tcPr>
            <w:tcW w:w="580" w:type="dxa"/>
            <w:vAlign w:val="bottom"/>
          </w:tcPr>
          <w:p>
            <w:pPr>
              <w:jc w:val="center"/>
              <w:ind w:left="137"/>
              <w:spacing w:after="0"/>
              <w:rPr>
                <w:sz w:val="20"/>
                <w:szCs w:val="20"/>
                <w:color w:val="auto"/>
              </w:rPr>
            </w:pPr>
            <w:r>
              <w:rPr>
                <w:rFonts w:ascii="Arial" w:cs="Arial" w:eastAsia="Arial" w:hAnsi="Arial"/>
                <w:sz w:val="13"/>
                <w:szCs w:val="13"/>
                <w:b w:val="1"/>
                <w:bCs w:val="1"/>
                <w:color w:val="auto"/>
                <w:w w:val="81"/>
              </w:rPr>
              <w:t>Slots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TEUs (2)</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rPr>
              <w:t>Diesel-Powered - Owned</w:t>
            </w:r>
          </w:p>
        </w:tc>
        <w:tc>
          <w:tcPr>
            <w:tcW w:w="1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MAUNALEI</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1181627</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2006</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681’ 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22</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33,771</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328</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1,992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MANULANI</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1168529</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2005</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712’ 0”</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29,517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284</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2,378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MAUNAWILI</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1153166</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2004</w:t>
            </w:r>
          </w:p>
        </w:tc>
        <w:tc>
          <w:tcPr>
            <w:tcW w:w="18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711’ 9”</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29,517</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326</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2,378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MANUKAI</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1141163</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2003</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711’ 9”</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29,517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326</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2,378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OLOMANA (3)</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9"/>
              </w:rPr>
              <w:t>1559</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1999</w:t>
            </w:r>
          </w:p>
        </w:tc>
        <w:tc>
          <w:tcPr>
            <w:tcW w:w="18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9"/>
              </w:rPr>
              <w:t>381’5”</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14</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5"/>
              </w:rPr>
              <w:t>5,364</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82"/>
              </w:rPr>
              <w:t>68</w:t>
            </w:r>
          </w:p>
        </w:tc>
        <w:tc>
          <w:tcPr>
            <w:tcW w:w="1180" w:type="dxa"/>
            <w:vAlign w:val="bottom"/>
            <w:gridSpan w:val="3"/>
          </w:tcPr>
          <w:p>
            <w:pPr>
              <w:jc w:val="center"/>
              <w:ind w:left="297"/>
              <w:spacing w:after="0" w:line="135" w:lineRule="exact"/>
              <w:rPr>
                <w:sz w:val="20"/>
                <w:szCs w:val="20"/>
                <w:color w:val="auto"/>
              </w:rPr>
            </w:pPr>
            <w:r>
              <w:rPr>
                <w:rFonts w:ascii="Arial" w:cs="Arial" w:eastAsia="Arial" w:hAnsi="Arial"/>
                <w:sz w:val="13"/>
                <w:szCs w:val="13"/>
                <w:color w:val="auto"/>
                <w:w w:val="82"/>
              </w:rPr>
              <w:t>521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R.J. PFEIFFER</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979814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1992</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713’ 6”</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27,100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300</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2,245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MATSON KODIAK (6)</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910308</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1987</w:t>
            </w: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710</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20</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37,473</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280</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1,668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HORIZON ANCHORAGE (6)</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910306</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1987</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710</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20</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37,473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280</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1,668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HORIZON TACOMA (6)</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910307</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1987</w:t>
            </w: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710</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20</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37,473</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280</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1,668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MOKIHANA</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655397</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1983</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860’ 2”</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29,484</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354</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1,994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5"/>
              </w:rPr>
              <w:t>1,323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MANOA</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651627</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1982</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860’ 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30,187</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408</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2,824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MAHIMAHI</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653424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1982</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860’ 2”</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30,167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408</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2,824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i w:val="1"/>
                <w:iCs w:val="1"/>
                <w:color w:val="auto"/>
              </w:rPr>
              <w:t>Diesel-Powered - Chartered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IMUA II (3)</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Chartered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9184237</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2005</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388’ 6”</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15</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5"/>
              </w:rPr>
              <w:t>8,071</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82"/>
              </w:rPr>
              <w:t>90</w:t>
            </w:r>
          </w:p>
        </w:tc>
        <w:tc>
          <w:tcPr>
            <w:tcW w:w="1180" w:type="dxa"/>
            <w:vAlign w:val="bottom"/>
            <w:gridSpan w:val="3"/>
          </w:tcPr>
          <w:p>
            <w:pPr>
              <w:jc w:val="center"/>
              <w:ind w:left="297"/>
              <w:spacing w:after="0" w:line="135" w:lineRule="exact"/>
              <w:rPr>
                <w:sz w:val="20"/>
                <w:szCs w:val="20"/>
                <w:color w:val="auto"/>
              </w:rPr>
            </w:pPr>
            <w:r>
              <w:rPr>
                <w:rFonts w:ascii="Arial" w:cs="Arial" w:eastAsia="Arial" w:hAnsi="Arial"/>
                <w:sz w:val="13"/>
                <w:szCs w:val="13"/>
                <w:color w:val="auto"/>
                <w:w w:val="82"/>
              </w:rPr>
              <w:t>630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LILOA (3)</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Chartered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4681</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2003</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3"/>
              </w:rPr>
              <w:t>358’ 11”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15</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5,934</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82"/>
              </w:rPr>
              <w:t>30</w:t>
            </w:r>
          </w:p>
        </w:tc>
        <w:tc>
          <w:tcPr>
            <w:tcW w:w="1180" w:type="dxa"/>
            <w:vAlign w:val="bottom"/>
            <w:gridSpan w:val="3"/>
            <w:shd w:val="clear" w:color="auto" w:fill="CCEEFF"/>
          </w:tcPr>
          <w:p>
            <w:pPr>
              <w:jc w:val="center"/>
              <w:ind w:left="297"/>
              <w:spacing w:after="0" w:line="135" w:lineRule="exact"/>
              <w:rPr>
                <w:sz w:val="20"/>
                <w:szCs w:val="20"/>
                <w:color w:val="auto"/>
              </w:rPr>
            </w:pPr>
            <w:r>
              <w:rPr>
                <w:rFonts w:ascii="Arial" w:cs="Arial" w:eastAsia="Arial" w:hAnsi="Arial"/>
                <w:sz w:val="13"/>
                <w:szCs w:val="13"/>
                <w:color w:val="auto"/>
                <w:w w:val="82"/>
              </w:rPr>
              <w:t>513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MANA (3)</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Chartered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9"/>
              </w:rPr>
              <w:t>4958</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1997</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329’ 9”</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13</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5"/>
              </w:rPr>
              <w:t>4,508</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82"/>
              </w:rPr>
              <w:t>60</w:t>
            </w:r>
          </w:p>
        </w:tc>
        <w:tc>
          <w:tcPr>
            <w:tcW w:w="1180" w:type="dxa"/>
            <w:vAlign w:val="bottom"/>
            <w:gridSpan w:val="3"/>
          </w:tcPr>
          <w:p>
            <w:pPr>
              <w:jc w:val="center"/>
              <w:ind w:left="297"/>
              <w:spacing w:after="0" w:line="135" w:lineRule="exact"/>
              <w:rPr>
                <w:sz w:val="20"/>
                <w:szCs w:val="20"/>
                <w:color w:val="auto"/>
              </w:rPr>
            </w:pPr>
            <w:r>
              <w:rPr>
                <w:rFonts w:ascii="Arial" w:cs="Arial" w:eastAsia="Arial" w:hAnsi="Arial"/>
                <w:sz w:val="13"/>
                <w:szCs w:val="13"/>
                <w:color w:val="auto"/>
                <w:w w:val="82"/>
              </w:rPr>
              <w:t>384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gridSpan w:val="2"/>
          </w:tcPr>
          <w:p>
            <w:pPr>
              <w:spacing w:after="0" w:line="135" w:lineRule="exact"/>
              <w:rPr>
                <w:sz w:val="20"/>
                <w:szCs w:val="20"/>
                <w:color w:val="auto"/>
              </w:rPr>
            </w:pPr>
            <w:r>
              <w:rPr>
                <w:rFonts w:ascii="Arial" w:cs="Arial" w:eastAsia="Arial" w:hAnsi="Arial"/>
                <w:sz w:val="13"/>
                <w:szCs w:val="13"/>
                <w:b w:val="1"/>
                <w:bCs w:val="1"/>
                <w:i w:val="1"/>
                <w:iCs w:val="1"/>
                <w:color w:val="auto"/>
              </w:rPr>
              <w:t>Steam-Powered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KAUAI</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621042</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1980</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720’ 5”</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22</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26,308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276</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1,644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2"/>
              </w:rPr>
              <w:t>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MAUI</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591709</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1978</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720’ 5”</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22</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26,623</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252</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1,644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MATSON PRODUCER (6)</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552819</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1974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720</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22</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38,858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170</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1,680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MATSONIA</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553090</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1973</w:t>
            </w:r>
          </w:p>
        </w:tc>
        <w:tc>
          <w:tcPr>
            <w:tcW w:w="1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760’ 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21</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22,501</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258</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1,727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2"/>
              </w:rPr>
              <w:t>450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HORIZON CONSUMER (6)</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552818</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1973</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720</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22</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38,858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170</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1,690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MATSON NAVIGATOR (6)</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541868</w:t>
            </w:r>
          </w:p>
        </w:tc>
        <w:tc>
          <w:tcPr>
            <w:tcW w:w="18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Arial" w:cs="Arial" w:eastAsia="Arial" w:hAnsi="Arial"/>
                <w:sz w:val="13"/>
                <w:szCs w:val="13"/>
                <w:color w:val="auto"/>
              </w:rPr>
              <w:t>1972</w:t>
            </w: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813</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21</w:t>
            </w: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47,790</w:t>
            </w:r>
          </w:p>
        </w:tc>
        <w:tc>
          <w:tcPr>
            <w:tcW w:w="160" w:type="dxa"/>
            <w:vAlign w:val="bottom"/>
          </w:tcPr>
          <w:p>
            <w:pPr>
              <w:spacing w:after="0"/>
              <w:rPr>
                <w:sz w:val="11"/>
                <w:szCs w:val="11"/>
                <w:color w:val="auto"/>
              </w:rPr>
            </w:pPr>
          </w:p>
        </w:tc>
        <w:tc>
          <w:tcPr>
            <w:tcW w:w="58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2"/>
              </w:rPr>
              <w:t>188</w:t>
            </w:r>
          </w:p>
        </w:tc>
        <w:tc>
          <w:tcPr>
            <w:tcW w:w="1180" w:type="dxa"/>
            <w:vAlign w:val="bottom"/>
            <w:gridSpan w:val="3"/>
          </w:tcPr>
          <w:p>
            <w:pPr>
              <w:jc w:val="center"/>
              <w:ind w:left="317"/>
              <w:spacing w:after="0" w:line="135" w:lineRule="exact"/>
              <w:rPr>
                <w:sz w:val="20"/>
                <w:szCs w:val="20"/>
                <w:color w:val="auto"/>
              </w:rPr>
            </w:pPr>
            <w:r>
              <w:rPr>
                <w:rFonts w:ascii="Arial" w:cs="Arial" w:eastAsia="Arial" w:hAnsi="Arial"/>
                <w:sz w:val="13"/>
                <w:szCs w:val="13"/>
                <w:color w:val="auto"/>
                <w:w w:val="85"/>
              </w:rPr>
              <w:t>2,250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LIHUE</w:t>
            </w:r>
          </w:p>
        </w:tc>
        <w:tc>
          <w:tcPr>
            <w:tcW w:w="9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2"/>
              </w:rPr>
              <w:t>Owned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530137</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1971</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5"/>
              </w:rPr>
              <w:t>787’ 8”</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21</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38,656</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ind w:left="157"/>
              <w:spacing w:after="0" w:line="135" w:lineRule="exact"/>
              <w:rPr>
                <w:sz w:val="20"/>
                <w:szCs w:val="20"/>
                <w:color w:val="auto"/>
              </w:rPr>
            </w:pPr>
            <w:r>
              <w:rPr>
                <w:rFonts w:ascii="Arial" w:cs="Arial" w:eastAsia="Arial" w:hAnsi="Arial"/>
                <w:sz w:val="13"/>
                <w:szCs w:val="13"/>
                <w:color w:val="auto"/>
                <w:w w:val="92"/>
              </w:rPr>
              <w:t>188</w:t>
            </w:r>
          </w:p>
        </w:tc>
        <w:tc>
          <w:tcPr>
            <w:tcW w:w="1180" w:type="dxa"/>
            <w:vAlign w:val="bottom"/>
            <w:gridSpan w:val="3"/>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w w:val="85"/>
              </w:rPr>
              <w:t>2,018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1"/>
          <w:szCs w:val="11"/>
          <w:b w:val="1"/>
          <w:bCs w:val="1"/>
          <w:i w:val="1"/>
          <w:iCs w:val="1"/>
          <w:color w:val="auto"/>
        </w:rPr>
        <w:t>Barges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ind w:left="200"/>
              <w:spacing w:after="0"/>
              <w:rPr>
                <w:sz w:val="20"/>
                <w:szCs w:val="20"/>
                <w:color w:val="auto"/>
              </w:rPr>
            </w:pPr>
            <w:r>
              <w:rPr>
                <w:rFonts w:ascii="Arial" w:cs="Arial" w:eastAsia="Arial" w:hAnsi="Arial"/>
                <w:sz w:val="13"/>
                <w:szCs w:val="13"/>
                <w:color w:val="auto"/>
              </w:rPr>
              <w:t>WAIALEALE (4)</w:t>
            </w:r>
          </w:p>
        </w:tc>
        <w:tc>
          <w:tcPr>
            <w:tcW w:w="1600" w:type="dxa"/>
            <w:vAlign w:val="bottom"/>
          </w:tcPr>
          <w:p>
            <w:pPr>
              <w:ind w:left="920"/>
              <w:spacing w:after="0"/>
              <w:rPr>
                <w:sz w:val="20"/>
                <w:szCs w:val="20"/>
                <w:color w:val="auto"/>
              </w:rPr>
            </w:pPr>
            <w:r>
              <w:rPr>
                <w:rFonts w:ascii="Arial" w:cs="Arial" w:eastAsia="Arial" w:hAnsi="Arial"/>
                <w:sz w:val="13"/>
                <w:szCs w:val="13"/>
                <w:color w:val="auto"/>
              </w:rPr>
              <w:t>Owned</w:t>
            </w:r>
          </w:p>
        </w:tc>
        <w:tc>
          <w:tcPr>
            <w:tcW w:w="1020" w:type="dxa"/>
            <w:vAlign w:val="bottom"/>
          </w:tcPr>
          <w:p>
            <w:pPr>
              <w:jc w:val="right"/>
              <w:ind w:right="277"/>
              <w:spacing w:after="0"/>
              <w:rPr>
                <w:sz w:val="20"/>
                <w:szCs w:val="20"/>
                <w:color w:val="auto"/>
              </w:rPr>
            </w:pPr>
            <w:r>
              <w:rPr>
                <w:rFonts w:ascii="Arial" w:cs="Arial" w:eastAsia="Arial" w:hAnsi="Arial"/>
                <w:sz w:val="13"/>
                <w:szCs w:val="13"/>
                <w:color w:val="auto"/>
              </w:rPr>
              <w:t>978516</w:t>
            </w:r>
          </w:p>
        </w:tc>
        <w:tc>
          <w:tcPr>
            <w:tcW w:w="920" w:type="dxa"/>
            <w:vAlign w:val="bottom"/>
          </w:tcPr>
          <w:p>
            <w:pPr>
              <w:jc w:val="right"/>
              <w:ind w:right="277"/>
              <w:spacing w:after="0"/>
              <w:rPr>
                <w:sz w:val="20"/>
                <w:szCs w:val="20"/>
                <w:color w:val="auto"/>
              </w:rPr>
            </w:pPr>
            <w:r>
              <w:rPr>
                <w:rFonts w:ascii="Arial" w:cs="Arial" w:eastAsia="Arial" w:hAnsi="Arial"/>
                <w:sz w:val="13"/>
                <w:szCs w:val="13"/>
                <w:color w:val="auto"/>
              </w:rPr>
              <w:t>1991</w:t>
            </w:r>
          </w:p>
        </w:tc>
        <w:tc>
          <w:tcPr>
            <w:tcW w:w="1060" w:type="dxa"/>
            <w:vAlign w:val="bottom"/>
          </w:tcPr>
          <w:p>
            <w:pPr>
              <w:ind w:left="320"/>
              <w:spacing w:after="0"/>
              <w:rPr>
                <w:sz w:val="20"/>
                <w:szCs w:val="20"/>
                <w:color w:val="auto"/>
              </w:rPr>
            </w:pPr>
            <w:r>
              <w:rPr>
                <w:rFonts w:ascii="Arial" w:cs="Arial" w:eastAsia="Arial" w:hAnsi="Arial"/>
                <w:sz w:val="13"/>
                <w:szCs w:val="13"/>
                <w:color w:val="auto"/>
              </w:rPr>
              <w:t>345’ 0”</w:t>
            </w:r>
          </w:p>
        </w:tc>
        <w:tc>
          <w:tcPr>
            <w:tcW w:w="860" w:type="dxa"/>
            <w:vAlign w:val="bottom"/>
          </w:tcPr>
          <w:p>
            <w:pPr>
              <w:ind w:left="3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5,621</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36</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82"/>
              </w:rPr>
              <w:t>230</w:t>
            </w:r>
          </w:p>
        </w:tc>
      </w:tr>
      <w:tr>
        <w:trPr>
          <w:trHeight w:val="135"/>
        </w:trPr>
        <w:tc>
          <w:tcPr>
            <w:tcW w:w="2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MAUNA KEA (5)</w:t>
            </w:r>
          </w:p>
        </w:tc>
        <w:tc>
          <w:tcPr>
            <w:tcW w:w="1600" w:type="dxa"/>
            <w:vAlign w:val="bottom"/>
            <w:shd w:val="clear" w:color="auto" w:fill="CCEEFF"/>
          </w:tcPr>
          <w:p>
            <w:pPr>
              <w:ind w:left="920"/>
              <w:spacing w:after="0" w:line="135" w:lineRule="exact"/>
              <w:rPr>
                <w:sz w:val="20"/>
                <w:szCs w:val="20"/>
                <w:color w:val="auto"/>
              </w:rPr>
            </w:pPr>
            <w:r>
              <w:rPr>
                <w:rFonts w:ascii="Arial" w:cs="Arial" w:eastAsia="Arial" w:hAnsi="Arial"/>
                <w:sz w:val="13"/>
                <w:szCs w:val="13"/>
                <w:color w:val="auto"/>
              </w:rPr>
              <w:t>Owned</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933804</w:t>
            </w:r>
          </w:p>
        </w:tc>
        <w:tc>
          <w:tcPr>
            <w:tcW w:w="9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1988</w:t>
            </w:r>
          </w:p>
        </w:tc>
        <w:tc>
          <w:tcPr>
            <w:tcW w:w="1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372’ 0”</w:t>
            </w:r>
          </w:p>
        </w:tc>
        <w:tc>
          <w:tcPr>
            <w:tcW w:w="8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6,837</w:t>
            </w:r>
          </w:p>
        </w:tc>
        <w:tc>
          <w:tcPr>
            <w:tcW w:w="90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70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379</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r>
      <w:tr>
        <w:trPr>
          <w:trHeight w:val="135"/>
        </w:trPr>
        <w:tc>
          <w:tcPr>
            <w:tcW w:w="2060" w:type="dxa"/>
            <w:vAlign w:val="bottom"/>
          </w:tcPr>
          <w:p>
            <w:pPr>
              <w:ind w:left="200"/>
              <w:spacing w:after="0" w:line="135" w:lineRule="exact"/>
              <w:rPr>
                <w:sz w:val="20"/>
                <w:szCs w:val="20"/>
                <w:color w:val="auto"/>
              </w:rPr>
            </w:pPr>
            <w:r>
              <w:rPr>
                <w:rFonts w:ascii="Arial" w:cs="Arial" w:eastAsia="Arial" w:hAnsi="Arial"/>
                <w:sz w:val="13"/>
                <w:szCs w:val="13"/>
                <w:color w:val="auto"/>
              </w:rPr>
              <w:t>MAUNA LOA (5)</w:t>
            </w:r>
          </w:p>
        </w:tc>
        <w:tc>
          <w:tcPr>
            <w:tcW w:w="1600" w:type="dxa"/>
            <w:vAlign w:val="bottom"/>
          </w:tcPr>
          <w:p>
            <w:pPr>
              <w:ind w:left="920"/>
              <w:spacing w:after="0" w:line="135" w:lineRule="exact"/>
              <w:rPr>
                <w:sz w:val="20"/>
                <w:szCs w:val="20"/>
                <w:color w:val="auto"/>
              </w:rPr>
            </w:pPr>
            <w:r>
              <w:rPr>
                <w:rFonts w:ascii="Arial" w:cs="Arial" w:eastAsia="Arial" w:hAnsi="Arial"/>
                <w:sz w:val="13"/>
                <w:szCs w:val="13"/>
                <w:color w:val="auto"/>
              </w:rPr>
              <w:t>Owned</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676973</w:t>
            </w:r>
          </w:p>
        </w:tc>
        <w:tc>
          <w:tcPr>
            <w:tcW w:w="9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1984</w:t>
            </w:r>
          </w:p>
        </w:tc>
        <w:tc>
          <w:tcPr>
            <w:tcW w:w="1060" w:type="dxa"/>
            <w:vAlign w:val="bottom"/>
          </w:tcPr>
          <w:p>
            <w:pPr>
              <w:ind w:left="320"/>
              <w:spacing w:after="0" w:line="135" w:lineRule="exact"/>
              <w:rPr>
                <w:sz w:val="20"/>
                <w:szCs w:val="20"/>
                <w:color w:val="auto"/>
              </w:rPr>
            </w:pPr>
            <w:r>
              <w:rPr>
                <w:rFonts w:ascii="Arial" w:cs="Arial" w:eastAsia="Arial" w:hAnsi="Arial"/>
                <w:sz w:val="13"/>
                <w:szCs w:val="13"/>
                <w:color w:val="auto"/>
              </w:rPr>
              <w:t>350’ 0”</w:t>
            </w:r>
          </w:p>
        </w:tc>
        <w:tc>
          <w:tcPr>
            <w:tcW w:w="86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4,658</w:t>
            </w:r>
          </w:p>
        </w:tc>
        <w:tc>
          <w:tcPr>
            <w:tcW w:w="90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78</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2"/>
              </w:rPr>
              <w:t>335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r>
      <w:tr>
        <w:trPr>
          <w:trHeight w:val="135"/>
        </w:trPr>
        <w:tc>
          <w:tcPr>
            <w:tcW w:w="2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HALEAKALA (5)</w:t>
            </w:r>
          </w:p>
        </w:tc>
        <w:tc>
          <w:tcPr>
            <w:tcW w:w="1600" w:type="dxa"/>
            <w:vAlign w:val="bottom"/>
            <w:shd w:val="clear" w:color="auto" w:fill="CCEEFF"/>
          </w:tcPr>
          <w:p>
            <w:pPr>
              <w:ind w:left="920"/>
              <w:spacing w:after="0" w:line="135" w:lineRule="exact"/>
              <w:rPr>
                <w:sz w:val="20"/>
                <w:szCs w:val="20"/>
                <w:color w:val="auto"/>
              </w:rPr>
            </w:pPr>
            <w:r>
              <w:rPr>
                <w:rFonts w:ascii="Arial" w:cs="Arial" w:eastAsia="Arial" w:hAnsi="Arial"/>
                <w:sz w:val="13"/>
                <w:szCs w:val="13"/>
                <w:color w:val="auto"/>
              </w:rPr>
              <w:t>Owned</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676972</w:t>
            </w:r>
          </w:p>
        </w:tc>
        <w:tc>
          <w:tcPr>
            <w:tcW w:w="9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1984</w:t>
            </w:r>
          </w:p>
        </w:tc>
        <w:tc>
          <w:tcPr>
            <w:tcW w:w="1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350’ 0”</w:t>
            </w:r>
          </w:p>
        </w:tc>
        <w:tc>
          <w:tcPr>
            <w:tcW w:w="8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4,658</w:t>
            </w:r>
          </w:p>
        </w:tc>
        <w:tc>
          <w:tcPr>
            <w:tcW w:w="90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78</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335</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two inactive vessels to be recycled.</w:t>
      </w:r>
    </w:p>
    <w:p>
      <w:pPr>
        <w:ind w:left="180" w:hanging="172"/>
        <w:spacing w:after="0" w:line="21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Twenty-foot Equivalent Units (“TEU”) is a standard measure of cargo volume correlated to a standard 20-foot dry cargo container volume.</w:t>
      </w:r>
    </w:p>
    <w:p>
      <w:pPr>
        <w:ind w:left="180" w:hanging="172"/>
        <w:spacing w:after="0" w:line="21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Except for these four foreign-flagged vessels, all vessels are U.S. flagged and Jones Act qualified vessels.</w:t>
      </w:r>
    </w:p>
    <w:p>
      <w:pPr>
        <w:ind w:left="180" w:hanging="172"/>
        <w:spacing w:after="0" w:line="21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Roll-on/roll-off barge.</w:t>
      </w:r>
    </w:p>
    <w:p>
      <w:pPr>
        <w:ind w:left="180" w:hanging="172"/>
        <w:spacing w:after="0" w:line="21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Container barges equipped with cranes.</w:t>
      </w:r>
    </w:p>
    <w:p>
      <w:pPr>
        <w:ind w:left="180" w:hanging="172"/>
        <w:spacing w:after="0"/>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Vessels acquired as part of the Horizon Acquisition on May 29, 2015.</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Terminals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Matson provides container stevedoring, container equipment maintenance and other terminal services for MatNav and another ocean carrier at terminals located on the Hawaiian islands of Oahu, Hawaii, Maui and Kauai; and in the Alaska terminal locations of Anchorage, Kodiak, and Dutch Harbor.</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SSAT provides terminal and stevedoring services to various carriers at six terminal facilities on the U.S. West Coast and to MatNav at three of those facilities, including Long Beach and Oakland, California, and Seattle, Washington. Matson records its share of income in the joint venture in operating expenses within the Ocean Transportation segment due to the nature of SSAT’s operations. Furthermore, APM Terminals provides terminal and stevedoring services to MatNav in Tacoma, Washington.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and Other Services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Matson Logistics is a transportation intermediary that provides intermodal rail services, highway, warehousing and distribution, and other third-party logistics services for North American customers and international ocean carrier customers, including MatNav. Matson Logistics also provides freight forwarding, consolidation, customs brokerage, purchase order management and non-vessel operating common carrier services. Matson Logistics Warehousing provides warehousing and distribution services in Northern and Southern California, and in Georgia. Through Matson Logistics Warehousing, Matson Logistics provides its customers with a full suite of rail, highway, warehousing and distribution services.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Matson Logistics is able to reduce transportation costs for its customers through volume purchases of rail, motor carrier and ocean transportation services, augmented by such services as shipment tracking and tracing, and single-vendor invoicing. Matson Logistics operates six customer service centers, including one in China (for supply chain services), and has sales offices throughout the United States.</w:t>
      </w:r>
    </w:p>
    <w:p>
      <w:pPr>
        <w:spacing w:after="0" w:line="177"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Maritime Laws and the Jones Act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 (commonly referred to as the</w:t>
      </w:r>
      <w:r>
        <w:rPr>
          <w:rFonts w:ascii="Arial" w:cs="Arial" w:eastAsia="Arial" w:hAnsi="Arial"/>
          <w:sz w:val="18"/>
          <w:szCs w:val="18"/>
          <w:i w:val="1"/>
          <w:iCs w:val="1"/>
          <w:color w:val="auto"/>
        </w:rPr>
        <w:t xml:space="preserve"> </w:t>
      </w:r>
      <w:r>
        <w:rPr>
          <w:rFonts w:ascii="Arial" w:cs="Arial" w:eastAsia="Arial" w:hAnsi="Arial"/>
          <w:sz w:val="18"/>
          <w:szCs w:val="18"/>
          <w:color w:val="auto"/>
        </w:rPr>
        <w:t>Jones Act).</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2015, approximately 67 percent of Matson’s revenues generated by ocean transportation services, including Hawaii and Alaska, came from trades that were subject to the Jones Act. Matson’s Hawaii and Alaska trade routes are included within the non-contiguous Jones Act market. Hawaii, as an island economy, and Alaska due to its geographical location, are both dependent on ocean transportation. The Jones Act ensures frequent, reliable, roundtrip service to these locations. Matson’s vessels operating in these trade routes are fully Jones Act qualified.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Matson is a member of the American Maritime Partnership (“AMP”), which supports the retention of the Jones Act and similar cabotage laws. The Jones Act has broad support from both houses of Congress. Matson also believes that the ongoing war on terrorism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Cabotage laws are not unique to the United States, and similar laws exist around the world in over 50 countries, including regions in which Matson provides ocean transportation services. Any changes in such laws may have an impact on the services provided by Matson in those regions.</w:t>
      </w:r>
    </w:p>
    <w:p>
      <w:pPr>
        <w:spacing w:after="0" w:line="143" w:lineRule="exact"/>
        <w:rPr>
          <w:sz w:val="20"/>
          <w:szCs w:val="20"/>
          <w:color w:val="auto"/>
        </w:rPr>
      </w:pPr>
    </w:p>
    <w:p>
      <w:pPr>
        <w:ind w:left="1320" w:hanging="664"/>
        <w:spacing w:after="0"/>
        <w:tabs>
          <w:tab w:leader="none" w:pos="1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containership competitor, Pasha Hawaii (“Pasha”), which operates container and roll-on/roll-off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San Diego, Long Beach and Oakland, California, to Honolulu, Hawaii. There also are two barge operators, Aloha Marine Lines and Sause Brothers, which offer barge service between the Pacific Northwest and Hawaii.</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Foreign-flag vessels carrying cargo to Hawaii from non-U.S. locations also provide competition for Matson’s Hawaii service. Asia, Australia, New Zealand, and the South Pacific islands have direct foreign-flag services to Hawaii. Mexico, South America and Europe have indirect foreign-flag services to Hawaii. Other competitors in the Hawaii service include proprietary operators and contract carriers of bulk cargo. Air freight competition for time-sensitive and</w:t>
      </w:r>
    </w:p>
    <w:p>
      <w:pPr>
        <w:sectPr>
          <w:pgSz w:w="11900" w:h="16952" w:orient="portrait"/>
          <w:cols w:equalWidth="0" w:num="1">
            <w:col w:w="11420"/>
          </w:cols>
          <w:pgMar w:left="240" w:top="125" w:right="239" w:bottom="0" w:gutter="0" w:footer="0" w:header="0"/>
        </w:sectPr>
      </w:pPr>
    </w:p>
    <w:bookmarkStart w:id="5" w:name="page6"/>
    <w:bookmarkEnd w:id="5"/>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perishable cargo exists; however, inroads by such competition in terms of cargo volume are limited by the amount of cargo space available in passenger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aircrafts and by relatively high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air freight rates.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Matson vessels are operated on schedules that provide shippers and consignees regular day-of-the-week sailings from the U.S. West Coast and day-of-the-week arrivals in Hawaii. Matson generally offers an average of three to four westbound sailings per week, though this amount may be adjusted according to seasonal demand and market conditions. Matson provides over 150 westbound sailings per year, which is greater than its domestic liner ocean competitors’ combined sailings. One of Matson’s westbound sailings each week continues on to Guam and China, so the number of eastbound sailings from Hawaii to the U.S. Mainland averages two to three per week. This service is attractive to customers because more frequent arrivals permit customers to reduce inventory costs. Matson also competes by offering a more comprehensive service to customers, supported by the scope of its container equipment, a dedicated neighbor islands barge network, its efficiency and experience in handling cargo of all types, and competitive pricing.</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has one major competitor, Totem Ocean Trailer Express, Inc., which operates a roll-on/roll off service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Tacoma, Washington and Anchorage, Alaska. There are also two barge operators, Alaska Marine Lines which mainly serves Seattle, Washington to the main ports of Anchorage and Dutch Harbor, and other locations in Alaska, and Samson Tug &amp; Barge which mainly serves Seattle, Washington to many other locations in Alaska. The barge operators have historically shipped lower value bulk commodities and construction materials that can accommodate a longer transit time.</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Matson offers customers twice weekly scheduled services from Tacoma, Washington to Anchorage and Kodiak, Alaska and weekly service to Dutch Harbor, Alaska. The Company also provides a weekly barge service between Dutch Harbor and Akutan. Matson is the only Jones Act containership operator providing service to Kodiak and Dutch Harbor, which are the primary loading ports for southbound seafood volume.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Maersk, Hanjin, MSC, CMA CGM, Evergreen,</w:t>
      </w:r>
      <w:r>
        <w:rPr>
          <w:rFonts w:ascii="Arial" w:cs="Arial" w:eastAsia="Arial" w:hAnsi="Arial"/>
          <w:sz w:val="18"/>
          <w:szCs w:val="18"/>
          <w:i w:val="1"/>
          <w:iCs w:val="1"/>
          <w:color w:val="auto"/>
        </w:rPr>
        <w:t xml:space="preserve"> </w:t>
      </w:r>
      <w:r>
        <w:rPr>
          <w:rFonts w:ascii="Arial" w:cs="Arial" w:eastAsia="Arial" w:hAnsi="Arial"/>
          <w:sz w:val="18"/>
          <w:szCs w:val="18"/>
          <w:color w:val="auto"/>
        </w:rPr>
        <w:t>China COSCO Shipping Corporation, APL, “K” Line, OOCL, Hyundai and NYK 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Matson competes by offering fast and reliable freight availability from the ports of Xiamen, Ningbo and Shanghai in China to Long Beach, California, providing fixed day arrivals and next-day cargo availability. Matson’s service is further differentiated by offering a dedicated Long Beach marine terminal, an off-dock container yard providing fast truck turn times, one-stop intermodal connections, and providing state-of-the-art technology and world-class customer service. Matson has offices in Hong Kong, Shenzhen, Xiamen, Ningbo and Shanghai, and has contracted with terminal operators in Xiamen, Ningbo and Shanghai.</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Guam Service: </w:t>
      </w:r>
      <w:r>
        <w:rPr>
          <w:rFonts w:ascii="Arial" w:cs="Arial" w:eastAsia="Arial" w:hAnsi="Arial"/>
          <w:sz w:val="17"/>
          <w:szCs w:val="17"/>
          <w:color w:val="auto"/>
        </w:rPr>
        <w:t>Matson’s Guam service competes with several foreign carriers that call at Guam with less frequent service, along with Waterman Steamship</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 U.S. flagged carrier, which periodically calls at Guam. At the beginning of 2016, American President Lines (APL) launched a U.S. flagged container feeder bi-weekly service connecting the U.S. West Coast to Guam and Saipan, via transshipments over Yokohama, Japan.</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Micronesia and the South Pacific Services: </w:t>
      </w:r>
      <w:r>
        <w:rPr>
          <w:rFonts w:ascii="Arial" w:cs="Arial" w:eastAsia="Arial" w:hAnsi="Arial"/>
          <w:sz w:val="18"/>
          <w:szCs w:val="18"/>
          <w:color w:val="auto"/>
        </w:rPr>
        <w:t>Matson’s Micronesia and South Pacific services have competition from a variety of local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carriers that provide freight services to the area.</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Matson Logistics competes with hundreds of local, regional, national and international companies that provide transportation and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logistics services. The industry is highly fragmented and, therefore, competition varies by geography and areas of service. Matson Logistics competes most directly with C.H. Robinson Worldwide, the Hub Group, and other freight brokers and intermodal marketing companies, and asset-invested market leaders such as JB Hunt. Competition is differentiated by the depth, scale and scope of customer relationships; vendor relationships and rates; network capacity; and real-time visibility into the movement of customers’ goods and other technology solutions. Additionally, while Matson Logistics primarily provides surface transportation brokerage, it also competes to a lesser degree with other forms of transportation for the movement of cargo, including air freight services.</w:t>
      </w:r>
    </w:p>
    <w:p>
      <w:pPr>
        <w:spacing w:after="0" w:line="161" w:lineRule="exact"/>
        <w:rPr>
          <w:sz w:val="20"/>
          <w:szCs w:val="20"/>
          <w:color w:val="auto"/>
        </w:rPr>
      </w:pPr>
    </w:p>
    <w:p>
      <w:pPr>
        <w:ind w:left="1320" w:hanging="610"/>
        <w:spacing w:after="0"/>
        <w:tabs>
          <w:tab w:leader="none" w:pos="1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Customers and Rate Regulations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Matson serves customers in numerous industries and carries a wide variety of cargo, mitigating its dependence upon any single customer or</w:t>
      </w:r>
      <w:r>
        <w:rPr>
          <w:rFonts w:ascii="Arial" w:cs="Arial" w:eastAsia="Arial" w:hAnsi="Arial"/>
          <w:sz w:val="16"/>
          <w:szCs w:val="16"/>
          <w:i w:val="1"/>
          <w:iCs w:val="1"/>
          <w:color w:val="auto"/>
        </w:rPr>
        <w:t xml:space="preserve"> </w:t>
      </w:r>
      <w:r>
        <w:rPr>
          <w:rFonts w:ascii="Arial" w:cs="Arial" w:eastAsia="Arial" w:hAnsi="Arial"/>
          <w:sz w:val="16"/>
          <w:szCs w:val="16"/>
          <w:color w:val="auto"/>
        </w:rPr>
        <w:t>single type of cargo. In 2015, the Company’s 10 largest Ocean Transportation customers accounted for approximately 23 percent of the Company’s Ocean Transportation revenue, and the Company’s 10 largest Logistics customers accounted for approximately 23 percent of the Company’s Logistics revenue. None of these customers accounted for more than 10 percent of the Company’s revenues in their respective operating segments.</w:t>
      </w:r>
    </w:p>
    <w:p>
      <w:pPr>
        <w:spacing w:after="0" w:line="15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Rate Regulations: </w:t>
      </w:r>
      <w:r>
        <w:rPr>
          <w:rFonts w:ascii="Arial" w:cs="Arial" w:eastAsia="Arial" w:hAnsi="Arial"/>
          <w:sz w:val="18"/>
          <w:szCs w:val="18"/>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effective date of the proposed rate, subject to increase or decrease by the percentage change in the U.S. Producer Price Index. Matson generally provides a 30 day notice to customers of any increases in general rates and terminal handling charges, and passes along decreases as soon as possible.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Matson’s Ocean Transportation services engaged in U.S. foreign commerce are subject to the jurisdiction of the Federal Maritime Commission (“FMC”). The FMC is an independent regulatory agency that is responsible for the regulation of ocean-borne international transportation of the U.S. Conducting business in foreign shipping markets subjects the Company to certain risks (see Item 1A of Part I below for additional information about such risks).</w:t>
      </w:r>
    </w:p>
    <w:p>
      <w:pPr>
        <w:spacing w:after="0" w:line="162" w:lineRule="exact"/>
        <w:rPr>
          <w:sz w:val="20"/>
          <w:szCs w:val="20"/>
          <w:color w:val="auto"/>
        </w:rPr>
      </w:pPr>
    </w:p>
    <w:p>
      <w:pPr>
        <w:ind w:left="1320" w:hanging="610"/>
        <w:spacing w:after="0"/>
        <w:tabs>
          <w:tab w:leader="none" w:pos="1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Fuel Costs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Matson purchases fuel oil, lubricants and gasoline for its operations; and also pays fuel surcharges to drayage providers and rail carriers. The cost of fuel oil is by far Matson’s largest energy-related expense.</w:t>
      </w:r>
    </w:p>
    <w:p>
      <w:pPr>
        <w:sectPr>
          <w:pgSz w:w="11900" w:h="16929" w:orient="portrait"/>
          <w:cols w:equalWidth="0" w:num="1">
            <w:col w:w="11420"/>
          </w:cols>
          <w:pgMar w:left="240" w:top="125" w:right="239" w:bottom="0" w:gutter="0" w:footer="0" w:header="0"/>
        </w:sectPr>
      </w:pPr>
    </w:p>
    <w:bookmarkStart w:id="6" w:name="page7"/>
    <w:bookmarkEnd w:id="6"/>
    <w:p>
      <w:pPr>
        <w:spacing w:after="0" w:line="6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Matson applies a fuel surcharge rate to its Hawaii, Alaska, Guam, China, Micronesia and South Pacific customers. Changes in the fuel surcharge levels are correlated to prevailing market rates for bunker fuel prices along with other fuel related cost factors. In markets excluding China, Matson generally provides a 30-day notice to customers of increases in fuel surcharge rates. In the China market, Matson adjusts the fuel surcharge quarterly.</w:t>
      </w:r>
    </w:p>
    <w:p>
      <w:pPr>
        <w:spacing w:after="0" w:line="162" w:lineRule="exact"/>
        <w:rPr>
          <w:sz w:val="20"/>
          <w:szCs w:val="20"/>
          <w:color w:val="auto"/>
        </w:rPr>
      </w:pPr>
    </w:p>
    <w:p>
      <w:pPr>
        <w:ind w:left="1320" w:hanging="610"/>
        <w:spacing w:after="0"/>
        <w:tabs>
          <w:tab w:leader="none" w:pos="1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w:t>
      </w:r>
      <w:r>
        <w:rPr>
          <w:rFonts w:ascii="Arial" w:cs="Arial" w:eastAsia="Arial" w:hAnsi="Arial"/>
          <w:sz w:val="17"/>
          <w:szCs w:val="17"/>
          <w:color w:val="auto"/>
        </w:rPr>
        <w:t>This</w:t>
      </w:r>
      <w:r>
        <w:rPr>
          <w:rFonts w:ascii="Arial" w:cs="Arial" w:eastAsia="Arial" w:hAnsi="Arial"/>
          <w:sz w:val="18"/>
          <w:szCs w:val="18"/>
          <w:color w:val="auto"/>
        </w:rPr>
        <w:t xml:space="preserve"> </w:t>
      </w:r>
      <w:r>
        <w:rPr>
          <w:rFonts w:ascii="Arial" w:cs="Arial" w:eastAsia="Arial" w:hAnsi="Arial"/>
          <w:sz w:val="17"/>
          <w:szCs w:val="17"/>
          <w:color w:val="auto"/>
        </w:rPr>
        <w:t xml:space="preserve">seasonality trend is amplified in the Alaska service primarily due to winter weather and the timing of southbound seafood trade. As a result, earnings tend to follow a similar pattern, offset by periodic vessel dry-docking and other episodic cost factors, which can lead to earnings variability. </w:t>
      </w:r>
      <w:r>
        <w:rPr>
          <w:rFonts w:ascii="Arial" w:cs="Arial" w:eastAsia="Arial" w:hAnsi="Arial"/>
          <w:sz w:val="18"/>
          <w:szCs w:val="18"/>
          <w:color w:val="auto"/>
        </w:rPr>
        <w:t>In addition, in the China</w:t>
      </w:r>
      <w:r>
        <w:rPr>
          <w:rFonts w:ascii="Arial" w:cs="Arial" w:eastAsia="Arial" w:hAnsi="Arial"/>
          <w:sz w:val="17"/>
          <w:szCs w:val="17"/>
          <w:color w:val="auto"/>
        </w:rPr>
        <w:t xml:space="preserve"> </w:t>
      </w:r>
      <w:r>
        <w:rPr>
          <w:rFonts w:ascii="Arial" w:cs="Arial" w:eastAsia="Arial" w:hAnsi="Arial"/>
          <w:sz w:val="18"/>
          <w:szCs w:val="18"/>
          <w:color w:val="auto"/>
        </w:rPr>
        <w:t>trade, volume is driven primarily by U.S. consumer demand for goods during key retail selling seasons while freight rates are impacted mainly by macro supply and demand variables.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Matson’s Logistics services are not significantly impacted by seasonality factors.</w:t>
      </w:r>
    </w:p>
    <w:p>
      <w:pPr>
        <w:spacing w:after="0" w:line="221" w:lineRule="exact"/>
        <w:rPr>
          <w:sz w:val="20"/>
          <w:szCs w:val="20"/>
          <w:color w:val="auto"/>
        </w:rPr>
      </w:pPr>
    </w:p>
    <w:p>
      <w:pPr>
        <w:ind w:left="1320" w:hanging="610"/>
        <w:spacing w:after="0"/>
        <w:tabs>
          <w:tab w:leader="none" w:pos="1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Emissions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 is focused on reducing transportation emissions, including carbon dioxide, nitrous oxide, particulate matter, and sulfur dioxide, through improvements in vessel fuel consumption and truck efficiency; and the development of more fuel-efficient transportation solutions.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global sulfur emissions cap of 4.5 percent was reduced to 3.5 percent effective January 1, 2012, and is planned to be reduced to as low as 0.5 percent by 2020. With respect to North America, the U.S Environmental Protection Agency (“EPA”) received approval from the International Maritime Organization, in coordination with Environment Canada, to designate all waters, with certain limited exceptions, within 200 nautical miles of U.S. and Canadian coast lines as designated emission control areas (“ECAs”). Most of Matson’s vessels operate a portion of their voyages in ECAs while Matson’s Alaska vessels operate a substantial portion of their voyages in ECAs. The North American ECA went into effect on August 1, 2012, limiting the sulfur emissions to 1.0 percent, with scheduled reductions in future years. Maximum sulfur emissions permitted in designated ECA’s were reduced to 0.1 percent on January 1, 2015.</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2014, Matson received a conditional waiver from the EPA ECA regulations for three diesel-powered vessels used in the Hawaii service that permits the continued use of 1.0 percent sulfur content fuel for a limited time, subject to the development of technologies that monitor main engine performance and promote full power operations on fuels with a sulfur content of less than 0.1 percent.</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Effective in 2015, Horizon received a conditional waiver (subsequently transferred to Matson pursuant to the Horizon Acquisition) from the EPA ECA regulations for three diesel-powered vessels used in the Alaska service that permits the use of 2.0 percent sulfur content fuel on these vessels for a limited time, subject to the installation and testing of an exhaust gas cleaning system (known as ‘scrubbers’) on such vessels. The conditional waiver includes a schedule by which such installation and testing is to be completed, with dates of installation ranging from the second half of 2015 to the end of 2016. The estimated costs for the installation of scrubbers on all three vessels is approximately $27.7 million, of which approximately $10.1 million was incurred as of December 31, 2015 related to the installation on one vessel. The Company expects the installation of the other two vessels to be completed later in 2016. These capital expenditures are related to the Ocean Transportation segment.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2015, Matson and its subsidiaries had 1,663 employees, of which 650 employees were covered by collective bargaining agreements with shoreside and offshore unions. These numbers do not include billets on vessels discussed below, or employees of SSAT or non-employees such as agents, temporary workers and contractors.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cover substantially all U.S. West Coast longshore labor. Matson also has collective bargaining agreements with other shoreside unions that expire at various dates in the future.</w:t>
      </w:r>
    </w:p>
    <w:p>
      <w:pPr>
        <w:spacing w:after="0" w:line="187"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Matson’s active fleet employed seagoing personnel in 325 billets at December 31, 2015. Each billet corresponds to a position on a vessel that typically is filled by two or more employees because seagoing personnel rotate between active sea-duty and time ashore.</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Matson’s seagoing employees are represented by unions for both unlicensed crew members and licensed crew members. Matson has collective bargaining agreements with these unions that expire at various dates in the future.</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Matson believes that it will be able to renegotiate collective bargaining agreements with its various unions as they expire without any significant impact on its operations; no assurance can be given that such agreements will be reached without slow-downs, strikes, lock-out or other disruptions that may adversely impact Matson’s operations.</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Matson contributes to a number of multi-employer pension plans. If Matson were to withdraw from or significantly reduce its obligation to contribute to any one of the plans, Matson would review and evaluate data, actuarial assumptions, calculations and other factors used in determining its withdrawal liability, if any. If any third-parties materially disagree with Matson’s determination, Matson would pursue the various means available to it under federal law for the adjustment or removal of its withdrawal liability. Matson has no present intention of withdrawing from, and does not anticipate the termination of any of the multi-employer pension plans that it contributes to except for the ILA-PRSSA pension fund in Puerto Rico (see Notes 11 and 12 to the consolidated financial statements in Item 8 of Part II below for a discussion of withdrawal liabilities under certain multi-employer pension plans).</w:t>
      </w:r>
    </w:p>
    <w:p>
      <w:pPr>
        <w:spacing w:after="0" w:line="161" w:lineRule="exact"/>
        <w:rPr>
          <w:sz w:val="20"/>
          <w:szCs w:val="20"/>
          <w:color w:val="auto"/>
        </w:rPr>
      </w:pPr>
    </w:p>
    <w:p>
      <w:pPr>
        <w:ind w:left="1320" w:hanging="664"/>
        <w:spacing w:after="0"/>
        <w:tabs>
          <w:tab w:leader="none" w:pos="1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w:t>
      </w:r>
    </w:p>
    <w:p>
      <w:pPr>
        <w:sectPr>
          <w:pgSz w:w="11900" w:h="16908" w:orient="portrait"/>
          <w:cols w:equalWidth="0" w:num="1">
            <w:col w:w="11420"/>
          </w:cols>
          <w:pgMar w:left="240" w:top="341" w:right="239" w:bottom="0" w:gutter="0" w:footer="0" w:header="0"/>
        </w:sectPr>
      </w:pPr>
    </w:p>
    <w:bookmarkStart w:id="7" w:name="page8"/>
    <w:bookmarkEnd w:id="7"/>
    <w:p>
      <w:pPr>
        <w:spacing w:after="0" w:line="8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reasonably practicable after it electronically files such material with, or furnishes it to, the U.S. Securities and Exchange Commission (“SEC”). The address of Matson’s Internet website is www.matson.com. The contents of our website are not incorporated by reference into this Form 10-K.</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public may read and copy any materials Matson files with the SEC at the SEC’s Public Reference Room at 100 F Street, NE, Washington, DC 20549. The public may obtain information on the operation of the Public Reference Room by calling the SEC at 1-800-SEC-0330. The address of the SEC’s Internet website is www.sec.gov.</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Operations</w:t>
      </w:r>
    </w:p>
    <w:p>
      <w:pPr>
        <w:spacing w:after="0" w:line="221"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Changes in U.S., global, or regional economic conditions that result in a decrease in consumer confidence or market demand for the Company’s services and products in Hawaii and Alaska, the U.S. Mainland, Guam, Asia or the South Pacific may adversely affect the Company’s financial position, results of operations, liquidity, or cash flows.</w:t>
      </w:r>
    </w:p>
    <w:p>
      <w:pPr>
        <w:spacing w:after="0" w:line="1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 weakening of domestic or global economies may adversely impact the level of freight volumes and freight rates. Within the U.S., a weakening of economic drivers in Hawaii and Alaska,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Asia, Hawaii and Alaska, adversely affecting inland and ocean transportation volumes or rates. In addition, overcapacity in the global or transpacific ocean transportation markets or a change in the cost of goods or currency exchange rates may adversely affect freight volumes and rates in the Company’s China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volumes and rates. The Company’s major competitor in the Hawaii market introduced a new vessel in 2015, and also acquired Horizon’s Hawaii service, which could adversely impact the Company’s Hawaii service. In addition, at the beginning of 2016, American President Lines (APL) launched a U.S. flagged feeder containership bi-weekly service connecting the U.S. West Coast to Guam and Saipan via transshipments over Yokohama, Japan. As a result of these and other competitor actions, the Company could experience some competition related volume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damage to key vendor, agent and customer relationships may adversely affect the Company’s business.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businesses are dependent on their relationships with key vendors, agents and customers, and derive a significant portion of their revenues from the Company’s largest customers. The Company could be adversely affected by any changes in the services provided, or changes to the costs of services provided by key vendors and agents. Relationships with railroads and shipping companies and agents are important in the Company’s intermodal business. The Company’s business also relies on its relationships with the military, freight forwarders, large retailers and consumer goods and automobile manufacturers, as well as other larger customers. In 2015, the Company’s Ocean Transportation segment’s 10 largest customers accounted for approximately 23 percent of the business’ revenue. In 2015, the Company’s Logistics segment’s 10 largest customers accounted for approximately 23 percent of the business’ revenue. The loss of or damage to any of these key relationships may adversely affect the Company’s business and revenue.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increase in fuel prices, or changes in the Company’s ability to collect fuel surcharges, may adversely affect the Company’s profits.</w:t>
      </w:r>
    </w:p>
    <w:p>
      <w:pPr>
        <w:spacing w:after="0" w:line="24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based on market and competitive conditions. Increases in fuel costs also can lead to increases in other expenses, for example: increased energy costs, and the costs of purchased outside transportation services. In the Company’s Ocean Transportation and Logistics services segments, the Company is able to utilize fuel surcharges to partially recover increases in fuel expense, although increases in the fuel surcharge may adversely affect the Company’s competitive position and may not correspond exactly with the timing of increases in fuel expense. Changes in the Company’s ability to collect fuel surcharges also may adversely affect its results of operations.</w:t>
      </w:r>
    </w:p>
    <w:p>
      <w:pPr>
        <w:spacing w:after="0" w:line="18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December 31, 2015, Matson and its subsidiaries had 1,663 regular employees, of which 650 employees were covered by collective bargaining agreements with unions. In addition, at December 31, 2015, the active Matson fleet employed seagoing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personnel in 325 billets. Each billet corresponds to a position on a vessel that typically is filled by two or more employees, because seagoing personnel rotate between active sea-duty and time ashore. Such employees are also subject to collective bargaining agreements. Furthermore, the Company relies on the services of third-parties including SSAT and its parent company, SSA, that employ persons covered by collective bargaining agreements. For additional information on collective bargaining agreements with unions, see Item 1. B. Employees and Labor Relations of Part I above.</w:t>
      </w:r>
    </w:p>
    <w:p>
      <w:pPr>
        <w:sectPr>
          <w:pgSz w:w="11900" w:h="16928" w:orient="portrait"/>
          <w:cols w:equalWidth="0" w:num="1">
            <w:col w:w="11420"/>
          </w:cols>
          <w:pgMar w:left="240" w:top="125" w:right="239" w:bottom="0" w:gutter="0" w:footer="0" w:header="0"/>
        </w:sectPr>
      </w:pPr>
    </w:p>
    <w:bookmarkStart w:id="8" w:name="page9"/>
    <w:bookmarkEnd w:id="8"/>
    <w:p>
      <w:pPr>
        <w:spacing w:after="0" w:line="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could be adversely affected by actions taken by employees of the Company or other companies in related industries against efforts by management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halts could have an adverse impact on Matson’s or SSAT’s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and natural disasters.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operations are vulnerable to disruption as a result of weather and natural disasters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The Company is currently in the process of renewing its terminal lease facilities at Anchorage, Alaska.</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is highly dependent on the proper functioning of our information technology systems to enable operations and compete effectively. Our information technology systems rely on third-party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information technology systems may be exposed to cybersecurity risks and other disruptions that could impair the Company’s ability to operate and adversely affect its business.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relies extensively on its information technology systems and third-party service providers, including for accounting, billing, disbursement, cargo booking and tracking, vessel scheduling and stowage, equipment tracking, customer service, banking, payroll and employee communication systems. Despite our continuous efforts to make investments in our information technology systems, the implementation of security measures to protect our data and infrastructure against breaches and other cyber threats, and our use of internal processes and controls designed to protect the security and availability of our systems, our information technology and communication systems may be vulnerable to cybersecurity risks faced by other large companies in our industry. Our systems may be susceptible to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incur significant costs to replace them.</w:t>
      </w:r>
    </w:p>
    <w:p>
      <w:pPr>
        <w:ind w:right="340"/>
        <w:spacing w:after="0" w:line="261" w:lineRule="auto"/>
        <w:rPr>
          <w:sz w:val="20"/>
          <w:szCs w:val="20"/>
          <w:color w:val="auto"/>
        </w:rPr>
      </w:pPr>
      <w:r>
        <w:rPr>
          <w:rFonts w:ascii="Arial" w:cs="Arial" w:eastAsia="Arial" w:hAnsi="Arial"/>
          <w:sz w:val="18"/>
          <w:szCs w:val="18"/>
          <w:color w:val="auto"/>
        </w:rPr>
        <w:t>Additionally, the Company’s ability to execute its business model could be impaired if it cannot replace them in a timely manner. The Company does not maintain key person insurance on any of its key personnel.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involved in a terminal joint venture, SSAT, and may initiate future joint venture projects. A joint venture involves certain risks such as:</w:t>
      </w:r>
    </w:p>
    <w:p>
      <w:pPr>
        <w:spacing w:after="0" w:line="237"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partner at any time may have economic or business interests that are inconsistent with the Company’s;</w:t>
      </w:r>
    </w:p>
    <w:p>
      <w:pPr>
        <w:spacing w:after="0" w:line="9" w:lineRule="exact"/>
        <w:rPr>
          <w:rFonts w:ascii="Arial" w:cs="Arial" w:eastAsia="Arial" w:hAnsi="Arial"/>
          <w:sz w:val="18"/>
          <w:szCs w:val="18"/>
          <w:color w:val="auto"/>
        </w:rPr>
      </w:pPr>
    </w:p>
    <w:p>
      <w:pPr>
        <w:ind w:left="340" w:right="240" w:hanging="332"/>
        <w:spacing w:after="0" w:line="261"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partner may fail to fund its share of capital for operations or to fulfill its other commitments, including providing accurate and timely accounting and financial information to the Company;</w:t>
      </w:r>
    </w:p>
    <w:p>
      <w:pPr>
        <w:sectPr>
          <w:pgSz w:w="11900" w:h="16848" w:orient="portrait"/>
          <w:cols w:equalWidth="0" w:num="1">
            <w:col w:w="11400"/>
          </w:cols>
          <w:pgMar w:left="240" w:top="341" w:right="259" w:bottom="0" w:gutter="0" w:footer="0" w:header="0"/>
        </w:sectPr>
      </w:pPr>
    </w:p>
    <w:bookmarkStart w:id="9" w:name="page10"/>
    <w:bookmarkEnd w:id="9"/>
    <w:p>
      <w:pPr>
        <w:spacing w:after="0" w:line="27" w:lineRule="exact"/>
        <w:rPr>
          <w:sz w:val="20"/>
          <w:szCs w:val="20"/>
          <w:color w:val="auto"/>
        </w:rPr>
      </w:pPr>
    </w:p>
    <w:p>
      <w:pPr>
        <w:ind w:left="340" w:right="500" w:hanging="332"/>
        <w:spacing w:after="0" w:line="258"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40" w:right="140" w:hanging="332"/>
        <w:spacing w:after="0" w:line="265" w:lineRule="auto"/>
        <w:tabs>
          <w:tab w:leader="none" w:pos="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Company relies on the terminal joint venture, SSAT, and SSA for its stevedoring services on the U.S. West Coast. The Company could be adversely affected by any changes in the services provided, or to the costs of such services provided by the Company’s terminal joint venture, SSAT, and SSA.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Matson’s China, Micronesia and South Pacific services are subject to risks associated with conducting business in a foreign shipping market, which include:</w:t>
      </w:r>
    </w:p>
    <w:p>
      <w:pPr>
        <w:spacing w:after="0" w:line="248"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working with and maintaining good relationships with joint venture partners in our foreign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be in compliance with U.S. and foreign legal and regulatory restrictions, including compliance with the Foreign Corrupt Practices Act and foreign laws that prohibit corrupt payments to government officials;</w:t>
      </w: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Protectionist measures that may affect the Company’s operation of its wholly-owned foreign enterprise;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Company’s Logistics segment is dependent upon third-parties for equipment, capacity and services essential to operate its business, and if the Company fails to secure sufficient third-party services, its business could be adversely affected.</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Logistics segment is dependent upon rail, truck and ocean transportation services provided by independent third-parties. If the Company cannot secure sufficient transportation equipment, capacity or services from these third-parties at reasonable rates to meet its customers’ needs and schedules, customers may seek to have their transportation and logistics needs met by other third-parties on a temporary or permanent basis. As a result, the Company’s business, consolidated results of operations and financial condition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 marine accident or spill event.</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are subject to risks.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6, 2013, MatNav and Philly Shipyard (formerly known as Aker Philadelphia Shipyard, Inc.) entered into definitive agreements pursuant to which APSI will construct two new 3,600-TEU Aloha-class dual-fuel capable containerships, with expected delivery dates during the third quarter of 2018 and the first quarter of 2019. Failure of either party to the shipbuilding agreements to fulfill its obligations under the agreements could have an adverse effect on the Company’s financial position and results of operations.</w:t>
      </w:r>
    </w:p>
    <w:p>
      <w:pPr>
        <w:spacing w:after="0" w:line="18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War, terrorist attacks and other acts of violence may cause consumer confidence and spending to decrease, or may affect the ability or willingness of tourists to travel to Hawaii, thereby adversely affecting Hawaii’s economy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growth strategy includes expansion through acquisitions.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Higher than expected costs associated with the continuing integration of Horizon could adversely impact our results, financial position, liquidity or cash flow.</w:t>
      </w:r>
    </w:p>
    <w:p>
      <w:pPr>
        <w:sectPr>
          <w:pgSz w:w="11900" w:h="16866" w:orient="portrait"/>
          <w:cols w:equalWidth="0" w:num="1">
            <w:col w:w="11400"/>
          </w:cols>
          <w:pgMar w:left="240" w:top="125" w:right="259" w:bottom="0" w:gutter="0" w:footer="0" w:header="0"/>
        </w:sectPr>
      </w:pPr>
    </w:p>
    <w:bookmarkStart w:id="10" w:name="page11"/>
    <w:bookmarkEnd w:id="10"/>
    <w:p>
      <w:pPr>
        <w:ind w:right="180"/>
        <w:spacing w:after="0" w:line="257" w:lineRule="auto"/>
        <w:rPr>
          <w:sz w:val="20"/>
          <w:szCs w:val="20"/>
          <w:color w:val="auto"/>
        </w:rPr>
      </w:pPr>
      <w:r>
        <w:rPr>
          <w:rFonts w:ascii="Arial" w:cs="Arial" w:eastAsia="Arial" w:hAnsi="Arial"/>
          <w:sz w:val="18"/>
          <w:szCs w:val="18"/>
          <w:color w:val="auto"/>
        </w:rPr>
        <w:t>The Company expects to benefit from various cost saving initiatives as part of the integration process related to the Horizon Acquisition. Integration cost savings expectations are in the areas of corporate office closures and headcount reductions, information technology expense reductions, as well as customer service and marketing expense reductions. There can be no assurance that the Company will be able to achieve the expected integration cost savings or that the cost savings will be achieved within the planned 24-month post-closing period. The lack of or delay in integration cost savings could have a materially adverse effect upon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Horizon Acquisition may expose us to unknown liabilities.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acquired Horizon subject to all of the liabilities and obligations of its non-Hawaii business, including any remaining liabilities and obligations associated with its Puerto Rico operations, which Horizon ceased during the first quarter of 2015. Such liabilities include the estimated cost of the multi-employer withdrawal liability related to the ILA-PRSSA pension plan (See Note 3 and Note 12 to the consolidated financial statements in Item 8 of Part II below). The disposition of these liabilities, and any other obligations that are unknown to the Company, including contingent liabilities, could have an adverse effect on the Company’s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83"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Acquisition become impaired.</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recorded significant intangible assets related to goodwill and customer relationships arising from the Horizon Acquisition.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may be required to record future charges to earnings if goodwill associated with the Horizon Acquisition become impaired. Any such charge would adversely impact our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A deterioration of the Company’s credit profile or disruptions of the credit markets could restrict its ability to access the debt capital markets or increase the cost of debt.</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which would adversely affect the Company’s cash flow and results of operations.</w:t>
      </w:r>
    </w:p>
    <w:p>
      <w:pPr>
        <w:spacing w:after="0" w:line="193"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the maintenance of minimum shareholders’ equity levels, a maximum ratio of debt to earnings before interest, taxes, depreciation and amortization, and the maintenance of no more than a maximum amount of priority debt as a percentage of consolidated tangible assets. If the Company does not maintain the required covenants, and that breach of covenants is not cured timely or waived by the lenders, resulting in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CCF deductions, non-deductible expenses, and expenses eligible for tax credits; changes in the mix of earnings among countries with varying tax rates; acquisitions and changes in the Company’s corporate structure. These factors may result in periodic revisions to our effective income tax rate, which could affect the Company’s cash flow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11" w:name="page12"/>
    <w:bookmarkEnd w:id="11"/>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value of pension assets, or a change in pension law or key assumptions, may adversely affect the Company’s financial performance.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amount of the Company’s employee pension and post-retirement benefit costs and obligations are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7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below).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Legislative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ABS Quality Evaluation, Inc., or similar classification societies, and must be periodically inspected by, or on behalf of, the United States Coast Guard. Federal environmental laws and certain State laws require us, as a vessel operator, to comply with numerous environmental regulations and to obtain certificates of financial responsibility and to adopt procedures for oil and hazardous substance spill prevention, response and clean up.</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complying with these laws, we have incurred expenses and may incur future expenses for vessel modifications and changes in operating procedures.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7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result in substantial fines and penalties that may have a material adverse effect on our results of operations.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U.S. Act to Prevent Pollution from vessels, which implements the International Maritime Pollution (MARPOL) treaty, and the Oil Pollution Action of 1990 (OPA-90), among many other laws, treaties and regulations, provides for severe civil and criminal penalties related to vessel-generated pollution for incidents in U.S. waters within three nautical miles and in some cases within the 200-mile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exclusive economic zone. The EPA requires vessels to obtain coverage under a general permit and to comply with inspection, monitoring, discharge, recordkeeping and reporting requirements. Matson’s vessels operate within surplus emission control areas (SECAs) or emission control areas (ECAs). If our vessels are not operated in accordance with these requirements, including record keeping and other reporting requirements, such violations could result in substantial fines or penalties that could have a material adverse effect on our results of operations and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comply with changing EPA regulations regarding fuel and emissions, it may adversely impact our ongoing operations.</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Most of Matson’s vessels operate a portion of their voyages in designated ECAs, while Matson’s Alaska vessels operate a substantial portion of their voyages in ECAs. Beginning January 2012, the EPA issued new regulations regarding the sulfur content of fuel oils utilized by vessels operating in ECAs. Beginning January 1, 2015, these emission regulations require the sulfur content of fuel oil utilized by vessels operating inside ECAs not to exceed 0.1 percent. In 2014, Matson received a conditional waiver from the EPA ECA regulations for three diesel-powered vessels used in the Hawaii service that permits the continued use of 1percent sulfur fuel for a limited time, subject to our development of technologies that monitor main engine performance and promote full power operation on diesel fuels with a sulfur content of less than 0.1 percent.</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Effective in 2015, Horizon received a conditional waiver (subsequently transferred to Matson pursuant to the Horizon Acquisition) from the EPA ECA regulations for three diesel-powered vessels used in the Alaska service that permits the continued use of these vessels burning higher sulfur content fuel for a limited time, subject to the installation and testing of an exhaust gas cleaning system (known as ‘scrubbers’) on such vessels. The conditional waiver includes a schedule by which such installation and testing to be completed, with dates of installation ranging from the second half of 2015 to the end of 2016.</w:t>
      </w:r>
    </w:p>
    <w:p>
      <w:pPr>
        <w:sectPr>
          <w:pgSz w:w="11900" w:h="16877" w:orient="portrait"/>
          <w:cols w:equalWidth="0" w:num="1">
            <w:col w:w="11400"/>
          </w:cols>
          <w:pgMar w:left="240" w:top="125" w:right="259" w:bottom="0" w:gutter="0" w:footer="0" w:header="0"/>
        </w:sectPr>
      </w:pPr>
    </w:p>
    <w:bookmarkStart w:id="12" w:name="page13"/>
    <w:bookmarkEnd w:id="12"/>
    <w:p>
      <w:pPr>
        <w:ind w:right="60"/>
        <w:spacing w:after="0" w:line="293" w:lineRule="auto"/>
        <w:rPr>
          <w:sz w:val="20"/>
          <w:szCs w:val="20"/>
          <w:color w:val="auto"/>
        </w:rPr>
      </w:pPr>
      <w:r>
        <w:rPr>
          <w:rFonts w:ascii="Arial" w:cs="Arial" w:eastAsia="Arial" w:hAnsi="Arial"/>
          <w:sz w:val="16"/>
          <w:szCs w:val="16"/>
          <w:color w:val="auto"/>
        </w:rPr>
        <w:t>If we are not able to install the scrubbers by the applicable deadline, or we are otherwise unable to comply with our obligations under the conditional waiver, the conditional waiver may terminate. Even if we are able to meet the requirements of the conditional waiver, there is no assurance that the scrubbers will be successful in reducing emissions and producing results that comply with the EPA ECA regulations. In such situation, the Company would be required to operate these vessels utilizing low sulfur fuel, which could risk damaging the existing engines unless they are run at low speeds. Lower speeds, however, could cause schedule delays or require us to operate additional vessels in Alaska and incur additional costs, which could have a material adverse effect on our business and results of operations. Also, the operation of scrubbers involves the transportation of hazardous materials that in themselves create a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removal of the molasses tank farm and pier risers at Sand Island Terminal in Honolulu.</w:t>
      </w:r>
    </w:p>
    <w:p>
      <w:pPr>
        <w:spacing w:after="0" w:line="22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Pursuant to the Company’s settlement with the State of Hawaii to resolve all of the State’s claims arising from the discharge of molasses into the Honolulu Harbor in September 2013, the Company agreed to remove the molasses tank farm and pier risers at the Sand Island Terminal in Honolulu. The Company hired an engineering consulting firm to develop plans to remove the items safely and developed a Spill Prevention and Response Plan. Despite these precautions, molasses could be released into the environment during demolition activities. This could lead to suspension of operations, third-party or governmental agency claims, disputes, legal or other proceedings, fines, penalties, natural resource damages, inquiries or investigations or other regulatory actions. As a result, such event could have an adverse effect on the Company’s business.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Repeal, substantial amendment, or waiver of the Jones Act or its application would have an adverse effect on the Company’s business.</w:t>
      </w:r>
    </w:p>
    <w:p>
      <w:pPr>
        <w:spacing w:after="0" w:line="241"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 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or other international trade agreements, or if the restrictions contained in the Jones Act were otherwise altered, the shipping of cargo between covered U.S. ports could be opened to foreign-flag or foreign-built vessels.</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affected if the Company were determined not to be a U.S. citizen under the Jones Act.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could have an adverse effect on the Company’s financial condition and results of operation.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Matson leases terminal facilities including office and storage space at the following locations: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Terminal Location</w:t>
            </w:r>
          </w:p>
        </w:tc>
        <w:tc>
          <w:tcPr>
            <w:tcW w:w="3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Acreage</w:t>
            </w:r>
          </w:p>
        </w:tc>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Expiration Date</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3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105</w:t>
            </w:r>
          </w:p>
        </w:tc>
        <w:tc>
          <w:tcPr>
            <w:tcW w:w="4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2018</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341" w:right="239" w:bottom="0" w:gutter="0" w:footer="0" w:header="0"/>
        </w:sectPr>
      </w:pPr>
    </w:p>
    <w:bookmarkStart w:id="13" w:name="page14"/>
    <w:bookmarkEnd w:id="13"/>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West Oahu, Hawaii</w:t>
            </w:r>
          </w:p>
        </w:tc>
        <w:tc>
          <w:tcPr>
            <w:tcW w:w="3760" w:type="dxa"/>
            <w:vAlign w:val="bottom"/>
          </w:tcPr>
          <w:p>
            <w:pPr>
              <w:jc w:val="center"/>
              <w:ind w:left="550"/>
              <w:spacing w:after="0"/>
              <w:rPr>
                <w:sz w:val="20"/>
                <w:szCs w:val="20"/>
                <w:color w:val="auto"/>
              </w:rPr>
            </w:pPr>
            <w:r>
              <w:rPr>
                <w:rFonts w:ascii="Arial" w:cs="Arial" w:eastAsia="Arial" w:hAnsi="Arial"/>
                <w:sz w:val="18"/>
                <w:szCs w:val="18"/>
                <w:color w:val="auto"/>
                <w:w w:val="79"/>
              </w:rPr>
              <w:t>7</w:t>
            </w: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June 2017</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Tacoma, Washington</w:t>
            </w:r>
          </w:p>
        </w:tc>
        <w:tc>
          <w:tcPr>
            <w:tcW w:w="37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18</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2015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Anchorage, Alaska</w:t>
            </w:r>
          </w:p>
        </w:tc>
        <w:tc>
          <w:tcPr>
            <w:tcW w:w="3760" w:type="dxa"/>
            <w:vAlign w:val="bottom"/>
          </w:tcPr>
          <w:p>
            <w:pPr>
              <w:jc w:val="center"/>
              <w:ind w:left="570"/>
              <w:spacing w:after="0"/>
              <w:rPr>
                <w:sz w:val="20"/>
                <w:szCs w:val="20"/>
                <w:color w:val="auto"/>
              </w:rPr>
            </w:pPr>
            <w:r>
              <w:rPr>
                <w:rFonts w:ascii="Arial" w:cs="Arial" w:eastAsia="Arial" w:hAnsi="Arial"/>
                <w:sz w:val="18"/>
                <w:szCs w:val="18"/>
                <w:color w:val="auto"/>
                <w:w w:val="89"/>
              </w:rPr>
              <w:t>38</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December 2015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Kodiak, Alaska</w:t>
            </w:r>
          </w:p>
        </w:tc>
        <w:tc>
          <w:tcPr>
            <w:tcW w:w="37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79"/>
              </w:rPr>
              <w:t>6</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2020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Dutch Harbor, Alaska</w:t>
            </w:r>
          </w:p>
        </w:tc>
        <w:tc>
          <w:tcPr>
            <w:tcW w:w="3760" w:type="dxa"/>
            <w:vAlign w:val="bottom"/>
          </w:tcPr>
          <w:p>
            <w:pPr>
              <w:jc w:val="center"/>
              <w:ind w:left="570"/>
              <w:spacing w:after="0"/>
              <w:rPr>
                <w:sz w:val="20"/>
                <w:szCs w:val="20"/>
                <w:color w:val="auto"/>
              </w:rPr>
            </w:pPr>
            <w:r>
              <w:rPr>
                <w:rFonts w:ascii="Arial" w:cs="Arial" w:eastAsia="Arial" w:hAnsi="Arial"/>
                <w:sz w:val="18"/>
                <w:szCs w:val="18"/>
                <w:color w:val="auto"/>
                <w:w w:val="89"/>
              </w:rPr>
              <w:t>18</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December 2015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Polaris Point, Guam</w:t>
            </w:r>
          </w:p>
        </w:tc>
        <w:tc>
          <w:tcPr>
            <w:tcW w:w="37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30</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2060</w:t>
            </w: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is currently renewing leases that are past expiration date. The Company’s other primary terminal facilities located at the Port of Seattle, Washington, and the Ports of Oakland and Long Beach, California, are leased by the Company’s terminal joint venture partner, SSAT.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significant office locations, warehouses and storage facilities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Office and Other Location</w:t>
            </w:r>
          </w:p>
        </w:tc>
        <w:tc>
          <w:tcPr>
            <w:tcW w:w="2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Description of Facility</w:t>
            </w: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Square Footage</w:t>
            </w:r>
          </w:p>
        </w:tc>
      </w:tr>
      <w:tr>
        <w:trPr>
          <w:trHeight w:val="210"/>
        </w:trPr>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U.S. Locations</w:t>
            </w:r>
          </w:p>
        </w:tc>
        <w:tc>
          <w:tcPr>
            <w:tcW w:w="3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Honolulu, Hawaii</w:t>
            </w:r>
          </w:p>
        </w:tc>
        <w:tc>
          <w:tcPr>
            <w:tcW w:w="27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Corporate headquarters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16,444</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Irving, Texas</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51,989</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Oakland, California</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48,162</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Phoenix, Arizona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27,986</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Oakbrook Terrace, Illinois</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17,004</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Concord, California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7,974</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Renton, Washington</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5,162</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Atlanta, Georgia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Akron, Ohio</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Tamuning, Guam</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Portland, Oregon</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3,203</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Elizabeth, New Jersey</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Foreign Locations</w:t>
            </w: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Shanghai, China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Auckland, New Zealand</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Hong Kong, China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Ningbo, China</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Xiamen, China</w:t>
            </w:r>
          </w:p>
        </w:tc>
        <w:tc>
          <w:tcPr>
            <w:tcW w:w="27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Shenzhen, China</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Office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Warehouses and Storage Facility</w:t>
            </w: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Pooler, Georgia</w:t>
            </w:r>
          </w:p>
        </w:tc>
        <w:tc>
          <w:tcPr>
            <w:tcW w:w="27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710,844</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Oakland, California</w:t>
            </w:r>
          </w:p>
        </w:tc>
        <w:tc>
          <w:tcPr>
            <w:tcW w:w="2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Pooler, Georgia</w:t>
            </w:r>
          </w:p>
        </w:tc>
        <w:tc>
          <w:tcPr>
            <w:tcW w:w="27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324,832</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Rancho Dominguez, California</w:t>
            </w:r>
          </w:p>
        </w:tc>
        <w:tc>
          <w:tcPr>
            <w:tcW w:w="2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141,000</w:t>
            </w: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Oakland, California</w:t>
            </w:r>
          </w:p>
        </w:tc>
        <w:tc>
          <w:tcPr>
            <w:tcW w:w="27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132,000</w:t>
            </w: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Onehunga, New Zealand</w:t>
            </w:r>
          </w:p>
        </w:tc>
        <w:tc>
          <w:tcPr>
            <w:tcW w:w="2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6"/>
              </w:rPr>
              <w:t>Warehouse</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17,577</w:t>
            </w:r>
          </w:p>
        </w:tc>
      </w:tr>
      <w:tr>
        <w:trPr>
          <w:trHeight w:val="230"/>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Alameda, California</w:t>
            </w: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Storage facility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53,785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2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General Information: </w:t>
      </w:r>
      <w:r>
        <w:rPr>
          <w:rFonts w:ascii="Arial" w:cs="Arial" w:eastAsia="Arial" w:hAnsi="Arial"/>
          <w:sz w:val="18"/>
          <w:szCs w:val="18"/>
          <w:color w:val="auto"/>
        </w:rPr>
        <w:t>Matson’s common stock is traded on the New York Stock Exchange under the ticker symbol “MATX”. As of February 23, 2016,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2,413 shareholders of record of Matson common stock. In addition, Cede &amp; Co., which appears as a single record holder, represents the holdings of thousands of beneficial owners of Matson common stock.</w:t>
      </w:r>
    </w:p>
    <w:p>
      <w:pPr>
        <w:spacing w:after="0" w:line="1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 xml:space="preserve">Stockholder Return Performance Graph and Other Information: </w:t>
      </w:r>
      <w:r>
        <w:rPr>
          <w:rFonts w:ascii="Arial" w:cs="Arial" w:eastAsia="Arial" w:hAnsi="Arial"/>
          <w:sz w:val="16"/>
          <w:szCs w:val="16"/>
          <w:color w:val="auto"/>
        </w:rPr>
        <w:t>The following information in this Item 5 shall not be deemed filed for purposes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18 of the Securities Exchange Act of 1934, nor shall it be deemed incorporated by reference in any filing under the Securities Act of 1933.</w:t>
      </w:r>
    </w:p>
    <w:p>
      <w:pPr>
        <w:sectPr>
          <w:pgSz w:w="11900" w:h="16921" w:orient="portrait"/>
          <w:cols w:equalWidth="0" w:num="1">
            <w:col w:w="11420"/>
          </w:cols>
          <w:pgMar w:left="240" w:top="125" w:right="239" w:bottom="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2015.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942965" cy="3353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$100 invested on December 31, 2010 in stock or index, including reinvestment of 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Trading volume averaged 240,996 shares a day in 2015, compared with 273,309 shares a day in 2014 and 228,479 shares a day in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quarterly intra-day high and low sales prices and end of quarter closing prices, as reported by the New York Stock Exchange, and cash dividends paid per share of common stock, for each fiscal quarter during 2015 and 2014,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Dividends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Market Price</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Paid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Close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2015</w:t>
            </w:r>
          </w:p>
        </w:tc>
        <w:tc>
          <w:tcPr>
            <w:tcW w:w="6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43.84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39.79</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53.18</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79"/>
              </w:rPr>
              <w:t>2014</w:t>
            </w:r>
          </w:p>
        </w:tc>
        <w:tc>
          <w:tcPr>
            <w:tcW w:w="6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26.88</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26.91</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29.54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declared and paid the following dividends during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Dividends</w:t>
            </w:r>
          </w:p>
        </w:tc>
        <w:tc>
          <w:tcPr>
            <w:tcW w:w="2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Shareholders of</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Declared</w:t>
            </w:r>
          </w:p>
        </w:tc>
        <w:tc>
          <w:tcPr>
            <w:tcW w:w="2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Record Date</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12, 2015</w:t>
            </w: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5, 2015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2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May 7, 2015</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4, 2015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21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August 6, 2015</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3, 2015</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2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5, 2015</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 2015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Matson’s Board of Directors also declared a cash dividend of $0.18 per share for the first quarter 2016, payable on March 3, 2016 to shareholders of record on February 11, 2016.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following is a summary of the stock repurchased during the three months ended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58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Total 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52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Maximum Number</w:t>
            </w:r>
          </w:p>
        </w:tc>
      </w:tr>
      <w:tr>
        <w:trPr>
          <w:trHeight w:val="149"/>
        </w:trPr>
        <w:tc>
          <w:tcPr>
            <w:tcW w:w="2640" w:type="dxa"/>
            <w:vAlign w:val="bottom"/>
          </w:tcPr>
          <w:p>
            <w:pPr>
              <w:spacing w:after="0"/>
              <w:rPr>
                <w:sz w:val="12"/>
                <w:szCs w:val="12"/>
                <w:color w:val="auto"/>
              </w:rPr>
            </w:pPr>
          </w:p>
        </w:tc>
        <w:tc>
          <w:tcPr>
            <w:tcW w:w="3580" w:type="dxa"/>
            <w:vAlign w:val="bottom"/>
          </w:tcPr>
          <w:p>
            <w:pPr>
              <w:jc w:val="center"/>
              <w:ind w:left="1808"/>
              <w:spacing w:after="0" w:line="149" w:lineRule="exact"/>
              <w:rPr>
                <w:sz w:val="20"/>
                <w:szCs w:val="20"/>
                <w:color w:val="auto"/>
              </w:rPr>
            </w:pPr>
            <w:r>
              <w:rPr>
                <w:rFonts w:ascii="Arial" w:cs="Arial" w:eastAsia="Arial" w:hAnsi="Arial"/>
                <w:sz w:val="14"/>
                <w:szCs w:val="14"/>
                <w:b w:val="1"/>
                <w:bCs w:val="1"/>
                <w:color w:val="auto"/>
                <w:w w:val="89"/>
              </w:rPr>
              <w:t>Shares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per Share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5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of Shares that May</w:t>
            </w:r>
          </w:p>
        </w:tc>
      </w:tr>
      <w:tr>
        <w:trPr>
          <w:trHeight w:val="186"/>
        </w:trPr>
        <w:tc>
          <w:tcPr>
            <w:tcW w:w="2640" w:type="dxa"/>
            <w:vAlign w:val="bottom"/>
          </w:tcPr>
          <w:p>
            <w:pPr>
              <w:spacing w:after="0"/>
              <w:rPr>
                <w:sz w:val="16"/>
                <w:szCs w:val="16"/>
                <w:color w:val="auto"/>
              </w:rPr>
            </w:pPr>
          </w:p>
        </w:tc>
        <w:tc>
          <w:tcPr>
            <w:tcW w:w="3580" w:type="dxa"/>
            <w:vAlign w:val="bottom"/>
          </w:tcPr>
          <w:p>
            <w:pPr>
              <w:jc w:val="center"/>
              <w:ind w:left="1808"/>
              <w:spacing w:after="0"/>
              <w:rPr>
                <w:sz w:val="20"/>
                <w:szCs w:val="20"/>
                <w:color w:val="auto"/>
              </w:rPr>
            </w:pPr>
            <w:r>
              <w:rPr>
                <w:rFonts w:ascii="Arial" w:cs="Arial" w:eastAsia="Arial" w:hAnsi="Arial"/>
                <w:sz w:val="14"/>
                <w:szCs w:val="14"/>
                <w:b w:val="1"/>
                <w:bCs w:val="1"/>
                <w:color w:val="auto"/>
                <w:w w:val="92"/>
              </w:rPr>
              <w:t>Purchased</w:t>
            </w:r>
          </w:p>
        </w:tc>
        <w:tc>
          <w:tcPr>
            <w:tcW w:w="16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152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Be Purchased</w:t>
            </w:r>
          </w:p>
        </w:tc>
      </w:tr>
    </w:tbl>
    <w:p>
      <w:pPr>
        <w:sectPr>
          <w:pgSz w:w="11900" w:h="16838" w:orient="portrait"/>
          <w:cols w:equalWidth="0" w:num="1">
            <w:col w:w="11420"/>
          </w:cols>
          <w:pgMar w:left="240" w:top="341" w:right="239" w:bottom="0" w:gutter="0" w:footer="0" w:header="0"/>
        </w:sectPr>
      </w:pPr>
    </w:p>
    <w:bookmarkStart w:id="15" w:name="page16"/>
    <w:bookmarkEnd w:id="1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Announced Plans or</w:t>
            </w:r>
          </w:p>
        </w:tc>
        <w:tc>
          <w:tcPr>
            <w:tcW w:w="26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Under the Plans or</w:t>
            </w:r>
          </w:p>
        </w:tc>
      </w:tr>
      <w:tr>
        <w:trPr>
          <w:trHeight w:val="17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Programs (1)</w:t>
            </w:r>
          </w:p>
        </w:tc>
        <w:tc>
          <w:tcPr>
            <w:tcW w:w="26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31, 2015</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November 1 — 30, 2015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51.77</w:t>
            </w:r>
          </w:p>
        </w:tc>
        <w:tc>
          <w:tcPr>
            <w:tcW w:w="2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18,000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2,982,000</w:t>
            </w: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2015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112,000</w:t>
            </w: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2,870,000</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2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40" w:hanging="332"/>
        <w:spacing w:after="0" w:line="273" w:lineRule="auto"/>
        <w:tabs>
          <w:tab w:leader="none" w:pos="383"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repurchase any of its common stock in 2014 or 2013.</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Securities Issued under Equity Compensation Plans: </w:t>
      </w:r>
      <w:r>
        <w:rPr>
          <w:rFonts w:ascii="Arial" w:cs="Arial" w:eastAsia="Arial" w:hAnsi="Arial"/>
          <w:sz w:val="18"/>
          <w:szCs w:val="18"/>
          <w:color w:val="auto"/>
        </w:rPr>
        <w:t>See the subsection captioned “Equity Compensation Plan Information” in Matson’s 2016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for information regarding securities authorized for issuance under the Company’s equity compensation plans, which subsection is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should be read in conjunction with Item 8, “Financial Statements and Supplementary Data,” and Item 7, “Management’s Discussion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Analysis of Financial Condition and Results of Operations” (dollars and shares in millions, except shareholders of record and per-share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1,498.0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1,229.4</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1,189.8</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Revenue</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Transportation (1)</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Logistics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177.8</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Loss From Discontinued Operations (net of income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Identifiable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Transportation (2)</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Logistics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9"/>
              </w:rPr>
              <w:t>Capital Expenditure from Continuing Operations (4):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Transportation</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Logistics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 Amortization from Continuing</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Earnings Per Share in Income from continuing</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Net Income: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declared</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Shareholders of record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2,406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ectPr>
          <w:pgSz w:w="11900" w:h="16857" w:orient="portrait"/>
          <w:cols w:equalWidth="0" w:num="1">
            <w:col w:w="11420"/>
          </w:cols>
          <w:pgMar w:left="240" w:top="104" w:right="239" w:bottom="0" w:gutter="0" w:footer="0" w:header="0"/>
        </w:sectPr>
      </w:pPr>
    </w:p>
    <w:bookmarkStart w:id="16" w:name="page17"/>
    <w:bookmarkEnd w:id="16"/>
    <w:p>
      <w:pPr>
        <w:ind w:left="200"/>
        <w:spacing w:after="0"/>
        <w:tabs>
          <w:tab w:leader="none" w:pos="4460" w:val="left"/>
          <w:tab w:leader="none" w:pos="5220" w:val="left"/>
          <w:tab w:leader="none" w:pos="5900" w:val="left"/>
          <w:tab w:leader="none" w:pos="6640" w:val="left"/>
          <w:tab w:leader="none" w:pos="7320" w:val="left"/>
          <w:tab w:leader="none" w:pos="8060" w:val="left"/>
          <w:tab w:leader="none" w:pos="8740" w:val="left"/>
          <w:tab w:leader="none" w:pos="9460" w:val="left"/>
          <w:tab w:leader="none" w:pos="10160" w:val="left"/>
          <w:tab w:leader="none" w:pos="10880" w:val="left"/>
        </w:tabs>
        <w:rPr>
          <w:sz w:val="20"/>
          <w:szCs w:val="20"/>
          <w:color w:val="auto"/>
        </w:rPr>
      </w:pPr>
      <w:r>
        <w:rPr>
          <w:rFonts w:ascii="Arial" w:cs="Arial" w:eastAsia="Arial" w:hAnsi="Arial"/>
          <w:sz w:val="18"/>
          <w:szCs w:val="18"/>
          <w:color w:val="auto"/>
        </w:rPr>
        <w:t>Long-term debt — non-current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407.9</w:t>
        <w:tab/>
        <w:t>$</w:t>
      </w:r>
      <w:r>
        <w:rPr>
          <w:sz w:val="20"/>
          <w:szCs w:val="20"/>
          <w:color w:val="auto"/>
        </w:rPr>
        <w:tab/>
      </w:r>
      <w:r>
        <w:rPr>
          <w:rFonts w:ascii="Arial" w:cs="Arial" w:eastAsia="Arial" w:hAnsi="Arial"/>
          <w:sz w:val="18"/>
          <w:szCs w:val="18"/>
          <w:color w:val="auto"/>
        </w:rPr>
        <w:t>352.0</w:t>
        <w:tab/>
        <w:t>$</w:t>
      </w:r>
      <w:r>
        <w:rPr>
          <w:sz w:val="20"/>
          <w:szCs w:val="20"/>
          <w:color w:val="auto"/>
        </w:rPr>
        <w:tab/>
      </w:r>
      <w:r>
        <w:rPr>
          <w:rFonts w:ascii="Arial" w:cs="Arial" w:eastAsia="Arial" w:hAnsi="Arial"/>
          <w:sz w:val="18"/>
          <w:szCs w:val="18"/>
          <w:color w:val="auto"/>
        </w:rPr>
        <w:t>273.6</w:t>
        <w:tab/>
        <w:t>$</w:t>
      </w:r>
      <w:r>
        <w:rPr>
          <w:sz w:val="20"/>
          <w:szCs w:val="20"/>
          <w:color w:val="auto"/>
        </w:rPr>
        <w:tab/>
      </w:r>
      <w:r>
        <w:rPr>
          <w:rFonts w:ascii="Arial" w:cs="Arial" w:eastAsia="Arial" w:hAnsi="Arial"/>
          <w:sz w:val="18"/>
          <w:szCs w:val="18"/>
          <w:color w:val="auto"/>
        </w:rPr>
        <w:t>302.7</w:t>
        <w:tab/>
        <w:t>$</w:t>
      </w:r>
      <w:r>
        <w:rPr>
          <w:sz w:val="20"/>
          <w:szCs w:val="20"/>
          <w:color w:val="auto"/>
        </w:rPr>
        <w:tab/>
      </w:r>
      <w:r>
        <w:rPr>
          <w:rFonts w:ascii="Arial" w:cs="Arial" w:eastAsia="Arial" w:hAnsi="Arial"/>
          <w:sz w:val="16"/>
          <w:szCs w:val="16"/>
          <w:color w:val="auto"/>
        </w:rPr>
        <w:t>180.1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40" w:hanging="332"/>
        <w:spacing w:after="0" w:line="237" w:lineRule="auto"/>
        <w:tabs>
          <w:tab w:leader="none" w:pos="338"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Ocean Transportation segment includes $16.5 million, $6.6 million, $(2.0) million, $3.2 million and $8.6 million of equity in income/(loss) from the Company’s terminal joint venture, SSAT, for 2015, 2014, 2013, 2012 and 2011, respectively.</w:t>
      </w:r>
    </w:p>
    <w:p>
      <w:pPr>
        <w:spacing w:after="0" w:line="109" w:lineRule="exact"/>
        <w:rPr>
          <w:rFonts w:ascii="Arial" w:cs="Arial" w:eastAsia="Arial" w:hAnsi="Arial"/>
          <w:sz w:val="13"/>
          <w:szCs w:val="13"/>
          <w:color w:val="auto"/>
        </w:rPr>
      </w:pPr>
    </w:p>
    <w:p>
      <w:pPr>
        <w:ind w:left="340" w:right="140" w:hanging="332"/>
        <w:spacing w:after="0" w:line="237" w:lineRule="auto"/>
        <w:tabs>
          <w:tab w:leader="none" w:pos="338"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Ocean Transportation segment includes $66.4 million, $64.4 million, $57.6 million, $59.6 million and $56.5 million, related to the Company’s terminal joint venture equity investment in SSAT as of December 31, 2015, 2014, 2013, 2012 and 2011, respectively.</w:t>
      </w:r>
    </w:p>
    <w:p>
      <w:pPr>
        <w:spacing w:after="0" w:line="109" w:lineRule="exact"/>
        <w:rPr>
          <w:rFonts w:ascii="Arial" w:cs="Arial" w:eastAsia="Arial" w:hAnsi="Arial"/>
          <w:sz w:val="13"/>
          <w:szCs w:val="13"/>
          <w:color w:val="auto"/>
        </w:rPr>
      </w:pP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Other identifiable assets related to discontinued operations from the Company’s former parent company and the Company’s second China Long Beach Express Service (“CLX2”) of $1.4 billion as of December 31, 2011.</w:t>
      </w:r>
    </w:p>
    <w:p>
      <w:pPr>
        <w:spacing w:after="0" w:line="143" w:lineRule="exact"/>
        <w:rPr>
          <w:rFonts w:ascii="Arial" w:cs="Arial" w:eastAsia="Arial" w:hAnsi="Arial"/>
          <w:sz w:val="11"/>
          <w:szCs w:val="11"/>
          <w:color w:val="auto"/>
        </w:rPr>
      </w:pPr>
    </w:p>
    <w:p>
      <w:pPr>
        <w:ind w:left="340" w:right="200" w:hanging="332"/>
        <w:spacing w:after="0" w:line="237" w:lineRule="auto"/>
        <w:tabs>
          <w:tab w:leader="none" w:pos="338"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Excludes expenditures related to Matson’s acquisitions, which are classified as payments for acquisitions in Cash Flows used in Investing Activities from Continuing Operations within the Consolidated Statements of Cash Flows.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the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2016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MD&amp;A is presented in the following sections:</w:t>
      </w:r>
    </w:p>
    <w:p>
      <w:pPr>
        <w:spacing w:after="0" w:line="165"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Outlook</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Analysis of Operating Revenue and Income by Segment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Obligations, Commitments, Contingencies and Off-Balance Sheet Arrangements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fourth quarter 2015 discussion and 2016 Outlook:</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fourth quarter 2015, the Hawaii trade experienced modest westbound market growth and, as expected, Matson achieved meaningful volume gains as it deployed additional vessels in response to a competitor’s service reconfiguration. The Company believes that the Hawaii economy remains healthy and expects the continued progress of the construction cycle in urban Honolulu to generate modest volume growth. As a result, for the full year 2016, the Company expects its Hawaii container volume to be moderately higher than 2015.</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China trade, despite freight rates for other ocean carriers reaching historic lows, the Company achieved average freight rates that approximated the strong rates achieved in the fourth quarter 2014. And, as expected, the Company’s China volume in the fourth quarter 2015 was moderately lower due to one fewer sailing, the absence of the extraordinarily high demand experienced in the fourth quarter 2014 during the U.S. West Coast labor disruptions, and market softness. In 2016, international vessel overcapacity is expected to persist with vessel deliveries outpacing demand growth and putting continued pressure on international ocean carrier freight rates. The Company expects its expedited service to continue to realize a sizable premium and maintain high vessel utilization in 2016, albeit at average freight rates that are significantly lower than 2015.</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Guam, economic activity in the fourth quarter 2015 was stable and the Company achieved modest volume growth as the expected launch of a new competitor’s bi-weekly U.S. flagged containership service to Guam was delayed until early 2016. For the full year 2016, the Company expects to experience competitive volume losses to this new service.</w:t>
      </w:r>
    </w:p>
    <w:p>
      <w:pPr>
        <w:sectPr>
          <w:pgSz w:w="11900" w:h="16838" w:orient="portrait"/>
          <w:cols w:equalWidth="0" w:num="1">
            <w:col w:w="11400"/>
          </w:cols>
          <w:pgMar w:left="240" w:top="125" w:right="259" w:bottom="0" w:gutter="0" w:footer="0" w:header="0"/>
        </w:sectPr>
      </w:pPr>
    </w:p>
    <w:bookmarkStart w:id="17" w:name="page18"/>
    <w:bookmarkEnd w:id="17"/>
    <w:p>
      <w:pPr>
        <w:spacing w:after="0" w:line="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Alaska, volume for the fourth quarter 2015 was approximately 14,200 containers. In 2016, the Company expects Alaska volume to be modestly lower than the total 67,300 containers carried by Horizon and Matson in 2015. The Company intends to operate a base deployment of three containerships in Alaska and expects to complete the installation of exhaust gas scrubbers on those ships in 2016. The Company’s integration of the Alaska operations is progressing well and is expected to be substantially complete by the end of the third quarter 2016. Selling, general and administrative expenses related to the Horizon Acquisition are not expected to materially exceed the incremental run-rate target of $15.0 million per year in 2016. Further, the Company continues to expect to achieve its earnings and cash flow accretion targets for the Horizon Acquisition by mid-2017.</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terminal joint venture, SSAT, continued to benefit from improved lift volume during the fourth quarter. For the full year 2016, the Company expects SSAT to contribute profits modestly lower than the $16.5 million contributed in 2015, primarily due to the absence of factors related to the clearing of international cargo backlog in the first half of 2015 that resulted from the U.S. West Coast labor disruptions.</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full year 2016, the Company expects that Ocean Transportation operating income to be modestly lower than the $187.8 million achieved in 2015. In the first quarter 2016, the Company expects operating income to be approximately 25 percent lower than the first quarter 2015 level of $43.9 million.</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Volume declines in Logistics’ businesses extended into the fourth quarter 2015 and the Company achieved an operating income margin of 2.5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The Company expects 2016 operating income to modestly exceed the 2015 level of $8.5 million, driven by volume growth and continued expense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2016 to be approximately $19.0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Company expects its effective tax rate for the full year 2016 to be approximately 39.0 percent.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Capital Spending and Vessel Dry-docking: </w:t>
      </w:r>
      <w:r>
        <w:rPr>
          <w:rFonts w:ascii="Arial" w:cs="Arial" w:eastAsia="Arial" w:hAnsi="Arial"/>
          <w:sz w:val="18"/>
          <w:szCs w:val="18"/>
          <w:color w:val="auto"/>
        </w:rPr>
        <w:t>For the full year 2015, the Company made maintenance capital expenditures of $46.9 million, scheduled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its two vessels under construction of $20.9 million, and dry-docking payments of $25.7 million.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full year 2016, the Company expects to make maintenance capital expenditures of approximately $65 million, scheduled new vessel construction progress payments of $67.2 million, and dry-docking payments of approximately $60 million. For the full year 2016, the Company expects depreciation and amortization to total approximately $133 million compared to $105.8 million in 2015, inclusive of dry-docking amortization of approximately $35 million expected in 2016 and $23.1 million in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analysis of the financial condition and results of operations of Matson should be read in conjunction with the consolidated financial statements in Item 8 of Part II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2015 compared with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(1,688.6)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(1,574.2)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1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280" w:type="dxa"/>
            <w:vAlign w:val="bottom"/>
            <w:vMerge w:val="continue"/>
          </w:tcPr>
          <w:p>
            <w:pPr>
              <w:spacing w:after="0"/>
              <w:rPr>
                <w:sz w:val="17"/>
                <w:szCs w:val="17"/>
                <w:color w:val="auto"/>
              </w:rPr>
            </w:pPr>
          </w:p>
        </w:tc>
        <w:tc>
          <w:tcPr>
            <w:tcW w:w="1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Consolidated Operating Revenue </w:t>
      </w:r>
      <w:r>
        <w:rPr>
          <w:rFonts w:ascii="Arial" w:cs="Arial" w:eastAsia="Arial" w:hAnsi="Arial"/>
          <w:sz w:val="17"/>
          <w:szCs w:val="17"/>
          <w:color w:val="auto"/>
        </w:rPr>
        <w:t>for the year ended December 31, 2015 increased $170.7 million, or 10.0 percent, compared to the prior year. This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due to an increase of $219.6 million for Ocean Transportation, partially offset by a decrease of $48.9 million for Logistics.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2015 increased $114.4 million, or 7.3 percent, compared to the prior year.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of $162.9 million for Ocean Transportation, partially offset by a decrease of $48.5 million for Logistics.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2015 increased $56.3 million, or 40.2 percent, compared to the prior year. The increase was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$56.7 million for Ocean Transportation, partially offset by a decrease of $0.4 million for Logistics.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during the year ended December 31, 2015 was $74.8 million, or 42.1 percent, of income before income taxes, as compared to $51.9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42.3 percent of income before income taxes,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during the year ended December 31, 2015 increased $32.2 million, or 45.5 percent, compared to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(1,574.2)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(1,536.9)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12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280" w:type="dxa"/>
            <w:vAlign w:val="bottom"/>
            <w:vMerge w:val="continue"/>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vMerge w:val="continue"/>
          </w:tcPr>
          <w:p>
            <w:pPr>
              <w:spacing w:after="0"/>
              <w:rPr>
                <w:sz w:val="17"/>
                <w:szCs w:val="17"/>
                <w:color w:val="auto"/>
              </w:rPr>
            </w:pPr>
          </w:p>
        </w:tc>
        <w:tc>
          <w:tcPr>
            <w:tcW w:w="1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2014 increased $77.0 million, or 4.7 percent, compared to the prior year.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$49.0 million and $28.0 million higher revenues for Ocean Transportation and Logistics,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2014 increased $37.3 million, or 2.4 percent, compared to the prior year.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increases of $12.2 million and $25.1 million in costs for Ocean Transportation and Logistics, respectively.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2014 increased $39.7 million, or 39.6 percent, compared to the prior year. The increase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of $36.8 million and $2.9 million for Ocean Transportation and Logistics,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during the year ended December 31, 2014 was $51.9 million, or 42.3 percent of income before income taxes, as compared to $32.2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37.5 percent of income before income taxes, in the prior year. The increase in income tax rate was principally due to a non-cash valuation allowance recorded against deferred tax assets related to foreign operations, and non-deductible charges related to the Horizon Acquisition, partially offset by the release of uncertain tax positions.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during the year ended December 31, 2014 increased $17.1 million, or 31.8 percent, compared to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 detailed information related to the operations and financial performance of the Company’s Reportable Segments is included in Part II Item 6 and Note 15 to the consolidated financial statements in Item 8 of Part II below. The following information should be read in relation to the information contained in those sections.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2015 compared with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36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(1,310.2)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1360" w:type="dxa"/>
            <w:vAlign w:val="bottom"/>
            <w:gridSpan w:val="3"/>
          </w:tcPr>
          <w:p>
            <w:pPr>
              <w:jc w:val="right"/>
              <w:ind w:right="68"/>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Hawaii containers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80"/>
              <w:spacing w:after="0"/>
              <w:rPr>
                <w:sz w:val="20"/>
                <w:szCs w:val="20"/>
                <w:color w:val="auto"/>
              </w:rPr>
            </w:pPr>
            <w:r>
              <w:rPr>
                <w:rFonts w:ascii="Arial" w:cs="Arial" w:eastAsia="Arial" w:hAnsi="Arial"/>
                <w:sz w:val="18"/>
                <w:szCs w:val="18"/>
                <w:i w:val="1"/>
                <w:iCs w:val="1"/>
                <w:color w:val="auto"/>
              </w:rPr>
              <w:t>Hawaii automobiles</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70,600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Alaska containers (2)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China containers</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59,200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Guam containers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tcPr>
          <w:p>
            <w:pPr>
              <w:ind w:left="180"/>
              <w:spacing w:after="0"/>
              <w:rPr>
                <w:sz w:val="20"/>
                <w:szCs w:val="20"/>
                <w:color w:val="auto"/>
              </w:rPr>
            </w:pPr>
            <w:r>
              <w:rPr>
                <w:rFonts w:ascii="Arial" w:cs="Arial" w:eastAsia="Arial" w:hAnsi="Arial"/>
                <w:sz w:val="18"/>
                <w:szCs w:val="18"/>
                <w:i w:val="1"/>
                <w:iCs w:val="1"/>
                <w:color w:val="auto"/>
              </w:rPr>
              <w:t>Micronesia/South Pacific Containers</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14,800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40" w:hanging="332"/>
        <w:spacing w:after="0" w:line="237" w:lineRule="auto"/>
        <w:tabs>
          <w:tab w:leader="none" w:pos="338" w:val="left"/>
        </w:tabs>
        <w:numPr>
          <w:ilvl w:val="0"/>
          <w:numId w:val="20"/>
        </w:numPr>
        <w:rPr>
          <w:rFonts w:ascii="Arial" w:cs="Arial" w:eastAsia="Arial" w:hAnsi="Arial"/>
          <w:sz w:val="13"/>
          <w:szCs w:val="13"/>
          <w:color w:val="auto"/>
        </w:rPr>
      </w:pPr>
      <w:r>
        <w:rPr>
          <w:rFonts w:ascii="Arial" w:cs="Arial" w:eastAsia="Arial" w:hAnsi="Arial"/>
          <w:sz w:val="13"/>
          <w:szCs w:val="13"/>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09" w:lineRule="exact"/>
        <w:rPr>
          <w:rFonts w:ascii="Arial" w:cs="Arial" w:eastAsia="Arial" w:hAnsi="Arial"/>
          <w:sz w:val="13"/>
          <w:szCs w:val="13"/>
          <w:color w:val="auto"/>
        </w:rPr>
      </w:pPr>
    </w:p>
    <w:p>
      <w:pPr>
        <w:ind w:left="340" w:hanging="332"/>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Alaska container volume represents operations from the date of Horizon Acquisition on May 29, 2015.</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Ocean Transportation revenue increased $219.6 million, or 17.2 percent, during the year ended December 31, 2015 compared with the year ended December 31, 2014. This increase was primarily due to the inclusion of revenue from the Company’s acquired Alaska operations, higher container volume and yield in Hawaii, and higher freight rates in the Company’s China service, partially offset by lower fuel surcharge revenue and lower volume in the South Pacific and China.</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Alaska volume included in the Company results reflects operations from May 29, 2015. On a year over year basis, Hawaii container volume increased by 8.1 percent primarily due to volume gains resulting from a competitor’s service reconfiguration, and modest market growth; China volume was 4.5 percent lower due to one fewer sailing, the absence of the extraordinarily high demand experienced in the fourth quarter 2014 during the U.S. West Coast labor disruptions, and market softness in the fourth quarter 2015; Guam volume declined by 1.6 percent due to the timing of select shipments; and Hawaii automobile volume was essentially flat.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Ocean Transportation operating income increased $56.7 million during the year ended December 31, 2015 compared with the year ended December 31, 2014. The increase was primarily due to higher freight rates in China, container volume and yield improvements in Hawaii, the inclusion of operating results for the Alaska trade, and improved results at SSAT. Partially offsetting these favorable operating income items were additional selling, general and administrative expenses primarily due to the Horizon Acquisition, higher vessel operating expenses related to the deployment of additional vessels in the</w:t>
      </w:r>
    </w:p>
    <w:p>
      <w:pPr>
        <w:sectPr>
          <w:pgSz w:w="11900" w:h="16838" w:orient="portrait"/>
          <w:cols w:equalWidth="0" w:num="1">
            <w:col w:w="11420"/>
          </w:cols>
          <w:pgMar w:left="240" w:top="140" w:right="239" w:bottom="0" w:gutter="0" w:footer="0" w:header="0"/>
        </w:sectPr>
      </w:pPr>
    </w:p>
    <w:bookmarkStart w:id="19" w:name="page20"/>
    <w:bookmarkEnd w:id="19"/>
    <w:p>
      <w:pPr>
        <w:spacing w:after="0" w:line="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Hawaii trade, higher terminal handling expenses, lower China container volume, and costs related to the Company’s settlement with the State of Hawaii (the “Molasses Settlement”).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SSAT terminal joint venture investment contributed $16.5 million during the year ended December 31, 2015, compared to a $6.6 million contribution in the year ended December 31, 2014. The increase was primarily attributable to the clearing of international carrier cargo backlog and improved lift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Years Ended December 31,</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6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(1,135.1)</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68"/>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Hawaii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i w:val="1"/>
                <w:iCs w:val="1"/>
                <w:color w:val="auto"/>
              </w:rPr>
              <w:t>Hawaii automobiles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70,600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81,500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China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i w:val="1"/>
                <w:iCs w:val="1"/>
                <w:color w:val="auto"/>
              </w:rPr>
              <w:t>Guam containers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24,100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Micronesia/South Pacific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7" w:lineRule="auto"/>
        <w:tabs>
          <w:tab w:leader="none" w:pos="338"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9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Ocean Transportation revenue increased $49.0 million, or 4.0 percent during the year ended December 31, 2014 compared to the prior year. This increase was due partially to higher freight yields across major trade lanes, higher fuel surcharge revenue, and increased volume in the South Pacific, partially offset by lower automobile volume.</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year ended December 31, 2014, container volumes in Hawaii and China were relatively flat; Guam volume increased modestly due to timing of shipments; and Micronesia/South Pacific volume increased 15.6 percent reflecting a full year of operations and service reconfiguration in the South Pacific. Hawaii automobile volume decreased 13.4 percent partially due to certain customer losses.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Ocean Transportation operating income increased $36.8 million, or 39.0 percent during the year ended December 31, 2014. The increase was partially due to higher freight yields across major trade lanes, the timing of fuel surcharge collections, lower outside transportation costs, and improved results at the Company’s terminal joint venture, SSAT, partially offset by higher terminal handling expenses and higher general and administrative expenses some of which were attributable to the Company’s then-pending Horizon Acquisition. In addition, the fourth quarter 2013 was negatively impacted by a $9.95 million litigation charge. In 2014, the Company incurred $4.6 million in penalties, legal and other expenses related to the molasses released into Honolulu Harbor in September 2013 compared to $3.0 million in 2013.</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Company’s terminal joint venture, SSAT, contributed $6.6 million during the year ended December 31, 2014, compared to a $2.0 million loss in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was partially attributable to increased lift volume and the absence of transition costs related to the Oakland terminal expansion in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2015 compared with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December 31,</w:t>
            </w: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w:t>
            </w:r>
          </w:p>
        </w:tc>
        <w:tc>
          <w:tcPr>
            <w:tcW w:w="3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(426.9)</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20"/>
                <w:szCs w:val="20"/>
                <w:color w:val="auto"/>
              </w:rPr>
            </w:pPr>
          </w:p>
        </w:tc>
        <w:tc>
          <w:tcPr>
            <w:tcW w:w="1340" w:type="dxa"/>
            <w:vAlign w:val="bottom"/>
            <w:gridSpan w:val="3"/>
          </w:tcPr>
          <w:p>
            <w:pPr>
              <w:jc w:val="right"/>
              <w:ind w:right="68"/>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Logistics revenue decreased $48.9 million, or 11.2 percent, during the year ended December 31, 2015 compared to the year ended December 31, 2014. This decrease was primarily the result of lower intermodal and highway volume and lower fuel surcharge revenue, partially offset by favorable changes in business mix and increased warehouse revenue.</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Logistics operating income decreased $0.4 million during the year ended December 31, 2015 compared to the year ended December 31, 2014. The decrease was primarily due to lower intermodal and highway volume, partially offset by warehouse operating improvements and improved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20" w:type="dxa"/>
            <w:vAlign w:val="bottom"/>
            <w:vMerge w:val="continue"/>
          </w:tcPr>
          <w:p>
            <w:pPr>
              <w:spacing w:after="0"/>
              <w:rPr>
                <w:sz w:val="13"/>
                <w:szCs w:val="13"/>
                <w:color w:val="auto"/>
              </w:rPr>
            </w:pPr>
          </w:p>
        </w:tc>
        <w:tc>
          <w:tcPr>
            <w:tcW w:w="1160" w:type="dxa"/>
            <w:vAlign w:val="bottom"/>
          </w:tcPr>
          <w:p>
            <w:pPr>
              <w:jc w:val="right"/>
              <w:ind w:right="248"/>
              <w:spacing w:after="0" w:line="157" w:lineRule="exact"/>
              <w:rPr>
                <w:sz w:val="20"/>
                <w:szCs w:val="20"/>
                <w:color w:val="auto"/>
              </w:rPr>
            </w:pPr>
            <w:r>
              <w:rPr>
                <w:rFonts w:ascii="Arial" w:cs="Arial" w:eastAsia="Arial" w:hAnsi="Arial"/>
                <w:sz w:val="14"/>
                <w:szCs w:val="14"/>
                <w:b w:val="1"/>
                <w:bCs w:val="1"/>
                <w:color w:val="auto"/>
              </w:rPr>
              <w:t>2014</w:t>
            </w:r>
          </w:p>
        </w:tc>
        <w:tc>
          <w:tcPr>
            <w:tcW w:w="2280" w:type="dxa"/>
            <w:vAlign w:val="bottom"/>
          </w:tcPr>
          <w:p>
            <w:pPr>
              <w:jc w:val="right"/>
              <w:ind w:right="888"/>
              <w:spacing w:after="0" w:line="157" w:lineRule="exact"/>
              <w:rPr>
                <w:sz w:val="20"/>
                <w:szCs w:val="20"/>
                <w:color w:val="auto"/>
              </w:rPr>
            </w:pPr>
            <w:r>
              <w:rPr>
                <w:rFonts w:ascii="Arial" w:cs="Arial" w:eastAsia="Arial" w:hAnsi="Arial"/>
                <w:sz w:val="14"/>
                <w:szCs w:val="14"/>
                <w:b w:val="1"/>
                <w:bCs w:val="1"/>
                <w:color w:val="auto"/>
              </w:rPr>
              <w:t>2013</w:t>
            </w:r>
          </w:p>
        </w:tc>
        <w:tc>
          <w:tcPr>
            <w:tcW w:w="122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90" w:orient="portrait"/>
          <w:cols w:equalWidth="0" w:num="1">
            <w:col w:w="11420"/>
          </w:cols>
          <w:pgMar w:left="240" w:top="125" w:right="239" w:bottom="0" w:gutter="0" w:footer="0" w:header="0"/>
        </w:sectPr>
      </w:pPr>
    </w:p>
    <w:p>
      <w:pPr>
        <w:spacing w:after="0"/>
        <w:tabs>
          <w:tab w:leader="none" w:pos="6500" w:val="left"/>
          <w:tab w:leader="none" w:pos="7480" w:val="left"/>
          <w:tab w:leader="none" w:pos="8160" w:val="left"/>
          <w:tab w:leader="none" w:pos="9100" w:val="left"/>
          <w:tab w:leader="none" w:pos="10880" w:val="left"/>
        </w:tabs>
        <w:rPr>
          <w:sz w:val="20"/>
          <w:szCs w:val="20"/>
          <w:color w:val="auto"/>
        </w:rPr>
      </w:pPr>
      <w:r>
        <w:rPr>
          <w:rFonts w:ascii="Arial" w:cs="Arial" w:eastAsia="Arial" w:hAnsi="Arial"/>
          <w:sz w:val="18"/>
          <w:szCs w:val="18"/>
          <w:color w:val="auto"/>
        </w:rPr>
        <w:t>Intermodal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243.5</w:t>
        <w:tab/>
        <w:t>$</w:t>
      </w:r>
      <w:r>
        <w:rPr>
          <w:sz w:val="20"/>
          <w:szCs w:val="20"/>
          <w:color w:val="auto"/>
        </w:rPr>
        <w:tab/>
      </w:r>
      <w:r>
        <w:rPr>
          <w:rFonts w:ascii="Arial" w:cs="Arial" w:eastAsia="Arial" w:hAnsi="Arial"/>
          <w:sz w:val="18"/>
          <w:szCs w:val="18"/>
          <w:color w:val="auto"/>
        </w:rPr>
        <w:t>244.2</w:t>
      </w:r>
      <w:r>
        <w:rPr>
          <w:sz w:val="20"/>
          <w:szCs w:val="20"/>
          <w:color w:val="auto"/>
        </w:rPr>
        <w:tab/>
      </w:r>
      <w:r>
        <w:rPr>
          <w:rFonts w:ascii="Arial" w:cs="Arial" w:eastAsia="Arial" w:hAnsi="Arial"/>
          <w:sz w:val="16"/>
          <w:szCs w:val="16"/>
          <w:color w:val="auto"/>
        </w:rPr>
        <w:t>(0.3)%</w:t>
      </w:r>
    </w:p>
    <w:p>
      <w:pPr>
        <w:sectPr>
          <w:pgSz w:w="11900" w:h="16890" w:orient="portrait"/>
          <w:cols w:equalWidth="0" w:num="1">
            <w:col w:w="11420"/>
          </w:cols>
          <w:pgMar w:left="240" w:top="125" w:right="239" w:bottom="0" w:gutter="0" w:footer="0" w:header="0"/>
          <w:type w:val="continuous"/>
        </w:sectPr>
      </w:pPr>
    </w:p>
    <w:bookmarkStart w:id="20" w:name="page21"/>
    <w:bookmarkEnd w:id="2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Highway revenue</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(426.9)</w:t>
            </w:r>
          </w:p>
        </w:tc>
        <w:tc>
          <w:tcPr>
            <w:tcW w:w="4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(401.8)</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5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Logistics revenue increased $28.0 million, or 6.9 percent, during the year ended December 31, 2014 compared to 2013. This increase was partially due to higher highway and international intermodal volume, partially offset by lower domestic intermodal volume.</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Logistics operating income increased $2.9 million during the year ended December 31, 2014 compared to 2013. The increase was partially due to increased highway yield and volume, warehouse operating improvements, and a favorable litigation settlement, partially offset by lower intermodal yield.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liquidity is cash flows generated by the Company’s operations. Changes in the cash and cash equivalents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w w:val="95"/>
              </w:rPr>
              <w:t>As of December 31,</w:t>
            </w: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Information (in millions)</w:t>
            </w:r>
          </w:p>
        </w:tc>
        <w:tc>
          <w:tcPr>
            <w:tcW w:w="2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5"/>
          </w:tcPr>
          <w:p>
            <w:pPr>
              <w:jc w:val="right"/>
              <w:ind w:right="6"/>
              <w:spacing w:after="0" w:line="142" w:lineRule="exact"/>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2015-2014</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165.7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3"/>
          </w:tcPr>
          <w:p>
            <w:pPr>
              <w:spacing w:after="0"/>
              <w:rPr>
                <w:sz w:val="20"/>
                <w:szCs w:val="20"/>
                <w:color w:val="auto"/>
              </w:rPr>
            </w:pPr>
            <w:r>
              <w:rPr>
                <w:rFonts w:ascii="Arial" w:cs="Arial" w:eastAsia="Arial" w:hAnsi="Arial"/>
                <w:sz w:val="18"/>
                <w:szCs w:val="18"/>
                <w:color w:val="auto"/>
              </w:rPr>
              <w:t>Net (decrease) increase in cash and cash equivalents</w:t>
            </w: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4"/>
              </w:rPr>
              <w:t>178.9</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3"/>
          </w:tcPr>
          <w:p>
            <w:pPr>
              <w:spacing w:after="0"/>
              <w:rPr>
                <w:sz w:val="20"/>
                <w:szCs w:val="20"/>
                <w:color w:val="auto"/>
              </w:rPr>
            </w:pPr>
            <w:r>
              <w:rPr>
                <w:rFonts w:ascii="Arial" w:cs="Arial" w:eastAsia="Arial" w:hAnsi="Arial"/>
                <w:sz w:val="18"/>
                <w:szCs w:val="18"/>
                <w:color w:val="auto"/>
              </w:rPr>
              <w:t>Cash and cash equivalents, end of the period</w:t>
            </w: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4"/>
              </w:rPr>
              <w:t>293.4</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w w:val="93"/>
              </w:rPr>
              <w:t>2015 to 2014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2014 to 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Increase in net income from operations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w w:val="89"/>
              </w:rPr>
              <w:t>Increase (decrease) from adjustments for non-cash related charges, net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from related party Terminal Joint Venture</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Change in accounts receivable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prepaid expenses and other assets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Change in accounts payable and accrued liabilities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dry-docking payments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Change in other liabilities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-2282825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-2282825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Changes in accounts receivable, prepaid expenses and other assets, and accounts payable and accrued liabilities in 2015 compared to 2014 are partially due to the impact of the Horizon Acquisition and Alaska service activities, and also related to the timing of collections and payments. Increase in deferred dry-docking payments in 2015 compared to 2014 was partially due to the dry docking of additional vessels acquired as part of the Horizon Acquisition.</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Net decrease in income from operations in 2014 compared to 2013 resulted from non-cash adjustments related charges is partially due to a decrease in deferred income taxes of $54.8 million as a result of decreased cash contributions into the CCF (see Note 7 to the consolidated financial statements in Item 8 of Part II below for additional information on the CCF). Changes in account receivables in 2014 compared to 2013 are as a result of increased operating revenues in 2014. Prepaid expenses and other assets decreased due to lower prepaid fuel and a reduction in income tax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 to 2014</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 to 2013</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capital expenditures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Increase in cash deposits into CCF</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withdrawals from CCF</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Payments for Horizon Acquisition and other acquisitions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proceeds from disposal of property and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Capital expenditures increased from $27.9 million in 2014 to $67.8 million in 2015. The increase was partially due to the installation of new scrubbers on one vessel acquired as part of the Horizon Acquisition, progress payments related to the construction of two new vessels, and increased capital expenditures on other vessels. In 2015, the Company increased its cash deposits into the CCF due to expected future qualified withdrawals to be made from the CCF as a result of the Horizon Acquisition and new vessel progress payments. The increase in cash withdrawals from the CCF related to vessels acquired as part of the Horizon Acquisition that were processed through the CCF for income tax purposes as qualifying withdrawals (see Note 7 to the consolidated financial statements in Item 8 of Part II below for additional information on the CCF). In 2015, the Company paid $29.0 million in cash, net of cash received to acquire the common stock of Horizon (see Note 3 to the consolidated financial statements in Item 8 of Part II below).</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Capital expenditures decreased from $35.2 million in 2013 to $27.9 million in 2014. The decrease was primarily due to the timing of vessel related capital expenditures. There were no acquisition related payments in 2014, as compared to payments of $9.3 million paid in 2013.</w:t>
      </w:r>
    </w:p>
    <w:p>
      <w:pPr>
        <w:sectPr>
          <w:pgSz w:w="11900" w:h="16864" w:orient="portrait"/>
          <w:cols w:equalWidth="0" w:num="1">
            <w:col w:w="11460"/>
          </w:cols>
          <w:pgMar w:left="240" w:top="125" w:right="199" w:bottom="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ectPr>
          <w:pgSz w:w="11900" w:h="16864" w:orient="portrait"/>
          <w:cols w:equalWidth="0" w:num="1">
            <w:col w:w="11460"/>
          </w:cols>
          <w:pgMar w:left="240" w:top="125" w:right="199" w:bottom="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 to 2014</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 to 2013</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Payments of Horizon debt and redemption of warrants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(Decrease) increase in proceeds received from issuance of debt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repayments of debt and capital leases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payments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(Decrease) increase in proceeds received from issuance of capital stock</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other payments,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2015, the Company repaid all of Horizon’s outstanding debt and redeemed the warrants related to the Horizon Acquisition (see Note 3 to the consolidated financial statements in Item 8 of Part II below). In 2015, the Company received $75.0 million of proceeds from the issuance of notes, compared to $100.0 million received in 2014. Repayment of debt and capital leases increased in 2015 as a result of increased borrowings and the timing of debt repayments. In 2015, the Company paid $4.9 million in share repurchases. There was no share repurchases in 2014 or 2013.</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cash provided by financing activities increased from $(61.1) million in 2013 to $63.7 million in 2014 partially due to the issuance of $100 million of 30-year senior unsecured notes in 2014 compared to $21.0 million in 2013, and the reduction of debt and capital lease repayments in 2014 compared to 2013. The change in borrowings under the revolver credit facility was partially due to reduced repayments of credit facility borrowings.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are the Company’s primary source of liquidity. Additional sources of liquidity available to the Company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Sources of Liquidity (in millions)</w:t>
            </w:r>
          </w:p>
        </w:tc>
        <w:tc>
          <w:tcPr>
            <w:tcW w:w="3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Accounts receivable, net (2)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214.3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Fund deposits (3)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7" w:lineRule="auto"/>
        <w:tabs>
          <w:tab w:leader="none" w:pos="338"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decrease in cash and cash equivalents was due partially due to the Horizon Acquisition related payments of $495.4 million (see Note 3 to the consolidated financial statements in Item 8 of Part II below for additional information related to the Horizon Acquisition), partially offset by net proceeds from debt of $75.0 million.</w:t>
      </w:r>
    </w:p>
    <w:p>
      <w:pPr>
        <w:spacing w:after="0" w:line="109" w:lineRule="exact"/>
        <w:rPr>
          <w:rFonts w:ascii="Arial" w:cs="Arial" w:eastAsia="Arial" w:hAnsi="Arial"/>
          <w:sz w:val="13"/>
          <w:szCs w:val="13"/>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increase in accounts receivable was partially due to account receivables related to the Alaska service that was acquired in 2015 as part of the Horizon Acquisition, and increased revenue during 2015.</w:t>
      </w:r>
    </w:p>
    <w:p>
      <w:pPr>
        <w:spacing w:after="0" w:line="132" w:lineRule="exact"/>
        <w:rPr>
          <w:rFonts w:ascii="Arial" w:cs="Arial" w:eastAsia="Arial" w:hAnsi="Arial"/>
          <w:sz w:val="12"/>
          <w:szCs w:val="12"/>
          <w:color w:val="auto"/>
        </w:rPr>
      </w:pPr>
    </w:p>
    <w:p>
      <w:pPr>
        <w:ind w:left="340" w:right="100" w:hanging="332"/>
        <w:spacing w:after="0" w:line="237" w:lineRule="auto"/>
        <w:tabs>
          <w:tab w:leader="none" w:pos="338"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decrease in cash on deposit in the CCF deposits relates to progress payments made for the Jones Act vessels acquired as part of the Horizon Acquisition (see Note 7 to the consolidated financial statements in Item 8 of Part II below for additional information on the CCF).</w:t>
      </w:r>
    </w:p>
    <w:p>
      <w:pPr>
        <w:spacing w:after="0" w:line="1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had working capital of $(19.7) million at December 31, 2015, compared to $296.0 million at December 31, 2014. As of December 31, 2015, the Company had $389.0 million of availability under the revolving credit facility (see Note 8 to the consolidated financial statements in Item 8 of Part II below for additional information about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the Company had the following estimated contractual obligations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8"/>
              </w:rPr>
              <w:t>2017 - 2018</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2019 - 2020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 obligations (1)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Total debt obligations (2)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Estimated interest on debt (3)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Purchase obligations (4)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Qualified defined benefit pension obligations (5)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Non-qualified pension obligations (6)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obligations (7)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Multi-employer withdrawal liability (8)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Capital expenditure obligations includes: (i) contractual project payments related to the construction of two new vessels; (ii) installation of scrubbers on two vessels; and (iii) other dry-docking related obligations.</w:t>
      </w:r>
    </w:p>
    <w:p>
      <w:pPr>
        <w:spacing w:after="0" w:line="143" w:lineRule="exact"/>
        <w:rPr>
          <w:rFonts w:ascii="Arial" w:cs="Arial" w:eastAsia="Arial" w:hAnsi="Arial"/>
          <w:sz w:val="11"/>
          <w:szCs w:val="11"/>
          <w:color w:val="auto"/>
        </w:rPr>
      </w:pPr>
    </w:p>
    <w:p>
      <w:pPr>
        <w:ind w:left="340" w:right="120" w:hanging="332"/>
        <w:spacing w:after="0" w:line="237" w:lineRule="auto"/>
        <w:tabs>
          <w:tab w:leader="none" w:pos="338" w:val="left"/>
        </w:tabs>
        <w:numPr>
          <w:ilvl w:val="0"/>
          <w:numId w:val="23"/>
        </w:numPr>
        <w:rPr>
          <w:rFonts w:ascii="Arial" w:cs="Arial" w:eastAsia="Arial" w:hAnsi="Arial"/>
          <w:sz w:val="13"/>
          <w:szCs w:val="13"/>
          <w:color w:val="auto"/>
        </w:rPr>
      </w:pPr>
      <w:r>
        <w:rPr>
          <w:rFonts w:ascii="Arial" w:cs="Arial" w:eastAsia="Arial" w:hAnsi="Arial"/>
          <w:sz w:val="13"/>
          <w:szCs w:val="13"/>
          <w:color w:val="auto"/>
        </w:rPr>
        <w:t>Total debt obligations include principal repayments of outstanding debt and capital leases (see Note 8 to the consolidated financial statements in Item 8 of Part II below for additional information about debt). All of the Company’s outstanding debt is at fixed rate.</w:t>
      </w:r>
    </w:p>
    <w:p>
      <w:pPr>
        <w:spacing w:after="0" w:line="109" w:lineRule="exact"/>
        <w:rPr>
          <w:rFonts w:ascii="Arial" w:cs="Arial" w:eastAsia="Arial" w:hAnsi="Arial"/>
          <w:sz w:val="13"/>
          <w:szCs w:val="13"/>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Estimated cash payments for interest on debt is determined based on the stated interest rate for fixed debt.</w:t>
      </w:r>
    </w:p>
    <w:p>
      <w:pPr>
        <w:sectPr>
          <w:pgSz w:w="11900" w:h="16838" w:orient="portrait"/>
          <w:cols w:equalWidth="0" w:num="1">
            <w:col w:w="11420"/>
          </w:cols>
          <w:pgMar w:left="240" w:top="517" w:right="239" w:bottom="0" w:gutter="0" w:footer="0" w:header="0"/>
        </w:sectPr>
      </w:pPr>
    </w:p>
    <w:bookmarkStart w:id="22" w:name="page23"/>
    <w:bookmarkEnd w:id="22"/>
    <w:p>
      <w:pPr>
        <w:ind w:left="340" w:right="40" w:hanging="332"/>
        <w:spacing w:after="0" w:line="230" w:lineRule="auto"/>
        <w:tabs>
          <w:tab w:leader="none" w:pos="3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Purchase obligations include only non-cancellable contractual obligations for the purchases of goods and services. Arrangements are considered purchase obligations if a contract specifies all significant terms, including fixed or minimum quantities to be purchased, a pricing structure and approximate timing of the transaction. Any amounts reflected on the consolidated balance sheets as accounts payable and accrued liabilities are excluded from the table above.</w:t>
      </w:r>
    </w:p>
    <w:p>
      <w:pPr>
        <w:spacing w:after="0" w:line="110" w:lineRule="exact"/>
        <w:rPr>
          <w:rFonts w:ascii="Arial" w:cs="Arial" w:eastAsia="Arial" w:hAnsi="Arial"/>
          <w:sz w:val="13"/>
          <w:szCs w:val="13"/>
          <w:color w:val="auto"/>
        </w:rPr>
      </w:pPr>
    </w:p>
    <w:p>
      <w:pPr>
        <w:ind w:left="340" w:right="380" w:hanging="332"/>
        <w:spacing w:after="0" w:line="273" w:lineRule="auto"/>
        <w:tabs>
          <w:tab w:leader="none" w:pos="338" w:val="left"/>
        </w:tabs>
        <w:numPr>
          <w:ilvl w:val="0"/>
          <w:numId w:val="24"/>
        </w:numPr>
        <w:rPr>
          <w:rFonts w:ascii="Arial" w:cs="Arial" w:eastAsia="Arial" w:hAnsi="Arial"/>
          <w:sz w:val="12"/>
          <w:szCs w:val="12"/>
          <w:color w:val="auto"/>
        </w:rPr>
      </w:pPr>
      <w:r>
        <w:rPr>
          <w:rFonts w:ascii="Arial" w:cs="Arial" w:eastAsia="Arial" w:hAnsi="Arial"/>
          <w:sz w:val="12"/>
          <w:szCs w:val="12"/>
          <w:color w:val="auto"/>
        </w:rPr>
        <w:t>Qualified defined benefit pension benefit obligations include estimated payments for the next ten years. The $70.5 million noted in the column labeled “Thereafter” comprises estimated benefit payments for 2021 through 2025 (see Note 11 to the consolidated financial statements in Item 8 of Part II below, for additional information about the Company’s qualified defined benefit pension plans).</w:t>
      </w:r>
    </w:p>
    <w:p>
      <w:pPr>
        <w:spacing w:after="0" w:line="91" w:lineRule="exact"/>
        <w:rPr>
          <w:rFonts w:ascii="Arial" w:cs="Arial" w:eastAsia="Arial" w:hAnsi="Arial"/>
          <w:sz w:val="12"/>
          <w:szCs w:val="12"/>
          <w:color w:val="auto"/>
        </w:rPr>
      </w:pPr>
    </w:p>
    <w:p>
      <w:pPr>
        <w:jc w:val="both"/>
        <w:ind w:left="340" w:right="40" w:hanging="332"/>
        <w:spacing w:after="0" w:line="320" w:lineRule="auto"/>
        <w:tabs>
          <w:tab w:leader="none" w:pos="338" w:val="left"/>
        </w:tabs>
        <w:numPr>
          <w:ilvl w:val="0"/>
          <w:numId w:val="24"/>
        </w:numPr>
        <w:rPr>
          <w:rFonts w:ascii="Arial" w:cs="Arial" w:eastAsia="Arial" w:hAnsi="Arial"/>
          <w:sz w:val="11"/>
          <w:szCs w:val="11"/>
          <w:color w:val="auto"/>
        </w:rPr>
      </w:pPr>
      <w:r>
        <w:rPr>
          <w:rFonts w:ascii="Arial" w:cs="Arial" w:eastAsia="Arial" w:hAnsi="Arial"/>
          <w:sz w:val="11"/>
          <w:szCs w:val="11"/>
          <w:color w:val="auto"/>
        </w:rPr>
        <w:t>Non-qualified pension obligations include estimated payments to executives and directors under the Company’s four non-qualified plans for the next ten years. The $2.0 million noted in the column labeled “Thereafter” comprises estimated benefit payments for 2021 through 2025 (see Note 11 to the consolidated financial statements in Item 8 of Part II below, for additional information about the Company’s non-qualified pension plans).</w:t>
      </w:r>
    </w:p>
    <w:p>
      <w:pPr>
        <w:spacing w:after="0" w:line="67" w:lineRule="exact"/>
        <w:rPr>
          <w:rFonts w:ascii="Arial" w:cs="Arial" w:eastAsia="Arial" w:hAnsi="Arial"/>
          <w:sz w:val="11"/>
          <w:szCs w:val="11"/>
          <w:color w:val="auto"/>
        </w:rPr>
      </w:pPr>
    </w:p>
    <w:p>
      <w:pPr>
        <w:jc w:val="both"/>
        <w:ind w:left="340" w:right="20" w:hanging="332"/>
        <w:spacing w:after="0" w:line="230" w:lineRule="auto"/>
        <w:tabs>
          <w:tab w:leader="none" w:pos="3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Post-retirement benefit obligations include estimated payments to medical service providers in connection with providing benefits to the Company’s employees and retirees for the next ten years. The $15.9 million noted in the column labeled “Thereafter” comprises estimated post-retirement benefit payments for 2021 through 2025 (see Note 11 to the consolidated financial statements in Item 8 of Part II below, for additional information about the Company’s post-retirement benefit obligations).</w:t>
      </w:r>
    </w:p>
    <w:p>
      <w:pPr>
        <w:spacing w:after="0" w:line="110" w:lineRule="exact"/>
        <w:rPr>
          <w:rFonts w:ascii="Arial" w:cs="Arial" w:eastAsia="Arial" w:hAnsi="Arial"/>
          <w:sz w:val="13"/>
          <w:szCs w:val="13"/>
          <w:color w:val="auto"/>
        </w:rPr>
      </w:pPr>
    </w:p>
    <w:p>
      <w:pPr>
        <w:ind w:left="340" w:right="100" w:hanging="332"/>
        <w:spacing w:after="0" w:line="237" w:lineRule="auto"/>
        <w:tabs>
          <w:tab w:leader="none" w:pos="3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Multi-employer withdrawal liability relates to mass withdrawal from the multi-employer ILA-PRSSA (see Note 12 to the consolidated financial statements in Item 8 of Part II below, for additional information about the Company’s multi-employer withdrawal liability).</w:t>
      </w:r>
    </w:p>
    <w:p>
      <w:pPr>
        <w:spacing w:after="0" w:line="109" w:lineRule="exact"/>
        <w:rPr>
          <w:rFonts w:ascii="Arial" w:cs="Arial" w:eastAsia="Arial" w:hAnsi="Arial"/>
          <w:sz w:val="13"/>
          <w:szCs w:val="13"/>
          <w:color w:val="auto"/>
        </w:rPr>
      </w:pPr>
    </w:p>
    <w:p>
      <w:pPr>
        <w:ind w:left="340" w:right="140" w:hanging="332"/>
        <w:spacing w:after="0" w:line="237" w:lineRule="auto"/>
        <w:tabs>
          <w:tab w:leader="none" w:pos="3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Operating lease obligations include principally land, office and terminal facilities, containers and equipment under non-cancellable, long-term lease arrangements that do not transfer the rights and risks of ownership to the Company (see Note 9 to the consolidated financial statements in Item 8 of Part II below, for additional information about the Company’s leases).</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Estimated timing and amount of payments related to uncertain tax position liabilities of $22.1 million as of December 31, 2015, are excluded from the table due to the uncertainty of such timing and payments,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Capital Spending and Vessel Dry-docking: </w:t>
      </w:r>
      <w:r>
        <w:rPr>
          <w:rFonts w:ascii="Arial" w:cs="Arial" w:eastAsia="Arial" w:hAnsi="Arial"/>
          <w:sz w:val="18"/>
          <w:szCs w:val="18"/>
          <w:color w:val="auto"/>
        </w:rPr>
        <w:t>For the full year 2016, the Company expects to make maintenance capital expenditures of approximately $65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deferred dry-docking payments of approximately $60 million.</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description of commitments and contingencies (including benefit plan withdrawal obligations for multi-employer pension plans in which the Company is a participant) is set forth in Note 14 to the consolidated financial statements in Item 8 of Part II below, and is incorporated herein by reference.</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is not party to any off-balance sheet arrangements that have, or are reasonably likely to have, a current or future effect on the Company’s financial condition, results in operations or cash flows that are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Matson’s Board of Directors also declared a cash dividend of $0.18 per share for the first quarter 2016, payable on March 3, 2016 to shareholders of record on February 11,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The preparation of consolidated financial statements in conformity with accounting principles generally accepted in the United States of America, upon which the MD&amp;A is based, requires that management exercise judgment when making estimates and assumptions about future events that may affect the amounts reported in the consolidated financial statements and accompanying notes. Future events and their effects cannot be determined with certainty and actual results will, inevitably, differ from those critical accounting estimates. These differences could be material.</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assumptions or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acquired businesses when it obtains control of the business using the acquisition method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Assets acquired and liabilities assumed are recorded based upon the estimated fair value as of the acquisition date. Estimated fair values are generally determined using a market-based income approach which determines the estimated price that would be paid by a third party market participant based upon the highest and best use of the assets acquired or liabilities assumed. The determination of the fair value of assets acquired and liabilities assumed requires significant judgment and estimates. In making such judgements and estimates, the Company utilizes inputs from various independent third-party valuation specialists, industry experts and other sources. Any excess of the purchase price over the estimated fair values of the net assets acquired and liabilities assumed is recorded as goodwill. Acquisition-related expenses and related restructuring costs are expensed as incurred. During 2015, the Company acquired the business of Horizon. A detailed discussion of the Company’s Horizon Acquisition is contained in Note 3, “</w:t>
      </w:r>
      <w:r>
        <w:rPr>
          <w:rFonts w:ascii="Arial" w:cs="Arial" w:eastAsia="Arial" w:hAnsi="Arial"/>
          <w:sz w:val="17"/>
          <w:szCs w:val="17"/>
          <w:i w:val="1"/>
          <w:iCs w:val="1"/>
          <w:color w:val="auto"/>
        </w:rPr>
        <w:t>Business Combination</w:t>
      </w:r>
      <w:r>
        <w:rPr>
          <w:rFonts w:ascii="Arial" w:cs="Arial" w:eastAsia="Arial" w:hAnsi="Arial"/>
          <w:sz w:val="17"/>
          <w:szCs w:val="17"/>
          <w:color w:val="auto"/>
        </w:rPr>
        <w:t>” to the consolidated financial statements included in Item 8 of Part II below.</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Impairment of Terminal Joint Venture Investments: </w:t>
      </w:r>
      <w:r>
        <w:rPr>
          <w:rFonts w:ascii="Arial" w:cs="Arial" w:eastAsia="Arial" w:hAnsi="Arial"/>
          <w:sz w:val="16"/>
          <w:szCs w:val="16"/>
          <w:color w:val="auto"/>
        </w:rPr>
        <w:t>The Company’s investment in its Terminal Joint Venture, a related party, is reviewed for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annually and whenever there is evidence that 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and accordingly, may require valuation adjustments to the Company’s investment that may materially impact the Company’s financial condition or its future operating results.</w:t>
      </w:r>
    </w:p>
    <w:p>
      <w:pPr>
        <w:sectPr>
          <w:pgSz w:w="11900" w:h="16838" w:orient="portrait"/>
          <w:cols w:equalWidth="0" w:num="1">
            <w:col w:w="11420"/>
          </w:cols>
          <w:pgMar w:left="240" w:top="125" w:right="239" w:bottom="74" w:gutter="0" w:footer="0" w:header="0"/>
        </w:sectPr>
      </w:pPr>
    </w:p>
    <w:bookmarkStart w:id="23" w:name="page24"/>
    <w:bookmarkEnd w:id="23"/>
    <w:p>
      <w:pPr>
        <w:ind w:right="620"/>
        <w:spacing w:after="0" w:line="277" w:lineRule="auto"/>
        <w:rPr>
          <w:sz w:val="20"/>
          <w:szCs w:val="20"/>
          <w:color w:val="auto"/>
        </w:rPr>
      </w:pPr>
      <w:r>
        <w:rPr>
          <w:rFonts w:ascii="Arial" w:cs="Arial" w:eastAsia="Arial" w:hAnsi="Arial"/>
          <w:sz w:val="18"/>
          <w:szCs w:val="18"/>
          <w:color w:val="auto"/>
        </w:rPr>
        <w:t>The Company has evaluated its investment in its Terminal Joint Venture for impairment and no impairment charges were recorded for the years ended December 31, 2015, 2014, and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Impairment of Long-Lived Assets, Finite-Lived Intangible Assets and Goodwill: </w:t>
      </w:r>
      <w:r>
        <w:rPr>
          <w:rFonts w:ascii="Arial" w:cs="Arial" w:eastAsia="Arial" w:hAnsi="Arial"/>
          <w:sz w:val="18"/>
          <w:szCs w:val="18"/>
          <w:color w:val="auto"/>
        </w:rPr>
        <w:t>The Company evaluates its long-lived assets, including finite-lived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for possible impairment in the fourth quarter, or whenever events or changes in circumstances indicate that it is more likely than not that the fair value is less than its carrying amount. During 2015, the Company changed the measurement date of its annual impairment tests from November 30 to October 1. The change was applied prospectively and did not have any impact on the Company’s impairment tests for the year. The change was made to better align the date of the impairment analysis with the preparation of the Company’s financial quarterly cash flow model. The change, if applied retrospective, would not have had any impact on the Company’s impairment analysis for prior periods presented. The Company’s long-lived assets, including finite-lived intangible assets are grouped at the Ocean Transportation and Logistics asset group level, which represents the lowest level for which identifiable cash flows are available.</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In evaluating impairment, the estimated future undiscounted cash flows generated by each of these asset groups is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9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year ended December 31, 2015, the Company recorded an impairment charge of $2.1 million related to the write-down of inactive vessels to be recycled from its recorded net book value to its estimated fair value of zero. The impairment expense is included in operating costs in the Consolidated Statements of Income and Comprehensive Income. No impairment charges were recorded for the years ended December 31, 2014, and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Matson’s vessels included in property and equipment as of December 31, 2015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color w:val="auto"/>
              </w:rPr>
              <w:t>Vessel Name (2)</w:t>
            </w:r>
          </w:p>
        </w:tc>
        <w:tc>
          <w:tcPr>
            <w:tcW w:w="360" w:type="dxa"/>
            <w:vAlign w:val="bottom"/>
          </w:tcPr>
          <w:p>
            <w:pPr>
              <w:spacing w:after="0"/>
              <w:rPr>
                <w:sz w:val="14"/>
                <w:szCs w:val="14"/>
                <w:color w:val="auto"/>
              </w:rPr>
            </w:pPr>
          </w:p>
        </w:tc>
        <w:tc>
          <w:tcPr>
            <w:tcW w:w="2400" w:type="dxa"/>
            <w:vAlign w:val="bottom"/>
          </w:tcPr>
          <w:p>
            <w:pPr>
              <w:ind w:left="760"/>
              <w:spacing w:after="0"/>
              <w:rPr>
                <w:sz w:val="20"/>
                <w:szCs w:val="20"/>
                <w:color w:val="auto"/>
              </w:rPr>
            </w:pPr>
            <w:r>
              <w:rPr>
                <w:rFonts w:ascii="Arial" w:cs="Arial" w:eastAsia="Arial" w:hAnsi="Arial"/>
                <w:sz w:val="14"/>
                <w:szCs w:val="14"/>
                <w:b w:val="1"/>
                <w:bCs w:val="1"/>
                <w:color w:val="auto"/>
              </w:rPr>
              <w:t>Purchase Date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Book Value</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MAUNALEI</w:t>
            </w:r>
          </w:p>
        </w:tc>
        <w:tc>
          <w:tcPr>
            <w:tcW w:w="3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MANULANI</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June 2005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MAUNAWILI</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2004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MANUKAI</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September 2003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R.J. PFEIFFER</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1992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HORIZON TACOMA (1)</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MATSON KODIAK (1)</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HORIZON ANCHORAGE (1)</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MOKIHANA</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1996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MANOA</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January 1996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MAHIMAHI</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1996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KAUAI</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September 1980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HORIZON CONSUMER (1)</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MAUI</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June 1978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WAIALEALE</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1991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OLOMANA</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January 2013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MATSONIA</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1987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LIHUE</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January 1996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MAUNA KEA</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1988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HALEAKALA</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December 1984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MAUNA LOA</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1984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MATSON NAVIGATOR (1)</w:t>
            </w: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MATSON PRODUCER (1)</w:t>
            </w: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 Vessels acquired as part of the Horizon Acquisition, recorded at fair value on May 29, 2015.</w:t>
      </w:r>
    </w:p>
    <w:p>
      <w:pPr>
        <w:spacing w:after="0"/>
        <w:rPr>
          <w:sz w:val="20"/>
          <w:szCs w:val="20"/>
          <w:color w:val="auto"/>
        </w:rPr>
      </w:pPr>
      <w:r>
        <w:rPr>
          <w:rFonts w:ascii="Arial" w:cs="Arial" w:eastAsia="Arial" w:hAnsi="Arial"/>
          <w:sz w:val="13"/>
          <w:szCs w:val="13"/>
          <w:color w:val="auto"/>
        </w:rPr>
        <w:t>(2) Excludes inactive vessels to be recycled, with no net book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Finite-Lived Intangible Assets and Goodwill: </w:t>
      </w:r>
      <w:r>
        <w:rPr>
          <w:rFonts w:ascii="Arial" w:cs="Arial" w:eastAsia="Arial" w:hAnsi="Arial"/>
          <w:sz w:val="16"/>
          <w:szCs w:val="16"/>
          <w:color w:val="auto"/>
        </w:rPr>
        <w:t>The Company’s intangible assets include goodwill and customer relationships. In estimating the fair value of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the Company uses a combination of a discounted cash flow model and fair value based on market multiples of earnings before interest, taxes, depreciation and amortization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w:t>
      </w:r>
    </w:p>
    <w:p>
      <w:pPr>
        <w:sectPr>
          <w:pgSz w:w="11900" w:h="16838" w:orient="portrait"/>
          <w:cols w:equalWidth="0" w:num="1">
            <w:col w:w="11420"/>
          </w:cols>
          <w:pgMar w:left="240" w:top="125" w:right="239" w:bottom="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color w:val="auto"/>
        </w:rPr>
        <w:t>economic trends, and those driven by internal factors, such as changes in the Company’s business strategy and its internal forecasts, could have a material effect on the Company’s financial condition or its future operating results.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has evaluated its goodwill and intangible assets for impairment and determined that the fair value of each reporting unit substantially exceeds book value. No impairment charges were recorded for the years ended December 31, 2015, 2014 and 2013, respectively.</w:t>
      </w:r>
    </w:p>
    <w:p>
      <w:pPr>
        <w:spacing w:after="0" w:line="143"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Deferred Dry-docking Costs: </w:t>
      </w:r>
      <w:r>
        <w:rPr>
          <w:rFonts w:ascii="Arial" w:cs="Arial" w:eastAsia="Arial" w:hAnsi="Arial"/>
          <w:sz w:val="16"/>
          <w:szCs w:val="16"/>
          <w:color w:val="auto"/>
        </w:rPr>
        <w:t>The Company’s U.S. flagged vessels must meet specified seaworthiness standards established by U.S. Coast Guard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Classification society requirements. These standards require that the Company’s vessels undergo two dry-docking inspections within a five-year period. However, the majority of the Company’s U.S. flagged vessels are enrolled in the U.S. Coast Guard’s Underwater Survey in Lieu of Dry-docking (“UWILD”) program. The UWILD program allows eligible vessels to have their intermediate dry-docking requirement met with far less costly underwater inspection.</w:t>
      </w:r>
    </w:p>
    <w:p>
      <w:pPr>
        <w:spacing w:after="0" w:line="155"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color w:val="auto"/>
        </w:rPr>
        <w:t>The Company operates four non-U.S. flag vessels (one owned; one under a bareboat charter arrangement; and the remaining two on time charter) in the Pacific Islands. The Company is responsible for ensuring that the owned and bareboat chartered vessels meet international standards for seaworthiness, which among other requirements generally mandate that the Company perform two dry-docking inspections every five years. The dry-dockings of the Company’s time chartered vessels are the responsibility of the vessels’ owners.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costs associated with dry-docking inspections provide future economic benefits to the Company through continued operation of the vessels, the costs are deferred and amortized until the next regulated scheduled dry-docking, which is usually over a two to five-year period. Routine vessel maintenance and repairs that do not improve or extend asset lives are charged to expense as incurred. Amortized amounts are charged to operating expenses of the Ocean Transportation segment in the Consolidated Statements of Income and Comprehensive Income.</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Legal Contingencies: </w:t>
      </w:r>
      <w:r>
        <w:rPr>
          <w:rFonts w:ascii="Arial" w:cs="Arial" w:eastAsia="Arial" w:hAnsi="Arial"/>
          <w:sz w:val="16"/>
          <w:szCs w:val="16"/>
          <w:color w:val="auto"/>
        </w:rPr>
        <w:t>The Company’s results of operations could be affected by significant litigation adverse to the Company,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claims, antitrust claims, claims related to coastwise trading matters, lawsuits involving private plaintiffs or government agencies, and environment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A detailed discussion of significant litigation matters is contained in Note 14 to the consolidated financial statements included in Item 8 of Part II below.</w:t>
      </w:r>
    </w:p>
    <w:p>
      <w:pPr>
        <w:spacing w:after="0" w:line="2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Uninsured Liabilities: </w:t>
      </w:r>
      <w:r>
        <w:rPr>
          <w:rFonts w:ascii="Arial" w:cs="Arial" w:eastAsia="Arial" w:hAnsi="Arial"/>
          <w:sz w:val="17"/>
          <w:szCs w:val="17"/>
          <w:color w:val="auto"/>
        </w:rPr>
        <w:t>The Company is uninsured for certain losses including, but not limited to, employee health, workers’ compensation, general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real and personal property. Where feasible, the Company obtains third-party excess insurance coverage to limit its exposure to these claims. When estimating its uninsured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liabilities. The Company’s uninsured liabilities contain uncertainties because management is required to apply judgment and make long-term assumptions to estimate the ultimate cost to settle reported claims and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Pension and Post-Retirement Estimates: </w:t>
      </w:r>
      <w:r>
        <w:rPr>
          <w:rFonts w:ascii="Arial" w:cs="Arial" w:eastAsia="Arial" w:hAnsi="Arial"/>
          <w:sz w:val="17"/>
          <w:szCs w:val="17"/>
          <w:color w:val="auto"/>
        </w:rPr>
        <w:t>The estimation of the Company’s pension and post-retirement benefit expenses and liabilities requires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Additionally, these unamortized gains and losses are amortized and reclassified to income (loss) over future periods.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information about the Company’s benefit plans and assumptions used is included in Note 11 to the consolidated financial statements in Item 8 of Part II below.</w:t>
      </w:r>
    </w:p>
    <w:p>
      <w:pPr>
        <w:spacing w:after="0" w:line="16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makes certain estimates and judgments in determining income tax expense for consolidated financial statement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Significant changes to these estimates may result in an increase or decrease to the Company’s tax provision in a subsequent period.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Related to the Horizon Acquisition (See Note 3 to the consolidated financial statements in Item 8 of Part II below), the Company recorded a valuation allowance of $6.9 million against the portions of Horizon’s State net operating loss deferred tax assets that the Company determined may not be realized in future periods. The Company recorded a valuation allowance against deferred tax assets related to accumulated operating losses of a foreign subsidiary of $6.4 million at December 31, 2015, that the Company determined may not be realized in future periods.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ectPr>
          <w:pgSz w:w="11900" w:h="16838" w:orient="portrait"/>
          <w:cols w:equalWidth="0" w:num="1">
            <w:col w:w="11400"/>
          </w:cols>
          <w:pgMar w:left="240" w:top="125" w:right="259" w:bottom="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 additional information new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pronouncements adopted by the Company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Matson is exposed to changes in interest rates, primarily as a result of its borrowing and investing activities used to maintain liquidity and to fund business operations, including borrowings under its revolving credit facility. In order to manage its exposure to changes in interest rates, Matson utilizes a balanced mix of both fixed-rate and variable-rate debt. The nature and amount of Matson’s long-term and short-term debt can be expected to fluctuate as a result of future business requirements, market conditions and other factors. Matson’s fixed-rate debt was $429.9 million as of December 31, 2015 and Matson did not have any variable rate debt outstanding as of that date.</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Other than in certain events of default, the Company does not have an obligation to prepay its fixed-rate debt prior to maturity and, as a result, interest rate fluctuations and the resulting changes in fair value would not have an impact on the Company’s financial condition or results of operations unless the Company was required to refinance such debt. Additional information about the Company’s debt is included in Item 7. Management’s Discussion and Analysis of Financial Condition and Results of Operation under the Liquidity and Capital Resources section above.</w:t>
      </w:r>
    </w:p>
    <w:p>
      <w:pPr>
        <w:spacing w:after="0" w:line="17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From time to time, Matson may invest its excess cash in short-term money market funds that purchase government securities or corporate debt securities, or in other deposit products allowed under Matson’s Cash Investment Policy. These money market funds and deposits maintain a weighted average maturity of less than 90 days, and accordingly, a one percent change in interest rates is not expected to have a material impact on the fair value of these investments or on interest income. The Company did not have any amounts on deposit in money market funds as of December 31, 2015.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its Capital Construction Fund, the Company may, from time to time, invest in money market funds or other eligible investments. The Company did not have any cash deposits in the CCF at December 31, 2015.</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Matson has no material exposure to foreign currency risks, although it is indirectly affected by changes in currency rates to the extent that changes in rates affect tourism in Hawaii. Transactions related to its China service are primarily denominated in U.S. dollars, and therefore, a one percent change in the Chinese Yuan exchange rate would not have a material effect on the Company’s results of operations. Transactions related to Matson’s South Pacific service are primarily denominated in New Zealand dollars. However a one percent change in the New Zealand dollar exchange rate is not expected to have a material effect on the Company’s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385"/>
        </w:trPr>
        <w:tc>
          <w:tcPr>
            <w:tcW w:w="1028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Annual Report on Internal Control Over Financial Reporting</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5480" w:type="dxa"/>
            <w:vAlign w:val="bottom"/>
            <w:tcBorders>
              <w:top w:val="single" w:sz="8" w:color="0000EE"/>
            </w:tcBorders>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4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Income and Comprehensive Income</w:t>
              </w:r>
            </w:hyperlink>
          </w:p>
        </w:tc>
        <w:tc>
          <w:tcPr>
            <w:tcW w:w="564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1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Consolidated Balance Sheets</w:t>
              </w:r>
            </w:hyperlink>
          </w:p>
        </w:tc>
        <w:tc>
          <w:tcPr>
            <w:tcW w:w="8180" w:type="dxa"/>
            <w:vAlign w:val="bottom"/>
            <w:gridSpan w:val="1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Cash Flows</w:t>
              </w:r>
            </w:hyperlink>
          </w:p>
        </w:tc>
        <w:tc>
          <w:tcPr>
            <w:tcW w:w="740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35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Consolidated Statements of Shareholders’ Equity</w:t>
              </w:r>
            </w:hyperlink>
          </w:p>
        </w:tc>
        <w:tc>
          <w:tcPr>
            <w:tcW w:w="672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Notes to Consolidated Financial Statements</w:t>
              </w:r>
            </w:hyperlink>
          </w:p>
        </w:tc>
        <w:tc>
          <w:tcPr>
            <w:tcW w:w="712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40" w:type="dxa"/>
            <w:vAlign w:val="bottom"/>
          </w:tcPr>
          <w:p>
            <w:pP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5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the Business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w:t>
              </w:r>
            </w:hyperlink>
          </w:p>
        </w:tc>
        <w:tc>
          <w:tcPr>
            <w:tcW w:w="54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Significant Accounting Policies</w:t>
              </w:r>
            </w:hyperlink>
          </w:p>
        </w:tc>
        <w:tc>
          <w:tcPr>
            <w:tcW w:w="730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40" w:type="dxa"/>
            <w:vAlign w:val="bottom"/>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w:t>
              </w:r>
            </w:hyperlink>
          </w:p>
        </w:tc>
        <w:tc>
          <w:tcPr>
            <w:tcW w:w="5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Business Combination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hyperlink>
          </w:p>
        </w:tc>
        <w:tc>
          <w:tcPr>
            <w:tcW w:w="540" w:type="dxa"/>
            <w:vAlign w:val="bottom"/>
          </w:tcPr>
          <w:p>
            <w:pPr>
              <w:spacing w:after="0"/>
              <w:rPr>
                <w:sz w:val="24"/>
                <w:szCs w:val="24"/>
                <w:color w:val="auto"/>
              </w:rPr>
            </w:pPr>
          </w:p>
        </w:tc>
        <w:tc>
          <w:tcPr>
            <w:tcW w:w="26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Investment in Terminal Joint Venture</w:t>
              </w:r>
            </w:hyperlink>
          </w:p>
        </w:tc>
        <w:tc>
          <w:tcPr>
            <w:tcW w:w="692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140" w:type="dxa"/>
            <w:vAlign w:val="bottom"/>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5.</w:t>
              </w:r>
            </w:hyperlink>
          </w:p>
        </w:tc>
        <w:tc>
          <w:tcPr>
            <w:tcW w:w="5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Property and Equipment</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6.</w:t>
              </w:r>
            </w:hyperlink>
          </w:p>
        </w:tc>
        <w:tc>
          <w:tcPr>
            <w:tcW w:w="540" w:type="dxa"/>
            <w:vAlign w:val="bottom"/>
          </w:tcPr>
          <w:p>
            <w:pPr>
              <w:spacing w:after="0"/>
              <w:rPr>
                <w:sz w:val="24"/>
                <w:szCs w:val="24"/>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Goodwill and Intangible Assets</w:t>
              </w:r>
            </w:hyperlink>
          </w:p>
        </w:tc>
        <w:tc>
          <w:tcPr>
            <w:tcW w:w="732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7.</w:t>
              </w:r>
            </w:hyperlink>
          </w:p>
        </w:tc>
        <w:tc>
          <w:tcPr>
            <w:tcW w:w="54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Capital Construction Fund</w:t>
              </w:r>
            </w:hyperlink>
          </w:p>
        </w:tc>
        <w:tc>
          <w:tcPr>
            <w:tcW w:w="762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8.</w:t>
              </w:r>
            </w:hyperlink>
          </w:p>
        </w:tc>
        <w:tc>
          <w:tcPr>
            <w:tcW w:w="540" w:type="dxa"/>
            <w:vAlign w:val="bottom"/>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Debt</w:t>
              </w:r>
            </w:hyperlink>
          </w:p>
        </w:tc>
        <w:tc>
          <w:tcPr>
            <w:tcW w:w="924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9.</w:t>
              </w:r>
            </w:hyperlink>
          </w:p>
        </w:tc>
        <w:tc>
          <w:tcPr>
            <w:tcW w:w="5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41">
              <w:r>
                <w:rPr>
                  <w:rFonts w:ascii="Arial" w:cs="Arial" w:eastAsia="Arial" w:hAnsi="Arial"/>
                  <w:sz w:val="18"/>
                  <w:szCs w:val="18"/>
                  <w:color w:val="0000EE"/>
                  <w:w w:val="82"/>
                </w:rPr>
                <w:t>Leases</w:t>
              </w:r>
            </w:hyperlink>
          </w:p>
        </w:tc>
        <w:tc>
          <w:tcPr>
            <w:tcW w:w="9100" w:type="dxa"/>
            <w:vAlign w:val="bottom"/>
            <w:gridSpan w:val="1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125" w:right="239" w:bottom="0" w:gutter="0" w:footer="0" w:header="0"/>
        </w:sectPr>
      </w:pPr>
    </w:p>
    <w:bookmarkStart w:id="26" w:name="page27"/>
    <w:bookmarkEnd w:id="26"/>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rFonts w:ascii="Arial" w:cs="Arial" w:eastAsia="Arial" w:hAnsi="Arial"/>
                <w:sz w:val="18"/>
                <w:szCs w:val="18"/>
                <w:color w:val="0000EE"/>
                <w:w w:val="71"/>
              </w:rPr>
            </w:pPr>
            <w:hyperlink w:anchor="page42">
              <w:r>
                <w:rPr>
                  <w:rFonts w:ascii="Arial" w:cs="Arial" w:eastAsia="Arial" w:hAnsi="Arial"/>
                  <w:sz w:val="18"/>
                  <w:szCs w:val="18"/>
                  <w:color w:val="0000EE"/>
                  <w:w w:val="71"/>
                </w:rPr>
                <w:t>10.</w:t>
              </w:r>
            </w:hyperlink>
          </w:p>
        </w:tc>
        <w:tc>
          <w:tcPr>
            <w:tcW w:w="460" w:type="dxa"/>
            <w:vAlign w:val="bottom"/>
          </w:tcPr>
          <w:p>
            <w:pPr>
              <w:spacing w:after="0"/>
              <w:rPr>
                <w:sz w:val="17"/>
                <w:szCs w:val="17"/>
                <w:color w:val="auto"/>
              </w:rPr>
            </w:pPr>
          </w:p>
        </w:tc>
        <w:tc>
          <w:tcPr>
            <w:tcW w:w="272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Income Taxes</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12"/>
        </w:trPr>
        <w:tc>
          <w:tcPr>
            <w:tcW w:w="220" w:type="dxa"/>
            <w:vAlign w:val="bottom"/>
          </w:tcPr>
          <w:p>
            <w:pPr>
              <w:spacing w:after="0"/>
              <w:rPr>
                <w:rFonts w:ascii="Arial" w:cs="Arial" w:eastAsia="Arial" w:hAnsi="Arial"/>
                <w:sz w:val="18"/>
                <w:szCs w:val="18"/>
                <w:color w:val="0000EE"/>
                <w:w w:val="71"/>
              </w:rPr>
            </w:pPr>
            <w:hyperlink w:anchor="page43">
              <w:r>
                <w:rPr>
                  <w:rFonts w:ascii="Arial" w:cs="Arial" w:eastAsia="Arial" w:hAnsi="Arial"/>
                  <w:sz w:val="18"/>
                  <w:szCs w:val="18"/>
                  <w:color w:val="0000EE"/>
                  <w:w w:val="71"/>
                </w:rPr>
                <w:t>11.</w:t>
              </w:r>
            </w:hyperlink>
          </w:p>
        </w:tc>
        <w:tc>
          <w:tcPr>
            <w:tcW w:w="460" w:type="dxa"/>
            <w:vAlign w:val="bottom"/>
          </w:tcPr>
          <w:p>
            <w:pPr>
              <w:spacing w:after="0"/>
              <w:rPr>
                <w:sz w:val="24"/>
                <w:szCs w:val="24"/>
                <w:color w:val="auto"/>
              </w:rPr>
            </w:pPr>
          </w:p>
        </w:tc>
        <w:tc>
          <w:tcPr>
            <w:tcW w:w="2720" w:type="dxa"/>
            <w:vAlign w:val="bottom"/>
            <w:gridSpan w:val="6"/>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Pension and Post-Retirement Plans</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12"/>
        </w:trPr>
        <w:tc>
          <w:tcPr>
            <w:tcW w:w="220" w:type="dxa"/>
            <w:vAlign w:val="bottom"/>
            <w:tcBorders>
              <w:bottom w:val="single" w:sz="8" w:color="0000EE"/>
            </w:tcBorders>
          </w:tcPr>
          <w:p>
            <w:pPr>
              <w:spacing w:after="0"/>
              <w:rPr>
                <w:rFonts w:ascii="Arial" w:cs="Arial" w:eastAsia="Arial" w:hAnsi="Arial"/>
                <w:sz w:val="18"/>
                <w:szCs w:val="18"/>
                <w:color w:val="0000EE"/>
                <w:w w:val="71"/>
              </w:rPr>
            </w:pPr>
            <w:hyperlink w:anchor="page49">
              <w:r>
                <w:rPr>
                  <w:rFonts w:ascii="Arial" w:cs="Arial" w:eastAsia="Arial" w:hAnsi="Arial"/>
                  <w:sz w:val="18"/>
                  <w:szCs w:val="18"/>
                  <w:color w:val="0000EE"/>
                  <w:w w:val="71"/>
                </w:rPr>
                <w:t>12.</w:t>
              </w:r>
            </w:hyperlink>
          </w:p>
        </w:tc>
        <w:tc>
          <w:tcPr>
            <w:tcW w:w="460" w:type="dxa"/>
            <w:vAlign w:val="bottom"/>
          </w:tcPr>
          <w:p>
            <w:pPr>
              <w:spacing w:after="0"/>
              <w:rPr>
                <w:sz w:val="24"/>
                <w:szCs w:val="24"/>
                <w:color w:val="auto"/>
              </w:rPr>
            </w:pPr>
          </w:p>
        </w:tc>
        <w:tc>
          <w:tcPr>
            <w:tcW w:w="27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Multi-Employer Withdrawal Liability</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220" w:type="dxa"/>
            <w:vAlign w:val="bottom"/>
          </w:tcPr>
          <w:p>
            <w:pPr>
              <w:spacing w:after="0"/>
              <w:rPr>
                <w:rFonts w:ascii="Arial" w:cs="Arial" w:eastAsia="Arial" w:hAnsi="Arial"/>
                <w:sz w:val="18"/>
                <w:szCs w:val="18"/>
                <w:color w:val="0000EE"/>
                <w:w w:val="71"/>
              </w:rPr>
            </w:pPr>
            <w:hyperlink w:anchor="page49">
              <w:r>
                <w:rPr>
                  <w:rFonts w:ascii="Arial" w:cs="Arial" w:eastAsia="Arial" w:hAnsi="Arial"/>
                  <w:sz w:val="18"/>
                  <w:szCs w:val="18"/>
                  <w:color w:val="0000EE"/>
                  <w:w w:val="71"/>
                </w:rPr>
                <w:t>13.</w:t>
              </w:r>
            </w:hyperlink>
          </w:p>
        </w:tc>
        <w:tc>
          <w:tcPr>
            <w:tcW w:w="460" w:type="dxa"/>
            <w:vAlign w:val="bottom"/>
          </w:tcPr>
          <w:p>
            <w:pPr>
              <w:spacing w:after="0"/>
              <w:rPr>
                <w:sz w:val="24"/>
                <w:szCs w:val="24"/>
                <w:color w:val="auto"/>
              </w:rPr>
            </w:pPr>
          </w:p>
        </w:tc>
        <w:tc>
          <w:tcPr>
            <w:tcW w:w="27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Share-Based Awards</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12"/>
        </w:trPr>
        <w:tc>
          <w:tcPr>
            <w:tcW w:w="220" w:type="dxa"/>
            <w:vAlign w:val="bottom"/>
          </w:tcPr>
          <w:p>
            <w:pPr>
              <w:spacing w:after="0"/>
              <w:rPr>
                <w:rFonts w:ascii="Arial" w:cs="Arial" w:eastAsia="Arial" w:hAnsi="Arial"/>
                <w:sz w:val="18"/>
                <w:szCs w:val="18"/>
                <w:color w:val="0000EE"/>
                <w:w w:val="71"/>
              </w:rPr>
            </w:pPr>
            <w:hyperlink w:anchor="page51">
              <w:r>
                <w:rPr>
                  <w:rFonts w:ascii="Arial" w:cs="Arial" w:eastAsia="Arial" w:hAnsi="Arial"/>
                  <w:sz w:val="18"/>
                  <w:szCs w:val="18"/>
                  <w:color w:val="0000EE"/>
                  <w:w w:val="71"/>
                </w:rPr>
                <w:t>14.</w:t>
              </w:r>
            </w:hyperlink>
          </w:p>
        </w:tc>
        <w:tc>
          <w:tcPr>
            <w:tcW w:w="460" w:type="dxa"/>
            <w:vAlign w:val="bottom"/>
          </w:tcPr>
          <w:p>
            <w:pPr>
              <w:spacing w:after="0"/>
              <w:rPr>
                <w:sz w:val="24"/>
                <w:szCs w:val="24"/>
                <w:color w:val="auto"/>
              </w:rPr>
            </w:pPr>
          </w:p>
        </w:tc>
        <w:tc>
          <w:tcPr>
            <w:tcW w:w="272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Commitments and Contingencies</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1"/>
              </w:rPr>
            </w:pPr>
            <w:hyperlink w:anchor="page51">
              <w:r>
                <w:rPr>
                  <w:rFonts w:ascii="Arial" w:cs="Arial" w:eastAsia="Arial" w:hAnsi="Arial"/>
                  <w:sz w:val="18"/>
                  <w:szCs w:val="18"/>
                  <w:color w:val="0000EE"/>
                  <w:w w:val="71"/>
                </w:rPr>
                <w:t>15.</w:t>
              </w:r>
            </w:hyperlink>
          </w:p>
        </w:tc>
        <w:tc>
          <w:tcPr>
            <w:tcW w:w="46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Reportable Segments</w:t>
              </w:r>
            </w:hyperlink>
          </w:p>
        </w:tc>
        <w:tc>
          <w:tcPr>
            <w:tcW w:w="86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8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220" w:type="dxa"/>
            <w:vAlign w:val="bottom"/>
          </w:tcPr>
          <w:p>
            <w:pPr>
              <w:spacing w:after="0"/>
              <w:rPr>
                <w:rFonts w:ascii="Arial" w:cs="Arial" w:eastAsia="Arial" w:hAnsi="Arial"/>
                <w:sz w:val="18"/>
                <w:szCs w:val="18"/>
                <w:color w:val="0000EE"/>
                <w:w w:val="71"/>
              </w:rPr>
            </w:pPr>
            <w:hyperlink w:anchor="page52">
              <w:r>
                <w:rPr>
                  <w:rFonts w:ascii="Arial" w:cs="Arial" w:eastAsia="Arial" w:hAnsi="Arial"/>
                  <w:sz w:val="18"/>
                  <w:szCs w:val="18"/>
                  <w:color w:val="0000EE"/>
                  <w:w w:val="71"/>
                </w:rPr>
                <w:t>16.</w:t>
              </w:r>
            </w:hyperlink>
          </w:p>
        </w:tc>
        <w:tc>
          <w:tcPr>
            <w:tcW w:w="460" w:type="dxa"/>
            <w:vAlign w:val="bottom"/>
          </w:tcPr>
          <w:p>
            <w:pPr>
              <w:spacing w:after="0"/>
              <w:rPr>
                <w:sz w:val="24"/>
                <w:szCs w:val="24"/>
                <w:color w:val="auto"/>
              </w:rPr>
            </w:pPr>
          </w:p>
        </w:tc>
        <w:tc>
          <w:tcPr>
            <w:tcW w:w="2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Quarterly Information (Unaudited)</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53"/>
        </w:trPr>
        <w:tc>
          <w:tcPr>
            <w:tcW w:w="2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tcPr>
          <w:p>
            <w:pPr>
              <w:jc w:val="right"/>
              <w:ind w:right="5570"/>
              <w:spacing w:after="0"/>
              <w:rPr>
                <w:sz w:val="20"/>
                <w:szCs w:val="20"/>
                <w:color w:val="auto"/>
              </w:rPr>
            </w:pPr>
            <w:r>
              <w:rPr>
                <w:rFonts w:ascii="Arial" w:cs="Arial" w:eastAsia="Arial" w:hAnsi="Arial"/>
                <w:sz w:val="18"/>
                <w:szCs w:val="18"/>
                <w:color w:val="auto"/>
              </w:rPr>
              <w:t>34</w:t>
            </w:r>
          </w:p>
        </w:tc>
      </w:tr>
      <w:tr>
        <w:trPr>
          <w:trHeight w:val="132"/>
        </w:trPr>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93"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 of the company;</w:t>
      </w:r>
    </w:p>
    <w:p>
      <w:pPr>
        <w:spacing w:after="0" w:line="248" w:lineRule="exact"/>
        <w:rPr>
          <w:rFonts w:ascii="Arial" w:cs="Arial" w:eastAsia="Arial" w:hAnsi="Arial"/>
          <w:sz w:val="16"/>
          <w:szCs w:val="16"/>
          <w:color w:val="auto"/>
        </w:rPr>
      </w:pPr>
    </w:p>
    <w:p>
      <w:pPr>
        <w:ind w:left="340" w:right="100" w:hanging="332"/>
        <w:spacing w:after="0" w:line="264" w:lineRule="auto"/>
        <w:tabs>
          <w:tab w:leader="none" w:pos="3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340" w:right="200" w:hanging="332"/>
        <w:spacing w:after="0" w:line="277" w:lineRule="auto"/>
        <w:tabs>
          <w:tab w:leader="none" w:pos="3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its assessment, management believes that, as of December 31, 2015, the Company’s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The Company’s independent registered public accounting firm, Deloitte &amp; Touche LLP, has issued an attestation report on the Company’s internal control over financial reporting.</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as of December 31, 2015, did not include the internal controls of Horizon, Inc. (“Horizon”) because it was acquired by the Company in a business combination on May 29, 2015 (see Note 3). Horizon’s total assets, operating revenues and net loss before taxes represented approximately 32.7 percent, 9.5 percent, and 2.6 percent, respectively, of the related consolidated financial statements as of and for the year ended December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/s/ Matthew J. Cox</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Joel M. Wine</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14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c>
          <w:tcPr>
            <w:tcW w:w="40" w:type="dxa"/>
            <w:vAlign w:val="bottom"/>
          </w:tcPr>
          <w:p>
            <w:pPr>
              <w:spacing w:after="0"/>
              <w:rPr>
                <w:sz w:val="16"/>
                <w:szCs w:val="16"/>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February 26, 2016</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February 26, 2016</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Honolulu, Hawaii</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Matson, Inc. and subsidiaries (the “Company”) as of December 31, 2015 and 2014, and the related consolidated statements of income and comprehensive income, shareholders’ equity, and cash flows for each of the three years in the period ended December 31, 2015. We also have audited the Company’s internal control over financial reporting as of December 31, 2015,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As described in</w:t>
      </w:r>
      <w:r>
        <w:rPr>
          <w:rFonts w:ascii="Arial" w:cs="Arial" w:eastAsia="Arial" w:hAnsi="Arial"/>
          <w:sz w:val="16"/>
          <w:szCs w:val="16"/>
          <w:i w:val="1"/>
          <w:iCs w:val="1"/>
          <w:color w:val="auto"/>
        </w:rPr>
        <w:t xml:space="preserve"> Management’s Annual Report on Internal Control Over Financial Reporting</w:t>
      </w:r>
      <w:r>
        <w:rPr>
          <w:rFonts w:ascii="Arial" w:cs="Arial" w:eastAsia="Arial" w:hAnsi="Arial"/>
          <w:sz w:val="16"/>
          <w:szCs w:val="16"/>
          <w:color w:val="auto"/>
        </w:rPr>
        <w:t>, management excluded from its assessment the internal control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at Horizon, Inc. and subsidiaries (“Horizon”), which was acquired on May 29, 2015 and whose consolidated financial statements constitute 32.7 percent, 9.5 percent and 2.6 percent of total assets, operating revenues, and net loss before taxes, respectively, of the consolidated financial statement amounts as of and for the year ended December 31, 2015. Accordingly, our audit did not include the internal control over financial reporting at Horizon. The</w:t>
      </w:r>
    </w:p>
    <w:p>
      <w:pPr>
        <w:sectPr>
          <w:pgSz w:w="11900" w:h="16946" w:orient="portrait"/>
          <w:cols w:equalWidth="0" w:num="1">
            <w:col w:w="11460"/>
          </w:cols>
          <w:pgMar w:left="240" w:top="108" w:right="199" w:bottom="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 xml:space="preserve">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these financial statements and an opinion on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based on our audits.</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Matson, Inc.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the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deferred income taxes in 2015 due to the adoption of ASU 2015-17, “</w:t>
      </w:r>
      <w:r>
        <w:rPr>
          <w:rFonts w:ascii="Arial" w:cs="Arial" w:eastAsia="Arial" w:hAnsi="Arial"/>
          <w:sz w:val="18"/>
          <w:szCs w:val="18"/>
          <w:i w:val="1"/>
          <w:iCs w:val="1"/>
          <w:color w:val="auto"/>
        </w:rPr>
        <w:t>Balance Sheet Classifications of Deferred Taxes”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1,498.0</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Equity in (income) loss of related party Terminal Joint Venture</w:t>
            </w:r>
          </w:p>
        </w:tc>
        <w:tc>
          <w:tcPr>
            <w:tcW w:w="8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1,688.6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in prior service cost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8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net loss included in net periodic pension cost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7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7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62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980" w:type="dxa"/>
            <w:vAlign w:val="bottom"/>
            <w:gridSpan w:val="3"/>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62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980" w:type="dxa"/>
            <w:vAlign w:val="bottom"/>
            <w:gridSpan w:val="3"/>
          </w:tcPr>
          <w:p>
            <w:pPr>
              <w:jc w:val="right"/>
              <w:ind w:right="6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Shares Outstanding:</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43.4</w:t>
            </w:r>
          </w:p>
        </w:tc>
        <w:tc>
          <w:tcPr>
            <w:tcW w:w="4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88"/>
              </w:rPr>
              <w:t>See notes to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center"/>
              <w:ind w:left="810"/>
              <w:spacing w:after="0"/>
              <w:rPr>
                <w:sz w:val="20"/>
                <w:szCs w:val="20"/>
                <w:color w:val="auto"/>
              </w:rPr>
            </w:pPr>
            <w:r>
              <w:rPr>
                <w:rFonts w:ascii="Arial" w:cs="Arial" w:eastAsia="Arial" w:hAnsi="Arial"/>
                <w:sz w:val="18"/>
                <w:szCs w:val="18"/>
                <w:color w:val="auto"/>
                <w:w w:val="89"/>
              </w:rPr>
              <w:t>37</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MATSON, INC. AND SUBSIDIARIES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1"/>
              </w:rPr>
              <w:t>(In millions, except per-share amount)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214.3</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assets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Investment in related party Terminal Joint Venture</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860.3</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139.1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Fund - cash on deposit</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Deferred dry-docking costs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7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1,669.8</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Current portion of debt</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6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Payroll and vacation benefits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Uninsured liabilities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Accrued and other liabilities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Long-term Liabilities:</w:t>
            </w: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310.5</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benefit plans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Uninsured and other liabilities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Multi-employer withdrawal liabilities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27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921.6</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14)</w:t>
            </w:r>
          </w:p>
        </w:tc>
        <w:tc>
          <w:tcPr>
            <w:tcW w:w="2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gridSpan w:val="6"/>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Capital stock — common stock without par value; authorized, 150.0 million shares ($0.75 stated value per</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share); outstanding, 43.5 million shares in 2015 and 43.2 million shares in 2014</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Additional paid in capital</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287.9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177.0</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1,669.8</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-6999605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-6999605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MATSON, INC. AND SUBSIDIARIES</w:t>
      </w:r>
    </w:p>
    <w:p>
      <w:pPr>
        <w:sectPr>
          <w:pgSz w:w="11900" w:h="16838" w:orient="portrait"/>
          <w:cols w:equalWidth="0" w:num="1">
            <w:col w:w="11460"/>
          </w:cols>
          <w:pgMar w:left="240" w:top="125" w:right="199" w:bottom="0" w:gutter="0" w:footer="0" w:header="0"/>
        </w:sectPr>
      </w:pPr>
    </w:p>
    <w:bookmarkStart w:id="29" w:name="page30"/>
    <w:bookmarkEnd w:id="2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Reconciling adjustments: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Loss (gain) on disposal of property</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expense (income)</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loss of related party Terminal Joint Venture</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Distributions from Terminal Joint Venture</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from equity issuance</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dry-docking payments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Deferred dry-docking amortization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deposits into Capital Construction Fund</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Withdrawals from Capital Construction Fund</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Payments for Horizon’s common stock, net of cash acquired, and other acquisitions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debt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 of capital leases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Payments of revolving credit facility</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(588.0)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issuance of capital stock</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repurchased</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Payments of Horizon debt and redemption of warrants, net</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(466.0)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beginning of the year</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year</w:t>
            </w: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paid (refund)</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3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Stated</w:t>
            </w:r>
          </w:p>
        </w:tc>
        <w:tc>
          <w:tcPr>
            <w:tcW w:w="220" w:type="dxa"/>
            <w:vAlign w:val="bottom"/>
          </w:tcPr>
          <w:p>
            <w:pPr>
              <w:spacing w:after="0"/>
              <w:rPr>
                <w:sz w:val="10"/>
                <w:szCs w:val="10"/>
                <w:color w:val="auto"/>
              </w:rPr>
            </w:pPr>
          </w:p>
        </w:tc>
        <w:tc>
          <w:tcPr>
            <w:tcW w:w="14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 In</w:t>
            </w:r>
          </w:p>
        </w:tc>
        <w:tc>
          <w:tcPr>
            <w:tcW w:w="1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24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Excess tax benefit and share withholding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($0.62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at December 31, 2013</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and share withholding</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Dividends ($0.66 per share)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Excess tax benefit and share withholding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repurchased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Dividends ($0.70 per share)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2015, see Note 15).</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 (“MatNav”),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Matson, Inc. Founded in 1882, MatNav is an asset-based business that provides a vital lifeline of ocean freight transportation services to the domestic economies of Hawaii, Alaska, and Guam, and to other island economies in Micronesia and in the South Pacific. MatNav also operates a premium, expedited service from China to Long Beach, California. In addition, subsidiaries of MatNav provide container stevedoring, container equipment maintenance and other terminal services for MatNav and other ocean carriers on the Hawaii islands of Oahu, Hawaii, Maui and Kauai, and in the Alaska locations of Anchorage, Kodiak, Dutch Harbor and Akutan.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 has a 35 percent ownership interest in SSA Terminals, LLC (“SSAT”) through a joint venture between Matson Ventures, Inc., a wholly-owned subsidiary of MatNav, and SSA Ventures, Inc. (“SSA”), a subsidiary of Carrix, Inc. SSAT provides terminal and stevedoring services to various carriers at six terminal facilities on the U.S. West Coast, including to MatNav at three of those facilities. Matson records its share of income in the joint venture in operating expenses within the Ocean Transportation segment due to the nature of SSAT’s operations.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Horizon Acquisition: </w:t>
      </w:r>
      <w:r>
        <w:rPr>
          <w:rFonts w:ascii="Arial" w:cs="Arial" w:eastAsia="Arial" w:hAnsi="Arial"/>
          <w:sz w:val="18"/>
          <w:szCs w:val="18"/>
          <w:color w:val="auto"/>
        </w:rPr>
        <w:t>On May 29, 2015, Matson completed its acquisition of Horizon Lines, Inc. (“Horizon”). As a result, Matson acquired Horizon’s Alaska</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assumed all of Horizon’s non-Hawaii assets and liabilities (the “Horizon Acquisition”). For additional information on this Horizon Acquisition, see Note 3 to the consolidated financial statements in Item 8 of Part II below.</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Matson’s Logistics business is conducted through Matson Logistics, Inc. (“Matson Logistics” or “Logistics”), a wholly-owned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supply chain management, and warehousing and distribution services.</w:t>
      </w:r>
    </w:p>
    <w:p>
      <w:pPr>
        <w:spacing w:after="0" w:line="15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Matson, Inc. and all wholly-owned subsidiaries, after elimination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significant intercompany amounts.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w:t>
      </w:r>
    </w:p>
    <w:p>
      <w:pPr>
        <w:spacing w:after="0" w:line="15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The period end for Matson, Inc. is December 31. The period end for MatNav occurred on the last Friday in December, except for Matson</w:t>
      </w:r>
      <w:r>
        <w:rPr>
          <w:rFonts w:ascii="Arial" w:cs="Arial" w:eastAsia="Arial" w:hAnsi="Arial"/>
          <w:sz w:val="16"/>
          <w:szCs w:val="16"/>
          <w:i w:val="1"/>
          <w:iCs w:val="1"/>
          <w:color w:val="auto"/>
        </w:rPr>
        <w:t xml:space="preserve"> </w:t>
      </w:r>
      <w:r>
        <w:rPr>
          <w:rFonts w:ascii="Arial" w:cs="Arial" w:eastAsia="Arial" w:hAnsi="Arial"/>
          <w:sz w:val="16"/>
          <w:szCs w:val="16"/>
          <w:color w:val="auto"/>
        </w:rPr>
        <w:t>Logistics Warehousing whose period closed on December 31. There were 52 weeks included in the MatNav 2015, 2014, and 2013 fiscal years.</w:t>
      </w:r>
    </w:p>
    <w:p>
      <w:pPr>
        <w:spacing w:after="0" w:line="12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United States (U.S.) dollar is the functional currency for substantially all of the financial statements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within shareholders’ equity. The Company translates the result of operations of its foreign subsidiaries at the</w:t>
      </w:r>
    </w:p>
    <w:p>
      <w:pPr>
        <w:sectPr>
          <w:pgSz w:w="11900" w:h="16838" w:orient="portrait"/>
          <w:cols w:equalWidth="0" w:num="1">
            <w:col w:w="11420"/>
          </w:cols>
          <w:pgMar w:left="240" w:top="140" w:right="239" w:bottom="0" w:gutter="0" w:footer="0" w:header="0"/>
        </w:sectPr>
      </w:pPr>
    </w:p>
    <w:bookmarkStart w:id="31" w:name="page32"/>
    <w:bookmarkEnd w:id="31"/>
    <w:p>
      <w:pPr>
        <w:spacing w:after="0" w:line="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average exchange rate during the respective periods. Gains and losses resulting from foreign currency transactions are included in selling, general and administrative costs in the Consolidated Statements of Income and Comprehensive Income.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the consolidated financial statements in conformity with accounting principles generally accepted in the U.S.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that affect the amounts reported. Estimates and assumptions are used for, but not limited to: impairment of investments, long-lived vessel and equipment impairment, allowance for doubtful accounts, goodwill and other finite-lived intangible assets impairment, legal contingencies, uninsured liabilities, accruals for removal of tank farm, pension and post-retirement estimates, multi-employer withdrawal liabilities, and income taxes. Future results could be materially affected if actual results differ from these estimates and assumptions.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equivalents consist of highly liquid investments with an original maturity of three months or less at the date of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carries these investments at cost, which approximates fair value. Outstanding checks in excess of funds on deposit totaled $13.8 million and $18.9 million at December 31, 2015 and 2014, respectively, and are reflected as current liabilities in the consolidated balance sheets.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The Company values its financial instruments based on the fair value hierarchy of valuation techniques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uses Level 1 inputs for the fair values of its cash and cash equivalents. The Company uses Level 2 inputs for its accounts receivable, and debt. The fair values of cash and cash equivalents, accounts receivable, and short-term debt approximate their carrying values due to the short-term nature of the instruments. The fair value of the Company’s long-term debt is calculated based upon interest rates available for debt with terms and maturities similar to the Company’s existing debt arrangements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4"/>
                <w:szCs w:val="14"/>
                <w:color w:val="auto"/>
              </w:rPr>
            </w:pPr>
          </w:p>
        </w:tc>
        <w:tc>
          <w:tcPr>
            <w:tcW w:w="140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3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80" w:type="dxa"/>
            <w:vAlign w:val="bottom"/>
          </w:tcPr>
          <w:p>
            <w:pPr>
              <w:spacing w:after="0"/>
              <w:rPr>
                <w:sz w:val="12"/>
                <w:szCs w:val="12"/>
                <w:color w:val="auto"/>
              </w:rPr>
            </w:pPr>
          </w:p>
        </w:tc>
        <w:tc>
          <w:tcPr>
            <w:tcW w:w="14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Carrying Value</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1400" w:type="dxa"/>
            <w:vAlign w:val="bottom"/>
          </w:tcPr>
          <w:p>
            <w:pPr>
              <w:jc w:val="center"/>
              <w:ind w:right="256"/>
              <w:spacing w:after="0"/>
              <w:rPr>
                <w:sz w:val="20"/>
                <w:szCs w:val="20"/>
                <w:color w:val="auto"/>
              </w:rPr>
            </w:pPr>
            <w:r>
              <w:rPr>
                <w:rFonts w:ascii="Arial" w:cs="Arial" w:eastAsia="Arial" w:hAnsi="Arial"/>
                <w:sz w:val="14"/>
                <w:szCs w:val="14"/>
                <w:b w:val="1"/>
                <w:bCs w:val="1"/>
                <w:color w:val="auto"/>
                <w:w w:val="95"/>
              </w:rPr>
              <w:t>Inputs (Level 2)</w:t>
            </w:r>
          </w:p>
        </w:tc>
        <w:tc>
          <w:tcPr>
            <w:tcW w:w="2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060" w:type="dxa"/>
            <w:vAlign w:val="bottom"/>
            <w:tcBorders>
              <w:top w:val="single" w:sz="8" w:color="auto"/>
              <w:bottom w:val="single" w:sz="8" w:color="auto"/>
            </w:tcBorders>
            <w:gridSpan w:val="3"/>
          </w:tcPr>
          <w:p>
            <w:pPr>
              <w:jc w:val="right"/>
              <w:ind w:right="16"/>
              <w:spacing w:after="0" w:line="142" w:lineRule="exact"/>
              <w:rPr>
                <w:sz w:val="20"/>
                <w:szCs w:val="20"/>
                <w:color w:val="auto"/>
              </w:rPr>
            </w:pPr>
            <w:r>
              <w:rPr>
                <w:rFonts w:ascii="Arial" w:cs="Arial" w:eastAsia="Arial" w:hAnsi="Arial"/>
                <w:sz w:val="14"/>
                <w:szCs w:val="14"/>
                <w:b w:val="1"/>
                <w:bCs w:val="1"/>
                <w:color w:val="auto"/>
                <w:w w:val="93"/>
              </w:rPr>
              <w:t>Fair Value Measurements at December 31, 2015</w:t>
            </w:r>
          </w:p>
        </w:tc>
        <w:tc>
          <w:tcPr>
            <w:tcW w:w="2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214.3</w:t>
            </w:r>
          </w:p>
        </w:tc>
        <w:tc>
          <w:tcPr>
            <w:tcW w:w="2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214.3</w:t>
            </w:r>
          </w:p>
        </w:tc>
        <w:tc>
          <w:tcPr>
            <w:tcW w:w="280" w:type="dxa"/>
            <w:vAlign w:val="bottom"/>
          </w:tcPr>
          <w:p>
            <w:pPr>
              <w:spacing w:after="0"/>
              <w:rPr>
                <w:sz w:val="18"/>
                <w:szCs w:val="18"/>
                <w:color w:val="auto"/>
              </w:rPr>
            </w:pP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214.3</w:t>
            </w: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443.8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3"/>
              </w:rPr>
              <w:t>Fair Value Measurements at December 31, 2014</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197.6</w:t>
            </w:r>
          </w:p>
        </w:tc>
        <w:tc>
          <w:tcPr>
            <w:tcW w:w="280" w:type="dxa"/>
            <w:vAlign w:val="bottom"/>
          </w:tcPr>
          <w:p>
            <w:pPr>
              <w:spacing w:after="0"/>
              <w:rPr>
                <w:sz w:val="18"/>
                <w:szCs w:val="18"/>
                <w:color w:val="auto"/>
              </w:rPr>
            </w:pP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197.6</w:t>
            </w: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395.7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395.7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Accounts receivable are shown net of allowance for doubtful accounts in the consolidated balance sheets. At December 31,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the Company had assigned $176.6 million and $150.7 million of eligible accounts receivable, respectively, to the Capital Construction Fund (see Note 7).</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Allowances for doubtful accounts receivable are established by management based on estimates of collectability.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collectability are principally based on an evaluation of the current financial condition of the Company’s customers and potential risks to collection, payment history and other factors which are regularly monitored by the Company. The changes in the allowance for doubtful accounts receivable for the three years ended December 31, 2015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440" w:type="dxa"/>
            <w:vAlign w:val="bottom"/>
          </w:tcPr>
          <w:p>
            <w:pPr>
              <w:jc w:val="center"/>
              <w:ind w:left="207"/>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Expense (1)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Arial" w:cs="Arial" w:eastAsia="Arial" w:hAnsi="Arial"/>
                <w:sz w:val="14"/>
                <w:szCs w:val="14"/>
                <w:b w:val="1"/>
                <w:bCs w:val="1"/>
                <w:color w:val="auto"/>
              </w:rPr>
              <w:t>Write-offs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ind w:left="187"/>
              <w:spacing w:after="0"/>
              <w:rPr>
                <w:sz w:val="20"/>
                <w:szCs w:val="20"/>
                <w:color w:val="auto"/>
              </w:rPr>
            </w:pPr>
            <w:r>
              <w:rPr>
                <w:rFonts w:ascii="Arial" w:cs="Arial" w:eastAsia="Arial" w:hAnsi="Arial"/>
                <w:sz w:val="14"/>
                <w:szCs w:val="14"/>
                <w:b w:val="1"/>
                <w:bCs w:val="1"/>
                <w:color w:val="auto"/>
                <w:w w:val="91"/>
              </w:rPr>
              <w:t>Beginning of Year</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End of Year</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(1) 2015 expense includes allowances for Alaska service related accounts receivable.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Prepaid and Other Assets: </w:t>
      </w:r>
      <w:r>
        <w:rPr>
          <w:rFonts w:ascii="Arial" w:cs="Arial" w:eastAsia="Arial" w:hAnsi="Arial"/>
          <w:sz w:val="18"/>
          <w:szCs w:val="18"/>
          <w:color w:val="auto"/>
        </w:rPr>
        <w:t>Prepaid expenses and other assets consist of the following at December 31, 2015 and 2014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Prepaid expenses and other assets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fuel</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Impairment of Terminal Joint Venture Investment: </w:t>
      </w:r>
      <w:r>
        <w:rPr>
          <w:rFonts w:ascii="Arial" w:cs="Arial" w:eastAsia="Arial" w:hAnsi="Arial"/>
          <w:sz w:val="16"/>
          <w:szCs w:val="16"/>
          <w:color w:val="auto"/>
        </w:rPr>
        <w:t>The Company’s investment in its Terminal Joint Venture, a related party, is reviewed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or whenever there is evidence that fair value may be below carrying cost. An investment is written down to fair value if fair value is below carrying cost and the impairment is other-than-temporary. In evaluating the fair value of an investment and whether any identified impairment is other-than-temporary,</w:t>
      </w:r>
    </w:p>
    <w:p>
      <w:pPr>
        <w:sectPr>
          <w:pgSz w:w="11900" w:h="16844" w:orient="portrait"/>
          <w:cols w:equalWidth="0" w:num="1">
            <w:col w:w="11420"/>
          </w:cols>
          <w:pgMar w:left="240" w:top="125" w:right="239" w:bottom="0" w:gutter="0" w:footer="0" w:header="0"/>
        </w:sectPr>
      </w:pPr>
    </w:p>
    <w:bookmarkStart w:id="32" w:name="page33"/>
    <w:bookmarkEnd w:id="32"/>
    <w:p>
      <w:pPr>
        <w:spacing w:after="0" w:line="270" w:lineRule="auto"/>
        <w:rPr>
          <w:sz w:val="20"/>
          <w:szCs w:val="20"/>
          <w:color w:val="auto"/>
        </w:rPr>
      </w:pPr>
      <w:r>
        <w:rPr>
          <w:rFonts w:ascii="Arial" w:cs="Arial" w:eastAsia="Arial" w:hAnsi="Arial"/>
          <w:sz w:val="17"/>
          <w:szCs w:val="17"/>
          <w:color w:val="auto"/>
        </w:rPr>
        <w:t>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and accordingly, may require valuation adjustments to the Company’s investment that may materially impact the Company’s financial condition or its future operating results.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evaluated its investment in its related party Terminal Joint Venture for impairment and no impairment charges were recorded for the years ended December 31, 2015, 2014, and 2013.</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are stated at cost. Certain costs incurred in the development of internal-use software are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is depreciated using the straight-line method over the estimated useful lives of the assets. The estimated useful lives of property and equipment range up to the following maximum life: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3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20 years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Deferred Dry-docking Costs: </w:t>
      </w:r>
      <w:r>
        <w:rPr>
          <w:rFonts w:ascii="Arial" w:cs="Arial" w:eastAsia="Arial" w:hAnsi="Arial"/>
          <w:sz w:val="16"/>
          <w:szCs w:val="16"/>
          <w:color w:val="auto"/>
        </w:rPr>
        <w:t>The Company’s U.S. flagged vessels must meet specified seaworthiness standards established by U.S. Coast Guard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society requirements. These standards require that the Company’s vessels undergo two dry-docking inspections within a five-year period. However, the majority of the Company’s U.S. flagged vessels are enrolled in the U.S. Coast Guard’s Underwater Survey in Lieu of Dry-docking (“UWILD”) program. The UWILD program allows eligible vessels to have their intermediate dry-docking requirement met with far less costly underwater inspection.</w:t>
      </w:r>
    </w:p>
    <w:p>
      <w:pPr>
        <w:spacing w:after="0" w:line="154"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color w:val="auto"/>
        </w:rPr>
        <w:t>The Company operates four non-U.S. flag vessels (one owned; one under a bareboat charter arrangement; and the remaining two on time charter) in the Pacific Islands. The Company is responsible for ensuring that the owned and bareboat chartered vessels meet international standards for seaworthiness, which among other requirements generally mandate that the Company perform two dry-docking inspections every five years. The dry-dockings of the Company’s time chartered vessels are the responsibility of the vessels’ owners.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costs associated with dry-docking inspections provide future economic benefits to the Company through continued operation of the vessels, the costs are deferred and amortized until the next regulated scheduled dry-docking, which is usually over a two to five-year period. Routine vessel maintenance and repairs that do not improve or extend asset lives are charged to expense as incurred. Amortized amounts are charged to operating expenses of the Ocean Transportation segment in the consolidated statements of income and comprehensive income.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Recorded goodwill arises as a result of acquisitions made by the Company. Intangible assets at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customer relationships that are being amortized using the straight-line method over the expected useful lives ranging from 3 to 21 years (see Note 3 and 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Impairment of Long-Lived Assets, Finite-Lived Intangible Assets and Goodwill: </w:t>
      </w:r>
      <w:r>
        <w:rPr>
          <w:rFonts w:ascii="Arial" w:cs="Arial" w:eastAsia="Arial" w:hAnsi="Arial"/>
          <w:sz w:val="18"/>
          <w:szCs w:val="18"/>
          <w:color w:val="auto"/>
        </w:rPr>
        <w:t>The Company evaluates its long-lived assets, including 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possible impairment in the fourth quarter, or whenever events or changes in circumstances indicate that it is more likely than not that the fair value is less than its carrying amount. During 2015, the Company changed the measurement date of its annual impairment tests from November 30 to October 1. The change was applied prospectively and did not have any impact on the Company’s impairment tests for the year. The change was made to better align the date of the impairment analysis with the preparation of the Company’s financial quarterly cash flow model. The change, if applied retrospective, would not have had any impact on the Company’s impairment analysis for prior periods presented. The Company’s long-lived assets, including finite-lived intangible assets are grouped at the Ocean Transportation and Logistics asset group level, which represents the lowest level for which identifiable cash flows are available.</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Long-lived Assets: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9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year ended December 31, 2015, the Company recorded an impairment charge of $2.1 million related to the write-down of inactive vessels to be recycled from its recorded net book value to its estimated fair value of zero. The impairment expense is included in operating costs on the consolidated statements of income and comprehensive income. No impairment charges were recorded for the years ended December 31, 2014, and 2013.</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Finite-Lived Intangible Assets and Goodwill: The Company’s intangible assets include goodwill and customer relationships.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w:t>
      </w:r>
    </w:p>
    <w:p>
      <w:pPr>
        <w:sectPr>
          <w:pgSz w:w="11900" w:h="16838" w:orient="portrait"/>
          <w:cols w:equalWidth="0" w:num="1">
            <w:col w:w="11400"/>
          </w:cols>
          <w:pgMar w:left="240" w:top="125" w:right="259" w:bottom="0" w:gutter="0" w:footer="0" w:header="0"/>
        </w:sectPr>
      </w:pPr>
    </w:p>
    <w:bookmarkStart w:id="33" w:name="page34"/>
    <w:bookmarkEnd w:id="33"/>
    <w:p>
      <w:pPr>
        <w:ind w:right="380"/>
        <w:spacing w:after="0" w:line="264" w:lineRule="auto"/>
        <w:rPr>
          <w:sz w:val="20"/>
          <w:szCs w:val="20"/>
          <w:color w:val="auto"/>
        </w:rPr>
      </w:pPr>
      <w:r>
        <w:rPr>
          <w:rFonts w:ascii="Arial" w:cs="Arial" w:eastAsia="Arial" w:hAnsi="Arial"/>
          <w:sz w:val="18"/>
          <w:szCs w:val="18"/>
          <w:color w:val="auto"/>
        </w:rPr>
        <w:t>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has evaluated its goodwill and intangible assets for impairment and determined that the fair value of each reporting unit substantially exceeds book value. No impairment charges were recorded for the years ended December 31, 2015, 2014 and 2013,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and other liabilities: </w:t>
      </w:r>
      <w:r>
        <w:rPr>
          <w:rFonts w:ascii="Arial" w:cs="Arial" w:eastAsia="Arial" w:hAnsi="Arial"/>
          <w:sz w:val="18"/>
          <w:szCs w:val="18"/>
          <w:color w:val="auto"/>
        </w:rPr>
        <w:t>Accrued and other liabilities consist of the following at December 31, 2015 and 2014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Accrued and other liabilities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Incentives and other benefit accruals</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Molasses tank farm removal accrual</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severance accruals</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Repayments of multi-employer withdrawal liability (see Note 12)</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Acquisition related payments</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 retirement benefit obligations</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0"/>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40" w:type="dxa"/>
            <w:vAlign w:val="bottom"/>
            <w:vMerge w:val="restart"/>
          </w:tcPr>
          <w:p>
            <w:pPr>
              <w:jc w:val="right"/>
              <w:ind w:right="213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Certain Ocean Transportation subsidiaries are members of the Pacific Maritime Association (“PMA”) and the Hawaii</w:t>
      </w:r>
      <w:r>
        <w:rPr>
          <w:rFonts w:ascii="Arial" w:cs="Arial" w:eastAsia="Arial" w:hAnsi="Arial"/>
          <w:sz w:val="18"/>
          <w:szCs w:val="18"/>
          <w:i w:val="1"/>
          <w:iCs w:val="1"/>
          <w:color w:val="auto"/>
        </w:rPr>
        <w:t xml:space="preserve"> </w:t>
      </w:r>
      <w:r>
        <w:rPr>
          <w:rFonts w:ascii="Arial" w:cs="Arial" w:eastAsia="Arial" w:hAnsi="Arial"/>
          <w:sz w:val="18"/>
          <w:szCs w:val="18"/>
          <w:color w:val="auto"/>
        </w:rPr>
        <w:t>Stevedoring Industry Committee, which negotiate multi-employer pension plans covering certain shoreside bargaining unit personnel. The subsidiaries directly negotiate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8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estimation of the Company’s pension and post-retirement benefit expenses 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Additionally, these unamortized gains and losses are amortized and reclassified to income (loss) over future periods. Additional information about the Company’s benefit plans is included in Note 11.</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Uninsured Liabilities: </w:t>
      </w:r>
      <w:r>
        <w:rPr>
          <w:rFonts w:ascii="Arial" w:cs="Arial" w:eastAsia="Arial" w:hAnsi="Arial"/>
          <w:sz w:val="17"/>
          <w:szCs w:val="17"/>
          <w:color w:val="auto"/>
        </w:rPr>
        <w:t>The Company is uninsured for certain losses including, but not limited to, employee health, workers’ compensation, general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real and personal property. Where feasible, the Company obtains third-party excess insurance coverage to limit its exposure to these claims. When estimating its uninsured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liabilities. The Company’s uninsured liabilities contain uncertainties because management is required to apply judgment and make long-term assumptions to estimate the ultimate cost to settle reported claims and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Legal Contingencies: </w:t>
      </w:r>
      <w:r>
        <w:rPr>
          <w:rFonts w:ascii="Arial" w:cs="Arial" w:eastAsia="Arial" w:hAnsi="Arial"/>
          <w:sz w:val="16"/>
          <w:szCs w:val="16"/>
          <w:color w:val="auto"/>
        </w:rPr>
        <w:t>The Company’s results of operations could be affected by significant litigation adverse to the Company,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claims, antitrust claims, claims related to coastwise trading matters, lawsuits involving private plaintiffs or government agencies, and environmental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6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Recognition of Revenues and Expenses: </w:t>
      </w:r>
      <w:r>
        <w:rPr>
          <w:rFonts w:ascii="Arial" w:cs="Arial" w:eastAsia="Arial" w:hAnsi="Arial"/>
          <w:sz w:val="17"/>
          <w:szCs w:val="17"/>
          <w:color w:val="auto"/>
        </w:rPr>
        <w:t>Voyage revenue is recognized ratably over the duration of a voyage based on the relative transit time in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 Voyage expenses are recognized as incurred. Hawaii, Alaska, Guam, and certain Pacific island service freight rates are provided in tariffs filed with the Surface Transportation Board of the U.S. Department of Transportation; for other Pacific island services, the rates are filed with the Federal Maritime Commission. The Alaska and China service rates are predominately established by individual contracts with customers. Revenues and costs from terminal and other related services are recognized upon completion of the services.</w:t>
      </w:r>
    </w:p>
    <w:p>
      <w:pPr>
        <w:spacing w:after="0" w:line="17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revenue for Logistics services includes the total amount billed to customers for transportation services. The primary costs include purchased transportation services. Revenue and the related purchased transportation costs are recognized based on relative transit time. The Company reports revenue on a gross basis. The Company serves as principal in transactions because it is responsible for the contractual relationship with the customer, has latitude in establishing prices, has discretion in supplier selection, and retains credit risk. The primary sources of revenue for warehousing services are storage, handling, and value-added packaging. For customer dedicated warehouses, storage revenue is recognized as earned over the life of the contract. Storage revenue generated by the public warehouses is recognized in the month the service is provided according to the terms of the contract. Handling and value-added packaging revenue and expense are recognized in proportion to the services completed.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Non-voyage Costs: </w:t>
      </w:r>
      <w:r>
        <w:rPr>
          <w:rFonts w:ascii="Arial" w:cs="Arial" w:eastAsia="Arial" w:hAnsi="Arial"/>
          <w:sz w:val="16"/>
          <w:szCs w:val="16"/>
          <w:color w:val="auto"/>
        </w:rPr>
        <w:t>Non-voyage costs such as terminal operating overhead, and general and administrative expenses are charged to expense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ectPr>
          <w:pgSz w:w="11900" w:h="16838" w:orient="portrait"/>
          <w:cols w:equalWidth="0" w:num="1">
            <w:col w:w="11460"/>
          </w:cols>
          <w:pgMar w:left="240" w:top="125" w:right="199" w:bottom="0" w:gutter="0" w:footer="0" w:header="0"/>
        </w:sectPr>
      </w:pPr>
    </w:p>
    <w:bookmarkStart w:id="34" w:name="page35"/>
    <w:bookmarkEnd w:id="34"/>
    <w:p>
      <w:pPr>
        <w:ind w:right="580"/>
        <w:spacing w:after="0" w:line="277"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The Company records compensation expense for all share-based payment awards made to employees and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various equity plans are more fully described in Note 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income taxes are provided for the tax effect of temporary differences between the tax basis of assets and liabilities and their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in the consolidated financial statements. Deferred tax assets and deferred tax liabilities are adjusted to the extent necessary to reflect tax rates expected to be in effect when the temporary differences reverse. Adjustments may be required to deferred tax assets and deferred tax liabilities due to changes in tax laws and audit adjustments by tax authorities. To the extent adjustments are required in any given period, the adjustments would be included within the tax provision in the consolidated statements of income and comprehensive income and/or consolidated balance sheets.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makes certain estimates and judgments in determining income tax expense for consolidated 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(see Note 3 and 10). Significant changes to these estimates may result in an increase or decrease to the Company’s tax provision in a subsequent period.</w:t>
      </w:r>
    </w:p>
    <w:p>
      <w:pPr>
        <w:spacing w:after="0" w:line="16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Comprehensive Income (Loss): </w:t>
      </w:r>
      <w:r>
        <w:rPr>
          <w:rFonts w:ascii="Arial" w:cs="Arial" w:eastAsia="Arial" w:hAnsi="Arial"/>
          <w:sz w:val="18"/>
          <w:szCs w:val="18"/>
          <w:color w:val="auto"/>
        </w:rPr>
        <w:t>Comprehensive income (loss) includes all changes in Shareholders’ Equity, except those resulting from capital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Other comprehensive income (loss) in the consolidated statements of income and comprehensive income are shown net of tax benefit (expense) of $(5.0) million, $19.4 million, and $(14.1) million for the years ended December 2015, 2014, and 2013, respectively. Changes in accumulated other comprehensive loss by component, net of tax, are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Post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Pensions</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Qualified</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Retirement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Net loss in prior service costs</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Amortization of net loss</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in prior service costs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Basic and Diluted Earnings per Share (“EPS”) of Common Stock: </w:t>
      </w:r>
      <w:r>
        <w:rPr>
          <w:rFonts w:ascii="Arial" w:cs="Arial" w:eastAsia="Arial" w:hAnsi="Arial"/>
          <w:sz w:val="16"/>
          <w:szCs w:val="16"/>
          <w:color w:val="auto"/>
        </w:rPr>
        <w:t>Basic earnings per share are determined by dividing net income by the weighted-average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outstanding during the year. The calculation of diluted earnings per share includes the dilutive effect of unexercised non-qualified stock options and non-vested stock units. The computation of weighted average dilutive shares outstanding excluded non-qualified stock options to purchase 0.1 million shares of common stock for each of the years 2015, 2014, and 2013. These amounts were excluded because the options’ exercise prices were greater than the average market price of the Company’s common stock for the periods presented and, therefore, the effect would be anti-dilutive.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denominator used to compute basic and diluted earnings per share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Year Ended December 31, 2015</w:t>
            </w:r>
          </w:p>
        </w:tc>
        <w:tc>
          <w:tcPr>
            <w:tcW w:w="140" w:type="dxa"/>
            <w:vAlign w:val="bottom"/>
          </w:tcPr>
          <w:p>
            <w:pPr>
              <w:spacing w:after="0"/>
              <w:rPr>
                <w:sz w:val="14"/>
                <w:szCs w:val="14"/>
                <w:color w:val="auto"/>
              </w:rPr>
            </w:pPr>
          </w:p>
        </w:tc>
        <w:tc>
          <w:tcPr>
            <w:tcW w:w="2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Year Ended December 31, 2014</w:t>
            </w:r>
          </w:p>
        </w:tc>
        <w:tc>
          <w:tcPr>
            <w:tcW w:w="140" w:type="dxa"/>
            <w:vAlign w:val="bottom"/>
          </w:tcPr>
          <w:p>
            <w:pPr>
              <w:spacing w:after="0"/>
              <w:rPr>
                <w:sz w:val="14"/>
                <w:szCs w:val="14"/>
                <w:color w:val="auto"/>
              </w:rPr>
            </w:pPr>
          </w:p>
        </w:tc>
        <w:tc>
          <w:tcPr>
            <w:tcW w:w="26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 2013</w:t>
            </w: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w w:val="95"/>
              </w:rPr>
              <w:t>Per</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are rounded to millions, but per-share calculations and percentages were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amounts before rounding. Accordingly, a recalculation of some per-share amounts and percentages, if based on the reported data, may be slightly different.</w:t>
      </w:r>
    </w:p>
    <w:p>
      <w:pPr>
        <w:sectPr>
          <w:pgSz w:w="11900" w:h="16838" w:orient="portrait"/>
          <w:cols w:equalWidth="0" w:num="1">
            <w:col w:w="11420"/>
          </w:cols>
          <w:pgMar w:left="240" w:top="341" w:right="239" w:bottom="0" w:gutter="0" w:footer="0" w:header="0"/>
        </w:sectPr>
      </w:pPr>
    </w:p>
    <w:bookmarkStart w:id="35" w:name="page36"/>
    <w:bookmarkEnd w:id="35"/>
    <w:p>
      <w:pPr>
        <w:ind w:right="580"/>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Amounts for deferred dry-docking costs at December 31, 2014 have been reclassified from other long-term assets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to conform to the current year presentation.</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New Accounting Pronouncements: Business Combinations</w:t>
      </w:r>
      <w:r>
        <w:rPr>
          <w:rFonts w:ascii="Arial" w:cs="Arial" w:eastAsia="Arial" w:hAnsi="Arial"/>
          <w:sz w:val="18"/>
          <w:szCs w:val="18"/>
          <w:color w:val="auto"/>
        </w:rPr>
        <w:t>: In September 2015, the Financial Accounting Standards Board (“FASB”) issued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ASU 2015-16, “</w:t>
      </w:r>
      <w:r>
        <w:rPr>
          <w:rFonts w:ascii="Arial" w:cs="Arial" w:eastAsia="Arial" w:hAnsi="Arial"/>
          <w:sz w:val="18"/>
          <w:szCs w:val="18"/>
          <w:i w:val="1"/>
          <w:iCs w:val="1"/>
          <w:color w:val="auto"/>
        </w:rPr>
        <w:t>Business Combinations (Topic 805): Simplifying the Accounting for Measurement-Period Adjustments</w:t>
      </w:r>
      <w:r>
        <w:rPr>
          <w:rFonts w:ascii="Arial" w:cs="Arial" w:eastAsia="Arial" w:hAnsi="Arial"/>
          <w:sz w:val="18"/>
          <w:szCs w:val="18"/>
          <w:color w:val="auto"/>
        </w:rPr>
        <w:t>” (“ASU 2015-16”). ASU 2015-16 requires an acquirer to recognize adjustments to provisional amounts that are identified during the measurement period in the reporting period in which the adjustment amounts are determined, to record an acquisition-to-date adjustment, in the same period’s financial statements, for the effect on earnings of changes in depreciation, amortization, or other income and to disclose the amount of such adjustment that related to prior periods. The guidance is effective for reporting periods beginning after December 15, 2015, and interim periods within those fiscal years; however, early adoption is permitted. The Company adopted ASU 2015-16 during the fourth quarter 2015. ASU 2015-16 is applied prospectively to adjustments to provisional amounts that occur after the effective date. The adoption of ASU 2015-16 did not have a material effect on the Company’s consolidated financial statements upon adoption.</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Deferred Taxes</w:t>
      </w:r>
      <w:r>
        <w:rPr>
          <w:rFonts w:ascii="Arial" w:cs="Arial" w:eastAsia="Arial" w:hAnsi="Arial"/>
          <w:sz w:val="15"/>
          <w:szCs w:val="15"/>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November 2015, the FASB issued ASU 2015-17, “</w:t>
      </w:r>
      <w:r>
        <w:rPr>
          <w:rFonts w:ascii="Arial" w:cs="Arial" w:eastAsia="Arial" w:hAnsi="Arial"/>
          <w:sz w:val="16"/>
          <w:szCs w:val="16"/>
          <w:i w:val="1"/>
          <w:iCs w:val="1"/>
          <w:color w:val="auto"/>
        </w:rPr>
        <w:t>Balance Sheet Classifications of Deferred Taxes</w:t>
      </w:r>
      <w:r>
        <w:rPr>
          <w:rFonts w:ascii="Arial" w:cs="Arial" w:eastAsia="Arial" w:hAnsi="Arial"/>
          <w:sz w:val="16"/>
          <w:szCs w:val="16"/>
          <w:color w:val="auto"/>
        </w:rPr>
        <w:t>” (“ASU 2015-17”) which simplifies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deferred income taxes. The amended guidance requires that all deferred tax assets and liabilities be classified as non-current on the balance sheet. The guidance is effective for reporting periods beginning after December 15, 2016; however, early adoption is permitted. The Company early adopted ASU 2015-17 during the fourth quarter 2015 on a prospective basis. No prior periods were retrospectively adjusted (see Note 10).</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The guidance establishes principles regarding the nature, timing, and uncertainty of revenue from contracts with customers. It removes inconsistencies in existing revenue requirements, provides a more robust framework for addressing revenue issues and improves comparability of revenue recognition practices across entities, industries, jurisdictions and capital markets. The guidance will be effective for annual reporting periods beginning after December 15, 2016, including interim periods within that reporting period. The Company is in the process of evaluating this guidance.</w:t>
      </w:r>
    </w:p>
    <w:p>
      <w:pPr>
        <w:spacing w:after="0" w:line="16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Horizon Acquisition: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completed the Horizon Acquisition on May 29, 2015 (the “Effective Date”) by which MatNav acquired Horizon’s Alaska operations and assumed all of Horizon’s non-Hawaii assets and liabilities. Immediately before the completion of the Horizon Acquisition, Horizon sold its Hawaii operations, and related assets and liabilities to the Pasha Group (the “Pasha Transaction”). Horizon also completed the termination of its Puerto Rico operations during the first quarter of 2015.</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the Effective Date, a subsidiary of the Company merged with Horizon and as a result, the Company acquired 100 percent of Horizon’s outstanding shares and warrants for a cash price of $0.72 per-share. The Company also acquired Horizon’s assets and assumed its liabilities including Horizon’s debt (net of proceeds from the Pasha Transaction). Immediately following the Horizon Acquisition, the Company repaid the assumed debt which included accrued interest and breakage fees, and redeemed all of Horizon’s outstanding warrants.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including debt paid and warrants redeemed by the Company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Consideration</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Horizon’s debt (including accrued interest and breakage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8"/>
                <w:szCs w:val="18"/>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Horizon’s assets acquired and liabilities assumed were recorded based on fair value estimates as of the Effective Date, with the remaining unallocated purchase price recorded as goodwill. Such fair value estimates require significant judgment including the valuation of property and equipment, intangible assets, debt and warrants, the assumptions used in calculating the multi-employer withdrawal pension liabilities, and the determination of net deferred tax assets. The Company’s fair value estimates are subject to revision pending the Company’s final fair value analysis and purchase price calculations. Consequently, the fair value amounts presented are preliminary and are subject to revision. Final estimates of fair value, including the estimated fair value of multi-employer withdrawal liability may be significantly different from those reflected in the Company’s Consolidated Financial Statements as of December 31, 2015.</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estimated fair values assigned to Horizon’s assets acquired and liabilities assumed as a result of the Horizon Acquisition as of December 31,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Multi-employer withdrawal liability</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Horizon’s debt and warrants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Total cash paid for common shares</w:t>
            </w:r>
          </w:p>
        </w:tc>
        <w:tc>
          <w:tcPr>
            <w:tcW w:w="6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amounts above include $5.5 million of purchase price adjustments recorded to the preliminary purchase price allocation initially reported in the Company’s interim condensed consolidated financial statements for the three and six-months ended June 30, 2015. Purchase price allocation adjustments relate primarily to the receipt of additional information regarding the fair value of certain assets acquired and liabilities assumed.</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Deferred tax assets, net: </w:t>
      </w:r>
      <w:r>
        <w:rPr>
          <w:rFonts w:ascii="Arial" w:cs="Arial" w:eastAsia="Arial" w:hAnsi="Arial"/>
          <w:sz w:val="18"/>
          <w:szCs w:val="18"/>
          <w:color w:val="auto"/>
        </w:rPr>
        <w:t>The Company recorded Horizon’s deferred tax assets and liabilities, net of any change of ownership limitations and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State operating losses, of $45.6 million.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of $170.4 million includes the fair value acquisition of seven Jones Act qualified containerships and vessel</w:t>
      </w:r>
      <w:r>
        <w:rPr>
          <w:rFonts w:ascii="Arial" w:cs="Arial" w:eastAsia="Arial" w:hAnsi="Arial"/>
          <w:sz w:val="18"/>
          <w:szCs w:val="18"/>
          <w:i w:val="1"/>
          <w:iCs w:val="1"/>
          <w:color w:val="auto"/>
        </w:rPr>
        <w:t xml:space="preserve"> </w:t>
      </w:r>
      <w:r>
        <w:rPr>
          <w:rFonts w:ascii="Arial" w:cs="Arial" w:eastAsia="Arial" w:hAnsi="Arial"/>
          <w:sz w:val="18"/>
          <w:szCs w:val="18"/>
          <w:color w:val="auto"/>
        </w:rPr>
        <w:t>spare parts of $130.7 million, containers and equipment of $17.9 million, terminal facilities and other property of $9.7 million, and construction in progress of $12.1 million.</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Intangibles, customer relationships: </w:t>
      </w:r>
      <w:r>
        <w:rPr>
          <w:rFonts w:ascii="Arial" w:cs="Arial" w:eastAsia="Arial" w:hAnsi="Arial"/>
          <w:sz w:val="18"/>
          <w:szCs w:val="18"/>
          <w:color w:val="auto"/>
        </w:rPr>
        <w:t>The Company recorded intangible assets of $140.0 million related to customer relationships, which are being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21 years. In determining the amortization period, the Company considered the historical trends of Horizon’s customers in the Alaska service and related attrition rates. The Company also considered potential future attrition risks, which are mitigated by the limited number of existing Jones Act-qualified vessels available that are required to perform competing ocean transportation services in Alaska, and the long delivery lead times associated with building such vessels in the U.S.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Company also considered existing competition and the high capital investment required to establish an asset-based ocean transportation business, the substantial investment required in infrastructure, and the need to develop a broad base of customer relationships over a period of time. As a result, the Company believes that the Alaska service customers are considered less vulnerable to attrition.</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Multi-employer withdrawal liability: </w:t>
      </w:r>
      <w:r>
        <w:rPr>
          <w:rFonts w:ascii="Arial" w:cs="Arial" w:eastAsia="Arial" w:hAnsi="Arial"/>
          <w:sz w:val="16"/>
          <w:szCs w:val="16"/>
          <w:color w:val="auto"/>
        </w:rPr>
        <w:t>Horizon ceased all of its operations in Puerto Rico during the first quarter of 2015 which resulted in a mass withdrawal</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multi-employer ILA-PRSSA Pension Fund. The Company estimated the liability related to the multi-employer pension plan of $60.6 million based upon the expected future undiscounted payments of $73.9 million at May 29, 2015, to be paid by quarterly payments of approximately $1.0 million commencing the fourth quarter of 2015, payable over a period of approximately 18 years, discounted using the risk-free U.S. Treasury rate (see Note 12).</w:t>
      </w:r>
    </w:p>
    <w:p>
      <w:pPr>
        <w:spacing w:after="0" w:line="154"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i w:val="1"/>
          <w:iCs w:val="1"/>
          <w:color w:val="auto"/>
        </w:rPr>
        <w:t xml:space="preserve">Debt and warrants: </w:t>
      </w:r>
      <w:r>
        <w:rPr>
          <w:rFonts w:ascii="Arial" w:cs="Arial" w:eastAsia="Arial" w:hAnsi="Arial"/>
          <w:sz w:val="16"/>
          <w:szCs w:val="16"/>
          <w:color w:val="auto"/>
        </w:rPr>
        <w:t>The Company recorded the fair value of debt and warrants of $467.5 million arising from the Horizon Acquisition, which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interest and breakage fees. The Company subsequently repaid all of the debt and redeemed the warrants during the period ended June 30, 2015.</w:t>
      </w:r>
    </w:p>
    <w:p>
      <w:pPr>
        <w:spacing w:after="0" w:line="124"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recorded goodwill of $214.2 million arising from the Horizon Acquisition, which represents the excess of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consideration paid by the Company over the fair value of the underlying identifiable Horizon assets acquired and liabilities assumed. In accordance with Accounting Standards Codification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goodwill will not be amortized, but instead will be tested for impairment at least annually, and whenever events or circumstances have occurred that may indicate a possible impairment. The goodwill is recorded in the Ocean Transportation segment (see Note 6).</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Goodwill arises as a result of several factors. The Horizon Acquisition represents an extension of the Company’s existing platform on the U.S. West Coast and extends the geographical reach of the Company’s ocean transportation services to include the port of Tacoma, Washington, to the ports of Anchorage, Kodiak, and Dutch Harbor in Alaska. The Horizon Acquisition also includes container stevedoring, container equipment and maintenance, and other terminal services in the Alaska ports of Anchorage, Kodiak and Dutch Harbor. Furthermore, the Horizon Acquisition provides an assembled workforce of experienced personnel with knowledge of the Alaska shipping industry and of its customers. The Company expects to leverage its existing infrastructure and operations to integrate the Alaska operations and eliminate duplicative corporate overhead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Statements of Income and Comprehensive Income for the year ended December 31, 2015 include operating revenue of $179.3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and net losses before income taxes of $7.8 million, respectively, from Horizon’s operations. One-time acquisition related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$19.0 million incurred as a result of the Horizon Acquisition, is included in selling, general and administrative costs in the Consolidated Statements of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Comprehensive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those of Horizon excluding its Hawaii operations, as if the Horizon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The unaudited pro forma financial information is presented for informational purposes only and is not indicative of the result of operations that would have been achieved if the Horizon Acquisition had taken place at the beginning of the periods presented, nor should it be taken as an indication of our future consolidated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financial information for the years ended December 31, 2015 and 2014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jc w:val="center"/>
              <w:ind w:right="888"/>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83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90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2015</w:t>
            </w:r>
          </w:p>
        </w:tc>
        <w:tc>
          <w:tcPr>
            <w:tcW w:w="2060" w:type="dxa"/>
            <w:vAlign w:val="bottom"/>
          </w:tcPr>
          <w:p>
            <w:pPr>
              <w:jc w:val="right"/>
              <w:ind w:right="468"/>
              <w:spacing w:after="0" w:line="157"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Pro Forma Combined:</w:t>
      </w:r>
    </w:p>
    <w:p>
      <w:pPr>
        <w:sectPr>
          <w:pgSz w:w="11900" w:h="16838" w:orient="portrait"/>
          <w:cols w:equalWidth="0" w:num="1">
            <w:col w:w="11420"/>
          </w:cols>
          <w:pgMar w:left="240" w:top="125" w:right="239" w:bottom="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2,019.7</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100.2</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6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pro-forma adjustments to the Combined Consolidated Statement of Operations:</w:t>
      </w:r>
    </w:p>
    <w:p>
      <w:pPr>
        <w:spacing w:after="0" w:line="2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operating revenue and net income related to Horizon’s Hawaii operations to reflect the Pasha Transaction.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 Horizon’s interest expense due to the repayment of Horizon’s debt, and record interest expense based upon an estimated Company borrowings.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additional depreciation and amortization expense due to increase in fair value of the acquired tangible and intangible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adjustment to income tax expense based upon Matson’s estimated income tax 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adjustments for certain acquisition related expenses.</w:t>
      </w:r>
    </w:p>
    <w:p>
      <w:pPr>
        <w:spacing w:after="0" w:line="20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TERMINAL JOINT VENTURE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its 35 percent ownership interest in the related party Terminal Joint Venture using the equity method of accounting. The Company records its share of income or loss in the Terminal Joint Venture in operating expenses within the Ocean Transportation segment, due to operations of the Terminal Joint Venture being an integral part of the Company’s Ocean Transportation business. The Company’s investment in the Terminal Joint Venture was $66.4 million and $64.4 million at December 31, 2015 and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share of income or loss recorded in the Consolidated Statements of Income and Comprehensive Income, and dividends received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during the years ended December 31, 2015, 2014 and 2013 is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Terminal Joint Venture</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Years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Company Share of Net Income (Loss)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Distributions Received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Company’s Ocean Transportation segment operating costs include $174.1 million, $164.8 million and $164.3 million, for 2015, 2014 and 2013, respectively, for terminal services provided by SSAT. Accounts payable and accrued liabilities in the consolidated balance sheets include $19.5 million and $17.5 million for terminal services payable to the Terminal Joint Venture at December 31, 2015 and 2014,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unaudited financial information for the Terminal Joint Venture at December 31, 2015 and 2014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(Unaudited)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121.2</w:t>
            </w: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Total Liabilities and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(Unaudited)</w:t>
            </w: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Years Ended December 31,</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589.7</w:t>
            </w: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Net Income (Loss) (1)</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(1) Includes earnings from equity method investments held by the Terminal Joint Venture.</w:t>
      </w:r>
    </w:p>
    <w:p>
      <w:pPr>
        <w:spacing w:after="0" w:line="19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Property and equipment at December 31, 2015 and 2014, and depreciation expense in the three years ended December 31, 2015 includes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8" w:name="page39"/>
    <w:bookmarkEnd w:id="3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2014</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1,263.8</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8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Property and equipment included assets subject to capital leases with a net book value of $6.4 million and $2.6 million, net of accumulated depreciation of $1.1 million and $0.7 million at December 31, 2015 and 2014, respectively. Amortization recorded in the consolidated statement of income and comprehensive income was $0.6 million, $0.3 million and $0.3 million for the years ended December 31, 2015, 2014 and 2013,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fourth quarter of 2013, the Company entered into agreements with a shipyard for the construction of two new 3,600 twenty-foot equivalent units Aloha-class container vessels at a cost of $418.0 million. The container vessels are expected to be delivered during the third quarter of 2018 and the first quarter of 2019. Progress payments to the shipyard of $29.3 million and $8.4 million as of December 31, 2015 and 2014, respectively, are included in construction in progress.</w:t>
      </w:r>
    </w:p>
    <w:p>
      <w:pPr>
        <w:spacing w:after="0" w:line="18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goodwill for the years ended December 31, 2015 and 2014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Goodwill</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Ocean</w:t>
            </w:r>
          </w:p>
        </w:tc>
        <w:tc>
          <w:tcPr>
            <w:tcW w:w="220" w:type="dxa"/>
            <w:vAlign w:val="bottom"/>
          </w:tcPr>
          <w:p>
            <w:pPr>
              <w:spacing w:after="0"/>
              <w:rPr>
                <w:sz w:val="10"/>
                <w:szCs w:val="10"/>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Goodwill related to the Ocean Transportation reporting unit increased $214.2 million during the year ended December 31, 2015 related to the Horizon Acquisition (see Note 3). There was no accumulated impairment related to goodwill as of December 31,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2015 and 2014 include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Intangible Assets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Ocean</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2014</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2015</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at December 31, 2015</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Intangible Assets</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Ocean</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2013</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2014</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at December 31, 2014</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Intangible assets related to Ocean Transportation increased by $140.0 million during the year ended December 31, 2015 related to customer relationships acquired as part of the Horizon Acquisition, and are being amortized over 21 years (see Note 3). Amortization expense was $4.4 million, $1.3 million and $0.8 million for 2015, 2014, and 2013,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expenses related to intangible assets over the next five years are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33"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0"/>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and certain related equipment built in the U.S., and for use between covered U.S. ports as described by the Merchant Marine Act (see Item 1 of Part 1 for additional information on Maritime Laws and the Jones Act). Participants of the CCF must also meet certain U.S. citizenship requirements.</w:t>
      </w:r>
    </w:p>
    <w:p>
      <w:pPr>
        <w:spacing w:after="0" w:line="19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Deposits into the CCF are limited by certain applicable earnings and other conditions. Such deposits, once made, are available as tax deductions in the Company’s tax provision. Qualified withdrawals from the CCF do not give rise to a current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Amounts deposited into the CCF are a preference item for calculating federal alternative minimum taxable income. 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on the consolidated balance sheets either as obligations of the Company’s current assets or as receivables from the CCF.</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2015 and 2014, $176.6 million and $150.7 million of eligible accounts receivable were assigned to the CCF. Due to the nature of the assignment of eligible accounts receivables into the CCF, such assigned amounts are classified as part of accounts receivable in the consolidated balance sheets. At December 31, 2015 and 2014, the Company had a nominal amount and $27.5 million on deposit in the CCF invested in a money market fund, and is classified as a long-term asset in the Company’s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7380" w:type="dxa"/>
            <w:vAlign w:val="bottom"/>
          </w:tcPr>
          <w:p>
            <w:pPr>
              <w:ind w:left="500"/>
              <w:spacing w:after="0"/>
              <w:rPr>
                <w:sz w:val="20"/>
                <w:szCs w:val="20"/>
                <w:color w:val="auto"/>
              </w:rPr>
            </w:pPr>
            <w:r>
              <w:rPr>
                <w:rFonts w:ascii="Arial" w:cs="Arial" w:eastAsia="Arial" w:hAnsi="Arial"/>
                <w:sz w:val="18"/>
                <w:szCs w:val="18"/>
                <w:b w:val="1"/>
                <w:bCs w:val="1"/>
                <w:color w:val="auto"/>
              </w:rPr>
              <w:t>DEBT</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At December 31, 2015 and 2014, the Company’s debt consisted of the following (in millions):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60" w:type="dxa"/>
            <w:vAlign w:val="bottom"/>
            <w:tcBorders>
              <w:bottom w:val="single" w:sz="8" w:color="CCEEFF"/>
            </w:tcBorders>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5.79%, payable through 2020</w:t>
            </w:r>
          </w:p>
        </w:tc>
        <w:tc>
          <w:tcPr>
            <w:tcW w:w="164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160" w:type="dxa"/>
            <w:vAlign w:val="bottom"/>
            <w:shd w:val="clear" w:color="auto" w:fill="CCEEFF"/>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3.66%, payable through 2023</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1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4.16%, payable through 2027</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160" w:type="dxa"/>
            <w:vAlign w:val="bottom"/>
            <w:shd w:val="clear" w:color="auto" w:fill="CCEEFF"/>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4.31%, payable through 2032</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1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4.35%, payable through 2044</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160" w:type="dxa"/>
            <w:vAlign w:val="bottom"/>
            <w:shd w:val="clear" w:color="auto" w:fill="CCEEFF"/>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3.92%, payable through 2045</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Title XI Bonds: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5.34%, payable through 2028</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1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5.27%, payable through 2029</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7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 of Debt: </w:t>
      </w:r>
      <w:r>
        <w:rPr>
          <w:rFonts w:ascii="Arial" w:cs="Arial" w:eastAsia="Arial" w:hAnsi="Arial"/>
          <w:sz w:val="18"/>
          <w:szCs w:val="18"/>
          <w:color w:val="auto"/>
        </w:rPr>
        <w:t>The following is a description of the Company’s debt: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Term Loans: </w:t>
      </w:r>
      <w:r>
        <w:rPr>
          <w:rFonts w:ascii="Arial" w:cs="Arial" w:eastAsia="Arial" w:hAnsi="Arial"/>
          <w:sz w:val="16"/>
          <w:szCs w:val="16"/>
          <w:color w:val="auto"/>
        </w:rPr>
        <w:t>The 5.79 percent notes payable through 2020 are amortized by semi-annual principal payments of $3.5 million plus interest. During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the Company issued new unsecured, fixed rate, amortizing long-term debt of $170.0 million, which funded in three tranches, $77.5 million at an interest rate of 3.66 percent maturing in 2023, $55.0 million at an interest rate of 4.16 percent maturing in 2027, and $37.5 million at an interest rate of 4.31 percent maturing in 2032. Interest is payable semi-annually. The weighted average coupon and average life of the three tranches of debt are 3.97 percent and 9.2 years, respectively. The notes began to amortize in 2015 with aggregate semi-annual payments of $4.6 million, which will continue through 2016, followed by $8.4 million in 2017 through mid-year 2023, $3.8 million through mid-year 2027, and $1.2 million thereafter.</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2014, the Company issued $100 million of 30-year senior unsecured private placement notes (the “2014 Notes”). The 2014 Notes have a weighted average life of 14.5 years and bear interest at a rate of 4.35 percent, payable semi-annually.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ectPr>
          <w:pgSz w:w="11900" w:h="16838" w:orient="portrait"/>
          <w:cols w:equalWidth="0" w:num="1">
            <w:col w:w="11420"/>
          </w:cols>
          <w:pgMar w:left="240" w:top="125" w:right="239" w:bottom="61" w:gutter="0" w:footer="0" w:header="0"/>
        </w:sectPr>
      </w:pPr>
    </w:p>
    <w:bookmarkStart w:id="40" w:name="page41"/>
    <w:bookmarkEnd w:id="40"/>
    <w:p>
      <w:pPr>
        <w:ind w:right="40"/>
        <w:spacing w:after="0" w:line="276" w:lineRule="auto"/>
        <w:rPr>
          <w:sz w:val="20"/>
          <w:szCs w:val="20"/>
          <w:color w:val="auto"/>
        </w:rPr>
      </w:pPr>
      <w:r>
        <w:rPr>
          <w:rFonts w:ascii="Arial" w:cs="Arial" w:eastAsia="Arial" w:hAnsi="Arial"/>
          <w:sz w:val="17"/>
          <w:szCs w:val="17"/>
          <w:color w:val="auto"/>
        </w:rPr>
        <w:t>In July 2015, the Company entered into a private placement note purchase agreement for the issuance of $75.0 million of 30-year senior unsecured notes (the “2015 Notes”). The 2015 Notes funded on October 1, 2015, have a weighted average life of approximately 13 years, and will bear interest at a rate of 3.92 percent, payable semi-annually. The 2015 Notes will begin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Title XI Bonds: </w:t>
      </w:r>
      <w:r>
        <w:rPr>
          <w:rFonts w:ascii="Arial" w:cs="Arial" w:eastAsia="Arial" w:hAnsi="Arial"/>
          <w:sz w:val="18"/>
          <w:szCs w:val="18"/>
          <w:color w:val="auto"/>
        </w:rPr>
        <w:t>In September 2003, the Company issued $55.0 million in U.S. Government guaranteed vessel finance bonds (Title XI) to partially finance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delivery of the MV </w:t>
      </w:r>
      <w:r>
        <w:rPr>
          <w:rFonts w:ascii="Arial" w:cs="Arial" w:eastAsia="Arial" w:hAnsi="Arial"/>
          <w:sz w:val="18"/>
          <w:szCs w:val="18"/>
          <w:i w:val="1"/>
          <w:iCs w:val="1"/>
          <w:color w:val="auto"/>
        </w:rPr>
        <w:t>Manukai</w:t>
      </w:r>
      <w:r>
        <w:rPr>
          <w:rFonts w:ascii="Arial" w:cs="Arial" w:eastAsia="Arial" w:hAnsi="Arial"/>
          <w:sz w:val="18"/>
          <w:szCs w:val="18"/>
          <w:color w:val="auto"/>
        </w:rPr>
        <w:t xml:space="preserve">. The secured bonds have a final maturity in September 2028 with a coupon of 5.34 percent. The bonds are amortized by semi-annual payments of $1.1 million plus interest. In August 2004, the Company issued $55.0 million of U.S. Government guaranteed vessel finance bonds (Title XI) to partially finance the delivery of the MV </w:t>
      </w:r>
      <w:r>
        <w:rPr>
          <w:rFonts w:ascii="Arial" w:cs="Arial" w:eastAsia="Arial" w:hAnsi="Arial"/>
          <w:sz w:val="18"/>
          <w:szCs w:val="18"/>
          <w:i w:val="1"/>
          <w:iCs w:val="1"/>
          <w:color w:val="auto"/>
        </w:rPr>
        <w:t>Maunawili</w:t>
      </w:r>
      <w:r>
        <w:rPr>
          <w:rFonts w:ascii="Arial" w:cs="Arial" w:eastAsia="Arial" w:hAnsi="Arial"/>
          <w:sz w:val="18"/>
          <w:szCs w:val="18"/>
          <w:color w:val="auto"/>
        </w:rPr>
        <w:t>. The secured bonds have a final maturity in July 2029, with a coupon of 5.27 percent. The bonds are amortized by semi-annual payments of $1.1 million plus interest.</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In 2012, the Company entered into a $375.0 million, five-year unsecured revolving credit facility with a syndicate of banks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Company with additional sources of liquidity for working capital requirements and investment opportunities (the “Credit Facility”). The Credit Facility includes a $100 million sub-limit for the issuance of standby and commercial letters of credit, and a $50 million sub-limit for swing line loans. The Credit Facility also includes an uncommitted option to increase the Credit Facility by $75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2015, the Company entered into an amendment to the credit facility (the “Credit Facility Amendment). The amendment includes an increase in the borrowing capacity to $400 million, and a five year extension of the maturity date to July 30, 2020. In addition, the Credit Facility Amendment includes a number of amended terms, including modifications to certain definitions and covenants, and includes an uncommitted option to increase the borrowing capacity of the Credit Facility Amendment by an additional $150 million.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Credit Facility is subject to commitment fees, letter of credit fees, and interest on borrowings based on the Company’s ratio of total debt to EBITDA (the “Leverage Ratio”). Commitment fees and letter of credit fees are computed using rates tied to a sliding scale, which range from 0.15 percent to 0.30 percent, and 1.00 percent to 1.75 percent, respectively, based on the Consolidated Net Leverage Ratio, as defined within the Credit Facility Amendment. Interest rates on borrowings are based upon the Eurodollar Rate (LIBOR) plus 1.00 percent to 1.75 percent using a sliding scale based on the Consolidated Net Leverage Ratio. The Company may also select an interest rate at a Base Rate as defined in the Credit Facility Amendment, plus a margin that ranges from zero percent to 0.75 percent. Based upon the Company’s Leverage Ratio, the interest rate applicable to any borrowings would have been approximately 1.4 percent at December 31, 2015.</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also entered into other amendments to its existing term loan agreements that included modifications to certain definitions and covenants, as defined within the agreements. Interest rates and other substantive terms remained unchanged.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2015 and 2014, the Company had no borrowings outstanding under the amended Credit Facility Amendment. As of December 31, 2015, the Company had $389.0 million of availability under the amended Credit Facility. The Company used $11.0 million of the sub-limit for letters of credit outstanding as of December 31, 2015.</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As of December 31, 2015, the Company had capital lease obligations of $3.1 million related to certain containers and equipment.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leases have been classified as current and long-term debt in the Company’s consolidated balance sheets.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Debt Guarantees: </w:t>
      </w:r>
      <w:r>
        <w:rPr>
          <w:rFonts w:ascii="Arial" w:cs="Arial" w:eastAsia="Arial" w:hAnsi="Arial"/>
          <w:sz w:val="18"/>
          <w:szCs w:val="18"/>
          <w:color w:val="auto"/>
        </w:rPr>
        <w:t>All of the Company’s debt as of December 31, 2015 was unsecured, except for $59.4 million in Title XI bonds, which is guaranteed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significant subsidiaries. All of the Company’s debt is fixed rate debt except for the amended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Principal financial covenants as defined in Matson’s Credit Facility and long term fixed rate debt include, but are not limited to:</w:t>
      </w:r>
    </w:p>
    <w:p>
      <w:pPr>
        <w:spacing w:after="0" w:line="225"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 of debt to consolidated EBITDA cannot exceed 3.25 to 1.00 for each fiscal four quarter period;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 of consolidated EBITDA to interest expense as of the end of any fiscal four quarter period cannot be less than 3.50 to 1.00; and</w:t>
      </w:r>
    </w:p>
    <w:p>
      <w:pPr>
        <w:spacing w:after="0" w:line="9" w:lineRule="exact"/>
        <w:rPr>
          <w:rFonts w:ascii="Arial" w:cs="Arial" w:eastAsia="Arial" w:hAnsi="Arial"/>
          <w:sz w:val="18"/>
          <w:szCs w:val="18"/>
          <w:color w:val="auto"/>
        </w:rPr>
      </w:pPr>
    </w:p>
    <w:p>
      <w:pPr>
        <w:ind w:left="340" w:right="120" w:hanging="332"/>
        <w:spacing w:after="0" w:line="255" w:lineRule="auto"/>
        <w:tabs>
          <w:tab w:leader="none" w:pos="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principal amount of priority debt at any time cannot exceed 20 percent of consolidated tangible assets; and the principal amount of priority debt that is not Title XI priority debt at any time cannot exceed 10 percent of consolidated tangible assets. Priority debt, as further defined in the Credit Facility Amendment, is all debt secured by a lien on the Company’s assets and certain subsidiary debt.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these covenants as of 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At December 31, 2015, debt maturities during the next five years and thereafter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r>
      <w:tr>
        <w:trPr>
          <w:trHeight w:val="210"/>
        </w:trPr>
        <w:tc>
          <w:tcPr>
            <w:tcW w:w="59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ectPr>
          <w:pgSz w:w="11900" w:h="16838" w:orient="portrait"/>
          <w:cols w:equalWidth="0" w:num="1">
            <w:col w:w="11400"/>
          </w:cols>
          <w:pgMar w:left="240" w:top="125" w:right="259" w:bottom="0" w:gutter="0" w:footer="0" w:header="0"/>
        </w:sectPr>
      </w:pPr>
    </w:p>
    <w:bookmarkStart w:id="41" w:name="page42"/>
    <w:bookmarkEnd w:id="41"/>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leases certain property and equipment, and other facilities under various operating lease agreements, with terms that range from 1 to 50 years. Such leases generally include provisions for the maintenance of the leased assets, options to purchase the assets at fair value, and renewal options to extend the lease agreements.</w:t>
      </w:r>
    </w:p>
    <w:p>
      <w:pPr>
        <w:spacing w:after="0" w:line="181"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Rent expense recorded in costs and expenses in the Consolidated Statement of Income and Comprehensive Income from operating leases totaled $65.6 million, $58.3 million and $58.2 million for the years ended December 31, 2015, 2014 and 2013, respectively, and includes volume-based terminal rent. Additionally, rent expense for short-term and cancelable equipment rentals was $39.9 million, $27.6 million and $20.5 million in 2015, 2014, and 2013, respectively. Management expects that in the normal course of business most operating leases will be renewed or replaced by other similar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operating leases as of December 31, 2015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 Operating</w:t>
            </w: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income tax expense on income from continuing operations for the years ended December 31, 2015, 2014 and 2013 consisted of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Federal</w:t>
            </w:r>
          </w:p>
        </w:tc>
        <w:tc>
          <w:tcPr>
            <w:tcW w:w="38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80"/>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0"/>
              <w:spacing w:after="0"/>
              <w:rPr>
                <w:sz w:val="20"/>
                <w:szCs w:val="20"/>
                <w:color w:val="auto"/>
              </w:rPr>
            </w:pPr>
            <w:r>
              <w:rPr>
                <w:rFonts w:ascii="Arial" w:cs="Arial" w:eastAsia="Arial" w:hAnsi="Arial"/>
                <w:sz w:val="18"/>
                <w:szCs w:val="18"/>
                <w:color w:val="auto"/>
              </w:rPr>
              <w:t>Total income tax expense</w:t>
            </w:r>
          </w:p>
        </w:tc>
        <w:tc>
          <w:tcPr>
            <w:tcW w:w="28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vMerge w:val="restart"/>
          </w:tcPr>
          <w:p>
            <w:pPr>
              <w:jc w:val="right"/>
              <w:ind w:right="770"/>
              <w:spacing w:after="0"/>
              <w:rPr>
                <w:sz w:val="20"/>
                <w:szCs w:val="20"/>
                <w:color w:val="auto"/>
              </w:rPr>
            </w:pPr>
            <w:r>
              <w:rPr>
                <w:rFonts w:ascii="Arial" w:cs="Arial" w:eastAsia="Arial" w:hAnsi="Arial"/>
                <w:sz w:val="18"/>
                <w:szCs w:val="18"/>
                <w:color w:val="auto"/>
              </w:rPr>
              <w:t>56</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tax expense for 2015, 2014, and 2013 differs from amounts computed by applying the statutory federal rate to income from continuing operations before income taxes for the following reasons:</w:t>
      </w:r>
    </w:p>
    <w:p>
      <w:pPr>
        <w:spacing w:after="0" w:line="162"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State income tax</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Foreign taxes</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adjustment</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Unrecognized tax benefits</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 net</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r>
      <w:tr>
        <w:trPr>
          <w:trHeight w:val="223"/>
        </w:trPr>
        <w:tc>
          <w:tcPr>
            <w:tcW w:w="6420" w:type="dxa"/>
            <w:vAlign w:val="bottom"/>
          </w:tcPr>
          <w:p>
            <w:pPr>
              <w:ind w:left="20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r>
      <w:tr>
        <w:trPr>
          <w:trHeight w:val="20"/>
        </w:trPr>
        <w:tc>
          <w:tcPr>
            <w:tcW w:w="6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 recorded a valuation allowance against operating losses related to a foreign subsidiary of $1.8 million and $4.1 million in 2015 and 2014, respectively, as the Company determined the tax benefits associated with such losses may not be realized in future periods. No valuation allowance was recorded in 2013. The tax effects of temporary differences that give rise to significant portions of the deferred tax assets and deferred tax liabilities at December 31 of each year are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net operating losses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net operating losses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Foreign losses</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Alternative minimum tax credits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0"/>
        </w:trPr>
        <w:tc>
          <w:tcPr>
            <w:tcW w:w="8320" w:type="dxa"/>
            <w:vAlign w:val="bottom"/>
          </w:tcPr>
          <w:p>
            <w:pPr>
              <w:ind w:left="200"/>
              <w:spacing w:after="0"/>
              <w:rPr>
                <w:sz w:val="20"/>
                <w:szCs w:val="20"/>
                <w:color w:val="auto"/>
              </w:rPr>
            </w:pPr>
            <w:r>
              <w:rPr>
                <w:rFonts w:ascii="Arial" w:cs="Arial" w:eastAsia="Arial" w:hAnsi="Arial"/>
                <w:sz w:val="18"/>
                <w:szCs w:val="18"/>
                <w:color w:val="auto"/>
              </w:rPr>
              <w:t>Total deferred tax assets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18"/>
                <w:szCs w:val="18"/>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300.8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Construction Fund</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111"/>
        </w:trPr>
        <w:tc>
          <w:tcPr>
            <w:tcW w:w="8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40" w:top="125" w:right="19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Joint ventures and other investments</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0"/>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liabilities</w:t>
            </w: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Effective December 31, 2015, the Company early adopted ASU 2015-17 on a prospective basis as current net deferred tax assets are not significant to the Company’s consolidated balance sheets, and no prior periods were retrospectively adjusted (see Note 2). As of December 31, 2014, the Company’s net current deferred income taxes were $8.0 million.</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income taxes payable has been reduced by the tax benefits from share-based compensation. The Company receives an income tax benefit for exercised stock options calculated as the difference between the fair market value of the stock issued at the time of exercise and the option exercise price, tax effected. The Company also receives an income tax benefit for non-vested stock when it vests, measured as the fair market value of the stock at the time of vesting, tax effected. The net tax benefits from share-based transactions were $2.6 million and $0.8 million for 2015 and 2014, respectively, and the portion of the tax benefit related to the excess of the amount reported as the tax deduction over expense was reflected as an increase to additional paid in capital in the Consolidated Statements of Shareholders’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Operating Loss and Tax Credit Carryforwards: </w:t>
      </w:r>
      <w:r>
        <w:rPr>
          <w:rFonts w:ascii="Arial" w:cs="Arial" w:eastAsia="Arial" w:hAnsi="Arial"/>
          <w:sz w:val="17"/>
          <w:szCs w:val="17"/>
          <w:color w:val="auto"/>
        </w:rPr>
        <w:t>The Company’s U.S. federal income tax net operating losses (“NOL”) carryforwards were $194.2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 income tax NOLs were $192.4 million, and foreign income tax NOLs were $20.2 million as of December 31, 2015, respectively. The Company’s foreign income tax NOLs were $14.6 million as of December 31, 2014 and the Company had no U.S. federal or state NOLs at that date. The Company’s U.S. federal and state income tax NOL’s will expire on various dates through December 31, 2034. The Company’s alternative minimum tax credit carryforwards were $3.6 million and $1.5 million as of December 31, 2015 and December 31, 2014, respectively, and have no expiration dates.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recorded a valuation allowance of $12.6 million against all of the Company’s foreign income tax NOLs and a portion of the state income tax NOLs that it believes it is more likely than not that the benefit from these amounts will not be realized.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U.S. federal and state income tax NOL carryforwards in the income tax returns filed included unrecognized tax benefits. The deferred tax assets recognized for those NOLs are presented net of these unrecognized tax benefits. Because of the change of ownership provisions of the Tax Reform Act of 1986, use of a portion of the Company’s domestic NOL and tax credit carryforwards may be limited in future periods. Further, a portion of the carryforwards may expire before being applied to reduce future income tax liabilities.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 the Company’s effective rate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periods. The Company does not expect a material change in gross unrecognized benefits in the next twelve months. A reconciliation of the beginning and ending amount of gross unrecognized tax benefits is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Unrecognized Tax Benefits: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from unrecognized tax benefits acquired</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in income tax expense. To the extent interest and penalties are not ultimately assessed with respect to the settlement of uncertain tax positions, amounts accrued will be reduced and reflected as a reduction of the overall income tax provision. Interest accrued related to the balance of unrecognized tax benefits totaled $0.4 million, $0.2 million and $0.3 million as of December 31, 2015, 2014 and 2013, respectively.</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2012, and substantially all material income tax matters have been concluded for years through 2010. The Company is routinely involved in State, local income and excise tax audits.</w:t>
      </w:r>
    </w:p>
    <w:p>
      <w:pPr>
        <w:spacing w:after="0" w:line="166"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Company has two funded qualified single-employer defined benefit pension plans that cover certain non-bargaining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Certain groups of retirees pay a portion of the benefit costs.</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an Investment Committee that meets regularly with investment advisors to</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investment policies, direct investments and select investment options for the qualified plans. The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w:t>
      </w:r>
    </w:p>
    <w:p>
      <w:pPr>
        <w:sectPr>
          <w:pgSz w:w="11900" w:h="16838" w:orient="portrait"/>
          <w:cols w:equalWidth="0" w:num="1">
            <w:col w:w="11420"/>
          </w:cols>
          <w:pgMar w:left="240" w:top="140" w:right="239" w:bottom="0" w:gutter="0" w:footer="0" w:header="0"/>
        </w:sectPr>
      </w:pPr>
    </w:p>
    <w:bookmarkStart w:id="43" w:name="page44"/>
    <w:bookmarkEnd w:id="43"/>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policy does not permit direct investment in certain types of assets, such as options or commodities, or the use of certain strategies, such as short selling or the purchase of securities on margin.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2015 and 2014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categories</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Target</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66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targeted asset allocation of the fund.</w:t>
      </w:r>
    </w:p>
    <w:p>
      <w:pPr>
        <w:spacing w:after="0" w:line="1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expected return on plan assets is principally based on the Company’s historical returns combined with the Company’s long-term future expectations regarding asset class returns, the mix of plan assets, and inflation assumptions. The one-, three-, and five-year pension asset returns (losses) were (2.0) percent, 8.0 percent, and 6.8 percent, respectively, and the long-term average return (since plan inception in 1989) has been approximately 8.3 percent. Over the long-term, the actual returns have generally exceeded the benchmark returns used by the Company to evaluate performance of its fund managers.</w:t>
      </w:r>
    </w:p>
    <w:p>
      <w:pPr>
        <w:spacing w:after="0" w:line="15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 highly liquid exchanges.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Corporate bonds and U.S. government treasury and agency securities are valued based upon the closing price reported in the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Real Estate, Private Equity and Insurance Contract Interests</w:t>
      </w:r>
      <w:r>
        <w:rPr>
          <w:rFonts w:ascii="Arial" w:cs="Arial" w:eastAsia="Arial" w:hAnsi="Arial"/>
          <w:sz w:val="17"/>
          <w:szCs w:val="17"/>
          <w:color w:val="auto"/>
        </w:rPr>
        <w:t>: The fair value of real estate, private equity and insurance contract interests are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based on the unit values of the funds. Unit values are determined by dividing the fund’s net assets by the number of units outstanding at the valuation date. Fair value for underlying investments in real estate is determined through independent property appraisals. Fair value of underlying investments in private equity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 Insurance contracts are principally invested in real estate assets, which are valued based upon independent appraisals.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pension plan assets at December 31, 2015 and 2014, by asset category,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December 31, 2015</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22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large-cap</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mid- and small-cap</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large-cap</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International small-cap</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Investment grade U.S. corporate bonds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High-yield U.S. corporate bonds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Emerging markets fixed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Real estate partnership interests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equity partnership interests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3321685</wp:posOffset>
            </wp:positionH>
            <wp:positionV relativeFrom="page">
              <wp:posOffset>97155</wp:posOffset>
            </wp:positionV>
            <wp:extent cx="40132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December 31, 2014</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22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large-cap</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mid- and small-cap</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large-cap</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International small-cap</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Investment grade U.S. corporate bonds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High-yield U.S. corporate bonds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Emerging markets fixed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Real estate partnership interests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equity partnership interests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presents a reconciliation of all pension plan investments measured at fair value on a recurring basis using significant unobservable inputs (Level 3) for the years ended December 31,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760" w:type="dxa"/>
            <w:vAlign w:val="bottom"/>
            <w:gridSpan w:val="7"/>
          </w:tcPr>
          <w:p>
            <w:pPr>
              <w:jc w:val="center"/>
              <w:ind w:left="819"/>
              <w:spacing w:after="0"/>
              <w:rPr>
                <w:sz w:val="20"/>
                <w:szCs w:val="20"/>
                <w:color w:val="auto"/>
              </w:rPr>
            </w:pPr>
            <w:r>
              <w:rPr>
                <w:rFonts w:ascii="Arial" w:cs="Arial" w:eastAsia="Arial" w:hAnsi="Arial"/>
                <w:sz w:val="14"/>
                <w:szCs w:val="14"/>
                <w:b w:val="1"/>
                <w:bCs w:val="1"/>
                <w:color w:val="auto"/>
                <w:w w:val="92"/>
              </w:rPr>
              <w:t>Fair Value Measurements Using Significant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Unobservable Inputs (Level 3)</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6"/>
              </w:rPr>
              <w:t>Private Equity</w:t>
            </w:r>
          </w:p>
        </w:tc>
        <w:tc>
          <w:tcPr>
            <w:tcW w:w="440" w:type="dxa"/>
            <w:vAlign w:val="bottom"/>
          </w:tcPr>
          <w:p>
            <w:pPr>
              <w:spacing w:after="0"/>
              <w:rPr>
                <w:sz w:val="12"/>
                <w:szCs w:val="12"/>
                <w:color w:val="auto"/>
              </w:rPr>
            </w:pPr>
          </w:p>
        </w:tc>
        <w:tc>
          <w:tcPr>
            <w:tcW w:w="9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Actual return (loss) on plan assets: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at the reporting date</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Assets sold during the period</w:t>
            </w:r>
          </w:p>
        </w:tc>
        <w:tc>
          <w:tcPr>
            <w:tcW w:w="1060" w:type="dxa"/>
            <w:vAlign w:val="bottom"/>
          </w:tcPr>
          <w:p>
            <w:pPr>
              <w:spacing w:after="0"/>
              <w:rPr>
                <w:sz w:val="18"/>
                <w:szCs w:val="18"/>
                <w:color w:val="auto"/>
              </w:rPr>
            </w:pPr>
          </w:p>
        </w:tc>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 net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(loss) on plan assets: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Assets held at the reporting date</w:t>
            </w:r>
          </w:p>
        </w:tc>
        <w:tc>
          <w:tcPr>
            <w:tcW w:w="1060" w:type="dxa"/>
            <w:vAlign w:val="bottom"/>
          </w:tcPr>
          <w:p>
            <w:pPr>
              <w:spacing w:after="0"/>
              <w:rPr>
                <w:sz w:val="18"/>
                <w:szCs w:val="18"/>
                <w:color w:val="auto"/>
              </w:rPr>
            </w:pPr>
          </w:p>
        </w:tc>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sold during the period</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Purchases, sales and settlements, net</w:t>
            </w:r>
          </w:p>
        </w:tc>
        <w:tc>
          <w:tcPr>
            <w:tcW w:w="1060" w:type="dxa"/>
            <w:vAlign w:val="bottom"/>
          </w:tcPr>
          <w:p>
            <w:pPr>
              <w:spacing w:after="0"/>
              <w:rPr>
                <w:sz w:val="18"/>
                <w:szCs w:val="18"/>
                <w:color w:val="auto"/>
              </w:rPr>
            </w:pP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w w:val="97"/>
              </w:rPr>
              <w:t>(0.5)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In 2015, 2014 and 2013, the Company contributed $4.7 million, $6.5 million and $3.5 million, respectively. The Company’s funding policy is to contribute cash to its pension plans so that it meets at least the minimum contribution requirements.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Benefit Plan Assets and Obligations: </w:t>
      </w:r>
      <w:r>
        <w:rPr>
          <w:rFonts w:ascii="Arial" w:cs="Arial" w:eastAsia="Arial" w:hAnsi="Arial"/>
          <w:sz w:val="16"/>
          <w:szCs w:val="16"/>
          <w:color w:val="auto"/>
        </w:rPr>
        <w:t>The measurement date for the Company’s benefit plan disclosures is December 31 of each year. The status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funded qualified defined benefit pension plans and the unfunded post-retirement benefit plans at December 31, 2015 and 2014 are shown below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Pension Benefits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Other Post-retirement</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4"/>
          </w:tcPr>
          <w:p>
            <w:pPr>
              <w:jc w:val="center"/>
              <w:ind w:left="537"/>
              <w:spacing w:after="0" w:line="149" w:lineRule="exact"/>
              <w:rPr>
                <w:sz w:val="20"/>
                <w:szCs w:val="20"/>
                <w:color w:val="auto"/>
              </w:rPr>
            </w:pPr>
            <w:r>
              <w:rPr>
                <w:rFonts w:ascii="Arial" w:cs="Arial" w:eastAsia="Arial" w:hAnsi="Arial"/>
                <w:sz w:val="14"/>
                <w:szCs w:val="14"/>
                <w:b w:val="1"/>
                <w:bCs w:val="1"/>
                <w:color w:val="auto"/>
                <w:w w:val="90"/>
              </w:rPr>
              <w:t>Benefits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9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237.4</w:t>
            </w:r>
          </w:p>
        </w:tc>
        <w:tc>
          <w:tcPr>
            <w:tcW w:w="30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participants’ contributions</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net of subsidies received</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60"/>
          </w:cols>
          <w:pgMar w:left="240" w:top="360" w:right="19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Expenses paid</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0"/>
                <w:szCs w:val="20"/>
                <w:color w:val="auto"/>
              </w:rPr>
            </w:pPr>
          </w:p>
        </w:tc>
        <w:tc>
          <w:tcPr>
            <w:tcW w:w="1620" w:type="dxa"/>
            <w:vAlign w:val="bottom"/>
            <w:gridSpan w:val="3"/>
          </w:tcPr>
          <w:p>
            <w:pPr>
              <w:jc w:val="right"/>
              <w:ind w:right="7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172.8</w:t>
            </w:r>
          </w:p>
        </w:tc>
        <w:tc>
          <w:tcPr>
            <w:tcW w:w="540" w:type="dxa"/>
            <w:vAlign w:val="bottom"/>
          </w:tcPr>
          <w:p>
            <w:pPr>
              <w:spacing w:after="0"/>
              <w:rPr>
                <w:sz w:val="18"/>
                <w:szCs w:val="18"/>
                <w:color w:val="auto"/>
              </w:rPr>
            </w:pPr>
          </w:p>
        </w:tc>
        <w:tc>
          <w:tcPr>
            <w:tcW w:w="1620" w:type="dxa"/>
            <w:vAlign w:val="bottom"/>
            <w:gridSpan w:val="3"/>
          </w:tcPr>
          <w:p>
            <w:pPr>
              <w:jc w:val="right"/>
              <w:ind w:right="7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Plan participants’ contributions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6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Benefits paid, net of subsidies received</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paid</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3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2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9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recognized on the consolidated balance sheets and in accumulated other comprehensive loss at December 31, 2015 and 2014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4"/>
            <w:vMerge w:val="restart"/>
          </w:tcPr>
          <w:p>
            <w:pPr>
              <w:jc w:val="right"/>
              <w:ind w:right="5"/>
              <w:spacing w:after="0"/>
              <w:rPr>
                <w:sz w:val="20"/>
                <w:szCs w:val="20"/>
                <w:color w:val="auto"/>
              </w:rPr>
            </w:pPr>
            <w:r>
              <w:rPr>
                <w:rFonts w:ascii="Arial" w:cs="Arial" w:eastAsia="Arial" w:hAnsi="Arial"/>
                <w:sz w:val="14"/>
                <w:szCs w:val="14"/>
                <w:b w:val="1"/>
                <w:bCs w:val="1"/>
                <w:color w:val="auto"/>
                <w:w w:val="96"/>
              </w:rPr>
              <w:t>Pension Benefits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Other 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center"/>
              <w:ind w:left="557"/>
              <w:spacing w:after="0" w:line="149" w:lineRule="exact"/>
              <w:rPr>
                <w:sz w:val="20"/>
                <w:szCs w:val="20"/>
                <w:color w:val="auto"/>
              </w:rPr>
            </w:pPr>
            <w:r>
              <w:rPr>
                <w:rFonts w:ascii="Arial" w:cs="Arial" w:eastAsia="Arial" w:hAnsi="Arial"/>
                <w:sz w:val="14"/>
                <w:szCs w:val="14"/>
                <w:b w:val="1"/>
                <w:bCs w:val="1"/>
                <w:color w:val="auto"/>
                <w:w w:val="86"/>
              </w:rPr>
              <w:t>Benefits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Non-current liabilities, net</w:t>
            </w: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w:t>
            </w: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Prior service credit (net of taxes)</w:t>
            </w: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for qualified pension plans with an accumulated benefit obligation in excess of plan assets at December 31, 2015 and 2014 is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0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9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9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estimated net loss and prior service credit for the qualified pension plans that will be amortized from accumulated other comprehensive loss into net periodic benefit cost, net of tax, in 2016 is $1.8 million. The estimated net loss and prior service cost for the other post-retirement benefit plans that will be amortized from accumulated other comprehensive loss into net periodic benefit cost, net of tax, in 2016 is $0.8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Components of the net periodic benefit cost and other amounts recognized in other comprehensive income (loss) for the qualified pension plans and the post-retirement health care and life insurance benefit plans during 2015, 2014, and 2013, are shown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Pension Benefits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333"/>
              <w:spacing w:after="0"/>
              <w:rPr>
                <w:sz w:val="20"/>
                <w:szCs w:val="20"/>
                <w:color w:val="auto"/>
              </w:rPr>
            </w:pPr>
            <w:r>
              <w:rPr>
                <w:rFonts w:ascii="Arial" w:cs="Arial" w:eastAsia="Arial" w:hAnsi="Arial"/>
                <w:sz w:val="14"/>
                <w:szCs w:val="14"/>
                <w:b w:val="1"/>
                <w:bCs w:val="1"/>
                <w:color w:val="auto"/>
                <w:w w:val="92"/>
              </w:rPr>
              <w:t>Other Post-retirement Benefits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30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Changes in Plan Assets and Benefit Obligations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Recognized in Other Comprehensive Income (net of tax)</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Net loss (gain)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prior service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Amortization of unrecognized loss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8"/>
                <w:szCs w:val="18"/>
                <w:color w:val="auto"/>
              </w:rPr>
              <w:t>Total recognized in other comprehensive income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vMerge w:val="continue"/>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recognized in net periodic benefit cost and other</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vMerge w:val="continue"/>
            <w:shd w:val="clear" w:color="auto" w:fill="CCEEFF"/>
          </w:tcPr>
          <w:p>
            <w:pPr>
              <w:spacing w:after="0"/>
              <w:rPr>
                <w:sz w:val="15"/>
                <w:szCs w:val="15"/>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300" w:type="dxa"/>
            <w:vAlign w:val="bottom"/>
            <w:gridSpan w:val="2"/>
            <w:vMerge w:val="restart"/>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38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to determine benefit information during 2015, 2014, and 2013, were as follows:</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4760"/>
        <w:spacing w:after="0"/>
        <w:tabs>
          <w:tab w:leader="none" w:pos="8360" w:val="left"/>
        </w:tabs>
        <w:rPr>
          <w:sz w:val="20"/>
          <w:szCs w:val="20"/>
          <w:color w:val="auto"/>
        </w:rPr>
      </w:pPr>
      <w:r>
        <w:rPr>
          <w:rFonts w:ascii="Arial" w:cs="Arial" w:eastAsia="Arial" w:hAnsi="Arial"/>
          <w:sz w:val="14"/>
          <w:szCs w:val="14"/>
          <w:b w:val="1"/>
          <w:bCs w:val="1"/>
          <w:color w:val="auto"/>
        </w:rPr>
        <w:t>Pension Benefits</w:t>
      </w:r>
      <w:r>
        <w:rPr>
          <w:sz w:val="20"/>
          <w:szCs w:val="20"/>
          <w:color w:val="auto"/>
        </w:rPr>
        <w:tab/>
      </w:r>
      <w:r>
        <w:rPr>
          <w:rFonts w:ascii="Arial" w:cs="Arial" w:eastAsia="Arial" w:hAnsi="Arial"/>
          <w:sz w:val="13"/>
          <w:szCs w:val="13"/>
          <w:b w:val="1"/>
          <w:bCs w:val="1"/>
          <w:color w:val="auto"/>
        </w:rPr>
        <w:t>Other Post-retirement Benefits</w:t>
      </w:r>
    </w:p>
    <w:p>
      <w:pPr>
        <w:sectPr>
          <w:pgSz w:w="11900" w:h="16838" w:orient="portrait"/>
          <w:cols w:equalWidth="0" w:num="1">
            <w:col w:w="11420"/>
          </w:cols>
          <w:pgMar w:left="240" w:top="125" w:right="239"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Discount rate (1)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4.50%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8.00%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health care cost trend rate (2)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Pre-65 group</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Post-65 group</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Ultimate health care cost trend rate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02"/>
        </w:trPr>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Year ultimate health care cost trend rate is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reached (2)</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Pre-65 group</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2037</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Post-65 group</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2036</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Company derives a single equivalent rate utilizing a yield curve constructed from a portfolio of high-quality corporate bonds with various maturities.</w:t>
      </w:r>
    </w:p>
    <w:p>
      <w:pPr>
        <w:ind w:left="180" w:hanging="172"/>
        <w:spacing w:after="0"/>
        <w:tabs>
          <w:tab w:leader="none" w:pos="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Starting in 2015, initial and ultimate health care trend rates used to determine obligations are different for pre-65 and post-65 populations.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2014, the Company adopted a modified version of the new mortality table (RP-2014) issued by the Society of Actuaries in October 2014 along with a modified mortality improvement scale for the purposes of determining the Company’s mortality assumption used in its defined benefit and other post-retirement plan liability calculations. The use of the new table resulted in an increase of approximately $17.6 million and $3.9 million to the projected benefit obligation for pension and other post-retirement benefits, respectively as of December 31, 2014.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the assumed health care cost trend rate were increased or decreased one percentage point, the accumulated post-retirement benefit obligation, as of December 31, 2015, 2014, and 2013 and the net periodic post-retirement benefit cost for 2015, 2014 and 2013, would have increased or decreased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Other Post-retirement Benefits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7"/>
              </w:rPr>
              <w:t>One Percentage Point</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Increase</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Decrease</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0.6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7.1</w:t>
            </w: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bl>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Current liabilities of $3.7 million and $4.1 million, related to non-qualified pension benefits and post-retirement benefits, are classified as accrued and other liabilities in the consolidated balance sheets as of December 31, 2015 and 2014,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Non-qualified Pension Plans: </w:t>
      </w:r>
      <w:r>
        <w:rPr>
          <w:rFonts w:ascii="Arial" w:cs="Arial" w:eastAsia="Arial" w:hAnsi="Arial"/>
          <w:sz w:val="18"/>
          <w:szCs w:val="18"/>
          <w:color w:val="auto"/>
        </w:rPr>
        <w:t>The Company has non-qualified supplemental pension plans covering certain employees and retirees, which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The Company also has a frozen non-qualified pension plan that covers one outside director and pays retirement benefits in a lump sum from the Company’s general funds. The obligations relating to these plans totaled $4.3 million and $5.4 million at December 31, 2015 and 2014, respectively. The expense associated with the non-qualified plans was $0.6 million in 2015, 2014 and 2013. A 3.4 percent discount rate was used to determine the 2015 obligation.</w:t>
      </w:r>
    </w:p>
    <w:p>
      <w:pPr>
        <w:spacing w:after="0" w:line="18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December 31, 2015, the amount recognized in accumulated other comprehensive loss for net loss for non-qualified pension costs, net of tax, was $0.8 million, and the amount recognized as prior service credit, net of tax, was $0.6 million. The net loss amortization and prior service credit amortization for the non-qualified plans to be recognized into net periodic pension costs in 2016, net of tax, is $0.1 million and $0.1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Qualified</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Non-qualified</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Pension Benefits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Benefits (1)</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2021-2025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Net of plan participants’ contributions and Medicare D subsidies.</w:t>
      </w:r>
    </w:p>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Defined Contribution Plans</w:t>
      </w:r>
      <w:r>
        <w:rPr>
          <w:rFonts w:ascii="Arial" w:cs="Arial" w:eastAsia="Arial" w:hAnsi="Arial"/>
          <w:sz w:val="16"/>
          <w:szCs w:val="16"/>
          <w:color w:val="auto"/>
        </w:rPr>
        <w:t>: The Company sponsors defined contribution plans that qualify under Sections 401(a) and 401(k) of the Internal Revenue Code.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make discretionary matching contributions equal to a specified percentage of each participant’s 401(k) contributions. For the plan year ended December 31, 2015, the Company provided matching contributions of up to 6 percent of eligible employee compensation. The Company’s matching contributions expensed under these plans totaled $2.0 million for year ended December 31, 2015, and $1.6 million for each of the years ended December 31, 2014, and 2013. The Company may also provide a discretionary Profit Sharing contribution under the qualified defined contribution plans. The Company will provide profit sharing contributions to salaried, non-bargaining unit employees, if both a minimum threshold of Company performance is achieved and the Board has approved the profit sharing contribution. For the plan year ended December 31, 2015, the Company provided profit sharing contributions equal to 3 percent of eligible employee compensation. For certain eligible employees, supplemental profit sharing contributions are credited under a non-qualified</w:t>
      </w:r>
    </w:p>
    <w:p>
      <w:pPr>
        <w:sectPr>
          <w:pgSz w:w="11900" w:h="16838" w:orient="portrait"/>
          <w:cols w:equalWidth="0" w:num="1">
            <w:col w:w="11420"/>
          </w:cols>
          <w:pgMar w:left="240" w:top="118" w:right="239" w:bottom="0" w:gutter="0" w:footer="0" w:header="0"/>
        </w:sectPr>
      </w:pPr>
    </w:p>
    <w:bookmarkStart w:id="47" w:name="page48"/>
    <w:bookmarkEnd w:id="47"/>
    <w:p>
      <w:pPr>
        <w:spacing w:after="0" w:line="6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Profit sharing expenses recorded in 2015, 2014 and 2013 under this plan totaled $1.9 million, $1.6 million and $1.2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2015, the Company’s estimated benefit plan withdrawal obligations were $216.8 million. Except as described in Note 14, no withdrawal obligations have been recorded by the Company in the consolidated balance sheets at December 31, 2015 and 2014 as the Company has no present intention of withdrawing from and does not anticipate termination of any of these plans.</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2015 and 2014 is for the plan’s year-end at December 31, 2015 and 2014,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left="437"/>
              <w:spacing w:after="0"/>
              <w:rPr>
                <w:sz w:val="20"/>
                <w:szCs w:val="20"/>
                <w:color w:val="auto"/>
              </w:rPr>
            </w:pPr>
            <w:r>
              <w:rPr>
                <w:rFonts w:ascii="Arial" w:cs="Arial" w:eastAsia="Arial" w:hAnsi="Arial"/>
                <w:sz w:val="13"/>
                <w:szCs w:val="13"/>
                <w:b w:val="1"/>
                <w:bCs w:val="1"/>
                <w:color w:val="auto"/>
                <w:w w:val="82"/>
              </w:rPr>
              <w:t>Pension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Protection Act</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Zone as of</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FIP/RP Status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9"/>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Contributions of Matson</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EIN/ Pension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5"/>
              </w:rPr>
              <w:t>December 31,</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Pending/</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 in millions)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Surcharge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29"/>
        </w:trPr>
        <w:tc>
          <w:tcPr>
            <w:tcW w:w="2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Pension Funds</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Plan Number</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b w:val="1"/>
                <w:bCs w:val="1"/>
                <w:color w:val="auto"/>
              </w:rPr>
              <w:t>Notes</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Implemented</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Contributor</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2015</w:t>
            </w: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center"/>
              <w:ind w:right="37"/>
              <w:spacing w:after="0" w:line="129" w:lineRule="exact"/>
              <w:rPr>
                <w:sz w:val="20"/>
                <w:szCs w:val="20"/>
                <w:color w:val="auto"/>
              </w:rPr>
            </w:pPr>
            <w:r>
              <w:rPr>
                <w:rFonts w:ascii="Arial" w:cs="Arial" w:eastAsia="Arial" w:hAnsi="Arial"/>
                <w:sz w:val="13"/>
                <w:szCs w:val="13"/>
                <w:b w:val="1"/>
                <w:bCs w:val="1"/>
                <w:color w:val="auto"/>
                <w:w w:val="89"/>
              </w:rPr>
              <w:t>2014</w:t>
            </w:r>
          </w:p>
        </w:tc>
        <w:tc>
          <w:tcPr>
            <w:tcW w:w="1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2013</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5"/>
              </w:rPr>
              <w:t>Imposed</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8"/>
              </w:rPr>
              <w:t>Date (6)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Hawaii Terminals Multiemployer</w:t>
            </w: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44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Pension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20-0389370-001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center"/>
              <w:ind w:right="200"/>
              <w:spacing w:after="0"/>
              <w:rPr>
                <w:sz w:val="20"/>
                <w:szCs w:val="20"/>
                <w:color w:val="auto"/>
              </w:rPr>
            </w:pPr>
            <w:r>
              <w:rPr>
                <w:rFonts w:ascii="Arial" w:cs="Arial" w:eastAsia="Arial" w:hAnsi="Arial"/>
                <w:sz w:val="13"/>
                <w:szCs w:val="13"/>
                <w:color w:val="auto"/>
                <w:w w:val="93"/>
              </w:rPr>
              <w:t>Yellow</w:t>
            </w: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93"/>
              </w:rPr>
              <w:t>Yellow</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Implemented</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20" w:type="dxa"/>
            <w:vAlign w:val="bottom"/>
            <w:gridSpan w:val="2"/>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2"/>
                <w:szCs w:val="12"/>
                <w:color w:val="auto"/>
              </w:rPr>
            </w:pPr>
          </w:p>
        </w:tc>
        <w:tc>
          <w:tcPr>
            <w:tcW w:w="100" w:type="dxa"/>
            <w:vAlign w:val="bottom"/>
            <w:gridSpan w:val="2"/>
            <w:vMerge w:val="continue"/>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6/30/2019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spacing w:after="0" w:line="121" w:lineRule="exact"/>
              <w:rPr>
                <w:sz w:val="20"/>
                <w:szCs w:val="20"/>
                <w:color w:val="auto"/>
              </w:rPr>
            </w:pPr>
            <w:r>
              <w:rPr>
                <w:rFonts w:ascii="Arial" w:cs="Arial" w:eastAsia="Arial" w:hAnsi="Arial"/>
                <w:sz w:val="13"/>
                <w:szCs w:val="13"/>
                <w:color w:val="auto"/>
              </w:rPr>
              <w:t>Hawaii Stevedoring Multiemployer</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Retirement Plan</w:t>
            </w:r>
          </w:p>
        </w:tc>
        <w:tc>
          <w:tcPr>
            <w:tcW w:w="1040" w:type="dxa"/>
            <w:vAlign w:val="bottom"/>
          </w:tcPr>
          <w:p>
            <w:pPr>
              <w:jc w:val="center"/>
              <w:spacing w:after="0"/>
              <w:rPr>
                <w:sz w:val="20"/>
                <w:szCs w:val="20"/>
                <w:color w:val="auto"/>
              </w:rPr>
            </w:pPr>
            <w:r>
              <w:rPr>
                <w:rFonts w:ascii="Arial" w:cs="Arial" w:eastAsia="Arial" w:hAnsi="Arial"/>
                <w:sz w:val="13"/>
                <w:szCs w:val="13"/>
                <w:color w:val="auto"/>
                <w:w w:val="88"/>
              </w:rPr>
              <w:t>99-0314293-001</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3"/>
                <w:szCs w:val="13"/>
                <w:color w:val="auto"/>
                <w:w w:val="93"/>
              </w:rPr>
              <w:t>Yellow</w:t>
            </w:r>
          </w:p>
        </w:tc>
        <w:tc>
          <w:tcPr>
            <w:tcW w:w="60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Yellow</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Implemented</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6/30/2019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7"/>
              </w:rPr>
              <w:t>Master, Mates and Pilots Pension Plan</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6/15/2023,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13-6372630-001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w w:val="82"/>
              </w:rPr>
              <w:t>Green</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6/15/2027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spacing w:after="0" w:line="121" w:lineRule="exact"/>
              <w:rPr>
                <w:sz w:val="20"/>
                <w:szCs w:val="20"/>
                <w:color w:val="auto"/>
              </w:rPr>
            </w:pPr>
            <w:r>
              <w:rPr>
                <w:rFonts w:ascii="Arial" w:cs="Arial" w:eastAsia="Arial" w:hAnsi="Arial"/>
                <w:sz w:val="13"/>
                <w:szCs w:val="13"/>
                <w:color w:val="auto"/>
              </w:rPr>
              <w:t>Masters, Mates and Pilots Adjustable</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7"/>
              </w:rPr>
              <w:t>6/15/2023,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Pension Plan</w:t>
            </w:r>
          </w:p>
        </w:tc>
        <w:tc>
          <w:tcPr>
            <w:tcW w:w="1040" w:type="dxa"/>
            <w:vAlign w:val="bottom"/>
          </w:tcPr>
          <w:p>
            <w:pPr>
              <w:jc w:val="center"/>
              <w:spacing w:after="0"/>
              <w:rPr>
                <w:sz w:val="20"/>
                <w:szCs w:val="20"/>
                <w:color w:val="auto"/>
              </w:rPr>
            </w:pPr>
            <w:r>
              <w:rPr>
                <w:rFonts w:ascii="Arial" w:cs="Arial" w:eastAsia="Arial" w:hAnsi="Arial"/>
                <w:sz w:val="13"/>
                <w:szCs w:val="13"/>
                <w:color w:val="auto"/>
                <w:w w:val="88"/>
              </w:rPr>
              <w:t>37-1719247-001</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6/15/2027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MEBA Pension Trust - Defined Benefit</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8/15/2018,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Plan</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51-6029896-001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center"/>
              <w:ind w:right="200"/>
              <w:spacing w:after="0"/>
              <w:rPr>
                <w:sz w:val="20"/>
                <w:szCs w:val="20"/>
                <w:color w:val="auto"/>
              </w:rPr>
            </w:pPr>
            <w:r>
              <w:rPr>
                <w:rFonts w:ascii="Arial" w:cs="Arial" w:eastAsia="Arial" w:hAnsi="Arial"/>
                <w:sz w:val="13"/>
                <w:szCs w:val="13"/>
                <w:color w:val="auto"/>
                <w:w w:val="83"/>
              </w:rPr>
              <w:t>Red</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Implemented</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6/15/2022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OCU Trust Pension Plan</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8"/>
              </w:rPr>
              <w:t>26-1574440-001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6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3"/>
              </w:rPr>
              <w:t>No</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6"/>
              </w:rPr>
              <w:t>6/30/2021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94-6201677-001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6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9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6/30/2017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spacing w:after="0" w:line="121" w:lineRule="exact"/>
              <w:rPr>
                <w:sz w:val="20"/>
                <w:szCs w:val="20"/>
                <w:color w:val="auto"/>
              </w:rPr>
            </w:pPr>
            <w:r>
              <w:rPr>
                <w:rFonts w:ascii="Arial" w:cs="Arial" w:eastAsia="Arial" w:hAnsi="Arial"/>
                <w:sz w:val="13"/>
                <w:szCs w:val="13"/>
                <w:color w:val="auto"/>
              </w:rPr>
              <w:t>Alaska Teamster - Employer Pension</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7"/>
              </w:rPr>
              <w:t>6/30/2016,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Plan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6/30/2018,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8"/>
              </w:rPr>
              <w:t>92-6003463-024</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3"/>
                <w:szCs w:val="13"/>
                <w:color w:val="auto"/>
                <w:w w:val="83"/>
              </w:rPr>
              <w:t>Red</w:t>
            </w:r>
          </w:p>
        </w:tc>
        <w:tc>
          <w:tcPr>
            <w:tcW w:w="6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Red</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Implemented</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Yes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Yes</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6/30/2019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91-6085352-001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6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9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6/30/2020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Pension Plan</w:t>
            </w:r>
          </w:p>
        </w:tc>
        <w:tc>
          <w:tcPr>
            <w:tcW w:w="1040" w:type="dxa"/>
            <w:vAlign w:val="bottom"/>
          </w:tcPr>
          <w:p>
            <w:pPr>
              <w:jc w:val="center"/>
              <w:spacing w:after="0"/>
              <w:rPr>
                <w:sz w:val="20"/>
                <w:szCs w:val="20"/>
                <w:color w:val="auto"/>
              </w:rPr>
            </w:pPr>
            <w:r>
              <w:rPr>
                <w:rFonts w:ascii="Arial" w:cs="Arial" w:eastAsia="Arial" w:hAnsi="Arial"/>
                <w:sz w:val="13"/>
                <w:szCs w:val="13"/>
                <w:color w:val="auto"/>
                <w:w w:val="88"/>
              </w:rPr>
              <w:t>91-6145047-001</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3"/>
                <w:szCs w:val="13"/>
                <w:color w:val="auto"/>
                <w:w w:val="82"/>
              </w:rPr>
              <w:t>Green</w:t>
            </w:r>
          </w:p>
        </w:tc>
        <w:tc>
          <w:tcPr>
            <w:tcW w:w="60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Green</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3/31/2018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Supplemental Benefit Trust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95-3746907-001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w w:val="82"/>
              </w:rPr>
              <w:t>Green</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No</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3/31/2018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8"/>
              </w:rPr>
              <w:t>13-2864289-001</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920" w:type="dxa"/>
            <w:vAlign w:val="bottom"/>
            <w:gridSpan w:val="3"/>
          </w:tcPr>
          <w:p>
            <w:pPr>
              <w:jc w:val="center"/>
              <w:ind w:right="200"/>
              <w:spacing w:after="0" w:line="135" w:lineRule="exact"/>
              <w:rPr>
                <w:sz w:val="20"/>
                <w:szCs w:val="20"/>
                <w:color w:val="auto"/>
              </w:rPr>
            </w:pPr>
            <w:r>
              <w:rPr>
                <w:rFonts w:ascii="Arial" w:cs="Arial" w:eastAsia="Arial" w:hAnsi="Arial"/>
                <w:sz w:val="13"/>
                <w:szCs w:val="13"/>
                <w:color w:val="auto"/>
                <w:w w:val="83"/>
              </w:rPr>
              <w:t>Red</w:t>
            </w: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3"/>
              </w:rPr>
              <w:t>Red</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3"/>
              </w:rPr>
              <w:t>No</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6"/>
              </w:rPr>
              <w:t>11/9/2017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Seafarers Pension Trust</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13-6100329-001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(4)(5)</w:t>
            </w:r>
          </w:p>
        </w:tc>
        <w:tc>
          <w:tcPr>
            <w:tcW w:w="1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6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2"/>
              </w:rPr>
              <w:t>Green</w:t>
            </w: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9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3"/>
              </w:rPr>
              <w:t>No</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6/30/2017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gridSpan w:val="2"/>
          </w:tcPr>
          <w:p>
            <w:pPr>
              <w:ind w:left="200"/>
              <w:spacing w:after="0" w:line="129" w:lineRule="exact"/>
              <w:rPr>
                <w:sz w:val="20"/>
                <w:szCs w:val="20"/>
                <w:color w:val="auto"/>
              </w:rPr>
            </w:pPr>
            <w:r>
              <w:rPr>
                <w:rFonts w:ascii="Arial" w:cs="Arial" w:eastAsia="Arial" w:hAnsi="Arial"/>
                <w:sz w:val="13"/>
                <w:szCs w:val="13"/>
                <w:color w:val="auto"/>
              </w:rPr>
              <w:t>Total</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17.8</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24" w:lineRule="auto"/>
        <w:tabs>
          <w:tab w:leader="none" w:pos="338" w:val="left"/>
        </w:tabs>
        <w:numPr>
          <w:ilvl w:val="0"/>
          <w:numId w:val="39"/>
        </w:numPr>
        <w:rPr>
          <w:rFonts w:ascii="Arial" w:cs="Arial" w:eastAsia="Arial" w:hAnsi="Arial"/>
          <w:sz w:val="13"/>
          <w:szCs w:val="13"/>
          <w:color w:val="auto"/>
        </w:rPr>
      </w:pPr>
      <w:r>
        <w:rPr>
          <w:rFonts w:ascii="Arial" w:cs="Arial" w:eastAsia="Arial" w:hAnsi="Arial"/>
          <w:sz w:val="13"/>
          <w:szCs w:val="13"/>
          <w:color w:val="auto"/>
        </w:rPr>
        <w:t>Effective December 31, 2012, the Masters, Mates and Pilots Pension Plan was frozen for all new benefit accruals. Commencing January 1, 2013, all new benefits accrue under a new Masters, Mates and Pilots Adjustable Pension Plan.</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Plan is not subject to the PPA funding requirements under IRS Section 432 as the Plan was not in effect on July 16, 2006.</w:t>
      </w:r>
    </w:p>
    <w:p>
      <w:pPr>
        <w:ind w:left="340" w:right="120" w:hanging="332"/>
        <w:spacing w:after="0" w:line="216" w:lineRule="auto"/>
        <w:tabs>
          <w:tab w:leader="none" w:pos="338"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2012, the Company agreed to contribute at least 11.7 percent of total wages paid to employees in covered Marine Engineer Benefits Association (“MEBA”) employment to the MEBA Pension Trust by a reallocation of the total labor cost under the collective bargaining agreement. The pension contribution rate was determined by the plan’s actuary to be necessary to maintain full funding of the pension plan and is fully offset by a reallocation of wages and other benefits.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Matson’s contributions to these plans commenced after the Horizon Acquisition on May 29, 2015.</w:t>
      </w:r>
    </w:p>
    <w:p>
      <w:pPr>
        <w:ind w:left="340" w:hanging="332"/>
        <w:spacing w:after="0" w:line="216" w:lineRule="auto"/>
        <w:tabs>
          <w:tab w:leader="none" w:pos="338"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expiration date of the collective bargaining agreement.</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also contributes to multi-employer plans that provide health and other benefits other than pensions under the terms of collective-bargaining agreements. Benefits provided to active and retired employees and their eligible dependents under these plans include medical, dental, vision, hearing, prescription drug, death, accidental death and dismemberment, disability, legal aid, scholarship program, wage insurance and license insurance, although not all of these benefits are provided by each plan. These plans are not subject to the PBGC plan termination and withdrawal liability provisions of ERISA applicable to multi-employer defined benefit pension plans.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health and benefit plans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7"/>
          </w:tcPr>
          <w:p>
            <w:pPr>
              <w:ind w:left="460"/>
              <w:spacing w:after="0"/>
              <w:rPr>
                <w:sz w:val="20"/>
                <w:szCs w:val="20"/>
                <w:color w:val="auto"/>
              </w:rPr>
            </w:pPr>
            <w:r>
              <w:rPr>
                <w:rFonts w:ascii="Arial" w:cs="Arial" w:eastAsia="Arial" w:hAnsi="Arial"/>
                <w:sz w:val="13"/>
                <w:szCs w:val="13"/>
                <w:b w:val="1"/>
                <w:bCs w:val="1"/>
                <w:color w:val="auto"/>
                <w:w w:val="90"/>
              </w:rPr>
              <w:t>Contributions of Matson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87"/>
              </w:rPr>
              <w:t>in millions)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Surcharge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Expiration</w:t>
            </w:r>
          </w:p>
        </w:tc>
      </w:tr>
      <w:tr>
        <w:trPr>
          <w:trHeight w:val="129"/>
        </w:trPr>
        <w:tc>
          <w:tcPr>
            <w:tcW w:w="32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Health and Benefit Plans</w:t>
            </w:r>
          </w:p>
        </w:tc>
        <w:tc>
          <w:tcPr>
            <w:tcW w:w="12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4"/>
              </w:rPr>
              <w:t>EIN Number</w:t>
            </w:r>
          </w:p>
        </w:tc>
        <w:tc>
          <w:tcPr>
            <w:tcW w:w="92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Notes</w:t>
            </w: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Contributor</w:t>
            </w:r>
          </w:p>
        </w:tc>
        <w:tc>
          <w:tcPr>
            <w:tcW w:w="140" w:type="dxa"/>
            <w:vAlign w:val="bottom"/>
          </w:tcPr>
          <w:p>
            <w:pPr>
              <w:spacing w:after="0"/>
              <w:rPr>
                <w:sz w:val="11"/>
                <w:szCs w:val="11"/>
                <w:color w:val="auto"/>
              </w:rPr>
            </w:pPr>
          </w:p>
        </w:tc>
        <w:tc>
          <w:tcPr>
            <w:tcW w:w="5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5"/>
              </w:rPr>
              <w:t>Imposed</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Date (3)</w:t>
            </w:r>
          </w:p>
        </w:tc>
      </w:tr>
      <w:tr>
        <w:trPr>
          <w:trHeight w:val="129"/>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9"/>
              </w:rPr>
              <w:t>Stevedore Industry Committee Welfare Benefit Plan</w:t>
            </w:r>
          </w:p>
        </w:tc>
        <w:tc>
          <w:tcPr>
            <w:tcW w:w="2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99-0313967-501</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3"/>
                <w:szCs w:val="13"/>
                <w:color w:val="auto"/>
                <w:w w:val="77"/>
              </w:rPr>
              <w:t>3.8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3"/>
              </w:rPr>
              <w:t>No</w:t>
            </w:r>
          </w:p>
        </w:tc>
        <w:tc>
          <w:tcPr>
            <w:tcW w:w="2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6/30/2019</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OCU Health and Welfare Trust</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8"/>
              </w:rPr>
              <w:t>26-1574455-501</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6"/>
              </w:rPr>
              <w:t>No</w:t>
            </w:r>
          </w:p>
        </w:tc>
        <w:tc>
          <w:tcPr>
            <w:tcW w:w="140" w:type="dxa"/>
            <w:vAlign w:val="bottom"/>
          </w:tcPr>
          <w:p>
            <w:pPr>
              <w:spacing w:after="0"/>
              <w:rPr>
                <w:sz w:val="11"/>
                <w:szCs w:val="11"/>
                <w:color w:val="auto"/>
              </w:rPr>
            </w:pPr>
          </w:p>
        </w:tc>
        <w:tc>
          <w:tcPr>
            <w:tcW w:w="66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3"/>
              </w:rPr>
              <w:t>No</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100" w:type="dxa"/>
            <w:vAlign w:val="bottom"/>
          </w:tcPr>
          <w:p>
            <w:pPr>
              <w:spacing w:after="0"/>
              <w:rPr>
                <w:sz w:val="11"/>
                <w:szCs w:val="11"/>
                <w:color w:val="auto"/>
              </w:rPr>
            </w:pPr>
          </w:p>
        </w:tc>
      </w:tr>
      <w:tr>
        <w:trPr>
          <w:trHeight w:val="124"/>
        </w:trPr>
        <w:tc>
          <w:tcPr>
            <w:tcW w:w="320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SUP Welfare Plan, Inc.</w:t>
            </w:r>
          </w:p>
        </w:tc>
        <w:tc>
          <w:tcPr>
            <w:tcW w:w="104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8"/>
              </w:rPr>
              <w:t>94-1243666-502</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240"/>
              <w:spacing w:after="0" w:line="124" w:lineRule="exact"/>
              <w:rPr>
                <w:sz w:val="20"/>
                <w:szCs w:val="20"/>
                <w:color w:val="auto"/>
              </w:rPr>
            </w:pPr>
            <w:r>
              <w:rPr>
                <w:rFonts w:ascii="Arial" w:cs="Arial" w:eastAsia="Arial" w:hAnsi="Arial"/>
                <w:sz w:val="13"/>
                <w:szCs w:val="13"/>
                <w:color w:val="auto"/>
                <w:w w:val="80"/>
              </w:rPr>
              <w:t>Yes</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2.7</w:t>
            </w:r>
          </w:p>
        </w:tc>
        <w:tc>
          <w:tcPr>
            <w:tcW w:w="1000" w:type="dxa"/>
            <w:vAlign w:val="bottom"/>
            <w:gridSpan w:val="2"/>
            <w:shd w:val="clear" w:color="auto" w:fill="CCEEFF"/>
          </w:tcPr>
          <w:p>
            <w:pPr>
              <w:jc w:val="center"/>
              <w:ind w:right="220"/>
              <w:spacing w:after="0" w:line="124" w:lineRule="exact"/>
              <w:rPr>
                <w:sz w:val="20"/>
                <w:szCs w:val="20"/>
                <w:color w:val="auto"/>
              </w:rPr>
            </w:pPr>
            <w:r>
              <w:rPr>
                <w:rFonts w:ascii="Arial" w:cs="Arial" w:eastAsia="Arial" w:hAnsi="Arial"/>
                <w:sz w:val="13"/>
                <w:szCs w:val="13"/>
                <w:color w:val="auto"/>
                <w:w w:val="83"/>
              </w:rPr>
              <w:t>No</w:t>
            </w:r>
          </w:p>
        </w:tc>
        <w:tc>
          <w:tcPr>
            <w:tcW w:w="104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9"/>
              </w:rPr>
              <w:t>6/30/2017</w:t>
            </w: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48" w:name="page49"/>
    <w:bookmarkEnd w:id="48"/>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20"/>
                <w:szCs w:val="20"/>
                <w:color w:val="auto"/>
              </w:rPr>
            </w:pPr>
            <w:r>
              <w:rPr>
                <w:rFonts w:ascii="Arial" w:cs="Arial" w:eastAsia="Arial" w:hAnsi="Arial"/>
                <w:sz w:val="13"/>
                <w:szCs w:val="13"/>
                <w:color w:val="auto"/>
              </w:rPr>
              <w:t>MEBA Medical and Benefits Plan</w:t>
            </w: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1"/>
              </w:rPr>
              <w:t>8/15/2018,</w:t>
            </w:r>
          </w:p>
        </w:tc>
      </w:tr>
      <w:tr>
        <w:trPr>
          <w:trHeight w:val="149"/>
        </w:trPr>
        <w:tc>
          <w:tcPr>
            <w:tcW w:w="3020" w:type="dxa"/>
            <w:vAlign w:val="bottom"/>
          </w:tcPr>
          <w:p>
            <w:pPr>
              <w:spacing w:after="0"/>
              <w:rPr>
                <w:sz w:val="12"/>
                <w:szCs w:val="12"/>
                <w:color w:val="auto"/>
              </w:rPr>
            </w:pPr>
          </w:p>
        </w:tc>
        <w:tc>
          <w:tcPr>
            <w:tcW w:w="1400" w:type="dxa"/>
            <w:vAlign w:val="bottom"/>
          </w:tcPr>
          <w:p>
            <w:pPr>
              <w:jc w:val="right"/>
              <w:ind w:right="217"/>
              <w:spacing w:after="0"/>
              <w:rPr>
                <w:sz w:val="20"/>
                <w:szCs w:val="20"/>
                <w:color w:val="auto"/>
              </w:rPr>
            </w:pPr>
            <w:r>
              <w:rPr>
                <w:rFonts w:ascii="Arial" w:cs="Arial" w:eastAsia="Arial" w:hAnsi="Arial"/>
                <w:sz w:val="13"/>
                <w:szCs w:val="13"/>
                <w:color w:val="auto"/>
              </w:rPr>
              <w:t>13-5590515-501</w:t>
            </w:r>
          </w:p>
        </w:tc>
        <w:tc>
          <w:tcPr>
            <w:tcW w:w="940" w:type="dxa"/>
            <w:vAlign w:val="bottom"/>
          </w:tcPr>
          <w:p>
            <w:pPr>
              <w:spacing w:after="0"/>
              <w:rPr>
                <w:sz w:val="12"/>
                <w:szCs w:val="12"/>
                <w:color w:val="auto"/>
              </w:rPr>
            </w:pPr>
          </w:p>
        </w:tc>
        <w:tc>
          <w:tcPr>
            <w:tcW w:w="1460" w:type="dxa"/>
            <w:vAlign w:val="bottom"/>
            <w:gridSpan w:val="2"/>
          </w:tcPr>
          <w:p>
            <w:pPr>
              <w:ind w:left="400"/>
              <w:spacing w:after="0"/>
              <w:rPr>
                <w:sz w:val="20"/>
                <w:szCs w:val="20"/>
                <w:color w:val="auto"/>
              </w:rPr>
            </w:pPr>
            <w:r>
              <w:rPr>
                <w:rFonts w:ascii="Arial" w:cs="Arial" w:eastAsia="Arial" w:hAnsi="Arial"/>
                <w:sz w:val="13"/>
                <w:szCs w:val="13"/>
                <w:color w:val="auto"/>
              </w:rPr>
              <w:t>Yes</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1060" w:type="dxa"/>
            <w:vAlign w:val="bottom"/>
          </w:tcPr>
          <w:p>
            <w:pPr>
              <w:ind w:left="520"/>
              <w:spacing w:after="0"/>
              <w:rPr>
                <w:sz w:val="20"/>
                <w:szCs w:val="20"/>
                <w:color w:val="auto"/>
              </w:rPr>
            </w:pPr>
            <w:r>
              <w:rPr>
                <w:rFonts w:ascii="Arial" w:cs="Arial" w:eastAsia="Arial" w:hAnsi="Arial"/>
                <w:sz w:val="13"/>
                <w:szCs w:val="13"/>
                <w:color w:val="auto"/>
              </w:rPr>
              <w:t>No</w:t>
            </w: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6/15/2022</w:t>
            </w:r>
          </w:p>
        </w:tc>
      </w:tr>
      <w:tr>
        <w:trPr>
          <w:trHeight w:val="135"/>
        </w:trPr>
        <w:tc>
          <w:tcPr>
            <w:tcW w:w="3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MFOW Welfare Fund</w:t>
            </w:r>
          </w:p>
        </w:tc>
        <w:tc>
          <w:tcPr>
            <w:tcW w:w="14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94-1254186-501</w:t>
            </w:r>
          </w:p>
        </w:tc>
        <w:tc>
          <w:tcPr>
            <w:tcW w:w="9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Yes</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w:t>
            </w:r>
          </w:p>
        </w:tc>
        <w:tc>
          <w:tcPr>
            <w:tcW w:w="106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No</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6/30/2017</w:t>
            </w: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color w:val="auto"/>
              </w:rPr>
              <w:t>ARA Pension and Welfare Plan</w:t>
            </w:r>
          </w:p>
        </w:tc>
        <w:tc>
          <w:tcPr>
            <w:tcW w:w="14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13-6083690-501</w:t>
            </w:r>
          </w:p>
        </w:tc>
        <w:tc>
          <w:tcPr>
            <w:tcW w:w="940" w:type="dxa"/>
            <w:vAlign w:val="bottom"/>
          </w:tcPr>
          <w:p>
            <w:pPr>
              <w:spacing w:after="0"/>
              <w:rPr>
                <w:sz w:val="11"/>
                <w:szCs w:val="11"/>
                <w:color w:val="auto"/>
              </w:rPr>
            </w:pPr>
          </w:p>
        </w:tc>
        <w:tc>
          <w:tcPr>
            <w:tcW w:w="146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Yes</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0.5</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0.5</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0.5</w:t>
            </w:r>
          </w:p>
        </w:tc>
        <w:tc>
          <w:tcPr>
            <w:tcW w:w="1060" w:type="dxa"/>
            <w:vAlign w:val="bottom"/>
          </w:tcPr>
          <w:p>
            <w:pPr>
              <w:ind w:left="520"/>
              <w:spacing w:after="0" w:line="135" w:lineRule="exact"/>
              <w:rPr>
                <w:sz w:val="20"/>
                <w:szCs w:val="20"/>
                <w:color w:val="auto"/>
              </w:rPr>
            </w:pPr>
            <w:r>
              <w:rPr>
                <w:rFonts w:ascii="Arial" w:cs="Arial" w:eastAsia="Arial" w:hAnsi="Arial"/>
                <w:sz w:val="13"/>
                <w:szCs w:val="13"/>
                <w:color w:val="auto"/>
              </w:rPr>
              <w:t>No</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89"/>
              </w:rPr>
              <w:t>8/15/2016</w:t>
            </w:r>
          </w:p>
        </w:tc>
      </w:tr>
      <w:tr>
        <w:trPr>
          <w:trHeight w:val="121"/>
        </w:trPr>
        <w:tc>
          <w:tcPr>
            <w:tcW w:w="3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Masters, Mates and Pilots Health and Benefit Plan</w:t>
            </w:r>
          </w:p>
        </w:tc>
        <w:tc>
          <w:tcPr>
            <w:tcW w:w="1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6/15/2023,</w:t>
            </w:r>
          </w:p>
        </w:tc>
      </w:tr>
      <w:tr>
        <w:trPr>
          <w:trHeight w:val="149"/>
        </w:trPr>
        <w:tc>
          <w:tcPr>
            <w:tcW w:w="30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13-6696938-501</w:t>
            </w:r>
          </w:p>
        </w:tc>
        <w:tc>
          <w:tcPr>
            <w:tcW w:w="9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Yes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No</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6/15//2027</w:t>
            </w: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color w:val="auto"/>
              </w:rPr>
              <w:t>Seafarers Health and Benefits Plan</w:t>
            </w:r>
          </w:p>
        </w:tc>
        <w:tc>
          <w:tcPr>
            <w:tcW w:w="14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13-5557534-501</w:t>
            </w: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(1)(2)</w:t>
            </w:r>
          </w:p>
        </w:tc>
        <w:tc>
          <w:tcPr>
            <w:tcW w:w="146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Yes</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ind w:left="520"/>
              <w:spacing w:after="0" w:line="135" w:lineRule="exact"/>
              <w:rPr>
                <w:sz w:val="20"/>
                <w:szCs w:val="20"/>
                <w:color w:val="auto"/>
              </w:rPr>
            </w:pPr>
            <w:r>
              <w:rPr>
                <w:rFonts w:ascii="Arial" w:cs="Arial" w:eastAsia="Arial" w:hAnsi="Arial"/>
                <w:sz w:val="13"/>
                <w:szCs w:val="13"/>
                <w:color w:val="auto"/>
              </w:rPr>
              <w:t>No</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6/30/2017</w:t>
            </w:r>
          </w:p>
        </w:tc>
      </w:tr>
      <w:tr>
        <w:trPr>
          <w:trHeight w:val="121"/>
        </w:trPr>
        <w:tc>
          <w:tcPr>
            <w:tcW w:w="3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Alaska Teamster - Employer Welfare Trust</w:t>
            </w:r>
          </w:p>
        </w:tc>
        <w:tc>
          <w:tcPr>
            <w:tcW w:w="1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6/30/2016,</w:t>
            </w:r>
          </w:p>
        </w:tc>
      </w:tr>
      <w:tr>
        <w:trPr>
          <w:trHeight w:val="135"/>
        </w:trPr>
        <w:tc>
          <w:tcPr>
            <w:tcW w:w="30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6/30/2018,</w:t>
            </w:r>
          </w:p>
        </w:tc>
      </w:tr>
      <w:tr>
        <w:trPr>
          <w:trHeight w:val="149"/>
        </w:trPr>
        <w:tc>
          <w:tcPr>
            <w:tcW w:w="30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91-6034674-501</w:t>
            </w:r>
          </w:p>
        </w:tc>
        <w:tc>
          <w:tcPr>
            <w:tcW w:w="94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rPr>
              <w:t>(2)</w:t>
            </w: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Yes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No</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6/30/2019</w:t>
            </w: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color w:val="auto"/>
                <w:w w:val="98"/>
              </w:rPr>
              <w:t>All Alaska Longshore Health and Welfare Trust Fund</w:t>
            </w:r>
          </w:p>
        </w:tc>
        <w:tc>
          <w:tcPr>
            <w:tcW w:w="14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91-6070467-501</w:t>
            </w:r>
          </w:p>
        </w:tc>
        <w:tc>
          <w:tcPr>
            <w:tcW w:w="940" w:type="dxa"/>
            <w:vAlign w:val="bottom"/>
          </w:tcPr>
          <w:p>
            <w:pPr>
              <w:jc w:val="center"/>
              <w:ind w:right="77"/>
              <w:spacing w:after="0" w:line="135" w:lineRule="exact"/>
              <w:rPr>
                <w:sz w:val="20"/>
                <w:szCs w:val="20"/>
                <w:color w:val="auto"/>
              </w:rPr>
            </w:pPr>
            <w:r>
              <w:rPr>
                <w:rFonts w:ascii="Arial" w:cs="Arial" w:eastAsia="Arial" w:hAnsi="Arial"/>
                <w:sz w:val="13"/>
                <w:szCs w:val="13"/>
                <w:color w:val="auto"/>
              </w:rPr>
              <w:t>(2)</w:t>
            </w:r>
          </w:p>
        </w:tc>
        <w:tc>
          <w:tcPr>
            <w:tcW w:w="146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Yes</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ind w:left="520"/>
              <w:spacing w:after="0" w:line="135" w:lineRule="exact"/>
              <w:rPr>
                <w:sz w:val="20"/>
                <w:szCs w:val="20"/>
                <w:color w:val="auto"/>
              </w:rPr>
            </w:pPr>
            <w:r>
              <w:rPr>
                <w:rFonts w:ascii="Arial" w:cs="Arial" w:eastAsia="Arial" w:hAnsi="Arial"/>
                <w:sz w:val="13"/>
                <w:szCs w:val="13"/>
                <w:color w:val="auto"/>
              </w:rPr>
              <w:t>No</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r>
      <w:tr>
        <w:trPr>
          <w:trHeight w:val="135"/>
        </w:trPr>
        <w:tc>
          <w:tcPr>
            <w:tcW w:w="3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Western Teamsters Welfare Trust</w:t>
            </w:r>
          </w:p>
        </w:tc>
        <w:tc>
          <w:tcPr>
            <w:tcW w:w="14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91-6033601-501</w:t>
            </w:r>
          </w:p>
        </w:tc>
        <w:tc>
          <w:tcPr>
            <w:tcW w:w="94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rPr>
              <w:t>(2)</w:t>
            </w:r>
          </w:p>
        </w:tc>
        <w:tc>
          <w:tcPr>
            <w:tcW w:w="14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No</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0.6</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No</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3/31/2018</w:t>
            </w:r>
          </w:p>
        </w:tc>
      </w:tr>
      <w:tr>
        <w:trPr>
          <w:trHeight w:val="129"/>
        </w:trPr>
        <w:tc>
          <w:tcPr>
            <w:tcW w:w="3020" w:type="dxa"/>
            <w:vAlign w:val="bottom"/>
          </w:tcPr>
          <w:p>
            <w:pPr>
              <w:ind w:left="200"/>
              <w:spacing w:after="0" w:line="129" w:lineRule="exact"/>
              <w:rPr>
                <w:sz w:val="20"/>
                <w:szCs w:val="20"/>
                <w:color w:val="auto"/>
              </w:rPr>
            </w:pPr>
            <w:r>
              <w:rPr>
                <w:rFonts w:ascii="Arial" w:cs="Arial" w:eastAsia="Arial" w:hAnsi="Arial"/>
                <w:sz w:val="13"/>
                <w:szCs w:val="13"/>
                <w:color w:val="auto"/>
              </w:rPr>
              <w:t>Total</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18.1</w:t>
            </w:r>
          </w:p>
        </w:tc>
        <w:tc>
          <w:tcPr>
            <w:tcW w:w="24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w:t>
            </w:r>
          </w:p>
        </w:tc>
        <w:tc>
          <w:tcPr>
            <w:tcW w:w="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
        </w:trPr>
        <w:tc>
          <w:tcPr>
            <w:tcW w:w="3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Contributions made to the Seafarers Health and Benefits Plan are re-allocated to the Seafarers Pension Plan at the discretion of the plan Trustee.</w:t>
      </w:r>
    </w:p>
    <w:p>
      <w:pPr>
        <w:ind w:left="340" w:hanging="332"/>
        <w:spacing w:after="0" w:line="216"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Matson’s contributions to these plans commenced after the Horizon Acquisition on May 29, 2015.</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expiration date of the collective bargaining agreement.</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Multi-employer Defined Contribution Plans</w:t>
      </w:r>
      <w:r>
        <w:rPr>
          <w:rFonts w:ascii="Arial" w:cs="Arial" w:eastAsia="Arial" w:hAnsi="Arial"/>
          <w:sz w:val="18"/>
          <w:szCs w:val="18"/>
          <w:color w:val="auto"/>
        </w:rPr>
        <w:t>: The Company contributes to six multi-employer defined contribution pension plans. These plans are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withdrawal liability provisions of ERISA or the PBGC applicable to multi-employer defined benefit pension plans. Contributions made to these plans by the Company were $3.8 million in 2015, and $3.0 million in 2014 and 2013.</w:t>
      </w:r>
    </w:p>
    <w:p>
      <w:pPr>
        <w:spacing w:after="0" w:line="17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Horizon ceased all of its operations in Puerto Rico during the first quarter of 2015, which resulted in a mass withdrawal from its multi-employer ILA-PRSSA pension fund (see Note 3). The Company estimated the mass withdrawal liability based upon the expected future undiscounted payments to be paid by the Company, discounted using the risk-free U.S. Treasury rate. Payments of approximately $1.0 million are made quarterly to the ILA-PRSSA over an estimated remaining period of approximately 18 years. Future estimated annual cash payments to the multi-employer pension plan as of December 31, 2015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future payments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remaining withdrawal liability</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Current portion of withdrawal liability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withdrawal liability</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current portion of $4.1 million of the mass withdrawal liability is included in accrued and other liabilities in the consolidated balance sheet (see Note 2). The Company’s estimate of the mass withdrawal liability is subject to revision pending the final calculation and assessment to be issued by the ILA-PRSSA, expected in 2016 (see Note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2007 Incentive Compensation Plan: </w:t>
      </w:r>
      <w:r>
        <w:rPr>
          <w:rFonts w:ascii="Arial" w:cs="Arial" w:eastAsia="Arial" w:hAnsi="Arial"/>
          <w:sz w:val="16"/>
          <w:szCs w:val="16"/>
          <w:color w:val="auto"/>
        </w:rPr>
        <w:t>The 2007 Incentive Compensation Plan (the “2007 Plan”) serves as a successor to the 1998 Stock Option/Stock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1998 Non-Employee Director Stock Option Plan, the Restricted Stock Bonus Plan and the Non-Employee Director Stock Retainer Plan (the “Predecessor Plans”). Under the 2007 Plan, approximately 2.2 million shares of common stock were initially reserved for issuance. On January 28, 2010, the Board of Directors adopted an amended and restated 2007 Plan, which, among other things, authorized the issuance of an additional approximately 2.2 million shares of stock under the 2007 Plan. Shareholders approved the amended 2007 Plan at the 2010 Annual Meeting of Shareholders.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Company’s separation from its former parent company on June 29, 2012 (the “Separation”), each stock option held by a Matson employee was converted into an adjusted Matson stock option. The exercise prices of the adjusted Matson stock options and the number of shares subject to each such stock option reflects a mechanism that was intended to preserve the intrinsic value of the original stock option. The modification of the awards did not result in any additional stock compensation expense to be recorded upon Separation. The resulting Matson stock options are subject to substantially the same terms, vesting conditions and other restrictions, if any, that were applicable to the former parent company stock options immediately prior to the Separation. Also, in connection with the Separation, any non-vested restricted stock units (“RSUs”) granted to Matson employees were converted into Matson RSUs. The RSU grants were converted in a manner that was intended to preserve the fair market value of the awards. The resulting Matson RSU grants are subject to substantially the same terms, vesting conditions and other restrictions, if any, that were applicable to the grants immediately prior to the Separation.</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After the Separation was completed, approximately 8.7 million shares of the Company’s common stock were reserved for issuance under the plans, with approximately 5.8 million shares remaining as available for future issuance under all equity compensation plans (excluding 0.5 million shares to be issued upon exercise of outstanding options, warrants and rights as of December 31, 2015).</w:t>
      </w:r>
    </w:p>
    <w:p>
      <w:pPr>
        <w:spacing w:after="0" w:line="18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2007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Discretionary Grant Program </w:t>
      </w:r>
      <w:r>
        <w:rPr>
          <w:rFonts w:ascii="Arial" w:cs="Arial" w:eastAsia="Arial" w:hAnsi="Arial"/>
          <w:sz w:val="16"/>
          <w:szCs w:val="16"/>
          <w:color w:val="auto"/>
        </w:rPr>
        <w:t>— Under the Discretionary Grant Program, stock options may be granted with an exercise price no less than 100 percent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(defined as the closing market price) of the Company’s common stock on the date of the grant. Options generally become exercisable</w:t>
      </w:r>
    </w:p>
    <w:p>
      <w:pPr>
        <w:sectPr>
          <w:pgSz w:w="11900" w:h="16935" w:orient="portrait"/>
          <w:cols w:equalWidth="0" w:num="1">
            <w:col w:w="11420"/>
          </w:cols>
          <w:pgMar w:left="240" w:top="111"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ratably over three years and have a maximum contractual term of 10 years.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Stock Issuance Program </w:t>
      </w:r>
      <w:r>
        <w:rPr>
          <w:rFonts w:ascii="Arial" w:cs="Arial" w:eastAsia="Arial" w:hAnsi="Arial"/>
          <w:sz w:val="16"/>
          <w:szCs w:val="16"/>
          <w:color w:val="auto"/>
        </w:rPr>
        <w:t>— Under the Stock Issuance Program, shares of common stock, restricted stock units or performance shares may be granted. Time-based equity awards vest ratably over three years. Provided certain three-year performance targets are achieved, performance-based equity awards generally vest on the three-year anniversary date of the grant. During the first quarter of 2013, the Company granted performance-based awards tied to the Company’s average annual return on invested capital (which the Company refers to as “average ROIC”), as measured over the three-year period beginning January 1, 2013 and ending December 31, 2015. During the first quarter of 2014, the Company granted similarly structured performance share awards that will be measured over the three-year period beginning January 1, 2014 and ending December 31, 2016. During the first quarter of 2015, the Company granted similarly structured performance share awards that will be measured over the three-year period beginning January 1, 2015 and ending December 31, 2017. Performance Share awards for the senior leadership team will also be modified based on relative total shareholder return performance (which the Company refers to as the “TSR modifier”) measured over the same respective three-year period. The TSR modifier is based on the Company’s total shareholder return over the three-year measurement period relative to the shareholder return over the same period for the companies comprising the S&amp;P Transportation Select Industry Index and S&amp;P Mid-Cap 400 Index (with each index weighted 50 percent). The service-vesting provisions of each performance-based award require the award recipient to remain in continuous service with the Company until the end of the three-year measurement period, subject to certain exceptions due to retirement, disability, or death, in order to vest in any shares that become issuable on the basis of the performance-vesting criteria.</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The Automatic Grant Program supersedes and replaces the Company’s 1998 Non-Employee Director Stock Option Plan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 Stock Retainer Plan. At each annual shareholder meeting, non-employee directors will receive an award of restricted stock units that entitle the holder to an equivalent number of shares of common stock upon vesting. Awards of restricted stock units granted under the program generally vest ratably over one or three years.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shares of common stock authorized to be issued under the 2007 Plan may be drawn from shares of the Company’s authorized but unissued common stock or from shares of its common stock that the Company acquires, including shares purchased on the open market or in private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Predecessor Plans: </w:t>
      </w:r>
      <w:r>
        <w:rPr>
          <w:rFonts w:ascii="Arial" w:cs="Arial" w:eastAsia="Arial" w:hAnsi="Arial"/>
          <w:sz w:val="17"/>
          <w:szCs w:val="17"/>
          <w:color w:val="auto"/>
        </w:rPr>
        <w:t>Adopted in 1998, the Company’s 1998 Stock Option/Stock Incentive Plan (“1998 Plan”) provided for the issuance of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common stock to employees of the Company. Under the 1998 Plan, option prices could not be less than the fair market value of the Company’s common stock on the dates of grant and the options became exercisable over periods determined, at the dates of grant, by the Compensation Committee of the Former Parent Company Board of Directors that administer the plan. Generally, options vested ratably over three years and expired ten years from the date of grant. Payments for options exercised may be made in cash or in shares of the Company’s stock. If an option to purchase shares is exercised within five years of the date of grant and if payment is made in shares of the Company’s stock, the option holder may receive, under a reload feature, a new stock option grant for such number of shares as is equal to the number surrendered, with an option price not less than the greater of the fair market value of the Company’s stock on the date of exercise or one and one-half times the original option price. The 1998 Plan also permitted the issuance of shares of the Company’s common stock. Generally, grants of time-based, non-vested stock vested ratably over three years and performance-based, non-vested stock vested in one year, provided that certain performance targets were achieved. The 1998 Plan was superseded by the 2007 Plan, and no further grants have been or will be made under the 1998 Plan.</w:t>
      </w:r>
    </w:p>
    <w:p>
      <w:pPr>
        <w:spacing w:after="0" w:line="18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Director Stock Option Plans: </w:t>
      </w:r>
      <w:r>
        <w:rPr>
          <w:rFonts w:ascii="Arial" w:cs="Arial" w:eastAsia="Arial" w:hAnsi="Arial"/>
          <w:sz w:val="17"/>
          <w:szCs w:val="17"/>
          <w:color w:val="auto"/>
        </w:rPr>
        <w:t>The 1998 Non-Employee Director Stock Option Plan (“1998 Director Plan”) was superseded by the 2007 Plan.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1998 Director Plan, each non-employee Director of the Company, elected at an Annual Meeting of Shareholders, was automatically granted, on the date of each such Annual Meeting, an option to purchase 8,000 shares of the Company’s common stock at the fair market value of the shares on the date of grant. Each option to purchase shares generally became exercisable ratably over three years following the date granted.</w:t>
      </w:r>
    </w:p>
    <w:p>
      <w:pPr>
        <w:spacing w:after="0" w:line="17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Application of alternative assumptions could produce significantly different estimates of the fair value of share-based compensation and, consequently, significantly affect the related amounts recognized in the Consolidated Statements of Income and Comprehensive Income.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Activity in the Company’s stock option plans for the year ended December 31, 2015, was as follows (in thousands, except weighted average exercise price and weighted average contractual life):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1998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Director</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Plan</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Plan</w:t>
            </w: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Forfeited and expired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w:t>
            </w:r>
          </w:p>
        </w:tc>
        <w:tc>
          <w:tcPr>
            <w:tcW w:w="1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Exercisable at December 31, 2015</w:t>
            </w: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21.90</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w:t>
            </w:r>
          </w:p>
        </w:tc>
        <w:tc>
          <w:tcPr>
            <w:tcW w:w="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461</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non-vested restricted stock unit activity through December 31, 2015, (in thousands, except weighted average grant-date fair value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2007 Plan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2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Restricted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71"/>
        </w:trPr>
        <w:tc>
          <w:tcPr>
            <w:tcW w:w="8320" w:type="dxa"/>
            <w:vAlign w:val="bottom"/>
          </w:tcPr>
          <w:p>
            <w:pPr>
              <w:spacing w:after="0"/>
              <w:rPr>
                <w:sz w:val="14"/>
                <w:szCs w:val="14"/>
                <w:color w:val="auto"/>
              </w:rPr>
            </w:pP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Stock Units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Date Fair Value</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37.19</w:t>
            </w:r>
          </w:p>
        </w:tc>
      </w:tr>
      <w:tr>
        <w:trPr>
          <w:trHeight w:val="216"/>
        </w:trPr>
        <w:tc>
          <w:tcPr>
            <w:tcW w:w="9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(232)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9340" w:type="dxa"/>
            <w:vAlign w:val="bottom"/>
            <w:gridSpan w:val="2"/>
          </w:tcPr>
          <w:p>
            <w:pPr>
              <w:ind w:left="200"/>
              <w:spacing w:after="0"/>
              <w:rPr>
                <w:sz w:val="20"/>
                <w:szCs w:val="20"/>
                <w:color w:val="auto"/>
              </w:rPr>
            </w:pPr>
            <w:r>
              <w:rPr>
                <w:rFonts w:ascii="Arial" w:cs="Arial" w:eastAsia="Arial" w:hAnsi="Arial"/>
                <w:sz w:val="18"/>
                <w:szCs w:val="18"/>
                <w:color w:val="auto"/>
              </w:rPr>
              <w:t>Canceled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r>
      <w:tr>
        <w:trPr>
          <w:trHeight w:val="210"/>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0" w:name="page51"/>
    <w:bookmarkEnd w:id="5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summary of compensation cost related to share-based payments for each of the three years in the period ended December 31, 2015,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expense (net of estimated forfeitures):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Non-vested stock and restricted stock units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Total share-based expense</w:t>
            </w: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tax benefit</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Share-based expense (net of tax)</w:t>
            </w: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received by Matson upon option exercise</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Tax benefit realized upon option exercise</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vested</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2015, there was no unrecognized compensation cost related to non-vested stock options. As of December 31, 2015, unrecognized compensation cost related to non-vested restricted stock units and performance-based equity awards were $8.9 million. That unrecognized compensation cost is expected to be recognized over a weighted average period of approximately 1.7 years.</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Commitments and financial arrangements, excluding lease commitments (see Note 9), and pension and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 commitments (see Note 11), include the following as of December 31,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Commitments and financial arrangements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Bonds (2)</w:t>
            </w:r>
          </w:p>
        </w:tc>
        <w:tc>
          <w:tcPr>
            <w:tcW w:w="6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Benefit plan withdrawal obligations (3)</w:t>
            </w:r>
          </w:p>
        </w:tc>
        <w:tc>
          <w:tcPr>
            <w:tcW w:w="6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Capital expenditure obligations (4)</w:t>
            </w:r>
          </w:p>
        </w:tc>
        <w:tc>
          <w:tcPr>
            <w:tcW w:w="6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Letters of credit are required for the Company’s uninsured workers’ compensation and other insurance programs, and other needs.</w:t>
      </w:r>
    </w:p>
    <w:p>
      <w:pPr>
        <w:ind w:left="660" w:hanging="652"/>
        <w:spacing w:after="0" w:line="216" w:lineRule="auto"/>
        <w:tabs>
          <w:tab w:leader="none" w:pos="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Bonds are required for the U.S. Customs and other related matters.</w:t>
      </w:r>
    </w:p>
    <w:p>
      <w:pPr>
        <w:ind w:left="660" w:right="100" w:hanging="652"/>
        <w:spacing w:after="0" w:line="216" w:lineRule="auto"/>
        <w:tabs>
          <w:tab w:leader="none" w:pos="658"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withdrawal liabilities as of the most recent valuation dates for multiemployer pension plans, in which the Company is a participant. Management has no present intention of withdrawing from, and does not anticipate the termination of, any of the aforementioned plans.</w:t>
      </w:r>
    </w:p>
    <w:p>
      <w:pPr>
        <w:spacing w:after="0" w:line="1" w:lineRule="exact"/>
        <w:rPr>
          <w:rFonts w:ascii="Arial" w:cs="Arial" w:eastAsia="Arial" w:hAnsi="Arial"/>
          <w:sz w:val="13"/>
          <w:szCs w:val="13"/>
          <w:color w:val="auto"/>
        </w:rPr>
      </w:pPr>
    </w:p>
    <w:p>
      <w:pPr>
        <w:ind w:left="660" w:right="180" w:hanging="652"/>
        <w:spacing w:after="0" w:line="229" w:lineRule="auto"/>
        <w:tabs>
          <w:tab w:leader="none" w:pos="658" w:val="left"/>
        </w:tabs>
        <w:numPr>
          <w:ilvl w:val="0"/>
          <w:numId w:val="44"/>
        </w:numPr>
        <w:rPr>
          <w:rFonts w:ascii="Arial" w:cs="Arial" w:eastAsia="Arial" w:hAnsi="Arial"/>
          <w:sz w:val="13"/>
          <w:szCs w:val="13"/>
          <w:color w:val="auto"/>
        </w:rPr>
      </w:pPr>
      <w:r>
        <w:rPr>
          <w:rFonts w:ascii="Arial" w:cs="Arial" w:eastAsia="Arial" w:hAnsi="Arial"/>
          <w:sz w:val="13"/>
          <w:szCs w:val="13"/>
          <w:color w:val="auto"/>
        </w:rPr>
        <w:t>Capital expenditure obligations includes contractual progress payments related to the construction of two new vessels based upon the shipbuilding agreements with Philly Shipyard, and other capital expenditure obligations.</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 Company’s Ocean Transportation business has certain other risks that could result in expenditures for environmental remediation.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 1. Reportable segments are measured based on operating profit, exclusive of interest expense, general corporate expenses,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and has similar economic characteristics (see Note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 for 2015, 2014, and 2013 is summarized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32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1,498.0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1,278.4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r>
      <w:tr>
        <w:trPr>
          <w:trHeight w:val="25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1,884.9</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00" w:type="dxa"/>
            <w:vAlign w:val="bottom"/>
            <w:tcBorders>
              <w:bottom w:val="single" w:sz="8" w:color="CCEEFF"/>
            </w:tcBorders>
          </w:tcPr>
          <w:p>
            <w:pPr>
              <w:spacing w:after="0"/>
              <w:rPr>
                <w:sz w:val="21"/>
                <w:szCs w:val="21"/>
                <w:color w:val="auto"/>
              </w:rPr>
            </w:pPr>
          </w:p>
        </w:tc>
      </w:tr>
      <w:tr>
        <w:trPr>
          <w:trHeight w:val="24"/>
        </w:trPr>
        <w:tc>
          <w:tcPr>
            <w:tcW w:w="42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368" w:right="239" w:bottom="0" w:gutter="0" w:footer="0" w:header="0"/>
        </w:sectPr>
      </w:pPr>
    </w:p>
    <w:bookmarkStart w:id="51" w:name="page52"/>
    <w:bookmarkEnd w:id="5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Ocean Transportation (1)</w:t>
            </w:r>
          </w:p>
        </w:tc>
        <w:tc>
          <w:tcPr>
            <w:tcW w:w="27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131.1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0"/>
        </w:trPr>
        <w:tc>
          <w:tcPr>
            <w:tcW w:w="446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2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Ocean Transportation segment includes $16.5 million, $6.6 million and $(2.0) million of equity in income (loss) from the Company’s Terminal Joint Venture, SSAT, for 2015, 2014, and 2013,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w:t>
            </w:r>
          </w:p>
        </w:tc>
        <w:tc>
          <w:tcPr>
            <w:tcW w:w="1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Identifiable Assets:</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Ocean Transportation (2)</w:t>
            </w:r>
          </w:p>
        </w:tc>
        <w:tc>
          <w:tcPr>
            <w:tcW w:w="2640" w:type="dxa"/>
            <w:vAlign w:val="bottom"/>
            <w:gridSpan w:val="2"/>
            <w:shd w:val="clear" w:color="auto" w:fill="CCEEFF"/>
          </w:tcPr>
          <w:p>
            <w:pPr>
              <w:jc w:val="right"/>
              <w:ind w:right="66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1,601.0</w:t>
            </w:r>
          </w:p>
        </w:tc>
        <w:tc>
          <w:tcPr>
            <w:tcW w:w="4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Logistics</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Ocean Transportation</w:t>
            </w:r>
          </w:p>
        </w:tc>
        <w:tc>
          <w:tcPr>
            <w:tcW w:w="2640" w:type="dxa"/>
            <w:vAlign w:val="bottom"/>
            <w:gridSpan w:val="2"/>
            <w:shd w:val="clear" w:color="auto" w:fill="CCEEFF"/>
          </w:tcPr>
          <w:p>
            <w:pPr>
              <w:jc w:val="right"/>
              <w:ind w:right="66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4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Logistics</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 Expenditures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2640" w:type="dxa"/>
            <w:vAlign w:val="bottom"/>
            <w:gridSpan w:val="2"/>
          </w:tcPr>
          <w:p>
            <w:pPr>
              <w:jc w:val="right"/>
              <w:ind w:right="66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460" w:type="dxa"/>
            <w:vAlign w:val="bottom"/>
            <w:gridSpan w:val="2"/>
          </w:tcPr>
          <w:p>
            <w:pPr>
              <w:jc w:val="right"/>
              <w:ind w:right="13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Depreciation and Amortization</w:t>
            </w:r>
          </w:p>
        </w:tc>
        <w:tc>
          <w:tcPr>
            <w:tcW w:w="1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37" w:lineRule="auto"/>
        <w:tabs>
          <w:tab w:leader="none" w:pos="338"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Ocean Transportation segment includes $66.4 million, $64.4 million and $57.6 million related to the Company’s Terminal Joint Venture equity investment in SSAT as of December 31, 2015, 2014, and 2013,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by quarter for 2015 and 2014 are listed below (in millions, except per-share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4"/>
              </w:rPr>
              <w:t>Quarters During the Year Ended December 31, 2015</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Q1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Q2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Q3</w:t>
            </w:r>
          </w:p>
        </w:tc>
        <w:tc>
          <w:tcPr>
            <w:tcW w:w="340" w:type="dxa"/>
            <w:vAlign w:val="bottom"/>
          </w:tcPr>
          <w:p>
            <w:pPr>
              <w:spacing w:after="0"/>
              <w:rPr>
                <w:sz w:val="12"/>
                <w:szCs w:val="12"/>
                <w:color w:val="auto"/>
              </w:rPr>
            </w:pPr>
          </w:p>
        </w:tc>
        <w:tc>
          <w:tcPr>
            <w:tcW w:w="102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1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18"/>
                <w:szCs w:val="18"/>
                <w:color w:val="auto"/>
              </w:rPr>
            </w:pP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346.7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Revenue</w:t>
            </w:r>
          </w:p>
        </w:tc>
        <w:tc>
          <w:tcPr>
            <w:tcW w:w="13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1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106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4"/>
              </w:rPr>
              <w:t>Quarters During the Year Ended December 31, 2014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Q1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Q2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Q3</w:t>
            </w:r>
          </w:p>
        </w:tc>
        <w:tc>
          <w:tcPr>
            <w:tcW w:w="340" w:type="dxa"/>
            <w:vAlign w:val="bottom"/>
          </w:tcPr>
          <w:p>
            <w:pPr>
              <w:spacing w:after="0"/>
              <w:rPr>
                <w:sz w:val="12"/>
                <w:szCs w:val="12"/>
                <w:color w:val="auto"/>
              </w:rPr>
            </w:pPr>
          </w:p>
        </w:tc>
        <w:tc>
          <w:tcPr>
            <w:tcW w:w="102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1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18"/>
                <w:szCs w:val="18"/>
                <w:color w:val="auto"/>
              </w:rPr>
            </w:pP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321.1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Revenue</w:t>
            </w:r>
          </w:p>
        </w:tc>
        <w:tc>
          <w:tcPr>
            <w:tcW w:w="13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Ocean Transportation</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Logistics</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1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2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06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06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ectPr>
          <w:pgSz w:w="11900" w:h="16897" w:orient="portrait"/>
          <w:cols w:equalWidth="0" w:num="1">
            <w:col w:w="11420"/>
          </w:cols>
          <w:pgMar w:left="240" w:top="140" w:right="239" w:bottom="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infrequent transactions impacted the Company’s quarterly segment results during 2015 and 2014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8"/>
              </w:rPr>
              <w:t>Quarters During the Year Ended December 31, 2015</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527"/>
              <w:spacing w:after="0" w:line="142" w:lineRule="exact"/>
              <w:rPr>
                <w:sz w:val="20"/>
                <w:szCs w:val="20"/>
                <w:color w:val="auto"/>
              </w:rPr>
            </w:pPr>
            <w:r>
              <w:rPr>
                <w:rFonts w:ascii="Arial" w:cs="Arial" w:eastAsia="Arial" w:hAnsi="Arial"/>
                <w:sz w:val="14"/>
                <w:szCs w:val="14"/>
                <w:b w:val="1"/>
                <w:bCs w:val="1"/>
                <w:color w:val="auto"/>
              </w:rPr>
              <w:t>Q1</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Horizon Acquisition Related Costs (1):</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2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Molasses Settlement (2):</w:t>
            </w:r>
          </w:p>
        </w:tc>
        <w:tc>
          <w:tcPr>
            <w:tcW w:w="2480" w:type="dxa"/>
            <w:vAlign w:val="bottom"/>
            <w:gridSpan w:val="2"/>
          </w:tcPr>
          <w:p>
            <w:pPr>
              <w:jc w:val="right"/>
              <w:ind w:right="122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350"/>
        </w:trPr>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8"/>
              </w:rPr>
              <w:t>Quarters During the Year Ended December 31, 2014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527"/>
              <w:spacing w:after="0" w:line="142" w:lineRule="exact"/>
              <w:rPr>
                <w:sz w:val="20"/>
                <w:szCs w:val="20"/>
                <w:color w:val="auto"/>
              </w:rPr>
            </w:pPr>
            <w:r>
              <w:rPr>
                <w:rFonts w:ascii="Arial" w:cs="Arial" w:eastAsia="Arial" w:hAnsi="Arial"/>
                <w:sz w:val="14"/>
                <w:szCs w:val="14"/>
                <w:b w:val="1"/>
                <w:bCs w:val="1"/>
                <w:color w:val="auto"/>
              </w:rPr>
              <w:t>Q1</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Molasses Settlement (2):</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2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27"/>
        <w:spacing w:after="0"/>
        <w:tabs>
          <w:tab w:leader="none" w:pos="4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One-time costs related to the Horizon Acquisition on May 29, 2015, included in selling, general and administrative costs of the Ocean Transportation segment (see Note 3).</w:t>
      </w:r>
    </w:p>
    <w:p>
      <w:pPr>
        <w:spacing w:after="0" w:line="120" w:lineRule="exact"/>
        <w:rPr>
          <w:rFonts w:ascii="Arial" w:cs="Arial" w:eastAsia="Arial" w:hAnsi="Arial"/>
          <w:sz w:val="13"/>
          <w:szCs w:val="13"/>
          <w:color w:val="auto"/>
        </w:rPr>
      </w:pPr>
    </w:p>
    <w:p>
      <w:pPr>
        <w:ind w:left="400" w:hanging="327"/>
        <w:spacing w:after="0"/>
        <w:tabs>
          <w:tab w:leader="none" w:pos="4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Litigation settlement entered into by the Company during 2015 and 2014 resulting from molasses spill in September 2013, are included in selling, general and administrative costs of the Ocean Transportation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infrequent transactions impacting the Company’s the Logistic segment results in 2015 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page 35, for management’s annual report on internal control over financial reporting, which is incorporated herein by reference.</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See page 36,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2015,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20" w:hanging="664"/>
        <w:spacing w:after="0"/>
        <w:tabs>
          <w:tab w:leader="none" w:pos="1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information about the directors of Matson, see the section captioned “Election of Directors” in Matson’s proxy statement for the 2016 Annual Meeting of Shareholders (“Matson’s 2016 Proxy Statement”), which section is incorporated herein by reference.</w:t>
      </w:r>
    </w:p>
    <w:p>
      <w:pPr>
        <w:spacing w:after="0" w:line="166"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information about the executive officers of Matson, see the section captioned “Executive Officers” in Matson’s 2016 Proxy Statement, which section is incorporated herein by reference.</w:t>
      </w:r>
    </w:p>
    <w:p>
      <w:pPr>
        <w:spacing w:after="0" w:line="166" w:lineRule="exact"/>
        <w:rPr>
          <w:sz w:val="20"/>
          <w:szCs w:val="20"/>
          <w:color w:val="auto"/>
        </w:rPr>
      </w:pPr>
    </w:p>
    <w:p>
      <w:pPr>
        <w:ind w:left="1320" w:hanging="664"/>
        <w:spacing w:after="0"/>
        <w:tabs>
          <w:tab w:leader="none" w:pos="1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For information about the Audit Committee of the Matson Board of Directors and compliance with Section 16 (a) of the Exchange Act, see the sections captioned “Board of Directors and Committees of Board” and “Section 16 (a) Beneficial Ownership Reporting Compliance” in Matson’s 2016 Proxy Statement, which sections are incorporated herein by reference.</w:t>
      </w:r>
    </w:p>
    <w:p>
      <w:pPr>
        <w:spacing w:after="0" w:line="177" w:lineRule="exact"/>
        <w:rPr>
          <w:sz w:val="20"/>
          <w:szCs w:val="20"/>
          <w:color w:val="auto"/>
        </w:rPr>
      </w:pPr>
    </w:p>
    <w:p>
      <w:pPr>
        <w:ind w:left="1320" w:hanging="664"/>
        <w:spacing w:after="0"/>
        <w:tabs>
          <w:tab w:leader="none" w:pos="1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ectPr>
          <w:pgSz w:w="11900" w:h="16838" w:orient="portrait"/>
          <w:cols w:equalWidth="0" w:num="1">
            <w:col w:w="11420"/>
          </w:cols>
          <w:pgMar w:left="240" w:top="341" w:right="239" w:bottom="0" w:gutter="0" w:footer="0" w:header="0"/>
        </w:sectPr>
      </w:pPr>
    </w:p>
    <w:bookmarkStart w:id="53" w:name="page54"/>
    <w:bookmarkEnd w:id="53"/>
    <w:p>
      <w:pPr>
        <w:ind w:right="560"/>
        <w:spacing w:after="0" w:line="277" w:lineRule="auto"/>
        <w:rPr>
          <w:sz w:val="20"/>
          <w:szCs w:val="20"/>
          <w:color w:val="auto"/>
        </w:rPr>
      </w:pPr>
      <w:r>
        <w:rPr>
          <w:rFonts w:ascii="Arial" w:cs="Arial" w:eastAsia="Arial" w:hAnsi="Arial"/>
          <w:sz w:val="18"/>
          <w:szCs w:val="18"/>
          <w:color w:val="auto"/>
        </w:rPr>
        <w:t>For information about Matson’s Code of Ethics, see the subsection captioned “Code of Ethics” in Matson’s 2016 Proxy Statement, which subsection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section captioned “Executive Compensation” and the subsections captioned “Compensation of Directors” and “Pay Risk Assessment” in Matson’s 2016 Proxy Statement, which section and subsections are incorporated herein by reference.</w:t>
      </w:r>
    </w:p>
    <w:p>
      <w:pPr>
        <w:spacing w:after="0" w:line="16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See the section captioned “Security Ownership of Certain Shareholders” and the subsections titled “Security Ownership of Directors and Executive Officers” and “Equity Compensation Plan Information” in Matson’s 2016 Proxy Statement, which section and subsections are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the section captioned “Election of Directors” and the subsection captioned “Certain Relationships and Transactions” in Matson’s 2016 Proxy Statement, which section and subsection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Information concerning principal accountant fees and services appears in the sections captioned “Audit Committee Report” and “Ratification of Appointment of Independent Registered Public Accounting Firm” in Matson’s 2016 Proxy Statement, which sections are incorporated herein by reference.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6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Exhibits filed pursuant to the Securities Exchange Act of 1934 were filed under file number 001-34187. Shareholders may obtain copies of exhibits for a copying and handling charge of $0.15 per page by writing to, Corporate Secretary, Matson, Inc., 555 12</w:t>
      </w:r>
      <w:r>
        <w:rPr>
          <w:rFonts w:ascii="Arial" w:cs="Arial" w:eastAsia="Arial" w:hAnsi="Arial"/>
          <w:sz w:val="34"/>
          <w:szCs w:val="34"/>
          <w:color w:val="auto"/>
          <w:vertAlign w:val="superscript"/>
        </w:rPr>
        <w:t>th</w:t>
      </w:r>
      <w:r>
        <w:rPr>
          <w:rFonts w:ascii="Arial" w:cs="Arial" w:eastAsia="Arial" w:hAnsi="Arial"/>
          <w:sz w:val="17"/>
          <w:szCs w:val="17"/>
          <w:color w:val="auto"/>
        </w:rPr>
        <w:t xml:space="preserve"> Street, Oakland, California 94607.</w:t>
      </w:r>
    </w:p>
    <w:p>
      <w:pPr>
        <w:spacing w:after="0" w:line="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25" w:lineRule="exact"/>
        <w:rPr>
          <w:sz w:val="20"/>
          <w:szCs w:val="20"/>
          <w:color w:val="auto"/>
        </w:rPr>
      </w:pPr>
    </w:p>
    <w:p>
      <w:pPr>
        <w:ind w:left="480" w:hanging="491"/>
        <w:spacing w:after="0" w:line="277" w:lineRule="auto"/>
        <w:tabs>
          <w:tab w:leader="none" w:pos="460" w:val="left"/>
        </w:tabs>
        <w:rPr>
          <w:sz w:val="20"/>
          <w:szCs w:val="20"/>
          <w:color w:val="auto"/>
        </w:rPr>
      </w:pPr>
      <w:r>
        <w:rPr>
          <w:rFonts w:ascii="Arial" w:cs="Arial" w:eastAsia="Arial" w:hAnsi="Arial"/>
          <w:sz w:val="18"/>
          <w:szCs w:val="18"/>
          <w:color w:val="auto"/>
        </w:rPr>
        <w:t>2.1</w:t>
        <w:tab/>
        <w:t>Agreement and Plan of Merger, dated as of November 11, 2014, by and among Matson Navigation Company, Inc., Hogan Acquisition Inc. and Horizon Lines, Inc. (incorporated by reference to Exhibit 2.1 of Matson’s Form 8-K dated November 11, 2014).</w:t>
      </w:r>
    </w:p>
    <w:p>
      <w:pPr>
        <w:spacing w:after="0" w:line="170" w:lineRule="exact"/>
        <w:rPr>
          <w:sz w:val="20"/>
          <w:szCs w:val="20"/>
          <w:color w:val="auto"/>
        </w:rPr>
      </w:pPr>
    </w:p>
    <w:p>
      <w:pPr>
        <w:ind w:left="480" w:right="680" w:hanging="491"/>
        <w:spacing w:after="0" w:line="308" w:lineRule="auto"/>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No. 1 to Agreement and Plan of Merger, dated as of February 13, 2015, by and among Matson Navigation Company, Inc., Hogan Acquisition Inc. and Horizon Lines, Inc. (incorporated by reference to Exhibit 2.1 of Matson’s Form 8-K dated February 17, 2015).</w:t>
      </w:r>
    </w:p>
    <w:p>
      <w:pPr>
        <w:spacing w:after="0" w:line="147" w:lineRule="exact"/>
        <w:rPr>
          <w:sz w:val="20"/>
          <w:szCs w:val="20"/>
          <w:color w:val="auto"/>
        </w:rPr>
      </w:pPr>
    </w:p>
    <w:p>
      <w:pPr>
        <w:ind w:left="480" w:right="440" w:hanging="491"/>
        <w:spacing w:after="0" w:line="342" w:lineRule="auto"/>
        <w:tabs>
          <w:tab w:leader="none" w:pos="4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Contribution, Assumption and Purchase Agreement, dated as of November 11, 2014, by and among The Pasha Group, SR Holding LLC, Horizon Lines, Inc. and Sunrise Operations LLC (incorporated by reference to Exhibit 2.2 of Horizon Lines, Inc.’s Form 8-K dated November 11, 2014).</w:t>
      </w:r>
    </w:p>
    <w:p>
      <w:pPr>
        <w:spacing w:after="0" w:line="124" w:lineRule="exact"/>
        <w:rPr>
          <w:sz w:val="20"/>
          <w:szCs w:val="20"/>
          <w:color w:val="auto"/>
        </w:rPr>
      </w:pPr>
    </w:p>
    <w:p>
      <w:pPr>
        <w:jc w:val="both"/>
        <w:ind w:left="480" w:right="60" w:hanging="491"/>
        <w:spacing w:after="0" w:line="264" w:lineRule="auto"/>
        <w:tabs>
          <w:tab w:leader="none" w:pos="460" w:val="left"/>
        </w:tabs>
        <w:rPr>
          <w:sz w:val="20"/>
          <w:szCs w:val="20"/>
          <w:color w:val="auto"/>
        </w:rPr>
      </w:pPr>
      <w:r>
        <w:rPr>
          <w:rFonts w:ascii="Arial" w:cs="Arial" w:eastAsia="Arial" w:hAnsi="Arial"/>
          <w:sz w:val="18"/>
          <w:szCs w:val="18"/>
          <w:color w:val="auto"/>
        </w:rPr>
        <w:t>2.4</w:t>
        <w:tab/>
        <w:t>Amendment No. 1 to the Contribution, Assumption and Purchase Agreement, dated as of May 29, 2015, by and among The Pasha Group, SR Holding LLC, Horizon Lines, Inc. and Sunrise Operations LLC (incorporated by reference to Exhibit 2.2 of Matson’s Form 10-Q for the quarter ended June 30, 2015).</w:t>
      </w:r>
    </w:p>
    <w:p>
      <w:pPr>
        <w:spacing w:after="0" w:line="18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25" w:lineRule="exact"/>
        <w:rPr>
          <w:sz w:val="20"/>
          <w:szCs w:val="20"/>
          <w:color w:val="auto"/>
        </w:rPr>
      </w:pPr>
    </w:p>
    <w:p>
      <w:pPr>
        <w:ind w:left="480" w:right="480" w:hanging="491"/>
        <w:spacing w:after="0" w:line="277" w:lineRule="auto"/>
        <w:tabs>
          <w:tab w:leader="none" w:pos="460" w:val="left"/>
        </w:tabs>
        <w:rPr>
          <w:sz w:val="20"/>
          <w:szCs w:val="20"/>
          <w:color w:val="auto"/>
        </w:rPr>
      </w:pPr>
      <w:r>
        <w:rPr>
          <w:rFonts w:ascii="Arial" w:cs="Arial" w:eastAsia="Arial" w:hAnsi="Arial"/>
          <w:sz w:val="18"/>
          <w:szCs w:val="18"/>
          <w:color w:val="auto"/>
        </w:rPr>
        <w:t>3.1</w:t>
        <w:tab/>
        <w:t>Amended and Restated Articles of Incorporation of Matson, Inc. (incorporated by reference to Exhibit 3.1 of Matson’s Form 10-Q for the quarter ended June 30, 2012).</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Amendment to Change Corporate Name (incorporated by reference to Exhibit 4.2 of Matson’s Form S-8 dated October 26, 2012).</w:t>
      </w:r>
    </w:p>
    <w:p>
      <w:pPr>
        <w:spacing w:after="0" w:line="225" w:lineRule="exact"/>
        <w:rPr>
          <w:sz w:val="20"/>
          <w:szCs w:val="20"/>
          <w:color w:val="auto"/>
        </w:rPr>
      </w:pPr>
    </w:p>
    <w:p>
      <w:pPr>
        <w:ind w:left="480" w:hanging="491"/>
        <w:spacing w:after="0" w:line="277" w:lineRule="auto"/>
        <w:tabs>
          <w:tab w:leader="none" w:pos="460" w:val="left"/>
        </w:tabs>
        <w:rPr>
          <w:sz w:val="20"/>
          <w:szCs w:val="20"/>
          <w:color w:val="auto"/>
        </w:rPr>
      </w:pPr>
      <w:r>
        <w:rPr>
          <w:rFonts w:ascii="Arial" w:cs="Arial" w:eastAsia="Arial" w:hAnsi="Arial"/>
          <w:sz w:val="18"/>
          <w:szCs w:val="18"/>
          <w:color w:val="auto"/>
        </w:rPr>
        <w:t>3.3</w:t>
        <w:tab/>
        <w:t>Amended and Restated Bylaws of Matson, Inc. (as amended as of November 6, 2013) (incorporated by reference to Exhibit 3.1 of Matson’s Form 10-Q for the quarter ended September 30, 2013).</w:t>
      </w:r>
    </w:p>
    <w:p>
      <w:pPr>
        <w:sectPr>
          <w:pgSz w:w="11900" w:h="16838" w:orient="portrait"/>
          <w:cols w:equalWidth="0" w:num="1">
            <w:col w:w="11420"/>
          </w:cols>
          <w:pgMar w:left="240" w:top="341" w:right="239" w:bottom="0" w:gutter="0" w:footer="0" w:header="0"/>
        </w:sectPr>
      </w:pPr>
    </w:p>
    <w:bookmarkStart w:id="54" w:name="page55"/>
    <w:bookmarkEnd w:id="54"/>
    <w:p>
      <w:pPr>
        <w:ind w:left="480" w:hanging="47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sz w:val="20"/>
          <w:szCs w:val="20"/>
          <w:color w:val="auto"/>
        </w:rPr>
      </w:pPr>
    </w:p>
    <w:p>
      <w:pPr>
        <w:ind w:left="480" w:right="220" w:hanging="491"/>
        <w:spacing w:after="0" w:line="264" w:lineRule="auto"/>
        <w:tabs>
          <w:tab w:leader="none" w:pos="460" w:val="left"/>
        </w:tabs>
        <w:rPr>
          <w:sz w:val="20"/>
          <w:szCs w:val="20"/>
          <w:color w:val="auto"/>
        </w:rPr>
      </w:pPr>
      <w:r>
        <w:rPr>
          <w:rFonts w:ascii="Arial" w:cs="Arial" w:eastAsia="Arial" w:hAnsi="Arial"/>
          <w:sz w:val="18"/>
          <w:szCs w:val="18"/>
          <w:color w:val="auto"/>
        </w:rPr>
        <w:t>10.1</w:t>
        <w:tab/>
        <w:t>Second Amended and Restated Note Agreement among Matson Navigation Company, Inc., Prudential Investment Management, Inc. and the other purchasers party thereto, dated as of June 4, 2012 (incorporated by reference to Exhibit 10.4 of Alexander &amp; Baldwin, Inc.’s Form 8-K dated June 7,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right="480" w:hanging="491"/>
        <w:spacing w:after="0" w:line="264" w:lineRule="auto"/>
        <w:tabs>
          <w:tab w:leader="none" w:pos="460" w:val="left"/>
        </w:tabs>
        <w:rPr>
          <w:sz w:val="20"/>
          <w:szCs w:val="20"/>
          <w:color w:val="auto"/>
        </w:rPr>
      </w:pPr>
      <w:r>
        <w:rPr>
          <w:rFonts w:ascii="Arial" w:cs="Arial" w:eastAsia="Arial" w:hAnsi="Arial"/>
          <w:sz w:val="18"/>
          <w:szCs w:val="18"/>
          <w:color w:val="auto"/>
        </w:rPr>
        <w:t>10.2</w:t>
        <w:tab/>
        <w:t>Limited Consent — Amended and Restated Note Agreement between Matson Navigation Company and The Prudential Insurance Company of America and Pruco Life Insurance Company, dated as of June 4, 2012 (incorporated by reference to Exhibit 10.5 of Alexander &amp; Baldwin, Inc.’s Form 8-K dated June 4, 2012).</w:t>
      </w:r>
    </w:p>
    <w:p>
      <w:pPr>
        <w:spacing w:after="0" w:line="181" w:lineRule="exact"/>
        <w:rPr>
          <w:sz w:val="20"/>
          <w:szCs w:val="20"/>
          <w:color w:val="auto"/>
        </w:rPr>
      </w:pPr>
    </w:p>
    <w:p>
      <w:pPr>
        <w:ind w:left="480" w:right="340" w:hanging="491"/>
        <w:spacing w:after="0" w:line="277" w:lineRule="auto"/>
        <w:tabs>
          <w:tab w:leader="none" w:pos="460" w:val="left"/>
        </w:tabs>
        <w:rPr>
          <w:sz w:val="20"/>
          <w:szCs w:val="20"/>
          <w:color w:val="auto"/>
        </w:rPr>
      </w:pPr>
      <w:r>
        <w:rPr>
          <w:rFonts w:ascii="Arial" w:cs="Arial" w:eastAsia="Arial" w:hAnsi="Arial"/>
          <w:sz w:val="18"/>
          <w:szCs w:val="18"/>
          <w:color w:val="auto"/>
        </w:rPr>
        <w:t>10.3</w:t>
        <w:tab/>
        <w:t>Amendment to the Second Amended and Restated Note Agreement among Matson, Inc. and the purchasers party thereto, dated as of July 30, 2015 (incorporated by reference to Exhibit 10.2 of Matson’s Form 8-K dated August 3, 2015).</w:t>
      </w:r>
    </w:p>
    <w:p>
      <w:pPr>
        <w:spacing w:after="0" w:line="170" w:lineRule="exact"/>
        <w:rPr>
          <w:sz w:val="20"/>
          <w:szCs w:val="20"/>
          <w:color w:val="auto"/>
        </w:rPr>
      </w:pPr>
    </w:p>
    <w:p>
      <w:pPr>
        <w:ind w:left="480" w:right="60" w:hanging="491"/>
        <w:spacing w:after="0" w:line="277" w:lineRule="auto"/>
        <w:tabs>
          <w:tab w:leader="none" w:pos="460" w:val="left"/>
        </w:tabs>
        <w:rPr>
          <w:sz w:val="20"/>
          <w:szCs w:val="20"/>
          <w:color w:val="auto"/>
        </w:rPr>
      </w:pPr>
      <w:r>
        <w:rPr>
          <w:rFonts w:ascii="Arial" w:cs="Arial" w:eastAsia="Arial" w:hAnsi="Arial"/>
          <w:sz w:val="18"/>
          <w:szCs w:val="18"/>
          <w:color w:val="auto"/>
        </w:rPr>
        <w:t>10.4</w:t>
        <w:tab/>
        <w:t>Note Purchase Agreement among Matson, Inc. and the purchasers party thereto, dated as of July 30, 2015 (incorporated by reference to Exhibit 10.1 of Matson’s Form 8-K dated August 3, 2015).</w:t>
      </w:r>
    </w:p>
    <w:p>
      <w:pPr>
        <w:spacing w:after="0" w:line="170" w:lineRule="exact"/>
        <w:rPr>
          <w:sz w:val="20"/>
          <w:szCs w:val="20"/>
          <w:color w:val="auto"/>
        </w:rPr>
      </w:pPr>
    </w:p>
    <w:p>
      <w:pPr>
        <w:ind w:left="480" w:right="360" w:hanging="491"/>
        <w:spacing w:after="0" w:line="277" w:lineRule="auto"/>
        <w:tabs>
          <w:tab w:leader="none" w:pos="460" w:val="left"/>
        </w:tabs>
        <w:rPr>
          <w:sz w:val="20"/>
          <w:szCs w:val="20"/>
          <w:color w:val="auto"/>
        </w:rPr>
      </w:pPr>
      <w:r>
        <w:rPr>
          <w:rFonts w:ascii="Arial" w:cs="Arial" w:eastAsia="Arial" w:hAnsi="Arial"/>
          <w:sz w:val="18"/>
          <w:szCs w:val="18"/>
          <w:color w:val="auto"/>
        </w:rPr>
        <w:t>10.5</w:t>
        <w:tab/>
        <w:t>First Amendment to Note Purchase Agreement amount Matson, Inc. and the purchasers party thereto, dated as of October 1, 2015 (incorporated by reference to Exhibit 10-1 of Matson’s Form 8-K dated October 2, 2015).</w:t>
      </w:r>
    </w:p>
    <w:p>
      <w:pPr>
        <w:spacing w:after="0" w:line="170" w:lineRule="exact"/>
        <w:rPr>
          <w:sz w:val="20"/>
          <w:szCs w:val="20"/>
          <w:color w:val="auto"/>
        </w:rPr>
      </w:pPr>
    </w:p>
    <w:p>
      <w:pPr>
        <w:ind w:left="480" w:right="120" w:hanging="491"/>
        <w:spacing w:after="0" w:line="308" w:lineRule="auto"/>
        <w:tabs>
          <w:tab w:leader="none" w:pos="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Credit Agreement between Matson Navigation Company, Inc., First Hawaiian Bank, Bank of America, N.A. and the other lenders party thereto, dated as of June 4, 2012 (incorporated by reference to Exhibit 10.6 of Alexander &amp; Baldwin, Inc.’s Form 8-K dated June 4, 2012).</w:t>
      </w:r>
    </w:p>
    <w:p>
      <w:pPr>
        <w:spacing w:after="0" w:line="147" w:lineRule="exact"/>
        <w:rPr>
          <w:sz w:val="20"/>
          <w:szCs w:val="20"/>
          <w:color w:val="auto"/>
        </w:rPr>
      </w:pPr>
    </w:p>
    <w:p>
      <w:pPr>
        <w:ind w:left="480" w:right="180" w:hanging="491"/>
        <w:spacing w:after="0" w:line="277" w:lineRule="auto"/>
        <w:tabs>
          <w:tab w:leader="none" w:pos="460" w:val="left"/>
        </w:tabs>
        <w:rPr>
          <w:sz w:val="20"/>
          <w:szCs w:val="20"/>
          <w:color w:val="auto"/>
        </w:rPr>
      </w:pPr>
      <w:r>
        <w:rPr>
          <w:rFonts w:ascii="Arial" w:cs="Arial" w:eastAsia="Arial" w:hAnsi="Arial"/>
          <w:sz w:val="18"/>
          <w:szCs w:val="18"/>
          <w:color w:val="auto"/>
        </w:rPr>
        <w:t>10.7</w:t>
        <w:tab/>
        <w:t>First Amendment to Credit Agreement among Matson, Inc., the lenders party thereto, and Bank of America, N.A., as agent, dated as of July 30, 2015 (incorporated by reference to Exhibit 10.4 of Matson’s Form 8-K dated August 3, 2015).</w:t>
      </w:r>
    </w:p>
    <w:p>
      <w:pPr>
        <w:spacing w:after="0" w:line="170" w:lineRule="exact"/>
        <w:rPr>
          <w:sz w:val="20"/>
          <w:szCs w:val="20"/>
          <w:color w:val="auto"/>
        </w:rPr>
      </w:pPr>
    </w:p>
    <w:p>
      <w:pPr>
        <w:ind w:left="480" w:right="20" w:hanging="491"/>
        <w:spacing w:after="0" w:line="264" w:lineRule="auto"/>
        <w:tabs>
          <w:tab w:leader="none" w:pos="460" w:val="left"/>
        </w:tabs>
        <w:rPr>
          <w:sz w:val="20"/>
          <w:szCs w:val="20"/>
          <w:color w:val="auto"/>
        </w:rPr>
      </w:pPr>
      <w:r>
        <w:rPr>
          <w:rFonts w:ascii="Arial" w:cs="Arial" w:eastAsia="Arial" w:hAnsi="Arial"/>
          <w:sz w:val="18"/>
          <w:szCs w:val="18"/>
          <w:color w:val="auto"/>
        </w:rPr>
        <w:t>10.8</w:t>
        <w:tab/>
        <w:t>Amended and Restated Limited Liability Company Agreement of SSA Terminal LLC by and between SSA Ventures, Inc. and Matson Ventures, Inc., dated as of April 24, 2002 (certain portions of this exhibit have been omitted pursuant to a confidential treatment request submitted to the Commission) (incorporated by reference to Exhibit 10.1 of Matson’s Form 10-Q for the quarter ended June 30, 2012).</w:t>
      </w:r>
    </w:p>
    <w:p>
      <w:pPr>
        <w:spacing w:after="0" w:line="181" w:lineRule="exact"/>
        <w:rPr>
          <w:sz w:val="20"/>
          <w:szCs w:val="20"/>
          <w:color w:val="auto"/>
        </w:rPr>
      </w:pPr>
    </w:p>
    <w:p>
      <w:pPr>
        <w:ind w:left="480" w:right="540" w:hanging="491"/>
        <w:spacing w:after="0" w:line="264" w:lineRule="auto"/>
        <w:tabs>
          <w:tab w:leader="none" w:pos="460" w:val="left"/>
        </w:tabs>
        <w:rPr>
          <w:sz w:val="20"/>
          <w:szCs w:val="20"/>
          <w:color w:val="auto"/>
        </w:rPr>
      </w:pPr>
      <w:r>
        <w:rPr>
          <w:rFonts w:ascii="Arial" w:cs="Arial" w:eastAsia="Arial" w:hAnsi="Arial"/>
          <w:sz w:val="18"/>
          <w:szCs w:val="18"/>
          <w:color w:val="auto"/>
        </w:rPr>
        <w:t>10.9</w:t>
        <w:tab/>
        <w:t>Parent Company Agreement, dated as of April 24, 2002, by and among SSA Pacific Terminals, Inc., formerly known as Stevedoring Services of America, Inc., SSA Ventures, Inc., Matson Navigation Company, Inc. and Matson Ventures, Inc. (incorporated by reference to Exhibit 10.2 of Matson’s Form 10-Q for the quarter ended June 30, 2012).</w:t>
      </w:r>
    </w:p>
    <w:p>
      <w:pPr>
        <w:spacing w:after="0" w:line="181" w:lineRule="exact"/>
        <w:rPr>
          <w:sz w:val="20"/>
          <w:szCs w:val="20"/>
          <w:color w:val="auto"/>
        </w:rPr>
      </w:pPr>
    </w:p>
    <w:p>
      <w:pPr>
        <w:ind w:left="500" w:right="480" w:hanging="491"/>
        <w:spacing w:after="0" w:line="308" w:lineRule="auto"/>
        <w:rPr>
          <w:sz w:val="20"/>
          <w:szCs w:val="20"/>
          <w:color w:val="auto"/>
        </w:rPr>
      </w:pPr>
      <w:r>
        <w:rPr>
          <w:rFonts w:ascii="Arial" w:cs="Arial" w:eastAsia="Arial" w:hAnsi="Arial"/>
          <w:sz w:val="17"/>
          <w:szCs w:val="17"/>
          <w:color w:val="auto"/>
        </w:rPr>
        <w:t>10.10 Borrower Assignment, Assumption, and Release among Bank of America, N.A., Matson Navigation Company, Inc. and Matson, Inc., dated as of June 28, 2012 (incorporated by reference to Exhibit 10.3 of Matson’s Form 10-Q for the quarter ended June 30, 2012).</w:t>
      </w:r>
    </w:p>
    <w:p>
      <w:pPr>
        <w:spacing w:after="0" w:line="147" w:lineRule="exact"/>
        <w:rPr>
          <w:sz w:val="20"/>
          <w:szCs w:val="20"/>
          <w:color w:val="auto"/>
        </w:rPr>
      </w:pPr>
    </w:p>
    <w:p>
      <w:pPr>
        <w:ind w:left="500" w:right="260" w:hanging="491"/>
        <w:spacing w:after="0" w:line="259" w:lineRule="auto"/>
        <w:rPr>
          <w:sz w:val="20"/>
          <w:szCs w:val="20"/>
          <w:color w:val="auto"/>
        </w:rPr>
      </w:pPr>
      <w:r>
        <w:rPr>
          <w:rFonts w:ascii="Arial" w:cs="Arial" w:eastAsia="Arial" w:hAnsi="Arial"/>
          <w:sz w:val="18"/>
          <w:szCs w:val="18"/>
          <w:color w:val="auto"/>
        </w:rPr>
        <w:t>10.11 Company Assignment, Assumption and Release Agreement among The Prudential Insurance Company of America, Pruco Life Insurance Company, The Prudential Life Insurance Company, Ltd., Gibraltar Life Insurance Co. Ltd., Prudential Annuities Life Assurance Corporation and Prudential Arizona Reinsurance Universal Company, Matson Navigation Company, Inc. and Matson, Inc. dated June 29, 2012 (incorporated by reference to Exhibit 10.4 of Matson’s Form 10-Q for the quarter ended June 30, 2012).</w:t>
      </w:r>
    </w:p>
    <w:p>
      <w:pPr>
        <w:spacing w:after="0" w:line="187"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10.12 Security Agreement between Matson Navigation Company, Inc. and the United States of America, with respect to $55 million of Title XI ship financing bonds, dated July 29, 2004 (incorporated by reference to Exhibit 10.a.(xxvi) of Alexander &amp; Baldwin, Inc.’s Form 10-Q for the quarter ended September 30, 2004).</w:t>
      </w:r>
    </w:p>
    <w:p>
      <w:pPr>
        <w:spacing w:after="0" w:line="181" w:lineRule="exact"/>
        <w:rPr>
          <w:sz w:val="20"/>
          <w:szCs w:val="20"/>
          <w:color w:val="auto"/>
        </w:rPr>
      </w:pPr>
    </w:p>
    <w:p>
      <w:pPr>
        <w:ind w:left="500" w:right="300" w:hanging="491"/>
        <w:spacing w:after="0" w:line="264" w:lineRule="auto"/>
        <w:rPr>
          <w:sz w:val="20"/>
          <w:szCs w:val="20"/>
          <w:color w:val="auto"/>
        </w:rPr>
      </w:pPr>
      <w:r>
        <w:rPr>
          <w:rFonts w:ascii="Arial" w:cs="Arial" w:eastAsia="Arial" w:hAnsi="Arial"/>
          <w:sz w:val="18"/>
          <w:szCs w:val="18"/>
          <w:color w:val="auto"/>
        </w:rPr>
        <w:t>10.13 Amendment No. 1 dated September 21, 2007, to Security Agreement between Matson Navigation Company, Inc. and the United States of America, with respect to $55 million of Title XI ship financing bonds, dated July 29, 2004 (incorporated by reference to Exhibit 10.a.(xxx) of Alexander &amp; Baldwin, Inc.’s Form 10-Q for the quarter ended September 30, 2007).</w:t>
      </w:r>
    </w:p>
    <w:p>
      <w:pPr>
        <w:spacing w:after="0" w:line="181" w:lineRule="exact"/>
        <w:rPr>
          <w:sz w:val="20"/>
          <w:szCs w:val="20"/>
          <w:color w:val="auto"/>
        </w:rPr>
      </w:pPr>
    </w:p>
    <w:p>
      <w:pPr>
        <w:ind w:left="500" w:right="460" w:hanging="485"/>
        <w:spacing w:after="0" w:line="277" w:lineRule="auto"/>
        <w:rPr>
          <w:sz w:val="20"/>
          <w:szCs w:val="20"/>
          <w:color w:val="auto"/>
        </w:rPr>
      </w:pPr>
      <w:r>
        <w:rPr>
          <w:rFonts w:ascii="Arial" w:cs="Arial" w:eastAsia="Arial" w:hAnsi="Arial"/>
          <w:sz w:val="18"/>
          <w:szCs w:val="18"/>
          <w:color w:val="auto"/>
        </w:rPr>
        <w:t>10.14 Matson, Inc. 2007 Incentive Compensation Plan, amended and restated, effective January 29, 2015 (incorporated by reference to Exhibit 10.13 of Matson’s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10.15 Form of Notice of Performance Share Award Grant (incorporated by reference to Exhibit 10.1 of Matson’s Form 8-K dated January 29, 2013).</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10.16 Form of Matson, Inc. Performance Share Award Agreement (incorporated by reference to Exhibit 10.2 of Matson’s Form 8-K dated January 29,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10.17 Form of Notice of Stock Option Grant (incorporated by reference to Exhibit 99.2 to Matson’s Form S-8 dated October 26,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10.18 Form of Stock Option Agreement for Non-Executive Employees (incorporated by reference to Exhibit 99.3 of Matson’s Form S-8 dated October 26,</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10.19 Form of Stock Option Agreement for Executive Employees (incorporated by reference to Exhibit 99.4 of Matson’s Form S-8 dated October 26, 2012).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10.20 Form of Notice of Time-Based Restricted Stock Unit Grant (incorporated by reference to Exhibit 99.5 of Matson’s Form S-8 dated October 26, 2012).</w:t>
      </w:r>
    </w:p>
    <w:p>
      <w:pPr>
        <w:sectPr>
          <w:pgSz w:w="11900" w:h="16838" w:orient="portrait"/>
          <w:cols w:equalWidth="0" w:num="1">
            <w:col w:w="11420"/>
          </w:cols>
          <w:pgMar w:left="240" w:top="125" w:right="239" w:bottom="55" w:gutter="0" w:footer="0" w:header="0"/>
        </w:sectPr>
      </w:pPr>
    </w:p>
    <w:bookmarkStart w:id="55" w:name="page56"/>
    <w:bookmarkEnd w:id="55"/>
    <w:p>
      <w:pPr>
        <w:spacing w:after="0" w:line="23" w:lineRule="exact"/>
        <w:rPr>
          <w:sz w:val="20"/>
          <w:szCs w:val="20"/>
          <w:color w:val="auto"/>
        </w:rPr>
      </w:pPr>
    </w:p>
    <w:p>
      <w:pPr>
        <w:ind w:left="500" w:right="60" w:hanging="491"/>
        <w:spacing w:after="0" w:line="277" w:lineRule="auto"/>
        <w:rPr>
          <w:sz w:val="20"/>
          <w:szCs w:val="20"/>
          <w:color w:val="auto"/>
        </w:rPr>
      </w:pPr>
      <w:r>
        <w:rPr>
          <w:rFonts w:ascii="Arial" w:cs="Arial" w:eastAsia="Arial" w:hAnsi="Arial"/>
          <w:sz w:val="18"/>
          <w:szCs w:val="18"/>
          <w:color w:val="auto"/>
        </w:rPr>
        <w:t>10.21 Form of Time-Based Restricted Stock Unit Agreement for Non-Executive Employees (incorporated by reference to Exhibit 99.6 of Matson’s Form S-8 dated October 26, 2012).</w:t>
      </w:r>
    </w:p>
    <w:p>
      <w:pPr>
        <w:spacing w:after="0" w:line="170" w:lineRule="exact"/>
        <w:rPr>
          <w:sz w:val="20"/>
          <w:szCs w:val="20"/>
          <w:color w:val="auto"/>
        </w:rPr>
      </w:pPr>
    </w:p>
    <w:p>
      <w:pPr>
        <w:ind w:left="500" w:right="420" w:hanging="491"/>
        <w:spacing w:after="0" w:line="277" w:lineRule="auto"/>
        <w:rPr>
          <w:sz w:val="20"/>
          <w:szCs w:val="20"/>
          <w:color w:val="auto"/>
        </w:rPr>
      </w:pPr>
      <w:r>
        <w:rPr>
          <w:rFonts w:ascii="Arial" w:cs="Arial" w:eastAsia="Arial" w:hAnsi="Arial"/>
          <w:sz w:val="18"/>
          <w:szCs w:val="18"/>
          <w:color w:val="auto"/>
        </w:rPr>
        <w:t>10.22 Form of Time-Based Restricted Stock Unit Agreement for Executive Employees (incorporated by reference to Exhibit 99.7 of Matson’s Form S-8 dated October 26, 2012).</w:t>
      </w:r>
    </w:p>
    <w:p>
      <w:pPr>
        <w:spacing w:after="0" w:line="170" w:lineRule="exact"/>
        <w:rPr>
          <w:sz w:val="20"/>
          <w:szCs w:val="20"/>
          <w:color w:val="auto"/>
        </w:rPr>
      </w:pPr>
    </w:p>
    <w:p>
      <w:pPr>
        <w:ind w:left="500" w:right="400" w:hanging="491"/>
        <w:spacing w:after="0" w:line="277" w:lineRule="auto"/>
        <w:rPr>
          <w:sz w:val="20"/>
          <w:szCs w:val="20"/>
          <w:color w:val="auto"/>
        </w:rPr>
      </w:pPr>
      <w:r>
        <w:rPr>
          <w:rFonts w:ascii="Arial" w:cs="Arial" w:eastAsia="Arial" w:hAnsi="Arial"/>
          <w:sz w:val="18"/>
          <w:szCs w:val="18"/>
          <w:color w:val="auto"/>
        </w:rPr>
        <w:t>10.23 Form of Amended and Restated Restricted Stock Unit Award Agreement for Non-Employee Directors (No Deferral) (incorporated by reference to Exhibit 10.20 of Matson’s Form 10-K for the year ended December 31, 2013).</w:t>
      </w:r>
    </w:p>
    <w:p>
      <w:pPr>
        <w:spacing w:after="0" w:line="170" w:lineRule="exact"/>
        <w:rPr>
          <w:sz w:val="20"/>
          <w:szCs w:val="20"/>
          <w:color w:val="auto"/>
        </w:rPr>
      </w:pPr>
    </w:p>
    <w:p>
      <w:pPr>
        <w:ind w:left="500" w:right="20" w:hanging="491"/>
        <w:spacing w:after="0" w:line="277" w:lineRule="auto"/>
        <w:rPr>
          <w:sz w:val="20"/>
          <w:szCs w:val="20"/>
          <w:color w:val="auto"/>
        </w:rPr>
      </w:pPr>
      <w:r>
        <w:rPr>
          <w:rFonts w:ascii="Arial" w:cs="Arial" w:eastAsia="Arial" w:hAnsi="Arial"/>
          <w:sz w:val="18"/>
          <w:szCs w:val="18"/>
          <w:color w:val="auto"/>
        </w:rPr>
        <w:t>10.24 Form of Amended and Restated Restricted Stock Unit Award Agreement for Non-Employee Directors (Deferral Election) (incorporated by reference to Exhibit 10.21 of Matson’s Form 10-K for the year ended December 31, 2013).</w:t>
      </w:r>
    </w:p>
    <w:p>
      <w:pPr>
        <w:spacing w:after="0" w:line="170" w:lineRule="exact"/>
        <w:rPr>
          <w:sz w:val="20"/>
          <w:szCs w:val="20"/>
          <w:color w:val="auto"/>
        </w:rPr>
      </w:pPr>
    </w:p>
    <w:p>
      <w:pPr>
        <w:ind w:left="500" w:right="240" w:hanging="491"/>
        <w:spacing w:after="0" w:line="277" w:lineRule="auto"/>
        <w:rPr>
          <w:sz w:val="20"/>
          <w:szCs w:val="20"/>
          <w:color w:val="auto"/>
        </w:rPr>
      </w:pPr>
      <w:r>
        <w:rPr>
          <w:rFonts w:ascii="Arial" w:cs="Arial" w:eastAsia="Arial" w:hAnsi="Arial"/>
          <w:sz w:val="18"/>
          <w:szCs w:val="18"/>
          <w:color w:val="auto"/>
        </w:rPr>
        <w:t>10.25 Form of Anti-Dilution Adjustment Amendment to Restricted Stock Unit Award Agreements (incorporated by reference to Exhibit 99.10 of Matson’s Form S-8 dated October 26, 2012).</w:t>
      </w:r>
    </w:p>
    <w:p>
      <w:pPr>
        <w:spacing w:after="0" w:line="170" w:lineRule="exact"/>
        <w:rPr>
          <w:sz w:val="20"/>
          <w:szCs w:val="20"/>
          <w:color w:val="auto"/>
        </w:rPr>
      </w:pPr>
    </w:p>
    <w:p>
      <w:pPr>
        <w:ind w:left="500" w:right="180" w:hanging="491"/>
        <w:spacing w:after="0" w:line="277" w:lineRule="auto"/>
        <w:rPr>
          <w:sz w:val="20"/>
          <w:szCs w:val="20"/>
          <w:color w:val="auto"/>
        </w:rPr>
      </w:pPr>
      <w:r>
        <w:rPr>
          <w:rFonts w:ascii="Arial" w:cs="Arial" w:eastAsia="Arial" w:hAnsi="Arial"/>
          <w:sz w:val="18"/>
          <w:szCs w:val="18"/>
          <w:color w:val="auto"/>
        </w:rPr>
        <w:t>10.26 Form of Anti-Dilution Adjustment Amendment to Stock Option Agreements (incorporated by reference to Exhibit 99.11 of Matson’s Form S-8 dated October 26, 2012).</w:t>
      </w:r>
    </w:p>
    <w:p>
      <w:pPr>
        <w:spacing w:after="0" w:line="170" w:lineRule="exact"/>
        <w:rPr>
          <w:sz w:val="20"/>
          <w:szCs w:val="20"/>
          <w:color w:val="auto"/>
        </w:rPr>
      </w:pPr>
    </w:p>
    <w:p>
      <w:pPr>
        <w:ind w:left="500" w:right="280" w:hanging="491"/>
        <w:spacing w:after="0" w:line="277" w:lineRule="auto"/>
        <w:rPr>
          <w:sz w:val="20"/>
          <w:szCs w:val="20"/>
          <w:color w:val="auto"/>
        </w:rPr>
      </w:pPr>
      <w:r>
        <w:rPr>
          <w:rFonts w:ascii="Arial" w:cs="Arial" w:eastAsia="Arial" w:hAnsi="Arial"/>
          <w:sz w:val="18"/>
          <w:szCs w:val="18"/>
          <w:color w:val="auto"/>
        </w:rPr>
        <w:t>10.27 Form of Anti-Dilution Adjustment Amendment to 2012 Performance-Based Restricted Stock Unit Award Agreements (incorporated by reference to Exhibit 99.12 of Matson’s Form S-8 dated October 26, 2012).</w:t>
      </w:r>
    </w:p>
    <w:p>
      <w:pPr>
        <w:spacing w:after="0" w:line="170" w:lineRule="exact"/>
        <w:rPr>
          <w:sz w:val="20"/>
          <w:szCs w:val="20"/>
          <w:color w:val="auto"/>
        </w:rPr>
      </w:pPr>
    </w:p>
    <w:p>
      <w:pPr>
        <w:ind w:left="500" w:right="360" w:hanging="491"/>
        <w:spacing w:after="0" w:line="342" w:lineRule="auto"/>
        <w:rPr>
          <w:sz w:val="20"/>
          <w:szCs w:val="20"/>
          <w:color w:val="auto"/>
        </w:rPr>
      </w:pPr>
      <w:r>
        <w:rPr>
          <w:rFonts w:ascii="Arial" w:cs="Arial" w:eastAsia="Arial" w:hAnsi="Arial"/>
          <w:sz w:val="16"/>
          <w:szCs w:val="16"/>
          <w:color w:val="auto"/>
        </w:rPr>
        <w:t>10.28 Matson, Inc. 1998 Stock Option/Stock Incentive Plan (formerly known as the Alexander &amp; Baldwin, Inc. 1998 Stock Option/Stock Incentive Plan) (incorporated by reference to Exhibit 99.1 of Post-Effective Amendment No. 2 to Alexander &amp; Baldwin, Inc.’s Form S-8 dated June 6, 2012).</w:t>
      </w:r>
    </w:p>
    <w:p>
      <w:pPr>
        <w:spacing w:after="0" w:line="124" w:lineRule="exact"/>
        <w:rPr>
          <w:sz w:val="20"/>
          <w:szCs w:val="20"/>
          <w:color w:val="auto"/>
        </w:rPr>
      </w:pPr>
    </w:p>
    <w:p>
      <w:pPr>
        <w:ind w:left="500" w:right="100" w:hanging="491"/>
        <w:spacing w:after="0" w:line="264" w:lineRule="auto"/>
        <w:rPr>
          <w:sz w:val="20"/>
          <w:szCs w:val="20"/>
          <w:color w:val="auto"/>
        </w:rPr>
      </w:pPr>
      <w:r>
        <w:rPr>
          <w:rFonts w:ascii="Arial" w:cs="Arial" w:eastAsia="Arial" w:hAnsi="Arial"/>
          <w:sz w:val="18"/>
          <w:szCs w:val="18"/>
          <w:color w:val="auto"/>
        </w:rPr>
        <w:t>10.29 Matson, Inc. 1998 Non-Employee Director Stock Option Plan (formerly known as the Alexander &amp; Baldwin, Inc. 1998 Non-Employee Director Stock Option Plan) (incorporated by reference to Exhibit 99.2 of Post-Effective Amendment No. 2 to Alexander &amp; Baldwin, Inc.’s Form S-8 dated June 6, 2012).</w:t>
      </w:r>
    </w:p>
    <w:p>
      <w:pPr>
        <w:spacing w:after="0" w:line="181" w:lineRule="exact"/>
        <w:rPr>
          <w:sz w:val="20"/>
          <w:szCs w:val="20"/>
          <w:color w:val="auto"/>
        </w:rPr>
      </w:pPr>
    </w:p>
    <w:p>
      <w:pPr>
        <w:ind w:left="500" w:right="120" w:hanging="491"/>
        <w:spacing w:after="0" w:line="277" w:lineRule="auto"/>
        <w:rPr>
          <w:sz w:val="20"/>
          <w:szCs w:val="20"/>
          <w:color w:val="auto"/>
        </w:rPr>
      </w:pPr>
      <w:r>
        <w:rPr>
          <w:rFonts w:ascii="Arial" w:cs="Arial" w:eastAsia="Arial" w:hAnsi="Arial"/>
          <w:sz w:val="18"/>
          <w:szCs w:val="18"/>
          <w:color w:val="auto"/>
        </w:rPr>
        <w:t>10.30 Form of Restricted Stock Unit Assumption Agreement (incorporated by reference to Exhibit 99.3 of Post-Effective Amendment No. 2 to Alexander &amp; Baldwin, Inc.’s Form S-8 dated June 6, 2012).</w:t>
      </w:r>
    </w:p>
    <w:p>
      <w:pPr>
        <w:spacing w:after="0" w:line="170" w:lineRule="exact"/>
        <w:rPr>
          <w:sz w:val="20"/>
          <w:szCs w:val="20"/>
          <w:color w:val="auto"/>
        </w:rPr>
      </w:pPr>
    </w:p>
    <w:p>
      <w:pPr>
        <w:ind w:left="500" w:right="720" w:hanging="491"/>
        <w:spacing w:after="0" w:line="277" w:lineRule="auto"/>
        <w:rPr>
          <w:sz w:val="20"/>
          <w:szCs w:val="20"/>
          <w:color w:val="auto"/>
        </w:rPr>
      </w:pPr>
      <w:r>
        <w:rPr>
          <w:rFonts w:ascii="Arial" w:cs="Arial" w:eastAsia="Arial" w:hAnsi="Arial"/>
          <w:sz w:val="18"/>
          <w:szCs w:val="18"/>
          <w:color w:val="auto"/>
        </w:rPr>
        <w:t>10.31 Form of Stock Option Assumption Agreement (incorporated by reference to Exhibit 99.4 of Post-Effective Amendment No. 2 to Alexander &amp; Baldwin, Inc.’s Form S-8 dated June 6, 2012).</w:t>
      </w:r>
    </w:p>
    <w:p>
      <w:pPr>
        <w:spacing w:after="0" w:line="170" w:lineRule="exact"/>
        <w:rPr>
          <w:sz w:val="20"/>
          <w:szCs w:val="20"/>
          <w:color w:val="auto"/>
        </w:rPr>
      </w:pPr>
    </w:p>
    <w:p>
      <w:pPr>
        <w:ind w:left="500" w:right="520" w:hanging="491"/>
        <w:spacing w:after="0" w:line="277" w:lineRule="auto"/>
        <w:rPr>
          <w:sz w:val="20"/>
          <w:szCs w:val="20"/>
          <w:color w:val="auto"/>
        </w:rPr>
      </w:pPr>
      <w:r>
        <w:rPr>
          <w:rFonts w:ascii="Arial" w:cs="Arial" w:eastAsia="Arial" w:hAnsi="Arial"/>
          <w:sz w:val="18"/>
          <w:szCs w:val="18"/>
          <w:color w:val="auto"/>
        </w:rPr>
        <w:t>10.32 Special Form of Restricted Stock Unit Assumption Agreement (incorporated by reference to Exhibit 99.5 of Post-Effective Amendment No. 2 to Alexander &amp; Baldwin, Inc.’s Form S-8 dated June 6, 2012).</w:t>
      </w:r>
    </w:p>
    <w:p>
      <w:pPr>
        <w:spacing w:after="0" w:line="170" w:lineRule="exact"/>
        <w:rPr>
          <w:sz w:val="20"/>
          <w:szCs w:val="20"/>
          <w:color w:val="auto"/>
        </w:rPr>
      </w:pPr>
    </w:p>
    <w:p>
      <w:pPr>
        <w:ind w:left="500" w:right="140" w:hanging="491"/>
        <w:spacing w:after="0" w:line="277" w:lineRule="auto"/>
        <w:rPr>
          <w:sz w:val="20"/>
          <w:szCs w:val="20"/>
          <w:color w:val="auto"/>
        </w:rPr>
      </w:pPr>
      <w:r>
        <w:rPr>
          <w:rFonts w:ascii="Arial" w:cs="Arial" w:eastAsia="Arial" w:hAnsi="Arial"/>
          <w:sz w:val="18"/>
          <w:szCs w:val="18"/>
          <w:color w:val="auto"/>
        </w:rPr>
        <w:t>10.33 Special Form of Stock Option Assumption Agreement (incorporated by reference to Exhibit 99.6 of Post-Effective Amendment No. 2 to Alexander &amp; Baldwin, Inc.’s Form S-8 dated June 6, 2012).</w:t>
      </w:r>
    </w:p>
    <w:p>
      <w:pPr>
        <w:spacing w:after="0" w:line="170" w:lineRule="exact"/>
        <w:rPr>
          <w:sz w:val="20"/>
          <w:szCs w:val="20"/>
          <w:color w:val="auto"/>
        </w:rPr>
      </w:pPr>
    </w:p>
    <w:p>
      <w:pPr>
        <w:ind w:left="500" w:right="60" w:hanging="491"/>
        <w:spacing w:after="0" w:line="277" w:lineRule="auto"/>
        <w:rPr>
          <w:sz w:val="20"/>
          <w:szCs w:val="20"/>
          <w:color w:val="auto"/>
        </w:rPr>
      </w:pPr>
      <w:r>
        <w:rPr>
          <w:rFonts w:ascii="Arial" w:cs="Arial" w:eastAsia="Arial" w:hAnsi="Arial"/>
          <w:sz w:val="18"/>
          <w:szCs w:val="18"/>
          <w:color w:val="auto"/>
        </w:rPr>
        <w:t>10.34 Matson, Inc. Deferred Compensation Plan for Outside Directors (incorporated by reference to Exhibit 10.34 of Matson’s Form 10-K for the year ended December 31, 2012).</w:t>
      </w:r>
    </w:p>
    <w:p>
      <w:pPr>
        <w:spacing w:after="0" w:line="170" w:lineRule="exact"/>
        <w:rPr>
          <w:sz w:val="20"/>
          <w:szCs w:val="20"/>
          <w:color w:val="auto"/>
        </w:rPr>
      </w:pPr>
    </w:p>
    <w:p>
      <w:pPr>
        <w:jc w:val="both"/>
        <w:ind w:left="500" w:right="180" w:hanging="491"/>
        <w:spacing w:after="0" w:line="277" w:lineRule="auto"/>
        <w:rPr>
          <w:sz w:val="20"/>
          <w:szCs w:val="20"/>
          <w:color w:val="auto"/>
        </w:rPr>
      </w:pPr>
      <w:r>
        <w:rPr>
          <w:rFonts w:ascii="Arial" w:cs="Arial" w:eastAsia="Arial" w:hAnsi="Arial"/>
          <w:sz w:val="18"/>
          <w:szCs w:val="18"/>
          <w:color w:val="auto"/>
        </w:rPr>
        <w:t>10.35 Matson, Inc. Excess Benefits Plan, amended and restated effective August 27, 2014 (incorporated by reference to Exhibit 10.1 of Matson’s Form 8-K dated August 28, 2014).</w:t>
      </w:r>
    </w:p>
    <w:p>
      <w:pPr>
        <w:spacing w:after="0" w:line="170" w:lineRule="exact"/>
        <w:rPr>
          <w:sz w:val="20"/>
          <w:szCs w:val="20"/>
          <w:color w:val="auto"/>
        </w:rPr>
      </w:pPr>
    </w:p>
    <w:p>
      <w:pPr>
        <w:jc w:val="both"/>
        <w:ind w:left="500" w:right="180" w:hanging="491"/>
        <w:spacing w:after="0" w:line="264" w:lineRule="auto"/>
        <w:rPr>
          <w:sz w:val="20"/>
          <w:szCs w:val="20"/>
          <w:color w:val="auto"/>
        </w:rPr>
      </w:pPr>
      <w:r>
        <w:rPr>
          <w:rFonts w:ascii="Arial" w:cs="Arial" w:eastAsia="Arial" w:hAnsi="Arial"/>
          <w:sz w:val="18"/>
          <w:szCs w:val="18"/>
          <w:color w:val="auto"/>
        </w:rPr>
        <w:t>10.36 Matson, Inc. Executive Survivor/Retirement Benefit Plan (formerly known as the Alexander &amp; Baldwin, Inc. Executive Survivor/Retirement Benefit Plan), amended and restated effective January 1, 2005 (incorporated by reference to Exhibit 10.b.1.(l) of Alexander &amp; Baldwin, Inc.’s Form 10-K for the year ended December 31,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10.37 Matson, Inc. Executive Survivor/Retirement Benefit Plan (formerly known as the Alexander &amp; Baldwin, Inc. Executive Survivor/Retirement Benefit Plan), amended and restated effective February 27, 2008 (incorporated by reference to Exhibit 10.b.1.(li) of Alexander &amp;Baldwin, Inc.’s Form 10-K for the year ended December 31, 2011).</w:t>
      </w:r>
    </w:p>
    <w:p>
      <w:pPr>
        <w:spacing w:after="0" w:line="181" w:lineRule="exact"/>
        <w:rPr>
          <w:sz w:val="20"/>
          <w:szCs w:val="20"/>
          <w:color w:val="auto"/>
        </w:rPr>
      </w:pPr>
    </w:p>
    <w:p>
      <w:pPr>
        <w:ind w:left="500" w:right="680" w:hanging="491"/>
        <w:spacing w:after="0" w:line="264" w:lineRule="auto"/>
        <w:rPr>
          <w:sz w:val="20"/>
          <w:szCs w:val="20"/>
          <w:color w:val="auto"/>
        </w:rPr>
      </w:pPr>
      <w:r>
        <w:rPr>
          <w:rFonts w:ascii="Arial" w:cs="Arial" w:eastAsia="Arial" w:hAnsi="Arial"/>
          <w:sz w:val="18"/>
          <w:szCs w:val="18"/>
          <w:color w:val="auto"/>
        </w:rPr>
        <w:t>10.38 Matson, Inc. 1985 Supplemental Executive Retirement Plan (formerly known as the Alexander &amp; Baldwin, Inc. 1985 Supplemental Executive Retirement Plan), amended and restated effective as of January 1, 2008 (incorporated by reference to Exhibit 10.b.1.(lii) of Alexander &amp; Baldwin, Inc.’s Form 10-K for the year ended December 31, 2011).</w:t>
      </w:r>
    </w:p>
    <w:p>
      <w:pPr>
        <w:spacing w:after="0" w:line="181" w:lineRule="exact"/>
        <w:rPr>
          <w:sz w:val="20"/>
          <w:szCs w:val="20"/>
          <w:color w:val="auto"/>
        </w:rPr>
      </w:pPr>
    </w:p>
    <w:p>
      <w:pPr>
        <w:jc w:val="both"/>
        <w:ind w:left="500" w:right="580" w:hanging="491"/>
        <w:spacing w:after="0" w:line="264" w:lineRule="auto"/>
        <w:rPr>
          <w:sz w:val="20"/>
          <w:szCs w:val="20"/>
          <w:color w:val="auto"/>
        </w:rPr>
      </w:pPr>
      <w:r>
        <w:rPr>
          <w:rFonts w:ascii="Arial" w:cs="Arial" w:eastAsia="Arial" w:hAnsi="Arial"/>
          <w:sz w:val="18"/>
          <w:szCs w:val="18"/>
          <w:color w:val="auto"/>
        </w:rPr>
        <w:t>10.39 Amendment No. 1 to the Matson, Inc. 1985 Supplemental Executive Retirement Plan (formerly known as the Alexander &amp; Baldwin, Inc. 1985 Supplemental Executive Retirement Plan), effective as of December 31, 2011 (incorporated by reference to Exhibit 10.b.1.(liii) of Alexander &amp; Baldwin, Inc.’s Form 10-K for the year ended December 31, 2011).</w:t>
      </w:r>
    </w:p>
    <w:p>
      <w:pPr>
        <w:spacing w:after="0" w:line="181" w:lineRule="exact"/>
        <w:rPr>
          <w:sz w:val="20"/>
          <w:szCs w:val="20"/>
          <w:color w:val="auto"/>
        </w:rPr>
      </w:pPr>
    </w:p>
    <w:p>
      <w:pPr>
        <w:ind w:left="500" w:right="660" w:hanging="491"/>
        <w:spacing w:after="0" w:line="274" w:lineRule="auto"/>
        <w:rPr>
          <w:sz w:val="20"/>
          <w:szCs w:val="20"/>
          <w:color w:val="auto"/>
        </w:rPr>
      </w:pPr>
      <w:r>
        <w:rPr>
          <w:rFonts w:ascii="Arial" w:cs="Arial" w:eastAsia="Arial" w:hAnsi="Arial"/>
          <w:sz w:val="17"/>
          <w:szCs w:val="17"/>
          <w:color w:val="auto"/>
        </w:rPr>
        <w:t>10.40 Amendment No. 2 to the Matson, Inc. 1985 Supplemental Executive Retirement Plan (formerly known as the Alexander &amp; Baldwin, Inc. 1985 Supplemental Executive Retirement Plan), effective as of January 1, 2012 (incorporated by reference to Exhibit 10.b.1.(liv) of</w:t>
      </w:r>
    </w:p>
    <w:p>
      <w:pPr>
        <w:ind w:left="500"/>
        <w:spacing w:after="0"/>
        <w:rPr>
          <w:sz w:val="20"/>
          <w:szCs w:val="20"/>
          <w:color w:val="auto"/>
        </w:rPr>
      </w:pPr>
      <w:r>
        <w:rPr>
          <w:rFonts w:ascii="Arial" w:cs="Arial" w:eastAsia="Arial" w:hAnsi="Arial"/>
          <w:sz w:val="18"/>
          <w:szCs w:val="18"/>
          <w:color w:val="auto"/>
        </w:rPr>
        <w:t>Alexander &amp;Baldwin, Inc.’s Form 10-K for the year ended December 31, 2011).</w:t>
      </w:r>
    </w:p>
    <w:p>
      <w:pPr>
        <w:spacing w:after="0" w:line="211" w:lineRule="exact"/>
        <w:rPr>
          <w:sz w:val="20"/>
          <w:szCs w:val="20"/>
          <w:color w:val="auto"/>
        </w:rPr>
      </w:pPr>
    </w:p>
    <w:p>
      <w:pPr>
        <w:ind w:left="500" w:right="980" w:hanging="491"/>
        <w:spacing w:after="0" w:line="277" w:lineRule="auto"/>
        <w:rPr>
          <w:sz w:val="20"/>
          <w:szCs w:val="20"/>
          <w:color w:val="auto"/>
        </w:rPr>
      </w:pPr>
      <w:r>
        <w:rPr>
          <w:rFonts w:ascii="Arial" w:cs="Arial" w:eastAsia="Arial" w:hAnsi="Arial"/>
          <w:sz w:val="18"/>
          <w:szCs w:val="18"/>
          <w:color w:val="auto"/>
        </w:rPr>
        <w:t>10.41 Matson, Inc. Retirement Plan for Outside Directors (incorporated by reference to Exhibit 10.44 of Matson’s Form 10-K for the year ended December 31, 2012).</w:t>
      </w:r>
    </w:p>
    <w:p>
      <w:pPr>
        <w:spacing w:after="0" w:line="170" w:lineRule="exact"/>
        <w:rPr>
          <w:sz w:val="20"/>
          <w:szCs w:val="20"/>
          <w:color w:val="auto"/>
        </w:rPr>
      </w:pPr>
    </w:p>
    <w:p>
      <w:pPr>
        <w:ind w:left="500" w:right="120" w:hanging="491"/>
        <w:spacing w:after="0" w:line="277" w:lineRule="auto"/>
        <w:rPr>
          <w:sz w:val="20"/>
          <w:szCs w:val="20"/>
          <w:color w:val="auto"/>
        </w:rPr>
      </w:pPr>
      <w:r>
        <w:rPr>
          <w:rFonts w:ascii="Arial" w:cs="Arial" w:eastAsia="Arial" w:hAnsi="Arial"/>
          <w:sz w:val="18"/>
          <w:szCs w:val="18"/>
          <w:color w:val="auto"/>
        </w:rPr>
        <w:t>10.42 Form of Letter Agreement entered into with certain executive officers (incorporated by reference to Exhibit 10.45 of Matson’s Form 10-K for the year ended December 31, 2012).</w:t>
      </w:r>
    </w:p>
    <w:p>
      <w:pPr>
        <w:sectPr>
          <w:pgSz w:w="11900" w:h="16861" w:orient="portrait"/>
          <w:cols w:equalWidth="0" w:num="1">
            <w:col w:w="11420"/>
          </w:cols>
          <w:pgMar w:left="240" w:top="125" w:right="239" w:bottom="0" w:gutter="0" w:footer="0" w:header="0"/>
        </w:sectPr>
      </w:pPr>
    </w:p>
    <w:bookmarkStart w:id="56" w:name="page57"/>
    <w:bookmarkEnd w:id="56"/>
    <w:p>
      <w:pPr>
        <w:ind w:left="500" w:right="460" w:hanging="491"/>
        <w:spacing w:after="0" w:line="277" w:lineRule="auto"/>
        <w:rPr>
          <w:sz w:val="20"/>
          <w:szCs w:val="20"/>
          <w:color w:val="auto"/>
        </w:rPr>
      </w:pPr>
      <w:r>
        <w:rPr>
          <w:rFonts w:ascii="Arial" w:cs="Arial" w:eastAsia="Arial" w:hAnsi="Arial"/>
          <w:sz w:val="18"/>
          <w:szCs w:val="18"/>
          <w:color w:val="auto"/>
        </w:rPr>
        <w:t>10.43 Schedule identifying executive officers who have entered into Form of Letter Agreement (incorporated by reference to Exhibit 10.42 of Matson’s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10.44 Form of Letter Agreement entered into with executive officer (incorporated by reference to Exhibit 10.1 of Matson’s Form 8-K dated October 24,</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10.45 Letter Agreement Counter Party (incorporated by reference to Exhibit 10.2 of Matson’s Form 8-K dated October 24,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10.46 Form of Letter Agreement entered into with executive officer (incorporated by reference to Exhibit 10.1 of Matson’s Form 8-K dated April 6,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10.47 Letter Agreement Counter Parties (incorporated by reference to Exhibit 10.2 of Matson’s Form 8-K dated April 6,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10.48 Matson, Inc. Executive Severance Plan (incorporated by reference to Exhibit 10.47 of Matson’s Form 10-K for the year ended December 31, 2012).</w:t>
      </w:r>
    </w:p>
    <w:p>
      <w:pPr>
        <w:spacing w:after="0" w:line="248" w:lineRule="exact"/>
        <w:rPr>
          <w:sz w:val="20"/>
          <w:szCs w:val="20"/>
          <w:color w:val="auto"/>
        </w:rPr>
      </w:pPr>
    </w:p>
    <w:p>
      <w:pPr>
        <w:ind w:left="500" w:right="460" w:hanging="491"/>
        <w:spacing w:after="0" w:line="277" w:lineRule="auto"/>
        <w:rPr>
          <w:sz w:val="20"/>
          <w:szCs w:val="20"/>
          <w:color w:val="auto"/>
        </w:rPr>
      </w:pPr>
      <w:r>
        <w:rPr>
          <w:rFonts w:ascii="Arial" w:cs="Arial" w:eastAsia="Arial" w:hAnsi="Arial"/>
          <w:sz w:val="18"/>
          <w:szCs w:val="18"/>
          <w:color w:val="auto"/>
        </w:rPr>
        <w:t>10.49 Matson, Inc. One-Year Performance Improvement Incentive Plan (incorporated by reference to Exhibit 10.48 of Matson’s Form 10-K for the year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10.50 Matson, Inc. Cash Incentive Plan (incorporated by reference to Exhibit 10.49 of Matson’s Form 10-K for the year ended December 31, 2012).</w:t>
      </w:r>
    </w:p>
    <w:p>
      <w:pPr>
        <w:spacing w:after="0" w:line="237" w:lineRule="exact"/>
        <w:rPr>
          <w:sz w:val="20"/>
          <w:szCs w:val="20"/>
          <w:color w:val="auto"/>
        </w:rPr>
      </w:pPr>
    </w:p>
    <w:p>
      <w:pPr>
        <w:ind w:left="500" w:right="20" w:hanging="491"/>
        <w:spacing w:after="0" w:line="264" w:lineRule="auto"/>
        <w:rPr>
          <w:sz w:val="20"/>
          <w:szCs w:val="20"/>
          <w:color w:val="auto"/>
        </w:rPr>
      </w:pPr>
      <w:r>
        <w:rPr>
          <w:rFonts w:ascii="Arial" w:cs="Arial" w:eastAsia="Arial" w:hAnsi="Arial"/>
          <w:sz w:val="18"/>
          <w:szCs w:val="18"/>
          <w:color w:val="auto"/>
        </w:rPr>
        <w:t>10.51 Matson, Inc. Three-Year Performance Improvement Incentive Plan (formerly known as the Alexander &amp; Baldwin, Inc. Three-Year Performance Improvement Incentive Plan), as restated effective October 22, 1992 (incorporated by reference to Exhibit 10.b.1.(lxxi) of Alexander &amp; Baldwin, Inc.’s Form 10-K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10.52 Matson, Inc. Deferred Compensation Plan (incorporated by reference to Exhibit 10.51 of Matson’s Form 10-K for the year ended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10.53 Matson, Inc. Restricted Stock Bonus Plan (formerly known as the Alexander &amp; Baldwin, Inc. Restricted Stock Bonus Plan), as restated effective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April 28, 1988 (incorporated by reference to Exhibit 10.b.1. (lxxiv) of Alexander &amp; Baldwin, Inc.’s Form 10-K for the year ended December 31, 2011).</w:t>
      </w:r>
    </w:p>
    <w:p>
      <w:pPr>
        <w:spacing w:after="0" w:line="234" w:lineRule="exact"/>
        <w:rPr>
          <w:sz w:val="20"/>
          <w:szCs w:val="20"/>
          <w:color w:val="auto"/>
        </w:rPr>
      </w:pPr>
    </w:p>
    <w:p>
      <w:pPr>
        <w:ind w:left="500" w:right="540" w:hanging="491"/>
        <w:spacing w:after="0" w:line="264" w:lineRule="auto"/>
        <w:rPr>
          <w:sz w:val="20"/>
          <w:szCs w:val="20"/>
          <w:color w:val="auto"/>
        </w:rPr>
      </w:pPr>
      <w:r>
        <w:rPr>
          <w:rFonts w:ascii="Arial" w:cs="Arial" w:eastAsia="Arial" w:hAnsi="Arial"/>
          <w:sz w:val="18"/>
          <w:szCs w:val="18"/>
          <w:color w:val="auto"/>
        </w:rPr>
        <w:t>10.54 Amendment No. 1 to the Matson Restricted Stock Bonus Plan (formerly known as the Alexander &amp; Baldwin, Inc. Restricted Stock Bonus Plan), effective December 11, 1997 (incorporated by reference to Exhibit 10.b.1.(lxxv) to Alexander &amp; Baldwin, Inc.’s Form 10-K for the year ended December 31,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100"/>
        <w:spacing w:after="0" w:line="342" w:lineRule="auto"/>
        <w:rPr>
          <w:sz w:val="20"/>
          <w:szCs w:val="20"/>
          <w:color w:val="auto"/>
        </w:rPr>
      </w:pPr>
      <w:r>
        <w:rPr>
          <w:rFonts w:ascii="Arial" w:cs="Arial" w:eastAsia="Arial" w:hAnsi="Arial"/>
          <w:sz w:val="16"/>
          <w:szCs w:val="16"/>
          <w:color w:val="auto"/>
        </w:rPr>
        <w:t>10.55 Amendment No. 2 to the Matson Restricted Stock Bonus Plan (formerly known as the Alexander &amp; Baldwin, Inc. Restricted Stock Bonus Plan), dated June 25, 1998 (incorporated by reference to Exhibit 10.b.1.(lxxvi) to Alexander &amp; Baldwin, Inc.’s Form 10-K for the year ended December 31, 2011).</w:t>
      </w:r>
    </w:p>
    <w:p>
      <w:pPr>
        <w:spacing w:after="0" w:line="124" w:lineRule="exact"/>
        <w:rPr>
          <w:sz w:val="20"/>
          <w:szCs w:val="20"/>
          <w:color w:val="auto"/>
        </w:rPr>
      </w:pPr>
    </w:p>
    <w:p>
      <w:pPr>
        <w:ind w:left="500" w:right="100" w:hanging="491"/>
        <w:spacing w:after="0" w:line="264" w:lineRule="auto"/>
        <w:rPr>
          <w:sz w:val="20"/>
          <w:szCs w:val="20"/>
          <w:color w:val="auto"/>
        </w:rPr>
      </w:pPr>
      <w:r>
        <w:rPr>
          <w:rFonts w:ascii="Arial" w:cs="Arial" w:eastAsia="Arial" w:hAnsi="Arial"/>
          <w:sz w:val="18"/>
          <w:szCs w:val="18"/>
          <w:color w:val="auto"/>
        </w:rPr>
        <w:t>10.56 Amendment No. 3 to the Matson Restricted Stock Bonus Plan (formerly known as the Alexander &amp; Baldwin, Inc. Restricted Stock Bonus Plan), dated December 8, 2004 (incorporated by reference to Exhibit 10.b.1.(lxxvii) to Alexander &amp; Baldwin, Inc.’s Form 10-K for the year ended December 31, 2011).</w:t>
      </w:r>
    </w:p>
    <w:p>
      <w:pPr>
        <w:spacing w:after="0" w:line="181" w:lineRule="exact"/>
        <w:rPr>
          <w:sz w:val="20"/>
          <w:szCs w:val="20"/>
          <w:color w:val="auto"/>
        </w:rPr>
      </w:pPr>
    </w:p>
    <w:p>
      <w:pPr>
        <w:jc w:val="both"/>
        <w:ind w:left="500" w:right="100" w:hanging="491"/>
        <w:spacing w:after="0" w:line="264" w:lineRule="auto"/>
        <w:rPr>
          <w:sz w:val="20"/>
          <w:szCs w:val="20"/>
          <w:color w:val="auto"/>
        </w:rPr>
      </w:pPr>
      <w:r>
        <w:rPr>
          <w:rFonts w:ascii="Arial" w:cs="Arial" w:eastAsia="Arial" w:hAnsi="Arial"/>
          <w:sz w:val="18"/>
          <w:szCs w:val="18"/>
          <w:color w:val="auto"/>
        </w:rPr>
        <w:t>10.57 Amendment No. 4 to the Matson Restricted Stock Bonus Plan (formerly known as the Alexander &amp; Baldwin, Inc. Restricted Stock Bonus Plan), dated December 13, 2007 (incorporated by reference to Exhibit 10.b.1.(lxxvii) to Alexander &amp; Baldwin, Inc.’s Form 10-K for the year ended December 31, 2011).</w:t>
      </w:r>
    </w:p>
    <w:p>
      <w:pPr>
        <w:spacing w:after="0" w:line="181" w:lineRule="exact"/>
        <w:rPr>
          <w:sz w:val="20"/>
          <w:szCs w:val="20"/>
          <w:color w:val="auto"/>
        </w:rPr>
      </w:pPr>
    </w:p>
    <w:p>
      <w:pPr>
        <w:ind w:left="500" w:right="300" w:hanging="491"/>
        <w:spacing w:after="0" w:line="308" w:lineRule="auto"/>
        <w:rPr>
          <w:sz w:val="20"/>
          <w:szCs w:val="20"/>
          <w:color w:val="auto"/>
        </w:rPr>
      </w:pPr>
      <w:r>
        <w:rPr>
          <w:rFonts w:ascii="Arial" w:cs="Arial" w:eastAsia="Arial" w:hAnsi="Arial"/>
          <w:sz w:val="17"/>
          <w:szCs w:val="17"/>
          <w:color w:val="auto"/>
        </w:rPr>
        <w:t>10.58 Agreement and Plan of Merger, dated as of February 13, 2012, by and among Alexander &amp; Baldwin, Inc., Alexander &amp; Baldwin Holdings, Inc. and A&amp;B Merger Corporation (incorporated by reference to Exhibit 2.1 of Alexander &amp; Baldwin, Inc.’s Form 8-K dated February 13, 2012).</w:t>
      </w:r>
    </w:p>
    <w:p>
      <w:pPr>
        <w:spacing w:after="0" w:line="147" w:lineRule="exact"/>
        <w:rPr>
          <w:sz w:val="20"/>
          <w:szCs w:val="20"/>
          <w:color w:val="auto"/>
        </w:rPr>
      </w:pPr>
    </w:p>
    <w:p>
      <w:pPr>
        <w:ind w:left="500" w:right="60" w:hanging="491"/>
        <w:spacing w:after="0" w:line="277" w:lineRule="auto"/>
        <w:rPr>
          <w:sz w:val="20"/>
          <w:szCs w:val="20"/>
          <w:color w:val="auto"/>
        </w:rPr>
      </w:pPr>
      <w:r>
        <w:rPr>
          <w:rFonts w:ascii="Arial" w:cs="Arial" w:eastAsia="Arial" w:hAnsi="Arial"/>
          <w:sz w:val="18"/>
          <w:szCs w:val="18"/>
          <w:color w:val="auto"/>
        </w:rPr>
        <w:t>10.59 Separation and Distribution Agreement, dated as of June 8, 2012, by and between Alexander &amp; Baldwin Holdings, Inc. and A&amp;B II, Inc. (incorporated by reference to Exhibit 2.1 of Matson’s Form 8-K dated June 8, 2012).</w:t>
      </w:r>
    </w:p>
    <w:p>
      <w:pPr>
        <w:spacing w:after="0" w:line="170" w:lineRule="exact"/>
        <w:rPr>
          <w:sz w:val="20"/>
          <w:szCs w:val="20"/>
          <w:color w:val="auto"/>
        </w:rPr>
      </w:pPr>
    </w:p>
    <w:p>
      <w:pPr>
        <w:ind w:left="500" w:right="20" w:hanging="491"/>
        <w:spacing w:after="0" w:line="264" w:lineRule="auto"/>
        <w:rPr>
          <w:sz w:val="20"/>
          <w:szCs w:val="20"/>
          <w:color w:val="auto"/>
        </w:rPr>
      </w:pPr>
      <w:r>
        <w:rPr>
          <w:rFonts w:ascii="Arial" w:cs="Arial" w:eastAsia="Arial" w:hAnsi="Arial"/>
          <w:sz w:val="18"/>
          <w:szCs w:val="18"/>
          <w:color w:val="auto"/>
        </w:rPr>
        <w:t>10.60 Shipbuilding Contract, by and between Aker Philadelphia Shipyard, Inc. and Matson Navigation Company, Inc., dated as of November 6, 2013 (certain portions of this exhibit have been omitted pursuant to a confidential treatment request submitted to the Commission) (incorporated by reference to Exhibit 10.56 of Matson’s Form 10-K for the year ended December 31, 2013).</w:t>
      </w:r>
    </w:p>
    <w:p>
      <w:pPr>
        <w:spacing w:after="0" w:line="181" w:lineRule="exact"/>
        <w:rPr>
          <w:sz w:val="20"/>
          <w:szCs w:val="20"/>
          <w:color w:val="auto"/>
        </w:rPr>
      </w:pPr>
    </w:p>
    <w:p>
      <w:pPr>
        <w:ind w:left="500" w:right="20" w:hanging="491"/>
        <w:spacing w:after="0" w:line="264" w:lineRule="auto"/>
        <w:rPr>
          <w:sz w:val="20"/>
          <w:szCs w:val="20"/>
          <w:color w:val="auto"/>
        </w:rPr>
      </w:pPr>
      <w:r>
        <w:rPr>
          <w:rFonts w:ascii="Arial" w:cs="Arial" w:eastAsia="Arial" w:hAnsi="Arial"/>
          <w:sz w:val="18"/>
          <w:szCs w:val="18"/>
          <w:color w:val="auto"/>
        </w:rPr>
        <w:t>10.61 Shipbuilding Contract, by and between Aker Philadelphia Shipyard, Inc. and Matson Navigation Company, Inc., dated as of November 6, 2013 (certain portions of this exhibit have been omitted pursuant to a confidential treatment request submitted to the Commission) (incorporated by reference to Exhibit 10.57 of Matson’s Form 10-K for the year ended December 31, 2013).</w:t>
      </w:r>
    </w:p>
    <w:p>
      <w:pPr>
        <w:spacing w:after="0" w:line="181" w:lineRule="exact"/>
        <w:rPr>
          <w:sz w:val="20"/>
          <w:szCs w:val="20"/>
          <w:color w:val="auto"/>
        </w:rPr>
      </w:pPr>
    </w:p>
    <w:p>
      <w:pPr>
        <w:ind w:left="500" w:right="100" w:hanging="491"/>
        <w:spacing w:after="0" w:line="277" w:lineRule="auto"/>
        <w:rPr>
          <w:sz w:val="20"/>
          <w:szCs w:val="20"/>
          <w:color w:val="auto"/>
        </w:rPr>
      </w:pPr>
      <w:r>
        <w:rPr>
          <w:rFonts w:ascii="Arial" w:cs="Arial" w:eastAsia="Arial" w:hAnsi="Arial"/>
          <w:sz w:val="18"/>
          <w:szCs w:val="18"/>
          <w:color w:val="auto"/>
        </w:rPr>
        <w:t>10.62 Guaranty Agreement by Aker Philadelphia Shipyard ASA, in favor of Matson Navigation Company, Inc., dated as of November 6, 2013 (incorporated by reference to Exhibit 10.58 of Matson’s Form 10-K for the year ended December 31, 2013).</w:t>
      </w:r>
    </w:p>
    <w:p>
      <w:pPr>
        <w:spacing w:after="0" w:line="170" w:lineRule="exact"/>
        <w:rPr>
          <w:sz w:val="20"/>
          <w:szCs w:val="20"/>
          <w:color w:val="auto"/>
        </w:rPr>
      </w:pPr>
    </w:p>
    <w:p>
      <w:pPr>
        <w:ind w:left="500" w:right="780" w:hanging="491"/>
        <w:spacing w:after="0" w:line="277" w:lineRule="auto"/>
        <w:rPr>
          <w:sz w:val="20"/>
          <w:szCs w:val="20"/>
          <w:color w:val="auto"/>
        </w:rPr>
      </w:pPr>
      <w:r>
        <w:rPr>
          <w:rFonts w:ascii="Arial" w:cs="Arial" w:eastAsia="Arial" w:hAnsi="Arial"/>
          <w:sz w:val="18"/>
          <w:szCs w:val="18"/>
          <w:color w:val="auto"/>
        </w:rPr>
        <w:t>10.63 Note Purchase Agreement among Matson, Inc., and the purchasers party thereto, dated as of November 5, 2013 (incorporated by reference to Exhibit 10.1 of Matson’s Form 8-K dated January 29, 2014).</w:t>
      </w:r>
    </w:p>
    <w:p>
      <w:pPr>
        <w:spacing w:after="0" w:line="170" w:lineRule="exact"/>
        <w:rPr>
          <w:sz w:val="20"/>
          <w:szCs w:val="20"/>
          <w:color w:val="auto"/>
        </w:rPr>
      </w:pPr>
    </w:p>
    <w:p>
      <w:pPr>
        <w:ind w:left="500" w:right="700" w:hanging="491"/>
        <w:spacing w:after="0" w:line="277" w:lineRule="auto"/>
        <w:rPr>
          <w:sz w:val="20"/>
          <w:szCs w:val="20"/>
          <w:color w:val="auto"/>
        </w:rPr>
      </w:pPr>
      <w:r>
        <w:rPr>
          <w:rFonts w:ascii="Arial" w:cs="Arial" w:eastAsia="Arial" w:hAnsi="Arial"/>
          <w:sz w:val="18"/>
          <w:szCs w:val="18"/>
          <w:color w:val="auto"/>
        </w:rPr>
        <w:t>10.64 Amendment to the Note Purchase Agreement among Matson, Inc. and the purchasers party thereto, dated as of July 30, 2015 (incorporated by reference to Exhibit 10.3 of Matson’s Form 8-K dated August 3, 2015).</w:t>
      </w:r>
    </w:p>
    <w:p>
      <w:pPr>
        <w:spacing w:after="0" w:line="170" w:lineRule="exact"/>
        <w:rPr>
          <w:sz w:val="20"/>
          <w:szCs w:val="20"/>
          <w:color w:val="auto"/>
        </w:rPr>
      </w:pPr>
    </w:p>
    <w:p>
      <w:pPr>
        <w:ind w:left="500" w:right="560" w:hanging="491"/>
        <w:spacing w:after="0" w:line="308" w:lineRule="auto"/>
        <w:rPr>
          <w:sz w:val="20"/>
          <w:szCs w:val="20"/>
          <w:color w:val="auto"/>
        </w:rPr>
      </w:pPr>
      <w:r>
        <w:rPr>
          <w:rFonts w:ascii="Arial" w:cs="Arial" w:eastAsia="Arial" w:hAnsi="Arial"/>
          <w:sz w:val="17"/>
          <w:szCs w:val="17"/>
          <w:color w:val="auto"/>
        </w:rPr>
        <w:t>10.65 Form of Capital Construction Fund Agreement with Matson Navigation Company, as amended by Addendums No. 2, No. 5, No. 18, No. 20 and No. 31, thereto (incorporated by reference to Exhibit 10.60 of Matson’s Form 10-K for the year ended December 31, 2013).</w:t>
      </w:r>
    </w:p>
    <w:p>
      <w:pPr>
        <w:sectPr>
          <w:pgSz w:w="11900" w:h="16838" w:orient="portrait"/>
          <w:cols w:equalWidth="0" w:num="1">
            <w:col w:w="11420"/>
          </w:cols>
          <w:pgMar w:left="240" w:top="341" w:right="239" w:bottom="21" w:gutter="0" w:footer="0" w:header="0"/>
        </w:sectPr>
      </w:pPr>
    </w:p>
    <w:bookmarkStart w:id="57" w:name="page58"/>
    <w:bookmarkEnd w:id="57"/>
    <w:p>
      <w:pPr>
        <w:ind w:left="500" w:right="1060" w:hanging="491"/>
        <w:spacing w:after="0" w:line="277" w:lineRule="auto"/>
        <w:rPr>
          <w:sz w:val="20"/>
          <w:szCs w:val="20"/>
          <w:color w:val="auto"/>
        </w:rPr>
      </w:pPr>
      <w:r>
        <w:rPr>
          <w:rFonts w:ascii="Arial" w:cs="Arial" w:eastAsia="Arial" w:hAnsi="Arial"/>
          <w:sz w:val="18"/>
          <w:szCs w:val="18"/>
          <w:color w:val="auto"/>
        </w:rPr>
        <w:t>10.66 Form of Consulting Agreement by and between Matson Navigation Company, Inc., and Kevin C. O’Rourke (incorporated by reference to Exhibit 10.61 of Matson’s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10.67 Form of Notice of Performance Share Award Grant (incorporated by reference to Exhibit 10.1 of Matson’s Form 8-K dated January 29,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10.68 Form of Performance Share Award Agreement (incorporated by reference to Exhibit 10-2 of Matson’s Form 8-K dated January 29, 2013).</w:t>
      </w:r>
    </w:p>
    <w:p>
      <w:pPr>
        <w:spacing w:after="0" w:line="225" w:lineRule="exact"/>
        <w:rPr>
          <w:sz w:val="20"/>
          <w:szCs w:val="20"/>
          <w:color w:val="auto"/>
        </w:rPr>
      </w:pPr>
    </w:p>
    <w:p>
      <w:pPr>
        <w:ind w:left="500" w:right="200" w:hanging="491"/>
        <w:spacing w:after="0" w:line="264" w:lineRule="auto"/>
        <w:rPr>
          <w:sz w:val="20"/>
          <w:szCs w:val="20"/>
          <w:color w:val="auto"/>
        </w:rPr>
      </w:pPr>
      <w:r>
        <w:rPr>
          <w:rFonts w:ascii="Arial" w:cs="Arial" w:eastAsia="Arial" w:hAnsi="Arial"/>
          <w:sz w:val="18"/>
          <w:szCs w:val="18"/>
          <w:color w:val="auto"/>
        </w:rPr>
        <w:t>10.69 Settlement Agreement, dated as of July 17, 2014, among the United States of America, acting through the United States Department of Justice and on behalf of the United States Surface Deployment and Distribution Command, Matson Navigation Company, Inc., and Mario Rizzo (incorporated by reference to Exhibit 10.1 of Matson’s Form 8-K dated July 22, 2014).</w:t>
      </w:r>
    </w:p>
    <w:p>
      <w:pPr>
        <w:spacing w:after="0" w:line="181" w:lineRule="exact"/>
        <w:rPr>
          <w:sz w:val="20"/>
          <w:szCs w:val="20"/>
          <w:color w:val="auto"/>
        </w:rPr>
      </w:pPr>
    </w:p>
    <w:p>
      <w:pPr>
        <w:ind w:left="500" w:right="540" w:hanging="491"/>
        <w:spacing w:after="0" w:line="277" w:lineRule="auto"/>
        <w:rPr>
          <w:sz w:val="20"/>
          <w:szCs w:val="20"/>
          <w:color w:val="auto"/>
        </w:rPr>
      </w:pPr>
      <w:r>
        <w:rPr>
          <w:rFonts w:ascii="Arial" w:cs="Arial" w:eastAsia="Arial" w:hAnsi="Arial"/>
          <w:sz w:val="18"/>
          <w:szCs w:val="18"/>
          <w:color w:val="auto"/>
        </w:rPr>
        <w:t>10.70 Form of Voting Agreement, dated as of November 11, 2014, among Matson Navigation Company, Inc. and certain holders of voting securities of Horizon Lines, Inc. (incorporated by reference to Exhibit 10.1 of Matson’s Form 8-K dated November 11, 2014).</w:t>
      </w:r>
    </w:p>
    <w:p>
      <w:pPr>
        <w:spacing w:after="0" w:line="170" w:lineRule="exact"/>
        <w:rPr>
          <w:sz w:val="20"/>
          <w:szCs w:val="20"/>
          <w:color w:val="auto"/>
        </w:rPr>
      </w:pPr>
    </w:p>
    <w:p>
      <w:pPr>
        <w:ind w:left="500" w:right="1040" w:hanging="491"/>
        <w:spacing w:after="0" w:line="277" w:lineRule="auto"/>
        <w:rPr>
          <w:sz w:val="20"/>
          <w:szCs w:val="20"/>
          <w:color w:val="auto"/>
        </w:rPr>
      </w:pPr>
      <w:r>
        <w:rPr>
          <w:rFonts w:ascii="Arial" w:cs="Arial" w:eastAsia="Arial" w:hAnsi="Arial"/>
          <w:sz w:val="18"/>
          <w:szCs w:val="18"/>
          <w:color w:val="auto"/>
        </w:rPr>
        <w:t>10.71 Settlement Agreement and Release, effective July 29, 2015, between the State of Hawai’i, Matson Terminals, Inc. and Matson Navigation Company, Inc. (incorporated by reference to Exhibit 10.1 of Matson’s Form 8-K dated July 30, 2015).</w:t>
      </w:r>
    </w:p>
    <w:p>
      <w:pPr>
        <w:spacing w:after="0" w:line="170"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Matson, Inc. Subsidiaries as of February 1,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Consent of Deloitte &amp; Touche, LLP dated February 26, 2016.</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as Adopted Pursuant to Section 302 of the Sarbanes-Oxley Act of 2002.</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as Adopted Pursuant to Section 302 of the Sarbanes-Oxley Act of 2002.</w:t>
      </w:r>
    </w:p>
    <w:p>
      <w:pPr>
        <w:spacing w:after="0" w:line="225" w:lineRule="exact"/>
        <w:rPr>
          <w:sz w:val="20"/>
          <w:szCs w:val="20"/>
          <w:color w:val="auto"/>
        </w:rPr>
      </w:pPr>
    </w:p>
    <w:p>
      <w:pPr>
        <w:ind w:left="500" w:right="340" w:hanging="492"/>
        <w:spacing w:after="0" w:line="277" w:lineRule="auto"/>
        <w:tabs>
          <w:tab w:leader="none" w:pos="4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8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79</w:t>
            </w:r>
          </w:p>
        </w:tc>
      </w:tr>
      <w:tr>
        <w:trPr>
          <w:trHeight w:val="132"/>
        </w:trPr>
        <w:tc>
          <w:tcPr>
            <w:tcW w:w="980" w:type="dxa"/>
            <w:vAlign w:val="bottom"/>
            <w:tcBorders>
              <w:bottom w:val="single" w:sz="8" w:color="808080"/>
            </w:tcBorders>
          </w:tcPr>
          <w:p>
            <w:pPr>
              <w:spacing w:after="0"/>
              <w:rPr>
                <w:sz w:val="11"/>
                <w:szCs w:val="11"/>
                <w:color w:val="auto"/>
              </w:rPr>
            </w:pPr>
          </w:p>
        </w:tc>
        <w:tc>
          <w:tcPr>
            <w:tcW w:w="104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Date: February 26, 2016</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6"/>
              </w:rPr>
              <w:t>President,</w:t>
            </w: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Matthew J. Cox</w:t>
            </w:r>
          </w:p>
        </w:tc>
        <w:tc>
          <w:tcPr>
            <w:tcW w:w="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A. Dods, Jr.</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Walter A. Dods, Jr.</w:t>
            </w:r>
          </w:p>
        </w:tc>
        <w:tc>
          <w:tcPr>
            <w:tcW w:w="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Blake Baird</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W. Blake Baird</w:t>
            </w:r>
          </w:p>
        </w:tc>
        <w:tc>
          <w:tcPr>
            <w:tcW w:w="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Chun</w:t>
            </w:r>
          </w:p>
        </w:tc>
        <w:tc>
          <w:tcPr>
            <w:tcW w:w="2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Michael J. Chun</w:t>
            </w:r>
          </w:p>
        </w:tc>
        <w:tc>
          <w:tcPr>
            <w:tcW w:w="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1">
            <w:col w:w="11460"/>
          </w:cols>
          <w:pgMar w:left="240" w:top="125" w:right="19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54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60" w:type="dxa"/>
            <w:vAlign w:val="bottom"/>
          </w:tcPr>
          <w:p>
            <w:pPr>
              <w:ind w:left="840"/>
              <w:spacing w:after="0"/>
              <w:rPr>
                <w:sz w:val="20"/>
                <w:szCs w:val="20"/>
                <w:color w:val="auto"/>
              </w:rPr>
            </w:pPr>
            <w:r>
              <w:rPr>
                <w:rFonts w:ascii="Arial" w:cs="Arial" w:eastAsia="Arial" w:hAnsi="Arial"/>
                <w:sz w:val="18"/>
                <w:szCs w:val="18"/>
                <w:color w:val="auto"/>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Thomas B. Fargo</w:t>
            </w:r>
          </w:p>
        </w:tc>
        <w:tc>
          <w:tcPr>
            <w:tcW w:w="54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54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60" w:type="dxa"/>
            <w:vAlign w:val="bottom"/>
          </w:tcPr>
          <w:p>
            <w:pPr>
              <w:ind w:left="840"/>
              <w:spacing w:after="0"/>
              <w:rPr>
                <w:sz w:val="20"/>
                <w:szCs w:val="20"/>
                <w:color w:val="auto"/>
              </w:rPr>
            </w:pPr>
            <w:r>
              <w:rPr>
                <w:rFonts w:ascii="Arial" w:cs="Arial" w:eastAsia="Arial" w:hAnsi="Arial"/>
                <w:sz w:val="18"/>
                <w:szCs w:val="18"/>
                <w:color w:val="auto"/>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Constance H. Lau</w:t>
            </w:r>
          </w:p>
        </w:tc>
        <w:tc>
          <w:tcPr>
            <w:tcW w:w="54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 Watanabe</w:t>
            </w:r>
          </w:p>
        </w:tc>
        <w:tc>
          <w:tcPr>
            <w:tcW w:w="54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60" w:type="dxa"/>
            <w:vAlign w:val="bottom"/>
          </w:tcPr>
          <w:p>
            <w:pPr>
              <w:ind w:left="840"/>
              <w:spacing w:after="0"/>
              <w:rPr>
                <w:sz w:val="20"/>
                <w:szCs w:val="20"/>
                <w:color w:val="auto"/>
              </w:rPr>
            </w:pPr>
            <w:r>
              <w:rPr>
                <w:rFonts w:ascii="Arial" w:cs="Arial" w:eastAsia="Arial" w:hAnsi="Arial"/>
                <w:sz w:val="18"/>
                <w:szCs w:val="18"/>
                <w:color w:val="auto"/>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Jeffrey N. Watanabe</w:t>
            </w:r>
          </w:p>
        </w:tc>
        <w:tc>
          <w:tcPr>
            <w:tcW w:w="54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540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2860" w:type="dxa"/>
            <w:vAlign w:val="bottom"/>
          </w:tcPr>
          <w:p>
            <w:pPr>
              <w:ind w:left="840"/>
              <w:spacing w:after="0"/>
              <w:rPr>
                <w:sz w:val="20"/>
                <w:szCs w:val="20"/>
                <w:color w:val="auto"/>
              </w:rPr>
            </w:pPr>
            <w:r>
              <w:rPr>
                <w:rFonts w:ascii="Arial" w:cs="Arial" w:eastAsia="Arial" w:hAnsi="Arial"/>
                <w:sz w:val="18"/>
                <w:szCs w:val="18"/>
                <w:color w:val="auto"/>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Joel M. Wine</w:t>
            </w:r>
          </w:p>
        </w:tc>
        <w:tc>
          <w:tcPr>
            <w:tcW w:w="54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Dale B. Hendler</w:t>
            </w:r>
          </w:p>
        </w:tc>
        <w:tc>
          <w:tcPr>
            <w:tcW w:w="5400" w:type="dxa"/>
            <w:vAlign w:val="bottom"/>
          </w:tcPr>
          <w:p>
            <w:pPr>
              <w:ind w:left="240"/>
              <w:spacing w:after="0"/>
              <w:rPr>
                <w:sz w:val="20"/>
                <w:szCs w:val="20"/>
                <w:color w:val="auto"/>
              </w:rPr>
            </w:pPr>
            <w:r>
              <w:rPr>
                <w:rFonts w:ascii="Arial" w:cs="Arial" w:eastAsia="Arial" w:hAnsi="Arial"/>
                <w:sz w:val="18"/>
                <w:szCs w:val="18"/>
                <w:color w:val="auto"/>
              </w:rPr>
              <w:t>Vice President and Controller, (principal accounting officer)</w:t>
            </w:r>
          </w:p>
        </w:tc>
        <w:tc>
          <w:tcPr>
            <w:tcW w:w="2860" w:type="dxa"/>
            <w:vAlign w:val="bottom"/>
          </w:tcPr>
          <w:p>
            <w:pPr>
              <w:ind w:left="840"/>
              <w:spacing w:after="0"/>
              <w:rPr>
                <w:sz w:val="20"/>
                <w:szCs w:val="20"/>
                <w:color w:val="auto"/>
              </w:rPr>
            </w:pPr>
            <w:r>
              <w:rPr>
                <w:rFonts w:ascii="Arial" w:cs="Arial" w:eastAsia="Arial" w:hAnsi="Arial"/>
                <w:sz w:val="18"/>
                <w:szCs w:val="18"/>
                <w:color w:val="auto"/>
              </w:rPr>
              <w:t>February 26, 2016</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Dale B. Hendler</w:t>
            </w:r>
          </w:p>
        </w:tc>
        <w:tc>
          <w:tcPr>
            <w:tcW w:w="54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3200" w:type="dxa"/>
            <w:vAlign w:val="bottom"/>
          </w:tcPr>
          <w:p>
            <w:pPr>
              <w:spacing w:after="0"/>
              <w:rPr>
                <w:sz w:val="24"/>
                <w:szCs w:val="24"/>
                <w:color w:val="auto"/>
              </w:rPr>
            </w:pPr>
          </w:p>
        </w:tc>
        <w:tc>
          <w:tcPr>
            <w:tcW w:w="5400" w:type="dxa"/>
            <w:vAlign w:val="bottom"/>
          </w:tcPr>
          <w:p>
            <w:pPr>
              <w:jc w:val="right"/>
              <w:ind w:right="257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432"/>
        </w:trPr>
        <w:tc>
          <w:tcPr>
            <w:tcW w:w="3200" w:type="dxa"/>
            <w:vAlign w:val="bottom"/>
          </w:tcPr>
          <w:p>
            <w:pPr>
              <w:spacing w:after="0"/>
              <w:rPr>
                <w:sz w:val="24"/>
                <w:szCs w:val="24"/>
                <w:color w:val="auto"/>
              </w:rPr>
            </w:pPr>
          </w:p>
        </w:tc>
        <w:tc>
          <w:tcPr>
            <w:tcW w:w="5400" w:type="dxa"/>
            <w:vAlign w:val="bottom"/>
          </w:tcPr>
          <w:p>
            <w:pPr>
              <w:jc w:val="right"/>
              <w:ind w:right="2710"/>
              <w:spacing w:after="0"/>
              <w:rPr>
                <w:sz w:val="20"/>
                <w:szCs w:val="20"/>
                <w:color w:val="auto"/>
              </w:rPr>
            </w:pPr>
            <w:r>
              <w:rPr>
                <w:rFonts w:ascii="Arial" w:cs="Arial" w:eastAsia="Arial" w:hAnsi="Arial"/>
                <w:sz w:val="18"/>
                <w:szCs w:val="18"/>
                <w:color w:val="auto"/>
              </w:rPr>
              <w:t>80</w:t>
            </w:r>
          </w:p>
        </w:tc>
        <w:tc>
          <w:tcPr>
            <w:tcW w:w="2860" w:type="dxa"/>
            <w:vAlign w:val="bottom"/>
          </w:tcPr>
          <w:p>
            <w:pPr>
              <w:spacing w:after="0"/>
              <w:rPr>
                <w:sz w:val="24"/>
                <w:szCs w:val="24"/>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540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9" w:name="page60"/>
    <w:bookmarkEnd w:id="59"/>
    <w:p>
      <w:pPr>
        <w:ind w:left="10620"/>
        <w:spacing w:after="0"/>
        <w:rPr>
          <w:sz w:val="20"/>
          <w:szCs w:val="20"/>
          <w:color w:val="auto"/>
        </w:rPr>
      </w:pPr>
      <w:r>
        <w:rPr>
          <w:rFonts w:ascii="Arial" w:cs="Arial" w:eastAsia="Arial" w:hAnsi="Arial"/>
          <w:sz w:val="17"/>
          <w:szCs w:val="17"/>
          <w:b w:val="1"/>
          <w:bCs w:val="1"/>
          <w:color w:val="auto"/>
        </w:rPr>
        <w:t>Exhibit 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ind w:left="5220"/>
              <w:spacing w:after="0"/>
              <w:rPr>
                <w:sz w:val="20"/>
                <w:szCs w:val="20"/>
                <w:color w:val="auto"/>
              </w:rPr>
            </w:pPr>
            <w:r>
              <w:rPr>
                <w:rFonts w:ascii="Arial" w:cs="Arial" w:eastAsia="Arial" w:hAnsi="Arial"/>
                <w:sz w:val="18"/>
                <w:szCs w:val="18"/>
                <w:b w:val="1"/>
                <w:bCs w:val="1"/>
                <w:color w:val="auto"/>
              </w:rPr>
              <w:t>Matson, Inc.</w:t>
            </w: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0" w:type="dxa"/>
            <w:vAlign w:val="bottom"/>
          </w:tcPr>
          <w:p>
            <w:pPr>
              <w:ind w:left="4340"/>
              <w:spacing w:after="0"/>
              <w:rPr>
                <w:sz w:val="20"/>
                <w:szCs w:val="20"/>
                <w:color w:val="auto"/>
              </w:rPr>
            </w:pPr>
            <w:r>
              <w:rPr>
                <w:rFonts w:ascii="Arial" w:cs="Arial" w:eastAsia="Arial" w:hAnsi="Arial"/>
                <w:sz w:val="18"/>
                <w:szCs w:val="18"/>
                <w:b w:val="1"/>
                <w:bCs w:val="1"/>
                <w:color w:val="auto"/>
              </w:rPr>
              <w:t>Subsidiaries as of February 1, 2016</w:t>
            </w: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ABHI-Crockett,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Matson Navigation Company, Inc.</w:t>
            </w:r>
          </w:p>
        </w:tc>
        <w:tc>
          <w:tcPr>
            <w:tcW w:w="3600" w:type="dxa"/>
            <w:vAlign w:val="bottom"/>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60"/>
              <w:spacing w:after="0"/>
              <w:rPr>
                <w:sz w:val="20"/>
                <w:szCs w:val="20"/>
                <w:color w:val="auto"/>
              </w:rPr>
            </w:pPr>
            <w:r>
              <w:rPr>
                <w:rFonts w:ascii="Arial" w:cs="Arial" w:eastAsia="Arial" w:hAnsi="Arial"/>
                <w:sz w:val="18"/>
                <w:szCs w:val="18"/>
                <w:color w:val="auto"/>
              </w:rPr>
              <w:t>Matson Alaska, Inc.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Subsidiaries:</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Horizon Lines Holding Corp.</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Subsidiaries:</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60"/>
              <w:spacing w:after="0"/>
              <w:rPr>
                <w:sz w:val="20"/>
                <w:szCs w:val="20"/>
                <w:color w:val="auto"/>
              </w:rPr>
            </w:pPr>
            <w:r>
              <w:rPr>
                <w:rFonts w:ascii="Arial" w:cs="Arial" w:eastAsia="Arial" w:hAnsi="Arial"/>
                <w:sz w:val="18"/>
                <w:szCs w:val="18"/>
                <w:color w:val="auto"/>
              </w:rPr>
              <w:t>Horizon Lines of Puerto Rico,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Horizon Logistics,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2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Horizon Services Group,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800"/>
              <w:spacing w:after="0"/>
              <w:rPr>
                <w:sz w:val="20"/>
                <w:szCs w:val="20"/>
                <w:color w:val="auto"/>
              </w:rPr>
            </w:pPr>
            <w:r>
              <w:rPr>
                <w:rFonts w:ascii="Arial" w:cs="Arial" w:eastAsia="Arial" w:hAnsi="Arial"/>
                <w:sz w:val="18"/>
                <w:szCs w:val="18"/>
                <w:color w:val="auto"/>
              </w:rPr>
              <w:t>Aero Logistics,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Horizon Lines,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2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Horizon Lines of Guam,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800"/>
              <w:spacing w:after="0"/>
              <w:rPr>
                <w:sz w:val="20"/>
                <w:szCs w:val="20"/>
                <w:color w:val="auto"/>
              </w:rPr>
            </w:pPr>
            <w:r>
              <w:rPr>
                <w:rFonts w:ascii="Arial" w:cs="Arial" w:eastAsia="Arial" w:hAnsi="Arial"/>
                <w:sz w:val="18"/>
                <w:szCs w:val="18"/>
                <w:color w:val="auto"/>
              </w:rPr>
              <w:t>Horizon Lines Vessels,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HL Distribution Service,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800"/>
              <w:spacing w:after="0"/>
              <w:rPr>
                <w:sz w:val="20"/>
                <w:szCs w:val="20"/>
                <w:color w:val="auto"/>
              </w:rPr>
            </w:pPr>
            <w:r>
              <w:rPr>
                <w:rFonts w:ascii="Arial" w:cs="Arial" w:eastAsia="Arial" w:hAnsi="Arial"/>
                <w:sz w:val="18"/>
                <w:szCs w:val="18"/>
                <w:color w:val="auto"/>
              </w:rPr>
              <w:t>Matson Navigation Company of Alaska,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Subsidiaries:</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160"/>
              <w:spacing w:after="0"/>
              <w:rPr>
                <w:sz w:val="20"/>
                <w:szCs w:val="20"/>
                <w:color w:val="auto"/>
              </w:rPr>
            </w:pPr>
            <w:r>
              <w:rPr>
                <w:rFonts w:ascii="Arial" w:cs="Arial" w:eastAsia="Arial" w:hAnsi="Arial"/>
                <w:sz w:val="18"/>
                <w:szCs w:val="18"/>
                <w:color w:val="auto"/>
              </w:rPr>
              <w:t>Matson Navigation Company of Alaska Payroll Agent,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Horizon Lines Merchant Vessels,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34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Horizon Lines Alaska Vessels, LLC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520"/>
              <w:spacing w:after="0"/>
              <w:rPr>
                <w:sz w:val="20"/>
                <w:szCs w:val="20"/>
                <w:color w:val="auto"/>
              </w:rPr>
            </w:pPr>
            <w:r>
              <w:rPr>
                <w:rFonts w:ascii="Arial" w:cs="Arial" w:eastAsia="Arial" w:hAnsi="Arial"/>
                <w:sz w:val="18"/>
                <w:szCs w:val="18"/>
                <w:color w:val="auto"/>
              </w:rPr>
              <w:t>Horizon Lines Alaska Terminals, LLC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Road Raiders Inland,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8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Road Raiders Logistics,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60"/>
              <w:spacing w:after="0"/>
              <w:rPr>
                <w:sz w:val="20"/>
                <w:szCs w:val="20"/>
                <w:color w:val="auto"/>
              </w:rPr>
            </w:pPr>
            <w:r>
              <w:rPr>
                <w:rFonts w:ascii="Arial" w:cs="Arial" w:eastAsia="Arial" w:hAnsi="Arial"/>
                <w:sz w:val="18"/>
                <w:szCs w:val="18"/>
                <w:color w:val="auto"/>
              </w:rPr>
              <w:t>Road Raiders Transportation, Inc.</w:t>
            </w:r>
          </w:p>
        </w:tc>
        <w:tc>
          <w:tcPr>
            <w:tcW w:w="360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Road Raiders Technology,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Matson Logistics, Inc.</w:t>
            </w:r>
          </w:p>
        </w:tc>
        <w:tc>
          <w:tcPr>
            <w:tcW w:w="3600" w:type="dxa"/>
            <w:vAlign w:val="bottom"/>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Subsidiaries:</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Matson Logistics Services, LLC</w:t>
            </w:r>
          </w:p>
        </w:tc>
        <w:tc>
          <w:tcPr>
            <w:tcW w:w="3600" w:type="dxa"/>
            <w:vAlign w:val="bottom"/>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Matson Logistics Warehousing,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Matson Terminals, Inc.</w:t>
            </w:r>
          </w:p>
        </w:tc>
        <w:tc>
          <w:tcPr>
            <w:tcW w:w="3600" w:type="dxa"/>
            <w:vAlign w:val="bottom"/>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Matson Ventures, Inc.</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Matson Logistics (Shanghai) Co., Ltd.</w:t>
            </w:r>
          </w:p>
        </w:tc>
        <w:tc>
          <w:tcPr>
            <w:tcW w:w="3600" w:type="dxa"/>
            <w:vAlign w:val="bottom"/>
          </w:tcPr>
          <w:p>
            <w:pPr>
              <w:ind w:left="76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Matson Shipping (Hong Kong) Limited</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Matson Shipping (Shanghai) Co., Ltd.</w:t>
            </w:r>
          </w:p>
        </w:tc>
        <w:tc>
          <w:tcPr>
            <w:tcW w:w="3600" w:type="dxa"/>
            <w:vAlign w:val="bottom"/>
          </w:tcPr>
          <w:p>
            <w:pPr>
              <w:ind w:left="76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Matson South Pacific Holdco Limited</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Matson South Pacific Limited</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80"/>
              <w:spacing w:after="0"/>
              <w:rPr>
                <w:sz w:val="20"/>
                <w:szCs w:val="20"/>
                <w:color w:val="auto"/>
              </w:rPr>
            </w:pPr>
            <w:r>
              <w:rPr>
                <w:rFonts w:ascii="Arial" w:cs="Arial" w:eastAsia="Arial" w:hAnsi="Arial"/>
                <w:sz w:val="18"/>
                <w:szCs w:val="18"/>
                <w:color w:val="auto"/>
              </w:rPr>
              <w:t>Subsidiaries:</w:t>
            </w: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Matson Cook Islands Limited</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Cook Islands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80"/>
              <w:spacing w:after="0"/>
              <w:rPr>
                <w:sz w:val="20"/>
                <w:szCs w:val="20"/>
                <w:color w:val="auto"/>
              </w:rPr>
            </w:pPr>
            <w:r>
              <w:rPr>
                <w:rFonts w:ascii="Arial" w:cs="Arial" w:eastAsia="Arial" w:hAnsi="Arial"/>
                <w:sz w:val="18"/>
                <w:szCs w:val="18"/>
                <w:color w:val="auto"/>
              </w:rPr>
              <w:t>Tranz Pacific Management Limited</w:t>
            </w:r>
          </w:p>
        </w:tc>
        <w:tc>
          <w:tcPr>
            <w:tcW w:w="3600" w:type="dxa"/>
            <w:vAlign w:val="bottom"/>
          </w:tcPr>
          <w:p>
            <w:pPr>
              <w:ind w:left="760"/>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Matson (Antigua) Limited</w:t>
            </w:r>
          </w:p>
        </w:tc>
        <w:tc>
          <w:tcPr>
            <w:tcW w:w="3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Antigua and Barbuda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80"/>
              <w:spacing w:after="0"/>
              <w:rPr>
                <w:sz w:val="20"/>
                <w:szCs w:val="20"/>
                <w:color w:val="auto"/>
              </w:rPr>
            </w:pPr>
            <w:r>
              <w:rPr>
                <w:rFonts w:ascii="Arial" w:cs="Arial" w:eastAsia="Arial" w:hAnsi="Arial"/>
                <w:sz w:val="18"/>
                <w:szCs w:val="18"/>
                <w:color w:val="auto"/>
              </w:rPr>
              <w:t>Reef Nauru Limited</w:t>
            </w:r>
          </w:p>
        </w:tc>
        <w:tc>
          <w:tcPr>
            <w:tcW w:w="3600" w:type="dxa"/>
            <w:vAlign w:val="bottom"/>
          </w:tcPr>
          <w:p>
            <w:pPr>
              <w:ind w:left="760"/>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Subsidiary:</w:t>
            </w:r>
          </w:p>
        </w:tc>
        <w:tc>
          <w:tcPr>
            <w:tcW w:w="3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440"/>
              <w:spacing w:after="0"/>
              <w:rPr>
                <w:sz w:val="20"/>
                <w:szCs w:val="20"/>
                <w:color w:val="auto"/>
              </w:rPr>
            </w:pPr>
            <w:r>
              <w:rPr>
                <w:rFonts w:ascii="Arial" w:cs="Arial" w:eastAsia="Arial" w:hAnsi="Arial"/>
                <w:sz w:val="18"/>
                <w:szCs w:val="18"/>
                <w:color w:val="auto"/>
              </w:rPr>
              <w:t>Reef Nauru II Shipping Limited</w:t>
            </w:r>
          </w:p>
        </w:tc>
        <w:tc>
          <w:tcPr>
            <w:tcW w:w="3600" w:type="dxa"/>
            <w:vAlign w:val="bottom"/>
          </w:tcPr>
          <w:p>
            <w:pPr>
              <w:ind w:left="760"/>
              <w:spacing w:after="0"/>
              <w:rPr>
                <w:sz w:val="20"/>
                <w:szCs w:val="20"/>
                <w:color w:val="auto"/>
              </w:rPr>
            </w:pPr>
            <w:r>
              <w:rPr>
                <w:rFonts w:ascii="Arial" w:cs="Arial" w:eastAsia="Arial" w:hAnsi="Arial"/>
                <w:sz w:val="18"/>
                <w:szCs w:val="18"/>
                <w:color w:val="auto"/>
              </w:rPr>
              <w:t>Antigua and Barbuda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78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We consent to the incorporation by reference in Registration Statements Nos. 333-184623, 333-121194, as amended by Post-Effective Amendment No.1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relating to the consolidated financial statements of Matson, Inc. and subsidiaries </w:t>
      </w:r>
      <w:r>
        <w:rPr>
          <w:rFonts w:ascii="Arial" w:cs="Arial" w:eastAsia="Arial" w:hAnsi="Arial"/>
          <w:sz w:val="16"/>
          <w:szCs w:val="16"/>
          <w:color w:val="auto"/>
        </w:rPr>
        <w:t>(which report expresses an unqualified opinion and includes an explanatory paragraph relating to the adoption of ASU 2015-17, “</w:t>
      </w:r>
      <w:r>
        <w:rPr>
          <w:rFonts w:ascii="Arial" w:cs="Arial" w:eastAsia="Arial" w:hAnsi="Arial"/>
          <w:sz w:val="16"/>
          <w:szCs w:val="16"/>
          <w:i w:val="1"/>
          <w:iCs w:val="1"/>
          <w:color w:val="auto"/>
        </w:rPr>
        <w:t>Balance Sheet Classifications of</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Taxes”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7"/>
          <w:szCs w:val="17"/>
          <w:color w:val="auto"/>
        </w:rPr>
        <w:t>and the effectiveness of Matson, Inc. and subsidiaries’ internal control over financial reporting dated February 26, 2016, appearing in the</w:t>
      </w:r>
      <w:r>
        <w:rPr>
          <w:rFonts w:ascii="Arial" w:cs="Arial" w:eastAsia="Arial" w:hAnsi="Arial"/>
          <w:sz w:val="16"/>
          <w:szCs w:val="16"/>
          <w:i w:val="1"/>
          <w:iCs w:val="1"/>
          <w:color w:val="auto"/>
        </w:rPr>
        <w:t xml:space="preserve"> </w:t>
      </w:r>
      <w:r>
        <w:rPr>
          <w:rFonts w:ascii="Arial" w:cs="Arial" w:eastAsia="Arial" w:hAnsi="Arial"/>
          <w:sz w:val="17"/>
          <w:szCs w:val="17"/>
          <w:color w:val="auto"/>
        </w:rPr>
        <w:t>Annual Report on Form 10-K of Matson, Inc. for the year ended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294"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294"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Joel M. Wine,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2015 as filed with the Securities and Exchange Commission on the date hereof (the “Report”), Matthew J. Cox, as President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87" w:lineRule="exact"/>
        <w:rPr>
          <w:sz w:val="20"/>
          <w:szCs w:val="20"/>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574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5740" w:type="dxa"/>
            <w:vAlign w:val="bottom"/>
          </w:tcPr>
          <w:p>
            <w:pPr>
              <w:spacing w:after="0"/>
              <w:rPr>
                <w:sz w:val="20"/>
                <w:szCs w:val="20"/>
                <w:color w:val="auto"/>
              </w:rPr>
            </w:pPr>
          </w:p>
        </w:tc>
      </w:tr>
      <w:tr>
        <w:trPr>
          <w:trHeight w:val="348"/>
        </w:trPr>
        <w:tc>
          <w:tcPr>
            <w:tcW w:w="5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1."/>
      <w:numFmt w:val="upperLetter"/>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1)"/>
      <w:numFmt w:val="decimal"/>
      <w:start w:val="4"/>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upperLetter"/>
      <w:start w:val="2"/>
    </w:lvl>
  </w:abstractNum>
  <w:abstractNum w:abstractNumId="11">
    <w:nsid w:val="2463B9EA"/>
    <w:multiLevelType w:val="hybridMultilevel"/>
    <w:lvl w:ilvl="0">
      <w:lvlJc w:val="left"/>
      <w:lvlText w:val="%1."/>
      <w:numFmt w:val="upperLetter"/>
      <w:start w:val="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4"/>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2"/>
    </w:lvl>
  </w:abstractNum>
  <w:abstractNum w:abstractNumId="27">
    <w:nsid w:val="542289EC"/>
    <w:multiLevelType w:val="hybridMultilevel"/>
    <w:lvl w:ilvl="0">
      <w:lvlJc w:val="left"/>
      <w:lvlText w:val="%1."/>
      <w:numFmt w:val="decimal"/>
      <w:start w:val="3"/>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4"/>
    </w:lvl>
  </w:abstractNum>
  <w:abstractNum w:abstractNumId="30">
    <w:nsid w:val="7644A45C"/>
    <w:multiLevelType w:val="hybridMultilevel"/>
    <w:lvl w:ilvl="0">
      <w:lvlJc w:val="left"/>
      <w:lvlText w:val="%1."/>
      <w:numFmt w:val="decimal"/>
      <w:start w:val="5"/>
    </w:lvl>
  </w:abstractNum>
  <w:abstractNum w:abstractNumId="31">
    <w:nsid w:val="32FFF902"/>
    <w:multiLevelType w:val="hybridMultilevel"/>
    <w:lvl w:ilvl="0">
      <w:lvlJc w:val="left"/>
      <w:lvlText w:val="%1."/>
      <w:numFmt w:val="decimal"/>
      <w:start w:val="6"/>
    </w:lvl>
  </w:abstractNum>
  <w:abstractNum w:abstractNumId="32">
    <w:nsid w:val="684A481A"/>
    <w:multiLevelType w:val="hybridMultilevel"/>
    <w:lvl w:ilvl="0">
      <w:lvlJc w:val="left"/>
      <w:lvlText w:val="%1."/>
      <w:numFmt w:val="decimal"/>
      <w:start w:val="7"/>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9"/>
    </w:lvl>
  </w:abstractNum>
  <w:abstractNum w:abstractNumId="35">
    <w:nsid w:val="3DC240FB"/>
    <w:multiLevelType w:val="hybridMultilevel"/>
    <w:lvl w:ilvl="0">
      <w:lvlJc w:val="left"/>
      <w:lvlText w:val="%1."/>
      <w:numFmt w:val="decimal"/>
      <w:start w:val="10"/>
    </w:lvl>
  </w:abstractNum>
  <w:abstractNum w:abstractNumId="36">
    <w:nsid w:val="1BA026FA"/>
    <w:multiLevelType w:val="hybridMultilevel"/>
    <w:lvl w:ilvl="0">
      <w:lvlJc w:val="left"/>
      <w:lvlText w:val="%1."/>
      <w:numFmt w:val="decimal"/>
      <w:start w:val="1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2"/>
    </w:lvl>
  </w:abstractNum>
  <w:abstractNum w:abstractNumId="41">
    <w:nsid w:val="520EEDD1"/>
    <w:multiLevelType w:val="hybridMultilevel"/>
    <w:lvl w:ilvl="0">
      <w:lvlJc w:val="left"/>
      <w:lvlText w:val="%1."/>
      <w:numFmt w:val="decimal"/>
      <w:start w:val="13"/>
    </w:lvl>
  </w:abstractNum>
  <w:abstractNum w:abstractNumId="42">
    <w:nsid w:val="374A3FE6"/>
    <w:multiLevelType w:val="hybridMultilevel"/>
    <w:lvl w:ilvl="0">
      <w:lvlJc w:val="left"/>
      <w:lvlText w:val="%1."/>
      <w:numFmt w:val="decimal"/>
      <w:start w:val="14"/>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5"/>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2"/>
    </w:lvl>
  </w:abstractNum>
  <w:abstractNum w:abstractNumId="47">
    <w:nsid w:val="39386575"/>
    <w:multiLevelType w:val="hybridMultilevel"/>
    <w:lvl w:ilvl="0">
      <w:lvlJc w:val="left"/>
      <w:lvlText w:val="%1."/>
      <w:numFmt w:val="decimal"/>
      <w:start w:val="16"/>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upperLetter"/>
      <w:start w:val="1"/>
    </w:lvl>
  </w:abstractNum>
  <w:abstractNum w:abstractNumId="50">
    <w:nsid w:val="235BA861"/>
    <w:multiLevelType w:val="hybridMultilevel"/>
    <w:lvl w:ilvl="0">
      <w:lvlJc w:val="left"/>
      <w:lvlText w:val="%1."/>
      <w:numFmt w:val="upperLetter"/>
      <w:start w:val="2"/>
    </w:lvl>
  </w:abstractNum>
  <w:abstractNum w:abstractNumId="51">
    <w:nsid w:val="47398C89"/>
    <w:multiLevelType w:val="hybridMultilevel"/>
    <w:lvl w:ilvl="0">
      <w:lvlJc w:val="left"/>
      <w:lvlText w:val="%1."/>
      <w:numFmt w:val="upperLetter"/>
      <w:start w:val="3"/>
    </w:lvl>
  </w:abstractNum>
  <w:abstractNum w:abstractNumId="52">
    <w:nsid w:val="354FE9F9"/>
    <w:multiLevelType w:val="hybridMultilevel"/>
    <w:lvl w:ilvl="0">
      <w:lvlJc w:val="left"/>
      <w:lvlText w:val="%1."/>
      <w:numFmt w:val="upperLetter"/>
      <w:start w:val="4"/>
    </w:lvl>
  </w:abstractNum>
  <w:abstractNum w:abstractNumId="53">
    <w:nsid w:val="15B5AF5C"/>
    <w:multiLevelType w:val="hybridMultilevel"/>
    <w:lvl w:ilvl="0">
      <w:lvlJc w:val="left"/>
      <w:lvlText w:val="%1."/>
      <w:numFmt w:val="upperLetter"/>
      <w:start w:val="1"/>
    </w:lvl>
  </w:abstractNum>
  <w:abstractNum w:abstractNumId="54">
    <w:nsid w:val="741226BB"/>
    <w:multiLevelType w:val="hybridMultilevel"/>
    <w:lvl w:ilvl="0">
      <w:lvlJc w:val="left"/>
      <w:lvlText w:val="%1."/>
      <w:numFmt w:val="upperLetter"/>
      <w:start w:val="2"/>
    </w:lvl>
  </w:abstractNum>
  <w:abstractNum w:abstractNumId="55">
    <w:nsid w:val="D34B6A8"/>
    <w:multiLevelType w:val="hybridMultilevel"/>
    <w:lvl w:ilvl="0">
      <w:lvlJc w:val="left"/>
      <w:lvlText w:val="%1."/>
      <w:numFmt w:val="upperLetter"/>
      <w:start w:val="3"/>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1."/>
      <w:numFmt w:val="decimal"/>
      <w:start w:val="3"/>
    </w:lvl>
  </w:abstractNum>
  <w:abstractNum w:abstractNumId="58">
    <w:nsid w:val="61574095"/>
    <w:multiLevelType w:val="hybridMultilevel"/>
    <w:lvl w:ilvl="0">
      <w:lvlJc w:val="left"/>
      <w:lvlText w:val="%1."/>
      <w:numFmt w:val="decimal"/>
      <w:start w:val="10"/>
    </w:lvl>
  </w:abstractNum>
  <w:abstractNum w:abstractNumId="59">
    <w:nsid w:val="7E0C57B1"/>
    <w:multiLevelType w:val="hybridMultilevel"/>
    <w:lvl w:ilvl="0">
      <w:lvlJc w:val="left"/>
      <w:lvlText w:val="%1."/>
      <w:numFmt w:val="decimal"/>
      <w:start w:val="21"/>
    </w:lvl>
  </w:abstractNum>
  <w:abstractNum w:abstractNumId="60">
    <w:nsid w:val="77AE35EB"/>
    <w:multiLevelType w:val="hybridMultilevel"/>
    <w:lvl w:ilvl="0">
      <w:lvlJc w:val="left"/>
      <w:lvlText w:val="%1."/>
      <w:numFmt w:val="decimal"/>
      <w:start w:val="23"/>
    </w:lvl>
  </w:abstractNum>
  <w:abstractNum w:abstractNumId="61">
    <w:nsid w:val="579BE4F1"/>
    <w:multiLevelType w:val="hybridMultilevel"/>
    <w:lvl w:ilvl="0">
      <w:lvlJc w:val="left"/>
      <w:lvlText w:val="%1."/>
      <w:numFmt w:val="decimal"/>
      <w:start w:val="32"/>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2019-12-29T14:48:49Z</dcterms:created>
  <dcterms:modified xsi:type="dcterms:W3CDTF">2019-12-29T14:48:49Z</dcterms:modified>
</cp:coreProperties>
</file>