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Holland Jerome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 SAND ISLAND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HONOLULU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96819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Matson,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</w:t>
                  </w:r>
                  <w:r>
                    <w:rPr/>
                    <w:t xml:space="preserve"> / </w:t>
                  </w: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Matson Logistics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203.92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5,310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common stock withheld by the Issuer to cover tax withholding obligations arising from the vesting of a previous grant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Jerome Holland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5308" TargetMode="External"/><Relationship Id="rId5" Type="http://schemas.openxmlformats.org/officeDocument/2006/relationships/hyperlink" Target="http://www.sec.gov/cgi-bin/browse-edgar?action=getcompany&amp;CIK=00000034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3176</Characters>
  <CharactersWithSpaces>3703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