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0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40" w:right="118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5040" w:type="dxa"/>
            <w:vAlign w:val="bottom"/>
          </w:tcPr>
          <w:p>
            <w:pPr>
              <w:ind w:left="1900"/>
              <w:spacing w:after="0"/>
              <w:rPr>
                <w:sz w:val="20"/>
                <w:szCs w:val="20"/>
                <w:color w:val="auto"/>
              </w:rPr>
            </w:pPr>
            <w:r>
              <w:rPr>
                <w:rFonts w:ascii="Arial" w:cs="Arial" w:eastAsia="Arial" w:hAnsi="Arial"/>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65"/>
        </w:trPr>
        <w:tc>
          <w:tcPr>
            <w:tcW w:w="7300" w:type="dxa"/>
            <w:vAlign w:val="bottom"/>
            <w:gridSpan w:val="2"/>
          </w:tcPr>
          <w:p>
            <w:pPr>
              <w:jc w:val="center"/>
              <w:ind w:left="68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99"/>
        </w:trPr>
        <w:tc>
          <w:tcPr>
            <w:tcW w:w="5040" w:type="dxa"/>
            <w:vAlign w:val="bottom"/>
          </w:tcPr>
          <w:p>
            <w:pPr>
              <w:jc w:val="center"/>
              <w:ind w:left="2923"/>
              <w:spacing w:after="0"/>
              <w:rPr>
                <w:sz w:val="20"/>
                <w:szCs w:val="20"/>
                <w:color w:val="auto"/>
              </w:rPr>
            </w:pPr>
            <w:r>
              <w:rPr>
                <w:rFonts w:ascii="Arial" w:cs="Arial" w:eastAsia="Arial" w:hAnsi="Arial"/>
                <w:sz w:val="32"/>
                <w:szCs w:val="32"/>
                <w:b w:val="1"/>
                <w:bCs w:val="1"/>
                <w:color w:val="auto"/>
                <w:w w:val="94"/>
              </w:rPr>
              <w:t>Matson, Inc.</w:t>
            </w:r>
          </w:p>
        </w:tc>
        <w:tc>
          <w:tcPr>
            <w:tcW w:w="2260" w:type="dxa"/>
            <w:vAlign w:val="bottom"/>
          </w:tcPr>
          <w:p>
            <w:pPr>
              <w:spacing w:after="0"/>
              <w:rPr>
                <w:sz w:val="24"/>
                <w:szCs w:val="24"/>
                <w:color w:val="auto"/>
              </w:rPr>
            </w:pPr>
          </w:p>
        </w:tc>
      </w:tr>
      <w:tr>
        <w:trPr>
          <w:trHeight w:val="230"/>
        </w:trPr>
        <w:tc>
          <w:tcPr>
            <w:tcW w:w="7300" w:type="dxa"/>
            <w:vAlign w:val="bottom"/>
            <w:gridSpan w:val="2"/>
          </w:tcPr>
          <w:p>
            <w:pPr>
              <w:jc w:val="center"/>
              <w:ind w:left="68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23"/>
        </w:trPr>
        <w:tc>
          <w:tcPr>
            <w:tcW w:w="5040" w:type="dxa"/>
            <w:vAlign w:val="bottom"/>
          </w:tcPr>
          <w:p>
            <w:pPr>
              <w:jc w:val="center"/>
              <w:ind w:right="2083"/>
              <w:spacing w:after="0"/>
              <w:rPr>
                <w:sz w:val="20"/>
                <w:szCs w:val="20"/>
                <w:color w:val="auto"/>
              </w:rPr>
            </w:pPr>
            <w:r>
              <w:rPr>
                <w:rFonts w:ascii="Arial" w:cs="Arial" w:eastAsia="Arial" w:hAnsi="Arial"/>
                <w:sz w:val="18"/>
                <w:szCs w:val="18"/>
                <w:b w:val="1"/>
                <w:bCs w:val="1"/>
                <w:color w:val="auto"/>
                <w:w w:val="94"/>
              </w:rPr>
              <w:t>Hawaii</w:t>
            </w: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4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60" w:type="dxa"/>
            <w:vAlign w:val="bottom"/>
          </w:tcPr>
          <w:p>
            <w:pPr>
              <w:jc w:val="center"/>
              <w:ind w:left="830"/>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5040" w:type="dxa"/>
            <w:vAlign w:val="bottom"/>
          </w:tcPr>
          <w:p>
            <w:pPr>
              <w:jc w:val="center"/>
              <w:ind w:right="2083"/>
              <w:spacing w:after="0"/>
              <w:rPr>
                <w:sz w:val="20"/>
                <w:szCs w:val="20"/>
                <w:color w:val="auto"/>
              </w:rPr>
            </w:pPr>
            <w:r>
              <w:rPr>
                <w:rFonts w:ascii="Arial" w:cs="Arial" w:eastAsia="Arial" w:hAnsi="Arial"/>
                <w:sz w:val="18"/>
                <w:szCs w:val="18"/>
                <w:color w:val="auto"/>
                <w:w w:val="93"/>
              </w:rPr>
              <w:t>incorporation or organization)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504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60" w:type="dxa"/>
            <w:vAlign w:val="bottom"/>
          </w:tcPr>
          <w:p>
            <w:pPr>
              <w:spacing w:after="0"/>
              <w:rPr>
                <w:sz w:val="24"/>
                <w:szCs w:val="24"/>
                <w:color w:val="auto"/>
              </w:rPr>
            </w:pPr>
          </w:p>
        </w:tc>
      </w:tr>
      <w:tr>
        <w:trPr>
          <w:trHeight w:val="193"/>
        </w:trPr>
        <w:tc>
          <w:tcPr>
            <w:tcW w:w="5040" w:type="dxa"/>
            <w:vAlign w:val="bottom"/>
          </w:tcPr>
          <w:p>
            <w:pPr>
              <w:jc w:val="center"/>
              <w:ind w:right="208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6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4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8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360"/>
          </w:cols>
          <w:pgMar w:left="760" w:top="436" w:right="779" w:bottom="1440" w:gutter="0" w:footer="0" w:header="0"/>
        </w:sectPr>
      </w:pPr>
    </w:p>
    <w:p>
      <w:pPr>
        <w:spacing w:after="0" w:line="81"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00" w:space="720"/>
            <w:col w:w="3240"/>
          </w:cols>
          <w:pgMar w:left="760" w:top="436" w:right="779" w:bottom="1440" w:gutter="0" w:footer="0" w:header="0"/>
          <w:type w:val="continuous"/>
        </w:sectPr>
      </w:pPr>
    </w:p>
    <w:p>
      <w:pPr>
        <w:jc w:val="center"/>
        <w:ind w:right="7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3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5" w:lineRule="exact"/>
        <w:rPr>
          <w:sz w:val="24"/>
          <w:szCs w:val="24"/>
          <w:color w:val="auto"/>
        </w:rPr>
      </w:pPr>
    </w:p>
    <w:p>
      <w:pPr>
        <w:sectPr>
          <w:pgSz w:w="11900" w:h="16838" w:orient="portrait"/>
          <w:cols w:equalWidth="0" w:num="2">
            <w:col w:w="6000" w:space="720"/>
            <w:col w:w="3640"/>
          </w:cols>
          <w:pgMar w:left="760" w:top="436" w:right="779" w:bottom="1440" w:gutter="0" w:footer="0" w:header="0"/>
          <w:type w:val="continuous"/>
        </w:sectPr>
      </w:pPr>
    </w:p>
    <w:p>
      <w:pPr>
        <w:ind w:right="11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June 30, 2016: </w:t>
      </w:r>
      <w:r>
        <w:rPr>
          <w:rFonts w:ascii="Arial" w:cs="Arial" w:eastAsia="Arial" w:hAnsi="Arial"/>
          <w:sz w:val="18"/>
          <w:szCs w:val="18"/>
          <w:b w:val="1"/>
          <w:bCs w:val="1"/>
          <w:color w:val="auto"/>
        </w:rPr>
        <w:t>42,959,274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163830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60"/>
          </w:cols>
          <w:pgMar w:left="760" w:top="436" w:right="7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737.0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652.2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447.6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845.8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Equity in income of related party Terminal Joint Venture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851.2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767.2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(loss) in prior service cost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w w:val="94"/>
              </w:rPr>
              <w:t>Amortization of prior service cost included in net periodic pension cost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gridSpan w:val="6"/>
          </w:tcPr>
          <w:p>
            <w:pPr>
              <w:jc w:val="right"/>
              <w:spacing w:after="0"/>
              <w:rPr>
                <w:sz w:val="20"/>
                <w:szCs w:val="20"/>
                <w:color w:val="auto"/>
              </w:rPr>
            </w:pPr>
            <w:r>
              <w:rPr>
                <w:rFonts w:ascii="Arial" w:cs="Arial" w:eastAsia="Arial" w:hAnsi="Arial"/>
                <w:sz w:val="18"/>
                <w:szCs w:val="18"/>
                <w:color w:val="auto"/>
              </w:rPr>
              <w:t>See Notes to Condensed Consolidated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jc w:val="right"/>
              <w:ind w:right="9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Investment in related party Terminal Joint Venture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Deferred dry-docking costs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r>
              <w:rPr>
                <w:rFonts w:ascii="Arial" w:cs="Arial" w:eastAsia="Arial" w:hAnsi="Arial"/>
                <w:sz w:val="18"/>
                <w:szCs w:val="18"/>
                <w:u w:val="single" w:color="auto"/>
                <w:color w:val="auto"/>
              </w:rPr>
              <w:t>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Payroll and vacation benefits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Uninsured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and other liabilities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Long-term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 plans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Uninsured and other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withdrawal liabilities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stock</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0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36.1</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34.9</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income of related party Terminal Joint Venture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320"/>
              <w:spacing w:after="0"/>
              <w:rPr>
                <w:sz w:val="20"/>
                <w:szCs w:val="20"/>
                <w:color w:val="auto"/>
              </w:rPr>
            </w:pPr>
            <w:r>
              <w:rPr>
                <w:rFonts w:ascii="Arial" w:cs="Arial" w:eastAsia="Arial" w:hAnsi="Arial"/>
                <w:sz w:val="16"/>
                <w:szCs w:val="16"/>
                <w:color w:val="auto"/>
              </w:rPr>
              <w:t>Distribution from Terminal Joint Venture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320"/>
              <w:spacing w:after="0"/>
              <w:rPr>
                <w:sz w:val="20"/>
                <w:szCs w:val="20"/>
                <w:color w:val="auto"/>
              </w:rPr>
            </w:pPr>
            <w:r>
              <w:rPr>
                <w:rFonts w:ascii="Arial" w:cs="Arial" w:eastAsia="Arial" w:hAnsi="Arial"/>
                <w:sz w:val="16"/>
                <w:szCs w:val="16"/>
                <w:color w:val="auto"/>
              </w:rPr>
              <w:t>Deferred dry-docking payments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dry-docking amortization</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32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liabilities</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Borders>
              <w:bottom w:val="single" w:sz="8" w:color="CCEEFF"/>
            </w:tcBorders>
          </w:tcPr>
          <w:p>
            <w:pPr>
              <w:spacing w:after="0"/>
              <w:rPr>
                <w:sz w:val="18"/>
                <w:szCs w:val="18"/>
                <w:color w:val="auto"/>
              </w:rPr>
            </w:pPr>
          </w:p>
        </w:tc>
      </w:tr>
      <w:tr>
        <w:trPr>
          <w:trHeight w:val="199"/>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60" w:type="dxa"/>
            <w:vAlign w:val="bottom"/>
            <w:shd w:val="clear" w:color="auto" w:fill="CCEEFF"/>
          </w:tcPr>
          <w:p>
            <w:pPr>
              <w:spacing w:after="0"/>
              <w:rPr>
                <w:sz w:val="17"/>
                <w:szCs w:val="17"/>
                <w:color w:val="auto"/>
              </w:rPr>
            </w:pPr>
          </w:p>
        </w:tc>
      </w:tr>
      <w:tr>
        <w:trPr>
          <w:trHeight w:val="210"/>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for Horizon’s common stock, net of cash acquired</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CCEEFF"/>
            </w:tcBorders>
          </w:tcPr>
          <w:p>
            <w:pPr>
              <w:spacing w:after="0"/>
              <w:rPr>
                <w:sz w:val="18"/>
                <w:szCs w:val="18"/>
                <w:color w:val="auto"/>
              </w:rPr>
            </w:pPr>
          </w:p>
        </w:tc>
      </w:tr>
      <w:tr>
        <w:trPr>
          <w:trHeight w:val="199"/>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60" w:type="dxa"/>
            <w:vAlign w:val="bottom"/>
            <w:shd w:val="clear" w:color="auto" w:fill="CCEEFF"/>
          </w:tcPr>
          <w:p>
            <w:pPr>
              <w:spacing w:after="0"/>
              <w:rPr>
                <w:sz w:val="17"/>
                <w:szCs w:val="17"/>
                <w:color w:val="auto"/>
              </w:rPr>
            </w:pPr>
          </w:p>
        </w:tc>
      </w:tr>
      <w:tr>
        <w:trPr>
          <w:trHeight w:val="210"/>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Excess tax benefit from stock-based compensation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debt and capital leases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175.0</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Payments of Horizon debt and redemption of warrants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(467.5)</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CEEFF"/>
          </w:tcPr>
          <w:p>
            <w:pPr>
              <w:spacing w:after="0"/>
              <w:rPr>
                <w:sz w:val="19"/>
                <w:szCs w:val="19"/>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Payments for shares repurchased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19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60" w:type="dxa"/>
            <w:vAlign w:val="bottom"/>
            <w:tcBorders>
              <w:top w:val="single" w:sz="8" w:color="CCEEFF"/>
            </w:tcBorders>
            <w:shd w:val="clear" w:color="auto" w:fill="CCEEFF"/>
          </w:tcPr>
          <w:p>
            <w:pPr>
              <w:spacing w:after="0"/>
              <w:rPr>
                <w:sz w:val="17"/>
                <w:szCs w:val="17"/>
                <w:color w:val="auto"/>
              </w:rPr>
            </w:pPr>
          </w:p>
        </w:tc>
      </w:tr>
      <w:tr>
        <w:trPr>
          <w:trHeight w:val="210"/>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160" w:type="dxa"/>
            <w:vAlign w:val="bottom"/>
            <w:shd w:val="clear" w:color="auto" w:fill="CCEEFF"/>
          </w:tcPr>
          <w:p>
            <w:pPr>
              <w:spacing w:after="0"/>
              <w:rPr>
                <w:sz w:val="18"/>
                <w:szCs w:val="18"/>
                <w:color w:val="auto"/>
              </w:rPr>
            </w:pPr>
          </w:p>
        </w:tc>
      </w:tr>
      <w:tr>
        <w:trPr>
          <w:trHeight w:val="213"/>
        </w:trPr>
        <w:tc>
          <w:tcPr>
            <w:tcW w:w="6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60" w:type="dxa"/>
            <w:vAlign w:val="bottom"/>
            <w:tcBorders>
              <w:bottom w:val="single" w:sz="8" w:color="CCEEFF"/>
            </w:tcBorders>
          </w:tcPr>
          <w:p>
            <w:pPr>
              <w:spacing w:after="0"/>
              <w:rPr>
                <w:sz w:val="18"/>
                <w:szCs w:val="18"/>
                <w:color w:val="auto"/>
              </w:rPr>
            </w:pPr>
          </w:p>
        </w:tc>
      </w:tr>
      <w:tr>
        <w:trPr>
          <w:trHeight w:val="20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the period</w:t>
            </w: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12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paid</w:t>
            </w:r>
          </w:p>
        </w:tc>
        <w:tc>
          <w:tcPr>
            <w:tcW w:w="12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CEEFF"/>
          </w:tcPr>
          <w:p>
            <w:pPr>
              <w:spacing w:after="0"/>
              <w:rPr>
                <w:sz w:val="19"/>
                <w:szCs w:val="19"/>
                <w:color w:val="auto"/>
              </w:rPr>
            </w:pPr>
          </w:p>
        </w:tc>
      </w:tr>
      <w:tr>
        <w:trPr>
          <w:trHeight w:val="216"/>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12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dividend</w:t>
            </w:r>
          </w:p>
        </w:tc>
        <w:tc>
          <w:tcPr>
            <w:tcW w:w="12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is an asset-based business that provides a vital lifeline of ocean freight transportation services to the domestic offshore economies of Hawaii, Alaska, and Guam, and to other island economies including Micronesia and various islands in the South Pacific. MatNav also operates a premium, expedited service from China to Long Beach, California. In addition, subsidiaries of MatNav provide container stevedoring, container equipment maintenance and other terminal services for MatNav and other ocean carriers on the Hawaiian islands of Oahu, Hawaii, Maui and Kauai, and in the Alaska locations of Anchorage, Kodiak, Dutch Harbor and Akutan. The Company's fleet of 22 owned vessels includes containerships, combination container and roll-on/roll-off ships and custom-designed barges.</w:t>
      </w:r>
    </w:p>
    <w:p>
      <w:pPr>
        <w:spacing w:after="0" w:line="19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West Coast of the United States of America (“U.S.”), including to MatNav at several of those facilities. Matson records its share of income or loss in the joint venture in operating costs in the Condensed Consolidated Statements of Income and Comprehensive Income, and within the Ocean Transportation segment due to the nature of SSAT’s operations.</w:t>
      </w:r>
    </w:p>
    <w:p>
      <w:pPr>
        <w:spacing w:after="0" w:line="17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b w:val="1"/>
          <w:bCs w:val="1"/>
          <w:i w:val="1"/>
          <w:iCs w:val="1"/>
          <w:color w:val="auto"/>
        </w:rPr>
        <w:t xml:space="preserve">Logistics: </w:t>
      </w:r>
      <w:r>
        <w:rPr>
          <w:rFonts w:ascii="Arial" w:cs="Arial" w:eastAsia="Arial" w:hAnsi="Arial"/>
          <w:sz w:val="16"/>
          <w:szCs w:val="16"/>
          <w:color w:val="auto"/>
        </w:rPr>
        <w:t>The Company’s logistics business is conducted through Matson Logistics, Inc. (“Matson Logistics”), a wholly-owned subsidiary of 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supply chain management, and warehousing and distribution services.</w:t>
      </w:r>
    </w:p>
    <w:p>
      <w:pPr>
        <w:spacing w:after="0" w:line="154"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SIGNIFICANT ACCOUNTING POLICIES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Due to the nature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operations and the Company’s acquisition of Horizon Lines, Inc. (“Horizon”) on May 29, 2015,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2015, filed with the Securities and Exchange Commission (“SEC”) on February 26, 2016.</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Condensed Consolidated Statements of Income and Comprehensive Income include the operations of Horizon from May 29, 2015.</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Inc. covered by this report is June 30, 2016.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the last Friday in June, or June 24, 2016.</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Item 8 of the Company’s Annual Report filed on Form 10-K for the year ended December 31, 2015.</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Property and equipment is stated at cost, net of accumulated depreciation of $1,165.6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$1,128.6 million at June 30, 2016 and December 31, 2015,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Changes in the Company’s goodwill for the three and six months ended June 30, 2016 and 2015 consist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Ocean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000" w:type="dxa"/>
            <w:vAlign w:val="bottom"/>
            <w:gridSpan w:val="4"/>
          </w:tcPr>
          <w:p>
            <w:pPr>
              <w:ind w:left="198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53"/>
        </w:trPr>
        <w:tc>
          <w:tcPr>
            <w:tcW w:w="20" w:type="dxa"/>
            <w:vAlign w:val="bottom"/>
          </w:tcPr>
          <w:p>
            <w:pPr>
              <w:spacing w:after="0"/>
              <w:rPr>
                <w:sz w:val="4"/>
                <w:szCs w:val="4"/>
                <w:color w:val="auto"/>
              </w:rPr>
            </w:pPr>
          </w:p>
        </w:tc>
        <w:tc>
          <w:tcPr>
            <w:tcW w:w="41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Ocean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000" w:type="dxa"/>
            <w:vAlign w:val="bottom"/>
            <w:gridSpan w:val="4"/>
          </w:tcPr>
          <w:p>
            <w:pPr>
              <w:ind w:left="198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53"/>
        </w:trPr>
        <w:tc>
          <w:tcPr>
            <w:tcW w:w="20" w:type="dxa"/>
            <w:vAlign w:val="bottom"/>
          </w:tcPr>
          <w:p>
            <w:pPr>
              <w:spacing w:after="0"/>
              <w:rPr>
                <w:sz w:val="4"/>
                <w:szCs w:val="4"/>
                <w:color w:val="auto"/>
              </w:rPr>
            </w:pPr>
          </w:p>
        </w:tc>
        <w:tc>
          <w:tcPr>
            <w:tcW w:w="41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8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Ocean Transportation goodwill additions for the three and six months ended June 30, 2016 and 2015 are related to the Horizon Acquisition (see Note 3, Business Combinations).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Intangible Assets, Net: </w:t>
      </w:r>
      <w:r>
        <w:rPr>
          <w:rFonts w:ascii="Arial" w:cs="Arial" w:eastAsia="Arial" w:hAnsi="Arial"/>
          <w:sz w:val="18"/>
          <w:szCs w:val="18"/>
          <w:color w:val="auto"/>
        </w:rPr>
        <w:t>Intangible assets are recorded net of accumulated amortization of $16.0 million and $12.3 million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2016 and December 31, 2015, respectively.</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included in Item 8 of the Company’s Annual Report filed on Form 10-K for the year ended December 31, 2015. As of June 30, 2016 and December 31, 2015, the Company had nominal amounts on deposit in the CCF. These amounts are held in a money market account and classified as long-term assets in the Company’s Condensed Consolidated Balance Sheets, as the Company intends to use qualified cash withdrawals to fund the vessel construction costs. During the three months ended June 30, 2016, the Company did not make any cash deposits into the CCF. During the six months ended June 30, 2016, the Company made cash deposits of $12.5 million into the CCF. Additionally, $12.5 million of qualified cash withdrawals were made from the CCF during the three and six months ended June 30, 2016.</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June 30, 2016 and December 31, 2015, $164.8 million and $176.6 million, respectively, of eligible accounts receivable were assigned to the CCF. Due to the nature of the assignment of eligible accounts receivable into the CCF, such assigned amounts are classified as part of accounts receivable in the Condensed Consolidated Balance Sheets.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Accumulated Other Comprehensive Loss: </w:t>
      </w:r>
      <w:r>
        <w:rPr>
          <w:rFonts w:ascii="Arial" w:cs="Arial" w:eastAsia="Arial" w:hAnsi="Arial"/>
          <w:sz w:val="18"/>
          <w:szCs w:val="18"/>
          <w:color w:val="auto"/>
        </w:rPr>
        <w:t>Changes in accumulated other comprehensive loss by component, net of tax,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and six months ended June 30, 2016 and 2015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Pensions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Qualified</w:t>
            </w:r>
          </w:p>
        </w:tc>
        <w:tc>
          <w:tcPr>
            <w:tcW w:w="20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gridSpan w:val="4"/>
          </w:tcPr>
          <w:p>
            <w:pPr>
              <w:ind w:left="20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Plans</w:t>
            </w:r>
          </w:p>
        </w:tc>
        <w:tc>
          <w:tcPr>
            <w:tcW w:w="10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Hedge</w:t>
            </w:r>
          </w:p>
        </w:tc>
        <w:tc>
          <w:tcPr>
            <w:tcW w:w="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(41.7)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4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Pensions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Qualified</w:t>
            </w:r>
          </w:p>
        </w:tc>
        <w:tc>
          <w:tcPr>
            <w:tcW w:w="20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gridSpan w:val="4"/>
          </w:tcPr>
          <w:p>
            <w:pPr>
              <w:ind w:left="20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Plans</w:t>
            </w:r>
          </w:p>
        </w:tc>
        <w:tc>
          <w:tcPr>
            <w:tcW w:w="10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Hedge</w:t>
            </w:r>
          </w:p>
        </w:tc>
        <w:tc>
          <w:tcPr>
            <w:tcW w:w="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Net loss in prior service costs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4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4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(43.9)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(0.7)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i w:val="1"/>
          <w:iCs w:val="1"/>
          <w:color w:val="313131"/>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313131"/>
        </w:rPr>
        <w:t>In February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Financial Accounting Standards Board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Update (“ASU”) </w:t>
      </w:r>
      <w:r>
        <w:rPr>
          <w:rFonts w:ascii="Arial" w:cs="Arial" w:eastAsia="Arial" w:hAnsi="Arial"/>
          <w:sz w:val="18"/>
          <w:szCs w:val="18"/>
          <w:color w:val="313131"/>
        </w:rPr>
        <w:t>No. 2016-02, “</w:t>
      </w:r>
      <w:r>
        <w:rPr>
          <w:rFonts w:ascii="Arial" w:cs="Arial" w:eastAsia="Arial" w:hAnsi="Arial"/>
          <w:sz w:val="18"/>
          <w:szCs w:val="18"/>
          <w:i w:val="1"/>
          <w:iCs w:val="1"/>
          <w:color w:val="313131"/>
        </w:rPr>
        <w:t>Leases (Topic 842)</w:t>
      </w:r>
      <w:r>
        <w:rPr>
          <w:rFonts w:ascii="Arial" w:cs="Arial" w:eastAsia="Arial" w:hAnsi="Arial"/>
          <w:sz w:val="18"/>
          <w:szCs w:val="18"/>
          <w:color w:val="313131"/>
        </w:rPr>
        <w:t>” (“ASU 2016-02”), which requires lessees to</w:t>
      </w:r>
      <w:r>
        <w:rPr>
          <w:rFonts w:ascii="Arial" w:cs="Arial" w:eastAsia="Arial" w:hAnsi="Arial"/>
          <w:sz w:val="18"/>
          <w:szCs w:val="18"/>
          <w:color w:val="auto"/>
        </w:rPr>
        <w:t xml:space="preserve"> </w:t>
      </w:r>
      <w:r>
        <w:rPr>
          <w:rFonts w:ascii="Arial" w:cs="Arial" w:eastAsia="Arial" w:hAnsi="Arial"/>
          <w:sz w:val="18"/>
          <w:szCs w:val="18"/>
          <w:color w:val="313131"/>
        </w:rPr>
        <w:t xml:space="preserve">record most leases on their balance sheets but recognize the expenses on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w:t>
      </w:r>
      <w:r>
        <w:rPr>
          <w:rFonts w:ascii="Arial" w:cs="Arial" w:eastAsia="Arial" w:hAnsi="Arial"/>
          <w:sz w:val="18"/>
          <w:szCs w:val="18"/>
          <w:color w:val="000000"/>
        </w:rPr>
        <w:t>The Company is</w:t>
      </w:r>
      <w:r>
        <w:rPr>
          <w:rFonts w:ascii="Arial" w:cs="Arial" w:eastAsia="Arial" w:hAnsi="Arial"/>
          <w:sz w:val="18"/>
          <w:szCs w:val="18"/>
          <w:color w:val="313131"/>
        </w:rPr>
        <w:t xml:space="preserve"> </w:t>
      </w:r>
      <w:r>
        <w:rPr>
          <w:rFonts w:ascii="Arial" w:cs="Arial" w:eastAsia="Arial" w:hAnsi="Arial"/>
          <w:sz w:val="18"/>
          <w:szCs w:val="18"/>
          <w:color w:val="000000"/>
        </w:rPr>
        <w:t>in the process of evaluating this guidance.</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Share-Based Awards: </w:t>
      </w: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 Improvements to Employee Share-Based Payment Accounting.</w:t>
      </w:r>
      <w:r>
        <w:rPr>
          <w:rFonts w:ascii="Arial" w:cs="Arial" w:eastAsia="Arial" w:hAnsi="Arial"/>
          <w:sz w:val="17"/>
          <w:szCs w:val="17"/>
          <w:color w:val="auto"/>
        </w:rPr>
        <w:t>” The amendments are effective for public companies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periods beginning after December 15, 2016, and interim periods within those annual periods. Several aspects of the accounting for share-based payment award transactions are simplified, including: (a) income tax consequences; (b) classification of awards as either equity or liabilities; and (c) classification on the statement of cash flows. Early adoption is permitted. The Company is in the process of evaluating this guidance.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ind w:left="580" w:hanging="577"/>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79"/>
        <w:spacing w:after="0" w:line="254" w:lineRule="auto"/>
        <w:rPr>
          <w:sz w:val="20"/>
          <w:szCs w:val="20"/>
          <w:color w:val="auto"/>
        </w:rPr>
      </w:pPr>
      <w:r>
        <w:rPr>
          <w:rFonts w:ascii="Arial" w:cs="Arial" w:eastAsia="Arial" w:hAnsi="Arial"/>
          <w:sz w:val="18"/>
          <w:szCs w:val="18"/>
          <w:b w:val="1"/>
          <w:bCs w:val="1"/>
          <w:i w:val="1"/>
          <w:iCs w:val="1"/>
          <w:color w:val="auto"/>
        </w:rPr>
        <w:t xml:space="preserve">Horizon Acquisition: </w:t>
      </w:r>
      <w:r>
        <w:rPr>
          <w:rFonts w:ascii="Arial" w:cs="Arial" w:eastAsia="Arial" w:hAnsi="Arial"/>
          <w:sz w:val="18"/>
          <w:szCs w:val="18"/>
          <w:color w:val="auto"/>
        </w:rPr>
        <w:t>On May 29, 2015 (the “Effective Date”), Matson completed its acquisition of Horizon whereby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acquired Horizon’s Alaska operations and assumed all of Horizon’s non-Hawaii assets and liabilities (the “Horizon Acquisition”). Immediately before the completion of the Horizon Acquisition, Horizon sold certain of its subsidiaries to the Pasha Group (the “Pasha Transaction”) that: (i) conducted Horizon’s Hawaii operations (including owning the assets used to conduct such Hawaii operations and being responsible for the liabilities related thereto), and (ii) employed the Horizon employees who conducted its Hawaii operations. Horizon also completed the termination of its Puerto Rico operations during the first quarter of 2015. The Alaska operations are recorded within the Ocean Transportation segment of the Company.</w:t>
      </w:r>
    </w:p>
    <w:p>
      <w:pPr>
        <w:spacing w:after="0" w:line="192"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On the Effective Date, a subsidiary of the Company merged with Horizon and as a result, the Company acquired 100 percent of Horizon’s outstanding shares and warrants for a cash price of $0.72 per-share. As a result of the Horizon Acquisition, the Company thereby acquired Horizon’s assets and thereby assumed its liabilities including Horizon’s debt (net of proceeds from the Pasha Transaction). Immediately following the Horizon Acquisition, the Company repaid the assumed debt which included accrued interest and breakage fees, and redeemed all of Horizon’s outstanding warrants. Total consideration including debt paid and warrants redeemed by the Company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7"/>
              </w:rPr>
              <w:t>Total Consideration</w:t>
            </w: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Horizon’s debt (including accrued interest and breakage fees)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00" w:type="dxa"/>
            <w:vAlign w:val="bottom"/>
            <w:shd w:val="clear" w:color="auto" w:fill="CCEEFF"/>
          </w:tcPr>
          <w:p>
            <w:pPr>
              <w:spacing w:after="0"/>
              <w:rPr>
                <w:sz w:val="18"/>
                <w:szCs w:val="18"/>
                <w:color w:val="auto"/>
              </w:rPr>
            </w:pPr>
          </w:p>
        </w:tc>
      </w:t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139"/>
        <w:spacing w:after="0" w:line="302" w:lineRule="auto"/>
        <w:rPr>
          <w:sz w:val="20"/>
          <w:szCs w:val="20"/>
          <w:color w:val="auto"/>
        </w:rPr>
      </w:pPr>
      <w:r>
        <w:rPr>
          <w:rFonts w:ascii="Arial" w:cs="Arial" w:eastAsia="Arial" w:hAnsi="Arial"/>
          <w:sz w:val="16"/>
          <w:szCs w:val="16"/>
          <w:color w:val="auto"/>
        </w:rPr>
        <w:t>As of June 30, 2016, the Company has finalized the purchase accounting for the Horizon Acquisition. Horizon’s assets and liabilities acquired pursuant to the Horizon Acquisition were recorded based on the fair value estimates as of the Effective Date, with the remaining unallocated purchase price recorded as goodwill. The following table summarizes the fair values assigned to Horizon’s assets acquired and liabilities assumed as a result of the Horizon Acquisition as of June 30,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Intangibles – Customer relationships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Multi-employer withdrawal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Horizon’s debt and warrants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(467.5)</w:t>
            </w:r>
          </w:p>
        </w:tc>
        <w:tc>
          <w:tcPr>
            <w:tcW w:w="100" w:type="dxa"/>
            <w:vAlign w:val="bottom"/>
            <w:tcBorders>
              <w:bottom w:val="single" w:sz="8" w:color="CCEEFF"/>
            </w:tcBorders>
          </w:tcPr>
          <w:p>
            <w:pPr>
              <w:spacing w:after="0"/>
              <w:rPr>
                <w:sz w:val="18"/>
                <w:szCs w:val="18"/>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(188.3)</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cash paid for common shares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8"/>
                <w:szCs w:val="18"/>
                <w:color w:val="auto"/>
              </w:rPr>
            </w:pPr>
          </w:p>
        </w:tc>
      </w:tr>
      <w:tr>
        <w:trPr>
          <w:trHeight w:val="217"/>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9"/>
        <w:spacing w:after="0" w:line="290" w:lineRule="auto"/>
        <w:rPr>
          <w:sz w:val="20"/>
          <w:szCs w:val="20"/>
          <w:color w:val="auto"/>
        </w:rPr>
      </w:pPr>
      <w:r>
        <w:rPr>
          <w:rFonts w:ascii="Arial" w:cs="Arial" w:eastAsia="Arial" w:hAnsi="Arial"/>
          <w:sz w:val="16"/>
          <w:szCs w:val="16"/>
          <w:color w:val="auto"/>
        </w:rPr>
        <w:t>The amounts above include $2.0 million of purchase price adjustments recorded to the preliminary purchase price allocation initially reported in the Company’s interim Condensed Consolidated Financial Statements for the three and six months ended June 30, 2015. Purchase price adjustments relate primarily to the receipt of additional information regarding the fair value of certain assets acquired and liabilities assumed. These adjustments include a $4.9 million adjustment to increase the Puerto Rico multi-employer withdrawal liability, offset by a $0.7 million adjustment to increase deferred tax assets and a $0.7 million adjustment to decrease accruals and other current liabilities, in the three and six months ended June 30, 2016, and a corresponding increase in goodwill of $3.5 million as a result of the Company receiving the final calculation of the required payments from the Trustees of the Puerto Rico Pension Fund on May 27, 2016.</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8" w:name="page9"/>
    <w:bookmarkEnd w:id="8"/>
    <w:p>
      <w:pPr>
        <w:ind w:right="40"/>
        <w:spacing w:after="0" w:line="291" w:lineRule="auto"/>
        <w:rPr>
          <w:sz w:val="20"/>
          <w:szCs w:val="20"/>
          <w:color w:val="auto"/>
        </w:rPr>
      </w:pPr>
      <w:r>
        <w:rPr>
          <w:rFonts w:ascii="Arial" w:cs="Arial" w:eastAsia="Arial" w:hAnsi="Arial"/>
          <w:sz w:val="16"/>
          <w:szCs w:val="16"/>
          <w:color w:val="auto"/>
        </w:rPr>
        <w:t>The final Puerto Rico multi-employer withdrawal liability was determined to be approximately $102.0 million, payable in 98 quarterly installments of $1,036,647, and a remainder payment. Based upon the Company’s incremental borrowing rate of</w:t>
      </w:r>
    </w:p>
    <w:p>
      <w:pPr>
        <w:ind w:right="60"/>
        <w:spacing w:after="0" w:line="292" w:lineRule="auto"/>
        <w:rPr>
          <w:sz w:val="20"/>
          <w:szCs w:val="20"/>
          <w:color w:val="auto"/>
        </w:rPr>
      </w:pPr>
      <w:r>
        <w:rPr>
          <w:rFonts w:ascii="Arial" w:cs="Arial" w:eastAsia="Arial" w:hAnsi="Arial"/>
          <w:sz w:val="16"/>
          <w:szCs w:val="16"/>
          <w:color w:val="auto"/>
        </w:rPr>
        <w:t>3.87 percent, the Company determined the final fair value of the multi-employer withdrawal payments to be $65.5 million at May 29, 2015 compared to the preliminary allocation of $60.6 million. The Company also recorded a $1.1 million adjustment to increase interest expense in the Consolidated Statements of Income and Comprehensive Income, with a corresponding increase to multi-employer withdrawal liability in the three and six months ended June 30, 2016, as a result of these purchase accounting changes and the accretion of the fair value of the multi-employer withdrawal liability.</w:t>
      </w:r>
    </w:p>
    <w:p>
      <w:pPr>
        <w:spacing w:after="0" w:line="1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Consolidated Statements of Income and Comprehensive Income for the three and six months ended June 30, 2016 include revenue of $63.5 million and $134.2 million, and operating income of $3.4 million and $10.4 million, respectively, from Horizon’s operations. One-time acquisition related costs incurred post December 31, 2015 were not material.</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Pro Forma Financial Information (Unaudited): </w:t>
      </w:r>
      <w:r>
        <w:rPr>
          <w:rFonts w:ascii="Arial" w:cs="Arial" w:eastAsia="Arial" w:hAnsi="Arial"/>
          <w:sz w:val="18"/>
          <w:szCs w:val="18"/>
          <w:color w:val="auto"/>
        </w:rPr>
        <w:t>The following unaudited pro forma financial information presents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operating results of the Company, and those of Horizon excluding its Hawaii operations, as if the Horizon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The unaudited pro forma financial information is presented for informational purposes only and is not indicative of the result of operations that would have been achieved if the Horizon Acquisition had taken place at the beginning of the periods presented, nor should it be taken as an indication of our future consolidated results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Six Months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Operating revenue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980.6</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Diluted Earnings Per-Share: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9"/>
              </w:rPr>
              <w:t>Weighted-Average Number of Shares Outstanding:</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ind w:left="580" w:hanging="577"/>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and December 31, 2015, the Company’s debt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5.79 %, payable through 2020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4.16 %, payable through 2027</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4.35 %, payable through 2044</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Title XI Bonds: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5.27 %, payable through 2029</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leases</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tcPr>
          <w:p>
            <w:pPr>
              <w:spacing w:after="0"/>
              <w:rPr>
                <w:sz w:val="18"/>
                <w:szCs w:val="18"/>
                <w:color w:val="auto"/>
              </w:rPr>
            </w:pPr>
          </w:p>
        </w:tc>
      </w:tr>
      <w:tr>
        <w:trPr>
          <w:trHeight w:val="21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Less current portion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r>
      <w:tr>
        <w:trPr>
          <w:trHeight w:val="217"/>
        </w:trPr>
        <w:tc>
          <w:tcPr>
            <w:tcW w:w="38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debt is described in Note 8 to the Consolidated Financial Statements included in Item 8 of the Company’s Annual Report filed on Form 10-K for the year ended December 31, 2015.</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Borrowings under the revolving credit facility are classified as long-term debt in the Condensed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 as principal payments are not required until maturity date of July 30, 2020. As of June 30, 2016, the Company had $345.1 million of availability under the revolving credit facility. The interest rate on borrowings under the revolving credit facility approximated 1.84 percent during the three months ended June 30, 2016.</w:t>
      </w:r>
    </w:p>
    <w:p>
      <w:pPr>
        <w:spacing w:after="0" w:line="150" w:lineRule="exact"/>
        <w:rPr>
          <w:sz w:val="20"/>
          <w:szCs w:val="20"/>
          <w:color w:val="auto"/>
        </w:rPr>
      </w:pPr>
    </w:p>
    <w:p>
      <w:pPr>
        <w:ind w:left="580" w:hanging="577"/>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PLANS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sponsors qualified defined benefit pension and other post-retirement plans (collectively, the “Plans”). The following table provides the components of net periodic benefit cost (benefit) for the Plans for the six months ended June 30, 2016 and 2015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vMerge w:val="restart"/>
          </w:tcPr>
          <w:p>
            <w:pPr>
              <w:jc w:val="right"/>
              <w:ind w:right="13"/>
              <w:spacing w:after="0"/>
              <w:rPr>
                <w:sz w:val="20"/>
                <w:szCs w:val="20"/>
                <w:color w:val="auto"/>
              </w:rPr>
            </w:pPr>
            <w:r>
              <w:rPr>
                <w:rFonts w:ascii="Arial" w:cs="Arial" w:eastAsia="Arial" w:hAnsi="Arial"/>
                <w:sz w:val="14"/>
                <w:szCs w:val="14"/>
                <w:b w:val="1"/>
                <w:bCs w:val="1"/>
                <w:color w:val="auto"/>
                <w:w w:val="88"/>
              </w:rPr>
              <w:t>Pension Benefits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Other Post-</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7"/>
          </w:tcPr>
          <w:p>
            <w:pPr>
              <w:ind w:left="20"/>
              <w:spacing w:after="0"/>
              <w:rPr>
                <w:sz w:val="20"/>
                <w:szCs w:val="20"/>
                <w:color w:val="auto"/>
              </w:rPr>
            </w:pPr>
            <w:r>
              <w:rPr>
                <w:rFonts w:ascii="Arial" w:cs="Arial" w:eastAsia="Arial" w:hAnsi="Arial"/>
                <w:sz w:val="14"/>
                <w:szCs w:val="14"/>
                <w:b w:val="1"/>
                <w:bCs w:val="1"/>
                <w:color w:val="auto"/>
              </w:rPr>
              <w:t>retirement Benefits</w:t>
            </w:r>
          </w:p>
        </w:tc>
        <w:tc>
          <w:tcPr>
            <w:tcW w:w="0" w:type="dxa"/>
            <w:vAlign w:val="bottom"/>
          </w:tcPr>
          <w:p>
            <w:pPr>
              <w:spacing w:after="0"/>
              <w:rPr>
                <w:sz w:val="1"/>
                <w:szCs w:val="1"/>
                <w:color w:val="auto"/>
              </w:rPr>
            </w:pPr>
          </w:p>
        </w:tc>
      </w:tr>
      <w:tr>
        <w:trPr>
          <w:trHeight w:val="201"/>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2016, the Company contributed $3.1 million to its defined benefit pension plans, out of total expected contributions of $7.5 million for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ind w:left="580" w:hanging="577"/>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June 30, 2016, the Company granted approximately 19,700 of time-based shares to certain of its employees at a $38.11 weighted-average grant date fair value.</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Total stock-based compensation cost recognized in the Condensed Consolidated Statements of Income and Comprehensive Income as a component of selling, general and administrative expenses was $3.4 million and $4.8 million for the three months ended June 30, 2016 and 2015, respectively, and $6.2 million and $7.6 million for the six months ended June 30, 2016 and 2015, respectively. Total unrecognized compensation cost related to unvested share-based compensation arrangements was $15.7 million at June 30, 2016, and is expected to be recognized over a weighted-average period of 2.1 years. Total unrecognized compensation cost may be adjusted for any unearned performance shares or forfeited shares.</w:t>
      </w:r>
    </w:p>
    <w:p>
      <w:pPr>
        <w:spacing w:after="0" w:line="161" w:lineRule="exact"/>
        <w:rPr>
          <w:sz w:val="20"/>
          <w:szCs w:val="20"/>
          <w:color w:val="auto"/>
        </w:rPr>
      </w:pPr>
    </w:p>
    <w:p>
      <w:pPr>
        <w:ind w:left="580" w:hanging="577"/>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six months ended June 30, 2016 and 2015, is as follows (in millions, except per-share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7"/>
          </w:tcPr>
          <w:p>
            <w:pPr>
              <w:jc w:val="center"/>
              <w:ind w:right="57"/>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10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3"/>
              </w:rPr>
              <w:t>Six Months Ended June 30, 2016</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bottom w:val="single" w:sz="8" w:color="auto"/>
            </w:tcBorders>
            <w:gridSpan w:val="7"/>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1"/>
        </w:trPr>
        <w:tc>
          <w:tcPr>
            <w:tcW w:w="458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7"/>
                <w:szCs w:val="17"/>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7"/>
          </w:tcPr>
          <w:p>
            <w:pPr>
              <w:jc w:val="center"/>
              <w:ind w:right="57"/>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10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3"/>
              </w:rPr>
              <w:t>Six Months Ended June 30, 2015</w:t>
            </w:r>
          </w:p>
        </w:tc>
        <w:tc>
          <w:tcPr>
            <w:tcW w:w="1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bottom w:val="single" w:sz="8" w:color="auto"/>
            </w:tcBorders>
            <w:gridSpan w:val="7"/>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8"/>
                <w:szCs w:val="18"/>
                <w:color w:val="auto"/>
              </w:rPr>
            </w:pPr>
          </w:p>
        </w:tc>
        <w:tc>
          <w:tcPr>
            <w:tcW w:w="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1"/>
        </w:trPr>
        <w:tc>
          <w:tcPr>
            <w:tcW w:w="458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7"/>
                <w:szCs w:val="17"/>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183"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accounts receivable, variable rate debt and fixed rate debt. The fair values of cash and cash equivalents, accounts receivable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value and fair value of the Company’s financial instruments as of June 30, 2016 and December 31, 2015 are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7"/>
              </w:rPr>
              <w:t>Active Markets</w:t>
            </w:r>
          </w:p>
        </w:tc>
        <w:tc>
          <w:tcPr>
            <w:tcW w:w="240" w:type="dxa"/>
            <w:vAlign w:val="bottom"/>
          </w:tcPr>
          <w:p>
            <w:pPr>
              <w:spacing w:after="0"/>
              <w:rPr>
                <w:sz w:val="15"/>
                <w:szCs w:val="15"/>
                <w:color w:val="auto"/>
              </w:rPr>
            </w:pPr>
          </w:p>
        </w:tc>
        <w:tc>
          <w:tcPr>
            <w:tcW w:w="132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92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2"/>
                <w:szCs w:val="12"/>
                <w:color w:val="auto"/>
              </w:rPr>
            </w:pPr>
          </w:p>
        </w:tc>
        <w:tc>
          <w:tcPr>
            <w:tcW w:w="132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5"/>
              </w:rPr>
              <w:t>Inputs (Level 2)</w:t>
            </w:r>
          </w:p>
        </w:tc>
        <w:tc>
          <w:tcPr>
            <w:tcW w:w="2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Fair Value Measurements at June 30, 2016</w:t>
            </w: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206.4</w:t>
            </w:r>
          </w:p>
        </w:tc>
        <w:tc>
          <w:tcPr>
            <w:tcW w:w="3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206.4</w:t>
            </w:r>
          </w:p>
        </w:tc>
        <w:tc>
          <w:tcPr>
            <w:tcW w:w="2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Fixed rate debt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443.5</w:t>
            </w:r>
          </w:p>
        </w:tc>
        <w:tc>
          <w:tcPr>
            <w:tcW w:w="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443.5</w:t>
            </w: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6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w w:val="92"/>
              </w:rPr>
              <w:t>Fair Value Measurements at December 31, 2015</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w:t>
            </w:r>
          </w:p>
        </w:tc>
        <w:tc>
          <w:tcPr>
            <w:tcW w:w="3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443.8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7"/>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20" w:firstLine="3"/>
        <w:spacing w:after="0" w:line="252"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Reportable segments are measured based on operating profit, exclusive of interest expense, general corporate expenses,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 and has similar economic characteristics.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Reportable segment results for the three and six months ended June 30, 2016 and 2015 were as follows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201"/>
        </w:trPr>
        <w:tc>
          <w:tcPr>
            <w:tcW w:w="3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348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370.9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346.7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737.0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652.2</w:t>
            </w:r>
          </w:p>
        </w:tc>
        <w:tc>
          <w:tcPr>
            <w:tcW w:w="18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193.6</w:t>
            </w:r>
          </w:p>
        </w:tc>
        <w:tc>
          <w:tcPr>
            <w:tcW w:w="180" w:type="dxa"/>
            <w:vAlign w:val="bottom"/>
            <w:shd w:val="clear" w:color="auto" w:fill="CCEEFF"/>
          </w:tcPr>
          <w:p>
            <w:pPr>
              <w:spacing w:after="0"/>
              <w:rPr>
                <w:sz w:val="18"/>
                <w:szCs w:val="18"/>
                <w:color w:val="auto"/>
              </w:rPr>
            </w:pPr>
          </w:p>
        </w:tc>
      </w:tr>
      <w:tr>
        <w:trPr>
          <w:trHeight w:val="217"/>
        </w:trPr>
        <w:tc>
          <w:tcPr>
            <w:tcW w:w="3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Revenue</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447.6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921.9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845.8</w:t>
            </w:r>
          </w:p>
        </w:tc>
        <w:tc>
          <w:tcPr>
            <w:tcW w:w="180" w:type="dxa"/>
            <w:vAlign w:val="bottom"/>
            <w:tcBorders>
              <w:bottom w:val="single" w:sz="8" w:color="CCEEFF"/>
            </w:tcBorders>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r>
      <w:tr>
        <w:trPr>
          <w:trHeight w:val="210"/>
        </w:trPr>
        <w:tc>
          <w:tcPr>
            <w:tcW w:w="3480" w:type="dxa"/>
            <w:vAlign w:val="bottom"/>
          </w:tcPr>
          <w:p>
            <w:pPr>
              <w:ind w:left="440"/>
              <w:spacing w:after="0"/>
              <w:rPr>
                <w:sz w:val="20"/>
                <w:szCs w:val="20"/>
                <w:color w:val="auto"/>
              </w:rPr>
            </w:pPr>
            <w:r>
              <w:rPr>
                <w:rFonts w:ascii="Arial" w:cs="Arial" w:eastAsia="Arial" w:hAnsi="Arial"/>
                <w:sz w:val="18"/>
                <w:szCs w:val="18"/>
                <w:color w:val="auto"/>
              </w:rPr>
              <w:t>Total Operating Income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r>
      <w:tr>
        <w:trPr>
          <w:trHeight w:val="210"/>
        </w:trPr>
        <w:tc>
          <w:tcPr>
            <w:tcW w:w="348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r>
      <w:tr>
        <w:trPr>
          <w:trHeight w:val="217"/>
        </w:trPr>
        <w:tc>
          <w:tcPr>
            <w:tcW w:w="348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r>
      <w:tr>
        <w:trPr>
          <w:trHeight w:val="446"/>
        </w:trPr>
        <w:tc>
          <w:tcPr>
            <w:tcW w:w="3480" w:type="dxa"/>
            <w:vAlign w:val="bottom"/>
          </w:tcPr>
          <w:p>
            <w:pPr>
              <w:spacing w:after="0"/>
              <w:rPr>
                <w:sz w:val="24"/>
                <w:szCs w:val="24"/>
                <w:color w:val="auto"/>
              </w:rPr>
            </w:pPr>
          </w:p>
        </w:tc>
        <w:tc>
          <w:tcPr>
            <w:tcW w:w="2480" w:type="dxa"/>
            <w:vAlign w:val="bottom"/>
          </w:tcPr>
          <w:p>
            <w:pPr>
              <w:jc w:val="right"/>
              <w:ind w:right="12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ind w:left="920" w:hanging="917"/>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Span Alaska Acquisition: </w:t>
      </w:r>
      <w:r>
        <w:rPr>
          <w:rFonts w:ascii="Arial" w:cs="Arial" w:eastAsia="Arial" w:hAnsi="Arial"/>
          <w:sz w:val="16"/>
          <w:szCs w:val="16"/>
          <w:color w:val="auto"/>
        </w:rPr>
        <w:t>On July 18, 2016, Matson Logistics entered into a Membership Interest Purchase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Agreement”) with Span Holdings, LLC (“Holdings”). As a result, Matson Logistics will acquire 100 percent of the membership interests of Span Intermediate, LLC (the “Span Alaska”), with Span Alaska becoming a wholly-owned subsidiary of Matson Logistics (the “Transaction”). On July 29, 2016, Matson received notice of early termination of the waiting period under the Hart-Scott-Rodino Antitrust Improvements Act of 1976, as amended. Matson expects the Transaction to close in early August after satisfaction of other customary closing conditions.</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total consideration for the Transaction is $197.6 million (before transaction costs) on a debt free, cash free basis, and is subject to working capital and other closing adjustments (the “Purchase Price”). Holdings will pay all debt and its transaction expenses from the proceeds of the Purchase Price. Matson expects to fund the Transaction at closing from available borrowings under its $400 million revolving credit facility.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Notes Financing: </w:t>
      </w:r>
      <w:r>
        <w:rPr>
          <w:rFonts w:ascii="Arial" w:cs="Arial" w:eastAsia="Arial" w:hAnsi="Arial"/>
          <w:sz w:val="18"/>
          <w:szCs w:val="18"/>
          <w:color w:val="auto"/>
        </w:rPr>
        <w:t>On July 18, 2016, Matson entered into a commitment letter under which it expects to issue $200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15-year senior unsecured notes (the “Notes”). Proceeds of the Notes are expected to be used to pay down the Company’s revolving credit facility and for general corporate purposes. The Notes are expected to have a weighted-average life of approximately 8.5 years and will bear interest at a rate of 3.14 percent, payable semi-annually. The Notes are expected to be issued in September 2016, subject to satisfying customary closing conditions. The Notes are expected to have financial and other covenants that are substantially the same as the covenants in the Company’s existing outstanding senior unsecured notes.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3" w:name="page14"/>
    <w:bookmarkEnd w:id="13"/>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change over time, including, but not limited to, the factors that are described in Part I, Item 1A under the caption of “Risk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Factors” of Matson’s Annual Report on Form 10-K for the year ended December 31, 2015, filed with the SEC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 and the risks described under the caption of “Risk Factors” in Part II, Item 1A of this Quarterly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10-Q. Forward-looking statements speak only as of the date they are made, and the Company assumes no duty to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does not undertake to update forward-looking statements. Actual results could differ materially from those anticipated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and future results could differ materially from historical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2015, and the Company’s reports filed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expects to close the pending transaction with Span Alaska in the third quarter 2016. The Company’s 2016 outlook excludes any future effects of the pending transaction. The Company expects to update its outlook for the effects of the acquisition after the pending transaction closes.</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In the second quarter 2016, the Company’s Hawaii service achieved 8.4 percent container volume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compared to the second quarter 2015, the result of competitive gains and modest market growth. The Company continues to believe that the Hawaii economy is healthy and expects construction activity to be a primary driver of market growth. For the full year 2016, the Company continues to expect its Hawaii container volume to be moderately higher than 2015; however, with substantially all of that relative increase having occurred in the first half 2016, the Company expects second half 2016 container volume to approximate the level achieved in the second half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ind w:right="40"/>
        <w:spacing w:after="0" w:line="285" w:lineRule="auto"/>
        <w:rPr>
          <w:sz w:val="20"/>
          <w:szCs w:val="20"/>
          <w:color w:val="auto"/>
        </w:rPr>
      </w:pPr>
      <w:r>
        <w:rPr>
          <w:rFonts w:ascii="Arial" w:cs="Arial" w:eastAsia="Arial" w:hAnsi="Arial"/>
          <w:sz w:val="16"/>
          <w:szCs w:val="16"/>
          <w:color w:val="auto"/>
        </w:rPr>
        <w:t>In China, the Company’s container volume in the second quarter 2016 was 9.7 percent lower year-over-year due to continued market softness and the absence of the exceptionally high demand experienced in the second quarter 2015 during the U.S. West Coast labor disruptions. The Company realized a sizeable rate premium for its expedited service in the second quarter 2016, but as expected, average freight rates were significantly lower than the second quarter 2015 due to the challenging market conditions in the transpacific trade and underlying market rates at historic lows amid chronic over-</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capacity. Similarly, for the remainder of 2016, the Company expects its rate premium in China to endure but at rates significantly lower than those achieved in the second half 2015.</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Guam, the Company’s container volume in the second quarter 2016 was essentially flat on a year-over-year basis, as modest market growth was offset by competitive losses to a bi-weekly U.S. flagged containership service that commenced in January 2016. For the remainder of 2016, the Company expects to experience continued modest competitive volume losses to this new service.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Alaska, the Company’s container volume for the second quarter 2016 was moderately lower than the level carried by Horizon Lines and Matson in the second quarter 2015, primarily due to muted economic activity. For the second half 2016, the Company expects the challenging macroeconomic and freight environment in Alaska to result in container volume that is modestly lower than the level achieved in the second half 2015.</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full year 2016, the Company’s terminal joint venture, SSAT, is expected to contribute modestly lower profits than the $16.5 million contributed in 2015, primarily due to the absence of factors related to the clearing of international cargo backlog in the first half 2015 that resulted from the U.S. West Coast labor disruptions.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 result, the Company continues to expect full year 2016 Ocean Transportation operating income to be approximately 15 to 20 percent lower than the $187.8 million achieved in 2015. In the third quarter 2016, the Company expects operating income to be approximately 25 percent lower than the third quarter 2015 level of $68.9 million.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The Company expects 2016 operating income to modestly exceed the 2015 level of $8.5 million, driven by volume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continued expense control.</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2016 to be approximately $23 million, including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expected issuance of $200 million of 15-year senior unsecured notes in September 2016, bearing interest at 3.14 percent.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Company expects its effective tax rate for the full year 2016 to be approximately 39 percent.</w:t>
      </w:r>
    </w:p>
    <w:p>
      <w:pPr>
        <w:spacing w:after="0" w:line="23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Capital Spending and Vessel Dry-docking: </w:t>
      </w:r>
      <w:r>
        <w:rPr>
          <w:rFonts w:ascii="Arial" w:cs="Arial" w:eastAsia="Arial" w:hAnsi="Arial"/>
          <w:sz w:val="16"/>
          <w:szCs w:val="16"/>
          <w:color w:val="auto"/>
        </w:rPr>
        <w:t>In the first half 2016, the Company made capital expenditure payments of $53.3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vessel construction progress payments of $12.5 million, and dry-docking payments of $28.5 million. For the full year 2016, the Company expects to make capital expenditure payments of approximately $85 million, scheduled new vessel construction progress payments of $67.2 million, and dry-docking payments of approximately $60 million. For the full year 2016, the Company expects depreciation and amortization to total approximately $133 million compared to $105.8 million in 2015, inclusive of dry-docking amortization of approximately $35 million expected in 2016 and $23.1 million in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June 30, 2016 compared with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40" w:type="dxa"/>
            <w:vAlign w:val="bottom"/>
          </w:tcPr>
          <w:p>
            <w:pPr>
              <w:spacing w:after="0"/>
              <w:rPr>
                <w:sz w:val="14"/>
                <w:szCs w:val="14"/>
                <w:color w:val="auto"/>
              </w:rPr>
            </w:pPr>
          </w:p>
        </w:tc>
        <w:tc>
          <w:tcPr>
            <w:tcW w:w="2180" w:type="dxa"/>
            <w:vAlign w:val="bottom"/>
            <w:gridSpan w:val="8"/>
          </w:tcPr>
          <w:p>
            <w:pPr>
              <w:jc w:val="right"/>
              <w:ind w:right="170"/>
              <w:spacing w:after="0"/>
              <w:rPr>
                <w:sz w:val="20"/>
                <w:szCs w:val="20"/>
                <w:color w:val="auto"/>
              </w:rPr>
            </w:pPr>
            <w:r>
              <w:rPr>
                <w:rFonts w:ascii="Arial" w:cs="Arial" w:eastAsia="Arial" w:hAnsi="Arial"/>
                <w:sz w:val="14"/>
                <w:szCs w:val="14"/>
                <w:b w:val="1"/>
                <w:bCs w:val="1"/>
                <w:color w:val="auto"/>
                <w:w w:val="95"/>
              </w:rPr>
              <w:t>Three Months Ended June 30,</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(413.9)</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(39.6)%</w:t>
            </w:r>
          </w:p>
        </w:tc>
        <w:tc>
          <w:tcPr>
            <w:tcW w:w="0" w:type="dxa"/>
            <w:vAlign w:val="bottom"/>
          </w:tcPr>
          <w:p>
            <w:pPr>
              <w:spacing w:after="0"/>
              <w:rPr>
                <w:sz w:val="1"/>
                <w:szCs w:val="1"/>
                <w:color w:val="auto"/>
              </w:rPr>
            </w:pPr>
          </w:p>
        </w:tc>
      </w:tr>
      <w:tr>
        <w:trPr>
          <w:trHeight w:val="23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920" w:type="dxa"/>
            <w:vAlign w:val="bottom"/>
          </w:tcPr>
          <w:p>
            <w:pPr>
              <w:spacing w:after="0" w:line="203" w:lineRule="exact"/>
              <w:rPr>
                <w:sz w:val="20"/>
                <w:szCs w:val="20"/>
                <w:color w:val="auto"/>
              </w:rPr>
            </w:pPr>
            <w:r>
              <w:rPr>
                <w:rFonts w:ascii="Arial" w:cs="Arial" w:eastAsia="Arial" w:hAnsi="Arial"/>
                <w:sz w:val="18"/>
                <w:szCs w:val="18"/>
                <w:color w:val="auto"/>
              </w:rPr>
              <w:t>Basic earnings per-share</w:t>
            </w:r>
          </w:p>
        </w:tc>
        <w:tc>
          <w:tcPr>
            <w:tcW w:w="1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0.42</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0.23</w:t>
            </w:r>
          </w:p>
        </w:tc>
        <w:tc>
          <w:tcPr>
            <w:tcW w:w="1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82.6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operating revenue for the second quarter 2016 increased $20.1 million, or 4.5 percent, compared to the second quarter 2015. This increase was due to $24.2 million higher revenue from Ocean Transportation, offset by $4.1 million lower revenue from Logistics.</w:t>
      </w:r>
    </w:p>
    <w:p>
      <w:pPr>
        <w:spacing w:after="0" w:line="18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Operating costs and expenses for the second quarter 2016 increased $17.7 million, or 4.3 percent, compared to the second quarter 2015. The increase was due to a $21.7 million increase, offset by a $4.0 million decrease in operating costs and expenses from Ocean Transportation and Logistics segments, respectively. Changes in operating revenue, and operating costs and expenses are further described below in the Analysis of Operating Revenue and Income by Segment.</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Interest expense increased $1.9 million to $6.5 million for the second quarter 2016 compared to $4.6 million in second quarter 2015, due to non-cash interest accretion of the fair value of the Puerto Rico multi-employer liability, and increased revolver and long-term borrowings during the three months ended June 2016.</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was $11.6 million, or 39.2 percent of income before income taxes, for the second quarter 2016, compared to $19.2 million, or 66.0 percent of income before income taxes, for the second quarter 2015. The income tax rate for 2015 was negatively impacted by a non-cash adjustment to deferred tax assets, and by changes in the value of deferred taxes and non-deductible expenses as a result of the Horizon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Six months ended June 30, 2016 compared with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8"/>
          </w:tcPr>
          <w:p>
            <w:pPr>
              <w:jc w:val="right"/>
              <w:ind w:right="47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(767.2)</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360" w:type="dxa"/>
            <w:vAlign w:val="bottom"/>
          </w:tcPr>
          <w:p>
            <w:pPr>
              <w:spacing w:after="0" w:line="203" w:lineRule="exact"/>
              <w:rPr>
                <w:sz w:val="20"/>
                <w:szCs w:val="20"/>
                <w:color w:val="auto"/>
              </w:rPr>
            </w:pPr>
            <w:r>
              <w:rPr>
                <w:rFonts w:ascii="Arial" w:cs="Arial" w:eastAsia="Arial" w:hAnsi="Arial"/>
                <w:sz w:val="18"/>
                <w:szCs w:val="18"/>
                <w:color w:val="auto"/>
              </w:rPr>
              <w:t>Basic earnings per-share</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0.80</w:t>
            </w:r>
          </w:p>
        </w:tc>
        <w:tc>
          <w:tcPr>
            <w:tcW w:w="1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Consolidated operating revenue for the six months ended June 30, 2016 increased $76.1 million, or 9.0 percent, compared to the six months ended June 30, 2015. This increase was due to $84.8 million higher revenue from Ocean Transportation, offset by $8.7 million lower revenue from Logistics.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costs and expenses for the six months ended June 30, 2016 increased $84.0 million, or 10.9 percent, compared to the six months ended June 30, 2015. The increase was due to a $93.2 million increase, offset by a $9.2 million decrease in operating costs and expenses from Ocean Transportation and Logistics segments, respectively. Changes in operating revenue, and operating costs and expenses are further described below in the Analysis of Operating Revenue and Income by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ind w:right="120"/>
        <w:spacing w:after="0" w:line="286" w:lineRule="auto"/>
        <w:rPr>
          <w:sz w:val="20"/>
          <w:szCs w:val="20"/>
          <w:color w:val="auto"/>
        </w:rPr>
      </w:pPr>
      <w:r>
        <w:rPr>
          <w:rFonts w:ascii="Arial" w:cs="Arial" w:eastAsia="Arial" w:hAnsi="Arial"/>
          <w:sz w:val="17"/>
          <w:szCs w:val="17"/>
          <w:color w:val="auto"/>
        </w:rPr>
        <w:t>Interest expense increased $2.5 million to $11.4 million for the six months ended June 30, 2016 compared to $8.9 million in six months ended June 30, 2015, due to non-cash interest accretion of the fair value of the Puerto Rico multi-employer liability, and increased revolver and long-term borrowings during the six months ended June 2016.</w:t>
      </w:r>
    </w:p>
    <w:p>
      <w:pPr>
        <w:spacing w:after="0" w:line="166"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Income tax expense was $23.2 million, or 39.1 percent of income before income taxes, for the six months ended June 30, 2016, compared to $34.8 million, or 49.9 percent of income before income taxes, for the six months ended June 30,</w:t>
      </w:r>
    </w:p>
    <w:p>
      <w:pPr>
        <w:spacing w:after="0" w:line="290" w:lineRule="auto"/>
        <w:rPr>
          <w:sz w:val="20"/>
          <w:szCs w:val="20"/>
          <w:color w:val="auto"/>
        </w:rPr>
      </w:pPr>
      <w:r>
        <w:rPr>
          <w:rFonts w:ascii="Arial" w:cs="Arial" w:eastAsia="Arial" w:hAnsi="Arial"/>
          <w:sz w:val="17"/>
          <w:szCs w:val="17"/>
          <w:color w:val="auto"/>
        </w:rPr>
        <w:t>2015. The income tax rate for 2015 was negatively impacted by a non-cash adjustment to deferred tax assets, and by changes in the value of deferred taxes and non-deductible expenses as a result of the Horizon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June 30, 2016 compared with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7"/>
          </w:tcPr>
          <w:p>
            <w:pPr>
              <w:jc w:val="right"/>
              <w:ind w:right="370"/>
              <w:spacing w:after="0"/>
              <w:rPr>
                <w:sz w:val="20"/>
                <w:szCs w:val="20"/>
                <w:color w:val="auto"/>
              </w:rPr>
            </w:pPr>
            <w:r>
              <w:rPr>
                <w:rFonts w:ascii="Arial" w:cs="Arial" w:eastAsia="Arial" w:hAnsi="Arial"/>
                <w:sz w:val="14"/>
                <w:szCs w:val="14"/>
                <w:b w:val="1"/>
                <w:bCs w:val="1"/>
                <w:color w:val="auto"/>
                <w:w w:val="98"/>
              </w:rPr>
              <w:t>Three Months Ended June 30,</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Volume (Units)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21,200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209.6 %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3,800</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220" w:right="20" w:hanging="215"/>
        <w:spacing w:after="0" w:line="256" w:lineRule="auto"/>
        <w:rPr>
          <w:sz w:val="20"/>
          <w:szCs w:val="20"/>
          <w:color w:val="auto"/>
        </w:rPr>
      </w:pPr>
      <w:r>
        <w:rPr>
          <w:rFonts w:ascii="Arial" w:cs="Arial" w:eastAsia="Arial" w:hAnsi="Arial"/>
          <w:sz w:val="18"/>
          <w:szCs w:val="18"/>
          <w:color w:val="auto"/>
        </w:rPr>
        <w:t>(1)Approximate container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rPr>
          <w:sz w:val="20"/>
          <w:szCs w:val="20"/>
          <w:color w:val="auto"/>
        </w:rPr>
      </w:pPr>
      <w:r>
        <w:rPr>
          <w:rFonts w:ascii="Arial" w:cs="Arial" w:eastAsia="Arial" w:hAnsi="Arial"/>
          <w:sz w:val="18"/>
          <w:szCs w:val="18"/>
          <w:color w:val="auto"/>
        </w:rPr>
        <w:t>(2) Alaska container volume represents operations from the date of Horizon Acquisition on May 29, 2015.</w:t>
      </w:r>
    </w:p>
    <w:p>
      <w:pPr>
        <w:spacing w:after="0" w:line="21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Ocean Transportation revenue increased $24.2 million, or 7.0 percent, during the second quarter 2016 compared with the second quarter 2015. This increase was primarily due to the inclusion of revenue from the Company’s acquired Alaska service for the full quarter in 2016 and higher container volume in Hawaii, partially offset by lower freight rates and container volume in the Company’s China service and lower fuel surcharge revenue.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 year-over-year basis, Hawaii container volume increased by 8.4 percent due to competitive gains and modest market growth; Alaska volume increased due to the inclusion of a full second quarter in 2016 compared to a partial second quarter in 2015; China volume was 9.7 percent lower due to continued market softness and the absence of the high demand experienced in the second quarter 2015 related to the U.S. West Coast labor disruptions; and Guam volume was flat as modest market growth was offset by competitive losses associated with the launch of a competitor’s bi-weekly U.S. flagged containership service in January 2016.</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Ocean Transportation operating income increased $2.5 million, or 8.0 percent, during the second quarter 2016 compared with the second quarter 2015. The increase was primarily due to the absence of selling, general and administrative expenses related to the Horizon Acquisition and costs related to the Molasses Settlement, and higher container volume in</w:t>
      </w:r>
    </w:p>
    <w:p>
      <w:pPr>
        <w:ind w:right="300"/>
        <w:spacing w:after="0" w:line="255" w:lineRule="auto"/>
        <w:rPr>
          <w:sz w:val="20"/>
          <w:szCs w:val="20"/>
          <w:color w:val="auto"/>
        </w:rPr>
      </w:pPr>
      <w:r>
        <w:rPr>
          <w:rFonts w:ascii="Arial" w:cs="Arial" w:eastAsia="Arial" w:hAnsi="Arial"/>
          <w:sz w:val="18"/>
          <w:szCs w:val="18"/>
          <w:color w:val="auto"/>
        </w:rPr>
        <w:t>Hawaii. Partially offsetting these favorable year-over-year comparisons were lower freight rates and volume in the China service, higher vessel operating expenses related to the deployment of additional vessels in the Hawaii trade, and higher terminal handling expenses.</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SSAT terminal joint venture investment contributed $3.0 million during the second quarter 2016, compared to a $5.2 million contribution in the second quarter 2015. On a year-over-year basis, SSAT’s lift volume improved in the second quarter 2016; however, the positive impact of improved lift volume was more than offset by the absence of the benefits related to the clearing of international cargo volume after the U.S. West Coast labor disruptions in the second quarter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Ocean Transportation Operating Results: Six months ended June 30, 2016 compared with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7"/>
          </w:tcPr>
          <w:p>
            <w:pPr>
              <w:jc w:val="right"/>
              <w:ind w:right="45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11.5 %</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Volume (Units)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38,500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507.7 %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25,700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6,400</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220" w:right="20" w:hanging="215"/>
        <w:spacing w:after="0" w:line="256" w:lineRule="auto"/>
        <w:rPr>
          <w:sz w:val="20"/>
          <w:szCs w:val="20"/>
          <w:color w:val="auto"/>
        </w:rPr>
      </w:pPr>
      <w:r>
        <w:rPr>
          <w:rFonts w:ascii="Arial" w:cs="Arial" w:eastAsia="Arial" w:hAnsi="Arial"/>
          <w:sz w:val="18"/>
          <w:szCs w:val="18"/>
          <w:color w:val="auto"/>
        </w:rPr>
        <w:t>(1)Approximate container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rPr>
          <w:sz w:val="20"/>
          <w:szCs w:val="20"/>
          <w:color w:val="auto"/>
        </w:rPr>
      </w:pPr>
      <w:r>
        <w:rPr>
          <w:rFonts w:ascii="Arial" w:cs="Arial" w:eastAsia="Arial" w:hAnsi="Arial"/>
          <w:sz w:val="18"/>
          <w:szCs w:val="18"/>
          <w:color w:val="auto"/>
        </w:rPr>
        <w:t>(2) Alaska container volume represents operations from the date of Horizon Acquisition on May 29, 2015.</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Ocean Transportation revenue increased $84.8 million, or 13.0 percent, during the six months ended June 30, 2016 compared with the six months ended June 30, 2015. This increase was primarily due to the inclusion of revenue from the Company’s acquired Alaska service for the full six months period and higher container volume and yield in Hawaii, partially offset by lower freight rates and container volume in the Company’s China service and lower fuel surcharge revenue.</w:t>
      </w:r>
    </w:p>
    <w:p>
      <w:pPr>
        <w:spacing w:after="0" w:line="154"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On a year-over-year basis, Hawaii container volume increased by 8.4 percent due to competitive gains and modest market growth; Alaska volume increased due to the inclusion of a full six months period in 2016; China volume was 13.8 percent lower due to market softness and the absence of the high demand experienced in the first six months of 2015 related to the U.S. West Coast labor disruptions; and Guam volume was 1.7 percent lower primarily due to competitive losses associated with the launch of a competitor’s bi-weekly U.S. flagged containership service in January 2016.</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Ocean Transportation operating income decreased $8.4 million, or 11.2 percent, during the six months ended June 30, 2016 compared with the six months ended June 30, 2015. The decrease was primarily due to lower freight rates and volume in the China service, higher vessel operating expenses related to the deployment of additional vessels in the Hawaii trade, and higher terminal handling expenses. Partially offsetting these unfavorable items were the absence of selling, general and administrative expenses related to the Horizon Acquisition and costs related to the Molasses Settlement, higher container volume and yield improvements in Hawaii, and the inclusion of operating results from the Company’s acquired Alaska service.</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SSAT terminal joint venture investment contributed $5.6 million during the six months ended June 30, 2016, compared to an $8.6 million contribution in the six months ended June 30, 2015. On a year-over-year basis, SSAT’s lift volume improved during the first half 2016; however, the positive impact of lift volume was more than offset by the absence of the benefits related to the clearing of international cargo volume after the U.S. West Coast labor disruptions in the first half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2016 compared with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Highway 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Logistics revenue decreased $4.1 million, or 4.1 percent, during the second quarter 2016 compared with the second quarter 2015. This decrease was primarily the result of lower fuel surcharge revenue, partially offset by higher volume.</w:t>
      </w:r>
    </w:p>
    <w:p>
      <w:pPr>
        <w:spacing w:after="0" w:line="12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Logistics operating income decreased $0.1 million during the second quarter 2016 compared with the second quarter 2015. The decrease was primarily attributable to lower intermodal yield, partially offset by higher volume.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Six months ended June 30, 2016 compared with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7"/>
          </w:tcPr>
          <w:p>
            <w:pPr>
              <w:jc w:val="right"/>
              <w:ind w:right="35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Highway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190.3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Logistics revenue decreased $8.7 million, or 4.5 percent, during the six months ended June 30, 2016 compared to the six months ended June 30, 2015. The decrease was primarily the result of lower fuel surcharge revenue, partially offset by higher volume.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Logistics operating income increased by $0.5 million during the six months ended June 30, 2016 compared to the six months ended June 30, 2015, primarily due to higher volume and warehouse operating improvements, partially offset by lower intermodal yield.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June 30, 2016, compared to December 31, 2015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Sources of Liquidity (in millions)</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19.2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(6.3)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Accounts receivable, net (1)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220" w:right="620" w:hanging="215"/>
        <w:spacing w:after="0" w:line="342" w:lineRule="auto"/>
        <w:rPr>
          <w:sz w:val="20"/>
          <w:szCs w:val="20"/>
          <w:color w:val="auto"/>
        </w:rPr>
      </w:pPr>
      <w:r>
        <w:rPr>
          <w:rFonts w:ascii="Arial" w:cs="Arial" w:eastAsia="Arial" w:hAnsi="Arial"/>
          <w:sz w:val="16"/>
          <w:szCs w:val="16"/>
          <w:color w:val="auto"/>
        </w:rPr>
        <w:t>(1)As of June 30, 2016 and December 31, 2015, $164.8 million and $176.6 million, respectively, of eligible accounts receivable were assigned to the CCF (see Note 2 of the interim Condensed Consolidated Financial Statements).</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June 30, 2016, the Company had $345.1 million of availability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maturity date of July 30, 2020. The Company’s revolving credit facility is described in Note 8 to the Consolidated Financial Statements included in Item 8 of the Company’s Annual Report filed on Form 10-K for the year ended December 31, 2015.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ind w:right="20"/>
        <w:spacing w:after="0" w:line="282" w:lineRule="auto"/>
        <w:rPr>
          <w:sz w:val="20"/>
          <w:szCs w:val="20"/>
          <w:color w:val="auto"/>
        </w:rPr>
      </w:pPr>
      <w:r>
        <w:rPr>
          <w:rFonts w:ascii="Arial" w:cs="Arial" w:eastAsia="Arial" w:hAnsi="Arial"/>
          <w:sz w:val="18"/>
          <w:szCs w:val="18"/>
          <w:b w:val="1"/>
          <w:bCs w:val="1"/>
          <w:i w:val="1"/>
          <w:iCs w:val="1"/>
          <w:color w:val="auto"/>
        </w:rPr>
        <w:t>Changes in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2016, compared to the six months ended June 30, 2015,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Information (in millions)</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provided by operating activities for the six months ended June 30, 2016 compared to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are due to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2016-2015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income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 in adjustments for non-cash related charges,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related party Terminal Joint Venture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Change in accounts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prepaid expenses and 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Change in accounts payable and 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dry-docking payments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liabilities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Changes in accounts receivable, and prepaid expenses and other assets in the six months ended June 30, 2016 compared to the six months ended June 30, 2015 are due to the timing of collections and payments. Increase in deferred dry-docking payments was due to an increased number of vessels in dry-docking during the six months ended June 30, 2016 compared to six months ended June 30, 2015. Changes in accounts payable and accrued liabilities, and other liabilities are due to increased liabilities associated with the Horizon Acquisition during the first six months of 2016 compared to the first six months of 2015, and the timing of other liability payments. The decrease in distributions from related party Terminal Joint Venture was due to no distributions received in the first six months ended June 30, 2016, compared to $3.5 million of distributions received in the six months ended June 30,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provided by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used in investing activities for the six months ended June 30, 2016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are due to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2016-2015</w:t>
            </w:r>
          </w:p>
        </w:tc>
        <w:tc>
          <w:tcPr>
            <w:tcW w:w="200" w:type="dxa"/>
            <w:vAlign w:val="bottom"/>
            <w:tcBorders>
              <w:bottom w:val="single" w:sz="8" w:color="CCEEFF"/>
            </w:tcBorders>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capital expenditures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 in cash deposits into CCF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withdrawals from CCF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Payments for Horizon Acquisition and other acquisitions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proceeds from disposal of property and equipment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180" w:type="dxa"/>
            <w:vAlign w:val="bottom"/>
          </w:tcPr>
          <w:p>
            <w:pPr>
              <w:ind w:left="444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0" w:name="page21"/>
    <w:bookmarkEnd w:id="20"/>
    <w:p>
      <w:pPr>
        <w:ind w:right="160"/>
        <w:spacing w:after="0" w:line="272" w:lineRule="auto"/>
        <w:rPr>
          <w:sz w:val="20"/>
          <w:szCs w:val="20"/>
          <w:color w:val="auto"/>
        </w:rPr>
      </w:pPr>
      <w:r>
        <w:rPr>
          <w:rFonts w:ascii="Arial" w:cs="Arial" w:eastAsia="Arial" w:hAnsi="Arial"/>
          <w:sz w:val="17"/>
          <w:szCs w:val="17"/>
          <w:color w:val="auto"/>
        </w:rPr>
        <w:t>Capital expenditures increased from $12.2 million in the six months ended June 30, 2015 to $65.8 million in the six months ended June 30, 2016. The increase was due primarily to new equipment additions, the installation of scrubbers on vessels acquired as part of the Horizon Acquisition, and new vessel construction progress payments. Changes in deposits into the CCF, and withdrawals from the CCF during the six months ended June 30, 2016, are due to qualified withdrawals from the CCF related to new vessel construction progress payments. There were no acquisition related payments during the six months ended June 30, 2016, compared to $28.7 million of payments related to the Horizon Acquisition and other acquisitions made during the six months ended June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provided by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provided by financing activities for the six months ended June 30, 2016 compared to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are due to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2016-2015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Payments of Horizon debt and redemption of warrants,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Change in borrowings under revolving credit facility, net, and other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payments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in other payments, net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r>
              <w:rPr>
                <w:rFonts w:ascii="Arial" w:cs="Arial" w:eastAsia="Arial" w:hAnsi="Arial"/>
                <w:sz w:val="18"/>
                <w:szCs w:val="18"/>
                <w:u w:val="single" w:color="auto"/>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six months ended June 30, 2015, the Company repaid all of Horizon’s outstanding debt and redeemed the warrants related to the Horizon Acquisition. During the six months ended June 30, 2016, the Company increased its net borrowings under its revolving credit facility to $44.0 million at June 30, 2016, primarily to fund increased dry-docking and capital expenditure, share repurchases, and cash deposits into the CCF. Borrowings under the revolving credit facility during the six months ended June 30, 2015, primarily related to the Horizon Acquisition. During six months ended June 30, 2016, the Company paid $32.3 million in share repurchases. There were no share repurchases during the six months ended June 30, 2015.</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a working capital deficiency of $35.9 million at June 30, 2016, compared to $19.7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deficiency at December 31, 2015.</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Except for the subsequent events related to the acquisition of Span Alaska and notes financing (see Note 10 of the interim Condensed Consolidated Financial Statements), and for additional borrowings under the Company’s revolving credit facility of $44.0 million at June 30, 2016 (see Note 4 of the interim Condensed Consolidated Financial Statements), there were no material changes during this quarter to the Company’s contractual obligations, commitments, contingencies and off-balance sheet arrangements that are described in Item 7 of the Company’s Annual Report filed on Form 10-K for the year ended December 31, 2015, which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Company’s second quarter 2016 cash dividend of $0.18 per-share was paid on June 2, 2016 to shareholders of record as of May 12, 2016. On June 23, 2016, the Company’s Board of Directors declared a cash dividend of $0.19 per-share payable on September 1, 2016 to shareholders of record as of the close of business on August 4,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639"/>
        <w:spacing w:after="0" w:line="264" w:lineRule="auto"/>
        <w:rPr>
          <w:sz w:val="20"/>
          <w:szCs w:val="20"/>
          <w:color w:val="auto"/>
        </w:rPr>
      </w:pPr>
      <w:r>
        <w:rPr>
          <w:rFonts w:ascii="Arial" w:cs="Arial" w:eastAsia="Arial" w:hAnsi="Arial"/>
          <w:sz w:val="18"/>
          <w:szCs w:val="18"/>
          <w:color w:val="auto"/>
        </w:rPr>
        <w:t>There have been no material changes to the Company’s market risk position from the information provided under Part II, Item 7A, “Quantitative and Qualitative Disclosures About Market Risk,” of our 2015 Annual Report filed on Form 10-K for the year ended December 31,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39"/>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2016, the Company’s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9"/>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six months ended June 30, 2016, that have materially affected, or are reasonably likely to materially affect, the Company’s internal control over financial reporting.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139"/>
        <w:spacing w:after="0" w:line="312" w:lineRule="auto"/>
        <w:rPr>
          <w:sz w:val="20"/>
          <w:szCs w:val="20"/>
          <w:color w:val="auto"/>
        </w:rPr>
      </w:pPr>
      <w:r>
        <w:rPr>
          <w:rFonts w:ascii="Arial" w:cs="Arial" w:eastAsia="Arial" w:hAnsi="Arial"/>
          <w:sz w:val="16"/>
          <w:szCs w:val="16"/>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19"/>
        <w:spacing w:after="0" w:line="264" w:lineRule="auto"/>
        <w:rPr>
          <w:sz w:val="20"/>
          <w:szCs w:val="20"/>
          <w:color w:val="auto"/>
        </w:rPr>
      </w:pPr>
      <w:r>
        <w:rPr>
          <w:rFonts w:ascii="Arial" w:cs="Arial" w:eastAsia="Arial" w:hAnsi="Arial"/>
          <w:sz w:val="18"/>
          <w:szCs w:val="18"/>
          <w:color w:val="auto"/>
        </w:rPr>
        <w:t>The following risk factors are intended as a supplement to the risk factors associated with the Company’s business that were previously disclosed in the Company’s Form 10-K for the year ended December 31, 2015 filed with the SEC on February 26,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Pending Acquisition of Span Alaska</w:t>
      </w:r>
    </w:p>
    <w:p>
      <w:pPr>
        <w:spacing w:after="0" w:line="221" w:lineRule="exact"/>
        <w:rPr>
          <w:sz w:val="20"/>
          <w:szCs w:val="20"/>
          <w:color w:val="auto"/>
        </w:rPr>
      </w:pPr>
    </w:p>
    <w:p>
      <w:pPr>
        <w:ind w:right="299"/>
        <w:spacing w:after="0" w:line="282" w:lineRule="auto"/>
        <w:rPr>
          <w:sz w:val="20"/>
          <w:szCs w:val="20"/>
          <w:color w:val="auto"/>
        </w:rPr>
      </w:pPr>
      <w:r>
        <w:rPr>
          <w:rFonts w:ascii="Arial" w:cs="Arial" w:eastAsia="Arial" w:hAnsi="Arial"/>
          <w:sz w:val="18"/>
          <w:szCs w:val="18"/>
          <w:b w:val="1"/>
          <w:bCs w:val="1"/>
          <w:color w:val="auto"/>
        </w:rPr>
        <w:t>The pending acquisition of Span Alaska and the new debt financing are each subject to conditions that may not be satisfied on a timely basis, or at all.</w:t>
      </w:r>
    </w:p>
    <w:p>
      <w:pPr>
        <w:spacing w:after="0" w:line="166" w:lineRule="exact"/>
        <w:rPr>
          <w:sz w:val="20"/>
          <w:szCs w:val="20"/>
          <w:color w:val="auto"/>
        </w:rPr>
      </w:pPr>
    </w:p>
    <w:p>
      <w:pPr>
        <w:ind w:right="179"/>
        <w:spacing w:after="0" w:line="297" w:lineRule="auto"/>
        <w:rPr>
          <w:sz w:val="20"/>
          <w:szCs w:val="20"/>
          <w:color w:val="auto"/>
        </w:rPr>
      </w:pPr>
      <w:r>
        <w:rPr>
          <w:rFonts w:ascii="Arial" w:cs="Arial" w:eastAsia="Arial" w:hAnsi="Arial"/>
          <w:sz w:val="16"/>
          <w:szCs w:val="16"/>
          <w:color w:val="auto"/>
        </w:rPr>
        <w:t>The consummation of the pending acquisition of Span Alaska is subject to a number of conditions that must be satisfied or waived, including, among others, the absence of a material adverse effect in connection with Span Alaska’s business. The issuance of $200 million of 15-year senior unsecured notes is also subject to certain conditions to closing. There can be no assurances that the conditions to closing the Span Alaska transaction will be satisfied or that the acquisition will be completed, or that the conditions to closing the new debt financing transaction will be satisfied.</w:t>
      </w:r>
    </w:p>
    <w:p>
      <w:pPr>
        <w:spacing w:after="0" w:line="158" w:lineRule="exact"/>
        <w:rPr>
          <w:sz w:val="20"/>
          <w:szCs w:val="20"/>
          <w:color w:val="auto"/>
        </w:rPr>
      </w:pPr>
    </w:p>
    <w:p>
      <w:pPr>
        <w:ind w:right="219"/>
        <w:spacing w:after="0" w:line="264" w:lineRule="auto"/>
        <w:rPr>
          <w:sz w:val="20"/>
          <w:szCs w:val="20"/>
          <w:color w:val="auto"/>
        </w:rPr>
      </w:pPr>
      <w:r>
        <w:rPr>
          <w:rFonts w:ascii="Arial" w:cs="Arial" w:eastAsia="Arial" w:hAnsi="Arial"/>
          <w:sz w:val="18"/>
          <w:szCs w:val="18"/>
          <w:color w:val="auto"/>
        </w:rPr>
        <w:t>If the acquisition of Span Alaska is not completed on agreed upon terms, or at all, the Company’s business could be adversely affected without realizing the benefits expected from consummating the transaction, and the Company would be subject to a number of risks, including the following:</w:t>
      </w:r>
    </w:p>
    <w:p>
      <w:pPr>
        <w:spacing w:after="0" w:line="181" w:lineRule="exact"/>
        <w:rPr>
          <w:sz w:val="20"/>
          <w:szCs w:val="20"/>
          <w:color w:val="auto"/>
        </w:rPr>
      </w:pPr>
    </w:p>
    <w:p>
      <w:pPr>
        <w:ind w:left="60" w:right="719" w:hanging="53"/>
        <w:spacing w:after="0" w:line="291" w:lineRule="auto"/>
        <w:rPr>
          <w:sz w:val="20"/>
          <w:szCs w:val="20"/>
          <w:color w:val="auto"/>
        </w:rPr>
      </w:pPr>
      <w:r>
        <w:rPr>
          <w:rFonts w:ascii="Arial" w:cs="Arial" w:eastAsia="Arial" w:hAnsi="Arial"/>
          <w:sz w:val="16"/>
          <w:szCs w:val="16"/>
          <w:color w:val="auto"/>
        </w:rPr>
        <w:t>·Time and resources committed by our management to matters relating to the acquisition of Span Alaska (including integration planning) could otherwise have been devoted to pursuing other beneficial opportunities; and</w:t>
      </w:r>
    </w:p>
    <w:p>
      <w:pPr>
        <w:ind w:left="60" w:right="39" w:hanging="53"/>
        <w:spacing w:after="0" w:line="261" w:lineRule="auto"/>
        <w:rPr>
          <w:sz w:val="20"/>
          <w:szCs w:val="20"/>
          <w:color w:val="auto"/>
        </w:rPr>
      </w:pPr>
      <w:r>
        <w:rPr>
          <w:rFonts w:ascii="Arial" w:cs="Arial" w:eastAsia="Arial" w:hAnsi="Arial"/>
          <w:sz w:val="18"/>
          <w:szCs w:val="18"/>
          <w:color w:val="auto"/>
        </w:rPr>
        <w:t>·The market price of our common stock could decline to the extent that the current market price reflects a market assumption that the acquisition of Span Alaska will be completed.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loss of benefits, or the increase in risks, could have a material adverse effect on our business.</w:t>
      </w:r>
    </w:p>
    <w:p>
      <w:pPr>
        <w:spacing w:after="0" w:line="225" w:lineRule="exact"/>
        <w:rPr>
          <w:sz w:val="20"/>
          <w:szCs w:val="20"/>
          <w:color w:val="auto"/>
        </w:rPr>
      </w:pPr>
    </w:p>
    <w:p>
      <w:pPr>
        <w:ind w:right="219"/>
        <w:spacing w:after="0" w:line="257" w:lineRule="auto"/>
        <w:rPr>
          <w:sz w:val="20"/>
          <w:szCs w:val="20"/>
          <w:color w:val="auto"/>
        </w:rPr>
      </w:pPr>
      <w:r>
        <w:rPr>
          <w:rFonts w:ascii="Arial" w:cs="Arial" w:eastAsia="Arial" w:hAnsi="Arial"/>
          <w:sz w:val="18"/>
          <w:szCs w:val="18"/>
          <w:color w:val="auto"/>
        </w:rPr>
        <w:t>If the new debt financing transaction does not close on agreed upon terms, or at all, but the Span Alaska acquisition does close, the Company would utilize a significant portion of its revolving credit facility which would affect the Company’s financial flexibility that is currently available for financing new vessel construction or other corporate purposes, and could result in higher borrowing costs than available as a result of the new debt financing transaction, which could have a materially negative effect on our business.</w:t>
      </w:r>
    </w:p>
    <w:p>
      <w:pPr>
        <w:spacing w:after="0" w:line="184" w:lineRule="exact"/>
        <w:rPr>
          <w:sz w:val="20"/>
          <w:szCs w:val="20"/>
          <w:color w:val="auto"/>
        </w:rPr>
      </w:pPr>
    </w:p>
    <w:p>
      <w:pPr>
        <w:ind w:right="519"/>
        <w:spacing w:after="0" w:line="282" w:lineRule="auto"/>
        <w:rPr>
          <w:sz w:val="20"/>
          <w:szCs w:val="20"/>
          <w:color w:val="auto"/>
        </w:rPr>
      </w:pPr>
      <w:r>
        <w:rPr>
          <w:rFonts w:ascii="Arial" w:cs="Arial" w:eastAsia="Arial" w:hAnsi="Arial"/>
          <w:sz w:val="18"/>
          <w:szCs w:val="18"/>
          <w:b w:val="1"/>
          <w:bCs w:val="1"/>
          <w:color w:val="auto"/>
        </w:rPr>
        <w:t>The Company may fail to realize the anticipated benefits of the Span Alaska acquisition, which could adversely impact the Company’s ongoing operations.</w:t>
      </w:r>
    </w:p>
    <w:p>
      <w:pPr>
        <w:spacing w:after="0" w:line="166" w:lineRule="exact"/>
        <w:rPr>
          <w:sz w:val="20"/>
          <w:szCs w:val="20"/>
          <w:color w:val="auto"/>
        </w:rPr>
      </w:pPr>
    </w:p>
    <w:p>
      <w:pPr>
        <w:ind w:right="299"/>
        <w:spacing w:after="0" w:line="312" w:lineRule="auto"/>
        <w:rPr>
          <w:sz w:val="20"/>
          <w:szCs w:val="20"/>
          <w:color w:val="auto"/>
        </w:rPr>
      </w:pPr>
      <w:r>
        <w:rPr>
          <w:rFonts w:ascii="Arial" w:cs="Arial" w:eastAsia="Arial" w:hAnsi="Arial"/>
          <w:sz w:val="16"/>
          <w:szCs w:val="16"/>
          <w:color w:val="auto"/>
        </w:rPr>
        <w:t>The Company may fail to realize some or all of the anticipated benefits of the Span Alaska acquisition if the integration process is less efficient or is more costly than expected or otherwise fails to meet the Company’s expectations. Failure to achieve these anticipated benefits could adversely affect the Company’s business, financial results and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Potential difficulties and challenges the Company may encounter in the integration process include the following:</w:t>
      </w:r>
    </w:p>
    <w:p>
      <w:pPr>
        <w:spacing w:after="0" w:line="225" w:lineRule="exact"/>
        <w:rPr>
          <w:sz w:val="20"/>
          <w:szCs w:val="20"/>
          <w:color w:val="auto"/>
        </w:rPr>
      </w:pPr>
    </w:p>
    <w:p>
      <w:pPr>
        <w:ind w:left="4440" w:right="4419" w:hanging="4437"/>
        <w:spacing w:after="0" w:line="432"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integration of key employees, strategies and operations;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278765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disruption of ongoing businesses and distraction of our management team from ongoing business concerns;</w:t>
      </w:r>
    </w:p>
    <w:p>
      <w:pPr>
        <w:spacing w:after="0" w:line="23" w:lineRule="exact"/>
        <w:rPr>
          <w:sz w:val="20"/>
          <w:szCs w:val="20"/>
          <w:color w:val="auto"/>
        </w:rPr>
      </w:pPr>
    </w:p>
    <w:p>
      <w:pPr>
        <w:ind w:left="60" w:right="400" w:hanging="53"/>
        <w:spacing w:after="0" w:line="250" w:lineRule="auto"/>
        <w:rPr>
          <w:sz w:val="20"/>
          <w:szCs w:val="20"/>
          <w:color w:val="auto"/>
        </w:rPr>
      </w:pPr>
      <w:r>
        <w:rPr>
          <w:rFonts w:ascii="Arial" w:cs="Arial" w:eastAsia="Arial" w:hAnsi="Arial"/>
          <w:sz w:val="18"/>
          <w:szCs w:val="18"/>
          <w:color w:val="auto"/>
        </w:rPr>
        <w:t>·The creation of a need for and costs necessary to establish additional compliance, documentation, risk management and internal control procedures for Span Alaska;</w:t>
      </w:r>
    </w:p>
    <w:p>
      <w:pPr>
        <w:spacing w:after="0" w:line="1" w:lineRule="exact"/>
        <w:rPr>
          <w:sz w:val="20"/>
          <w:szCs w:val="20"/>
          <w:color w:val="auto"/>
        </w:rPr>
      </w:pPr>
    </w:p>
    <w:p>
      <w:pPr>
        <w:ind w:right="2820"/>
        <w:spacing w:after="0" w:line="290" w:lineRule="auto"/>
        <w:rPr>
          <w:sz w:val="20"/>
          <w:szCs w:val="20"/>
          <w:color w:val="auto"/>
        </w:rPr>
      </w:pPr>
      <w:r>
        <w:rPr>
          <w:rFonts w:ascii="Arial" w:cs="Arial" w:eastAsia="Arial" w:hAnsi="Arial"/>
          <w:sz w:val="17"/>
          <w:szCs w:val="17"/>
          <w:color w:val="auto"/>
        </w:rPr>
        <w:t>·Inability to maintain the key business and customer relationships of Span Alaska; and · The integration of corporate cultures and maintenance of employee morale.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summary of Matson shares that were repurchased under the Company’s share repurchase program during the three months ended June 30,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as Part of Publicly</w:t>
            </w:r>
          </w:p>
        </w:tc>
        <w:tc>
          <w:tcPr>
            <w:tcW w:w="14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140" w:type="dxa"/>
            <w:vAlign w:val="bottom"/>
          </w:tcPr>
          <w:p>
            <w:pPr>
              <w:spacing w:after="0"/>
              <w:rPr>
                <w:sz w:val="15"/>
                <w:szCs w:val="15"/>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Paid Per-</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30, 2016</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119,092</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May 1 — 31, 2016</w:t>
            </w:r>
          </w:p>
        </w:tc>
        <w:tc>
          <w:tcPr>
            <w:tcW w:w="1020" w:type="dxa"/>
            <w:vAlign w:val="bottom"/>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2,197,808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 2016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85</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340,001</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100" w:hanging="215"/>
        <w:spacing w:after="0" w:line="259" w:lineRule="auto"/>
        <w:rPr>
          <w:sz w:val="20"/>
          <w:szCs w:val="20"/>
          <w:color w:val="auto"/>
        </w:rPr>
      </w:pPr>
      <w:r>
        <w:rPr>
          <w:rFonts w:ascii="Arial" w:cs="Arial" w:eastAsia="Arial" w:hAnsi="Arial"/>
          <w:sz w:val="18"/>
          <w:szCs w:val="18"/>
          <w:color w:val="auto"/>
        </w:rPr>
        <w:t>(1)On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8300" w:type="dxa"/>
            <w:vAlign w:val="bottom"/>
          </w:tcPr>
          <w:p>
            <w:pPr>
              <w:ind w:left="100"/>
              <w:spacing w:after="0"/>
              <w:rPr>
                <w:sz w:val="20"/>
                <w:szCs w:val="20"/>
                <w:color w:val="auto"/>
              </w:rPr>
            </w:pPr>
            <w:r>
              <w:rPr>
                <w:rFonts w:ascii="Arial" w:cs="Arial" w:eastAsia="Arial" w:hAnsi="Arial"/>
                <w:sz w:val="18"/>
                <w:szCs w:val="18"/>
                <w:color w:val="auto"/>
                <w:w w:val="90"/>
              </w:rPr>
              <w:t>Membership Interest Purchase Agreement, dated as of July 18, 2016, by and between Matson Logistics, Inc. and</w:t>
            </w:r>
          </w:p>
        </w:tc>
      </w:tr>
      <w:tr>
        <w:trPr>
          <w:trHeight w:val="230"/>
        </w:trPr>
        <w:tc>
          <w:tcPr>
            <w:tcW w:w="76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7"/>
              </w:rPr>
              <w:t>Span Holdings, LLC (incorporated by reference to Exhibit 2.1 of Matson’s Form 8-K dated July 18, 2016).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8300" w:type="dxa"/>
            <w:vAlign w:val="bottom"/>
          </w:tcPr>
          <w:p>
            <w:pPr>
              <w:ind w:left="100"/>
              <w:spacing w:after="0"/>
              <w:rPr>
                <w:sz w:val="20"/>
                <w:szCs w:val="20"/>
                <w:color w:val="auto"/>
              </w:rPr>
            </w:pPr>
            <w:r>
              <w:rPr>
                <w:rFonts w:ascii="Arial" w:cs="Arial" w:eastAsia="Arial" w:hAnsi="Arial"/>
                <w:sz w:val="18"/>
                <w:szCs w:val="18"/>
                <w:color w:val="auto"/>
                <w:w w:val="93"/>
              </w:rPr>
              <w:t>Certification of Chief Executive Officer pursuant to Rule 13a-14(a) or 15d-14(a) of the Securities Exchange Act</w:t>
            </w:r>
          </w:p>
        </w:tc>
      </w:tr>
      <w:tr>
        <w:trPr>
          <w:trHeight w:val="230"/>
        </w:trPr>
        <w:tc>
          <w:tcPr>
            <w:tcW w:w="76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of 1934.</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8300" w:type="dxa"/>
            <w:vAlign w:val="bottom"/>
          </w:tcPr>
          <w:p>
            <w:pPr>
              <w:ind w:left="100"/>
              <w:spacing w:after="0"/>
              <w:rPr>
                <w:sz w:val="20"/>
                <w:szCs w:val="20"/>
                <w:color w:val="auto"/>
              </w:rPr>
            </w:pPr>
            <w:r>
              <w:rPr>
                <w:rFonts w:ascii="Arial" w:cs="Arial" w:eastAsia="Arial" w:hAnsi="Arial"/>
                <w:sz w:val="18"/>
                <w:szCs w:val="18"/>
                <w:color w:val="auto"/>
                <w:w w:val="93"/>
              </w:rPr>
              <w:t>Certification of Chief Financial Officer pursuant to Rule 13a-14(a) or 15d-14(a) of the Securities Exchange Act</w:t>
            </w:r>
          </w:p>
        </w:tc>
      </w:tr>
      <w:tr>
        <w:trPr>
          <w:trHeight w:val="230"/>
        </w:trPr>
        <w:tc>
          <w:tcPr>
            <w:tcW w:w="76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of 1934.</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830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830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830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830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830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830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830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760" w:type="dxa"/>
            <w:vAlign w:val="bottom"/>
          </w:tcPr>
          <w:p>
            <w:pPr>
              <w:spacing w:after="0"/>
              <w:rPr>
                <w:sz w:val="24"/>
                <w:szCs w:val="24"/>
                <w:color w:val="auto"/>
              </w:rPr>
            </w:pPr>
          </w:p>
        </w:tc>
        <w:tc>
          <w:tcPr>
            <w:tcW w:w="8300" w:type="dxa"/>
            <w:vAlign w:val="bottom"/>
          </w:tcPr>
          <w:p>
            <w:pPr>
              <w:ind w:left="3680"/>
              <w:spacing w:after="0"/>
              <w:rPr>
                <w:sz w:val="20"/>
                <w:szCs w:val="20"/>
                <w:color w:val="auto"/>
              </w:rPr>
            </w:pPr>
            <w:r>
              <w:rPr>
                <w:rFonts w:ascii="Arial" w:cs="Arial" w:eastAsia="Arial" w:hAnsi="Arial"/>
                <w:sz w:val="18"/>
                <w:szCs w:val="18"/>
                <w:color w:val="auto"/>
              </w:rPr>
              <w:t>23</w:t>
            </w:r>
          </w:p>
        </w:tc>
      </w:tr>
      <w:tr>
        <w:trPr>
          <w:trHeight w:val="129"/>
        </w:trPr>
        <w:tc>
          <w:tcPr>
            <w:tcW w:w="76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6"/>
          <w:szCs w:val="16"/>
          <w:color w:val="auto"/>
        </w:rPr>
        <w:t>/s/ Dale B.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Dale B. Hendler</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Certification of Chief Executive Officer pursuant to Rule 13a-14(a) or 15d-14(a) of the Securities Exchange Act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1934.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0" w:hanging="777"/>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7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7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3"/>
        <w:spacing w:after="0" w:line="259" w:lineRule="auto"/>
        <w:tabs>
          <w:tab w:leader="none" w:pos="7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jc w:val="both"/>
        <w:ind w:right="160" w:firstLine="3"/>
        <w:spacing w:after="0" w:line="219" w:lineRule="auto"/>
        <w:tabs>
          <w:tab w:leader="none" w:pos="8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right="20" w:firstLine="3"/>
        <w:spacing w:after="0" w:line="259" w:lineRule="auto"/>
        <w:tabs>
          <w:tab w:leader="none" w:pos="8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120" w:firstLine="3"/>
        <w:spacing w:after="0" w:line="224" w:lineRule="auto"/>
        <w:tabs>
          <w:tab w:leader="none" w:pos="8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3"/>
        <w:spacing w:after="0" w:line="259" w:lineRule="auto"/>
        <w:tabs>
          <w:tab w:leader="none" w:pos="8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sz w:val="20"/>
          <w:szCs w:val="20"/>
          <w:color w:val="auto"/>
        </w:rPr>
      </w:pPr>
    </w:p>
    <w:p>
      <w:pPr>
        <w:ind w:right="180" w:firstLine="3"/>
        <w:spacing w:after="0" w:line="224" w:lineRule="auto"/>
        <w:tabs>
          <w:tab w:leader="none" w:pos="7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right="180" w:firstLine="3"/>
        <w:spacing w:after="0" w:line="224"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100" w:firstLine="3"/>
        <w:spacing w:after="0" w:line="235" w:lineRule="auto"/>
        <w:tabs>
          <w:tab w:leader="none" w:pos="8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-635</wp:posOffset>
            </wp:positionV>
            <wp:extent cx="2667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Matthew J. Cox, President and</w:t>
      </w:r>
    </w:p>
    <w:p>
      <w:pPr>
        <w:ind w:left="4860"/>
        <w:spacing w:after="0" w:line="204" w:lineRule="auto"/>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Date: 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Certification of Chief Financial Officer pursuant to Rule 13a-14(a) or 15d-14(a) of the Securities Exchange Act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1934.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0" w:hanging="77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7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7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3"/>
        <w:spacing w:after="0" w:line="259" w:lineRule="auto"/>
        <w:tabs>
          <w:tab w:leader="none" w:pos="7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jc w:val="both"/>
        <w:ind w:right="160" w:firstLine="3"/>
        <w:spacing w:after="0" w:line="219" w:lineRule="auto"/>
        <w:tabs>
          <w:tab w:leader="none" w:pos="8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right="20" w:firstLine="3"/>
        <w:spacing w:after="0" w:line="259" w:lineRule="auto"/>
        <w:tabs>
          <w:tab w:leader="none" w:pos="8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120" w:firstLine="3"/>
        <w:spacing w:after="0" w:line="224" w:lineRule="auto"/>
        <w:tabs>
          <w:tab w:leader="none" w:pos="8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3"/>
        <w:spacing w:after="0" w:line="259" w:lineRule="auto"/>
        <w:tabs>
          <w:tab w:leader="none" w:pos="8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sz w:val="20"/>
          <w:szCs w:val="20"/>
          <w:color w:val="auto"/>
        </w:rPr>
      </w:pPr>
    </w:p>
    <w:p>
      <w:pPr>
        <w:ind w:right="180" w:firstLine="3"/>
        <w:spacing w:after="0" w:line="224" w:lineRule="auto"/>
        <w:tabs>
          <w:tab w:leader="none" w:pos="7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right="180" w:firstLine="3"/>
        <w:spacing w:after="0" w:line="224" w:lineRule="auto"/>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100" w:firstLine="3"/>
        <w:spacing w:after="0" w:line="235" w:lineRule="auto"/>
        <w:tabs>
          <w:tab w:leader="none" w:pos="8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3" w:lineRule="auto"/>
        <w:rPr>
          <w:sz w:val="20"/>
          <w:szCs w:val="20"/>
          <w:color w:val="auto"/>
        </w:rPr>
      </w:pPr>
      <w:r>
        <w:rPr>
          <w:rFonts w:ascii="Arial" w:cs="Arial" w:eastAsia="Arial" w:hAnsi="Arial"/>
          <w:sz w:val="18"/>
          <w:szCs w:val="18"/>
          <w:color w:val="auto"/>
        </w:rPr>
        <w:t>Joel M. Wine, Senior Vice President and</w:t>
      </w:r>
    </w:p>
    <w:p>
      <w:pPr>
        <w:ind w:left="4880"/>
        <w:spacing w:after="0" w:line="204" w:lineRule="auto"/>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Date: 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June 30, 2016,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President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August 3, 2016</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2019-12-05T01:52:27Z</dcterms:created>
  <dcterms:modified xsi:type="dcterms:W3CDTF">2019-12-05T01:52:27Z</dcterms:modified>
</cp:coreProperties>
</file>