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452120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520700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620" w:right="1280" w:hanging="306"/>
        <w:spacing w:after="0" w:line="256"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960" w:type="dxa"/>
            <w:vAlign w:val="bottom"/>
          </w:tcPr>
          <w:p>
            <w:pPr>
              <w:ind w:left="1820"/>
              <w:spacing w:after="0"/>
              <w:rPr>
                <w:sz w:val="20"/>
                <w:szCs w:val="20"/>
                <w:color w:val="auto"/>
              </w:rPr>
            </w:pPr>
            <w:r>
              <w:rPr>
                <w:rFonts w:ascii="Arial" w:cs="Arial" w:eastAsia="Arial" w:hAnsi="Arial"/>
                <w:sz w:val="18"/>
                <w:szCs w:val="18"/>
                <w:b w:val="1"/>
                <w:bCs w:val="1"/>
                <w:color w:val="auto"/>
              </w:rPr>
              <w:t>For the transition period from</w:t>
            </w:r>
          </w:p>
        </w:tc>
        <w:tc>
          <w:tcPr>
            <w:tcW w:w="2220" w:type="dxa"/>
            <w:vAlign w:val="bottom"/>
          </w:tcPr>
          <w:p>
            <w:pPr>
              <w:ind w:left="140"/>
              <w:spacing w:after="0"/>
              <w:rPr>
                <w:sz w:val="20"/>
                <w:szCs w:val="20"/>
                <w:color w:val="auto"/>
              </w:rPr>
            </w:pPr>
            <w:r>
              <w:rPr>
                <w:rFonts w:ascii="Arial" w:cs="Arial" w:eastAsia="Arial" w:hAnsi="Arial"/>
                <w:sz w:val="18"/>
                <w:szCs w:val="18"/>
                <w:b w:val="1"/>
                <w:bCs w:val="1"/>
                <w:color w:val="auto"/>
              </w:rPr>
              <w:t>to</w:t>
            </w:r>
          </w:p>
        </w:tc>
      </w:tr>
      <w:tr>
        <w:trPr>
          <w:trHeight w:val="351"/>
        </w:trPr>
        <w:tc>
          <w:tcPr>
            <w:tcW w:w="718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4960" w:type="dxa"/>
            <w:vAlign w:val="bottom"/>
          </w:tcPr>
          <w:p>
            <w:pPr>
              <w:jc w:val="center"/>
              <w:ind w:left="2883"/>
              <w:spacing w:after="0"/>
              <w:rPr>
                <w:sz w:val="20"/>
                <w:szCs w:val="20"/>
                <w:color w:val="auto"/>
              </w:rPr>
            </w:pPr>
            <w:r>
              <w:rPr>
                <w:rFonts w:ascii="Arial" w:cs="Arial" w:eastAsia="Arial" w:hAnsi="Arial"/>
                <w:sz w:val="32"/>
                <w:szCs w:val="32"/>
                <w:b w:val="1"/>
                <w:bCs w:val="1"/>
                <w:color w:val="auto"/>
                <w:w w:val="94"/>
              </w:rPr>
              <w:t>Matson, Inc.</w:t>
            </w:r>
          </w:p>
        </w:tc>
        <w:tc>
          <w:tcPr>
            <w:tcW w:w="2220" w:type="dxa"/>
            <w:vAlign w:val="bottom"/>
          </w:tcPr>
          <w:p>
            <w:pPr>
              <w:spacing w:after="0"/>
              <w:rPr>
                <w:sz w:val="24"/>
                <w:szCs w:val="24"/>
                <w:color w:val="auto"/>
              </w:rPr>
            </w:pPr>
          </w:p>
        </w:tc>
      </w:tr>
      <w:tr>
        <w:trPr>
          <w:trHeight w:val="230"/>
        </w:trPr>
        <w:tc>
          <w:tcPr>
            <w:tcW w:w="718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4960" w:type="dxa"/>
            <w:vAlign w:val="bottom"/>
          </w:tcPr>
          <w:p>
            <w:pPr>
              <w:jc w:val="center"/>
              <w:ind w:right="2043"/>
              <w:spacing w:after="0"/>
              <w:rPr>
                <w:sz w:val="20"/>
                <w:szCs w:val="20"/>
                <w:color w:val="auto"/>
              </w:rPr>
            </w:pPr>
            <w:r>
              <w:rPr>
                <w:rFonts w:ascii="Arial" w:cs="Arial" w:eastAsia="Arial" w:hAnsi="Arial"/>
                <w:sz w:val="18"/>
                <w:szCs w:val="18"/>
                <w:b w:val="1"/>
                <w:bCs w:val="1"/>
                <w:color w:val="auto"/>
                <w:w w:val="94"/>
              </w:rPr>
              <w:t>Hawaii</w:t>
            </w:r>
          </w:p>
        </w:tc>
        <w:tc>
          <w:tcPr>
            <w:tcW w:w="222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4960" w:type="dxa"/>
            <w:vAlign w:val="bottom"/>
          </w:tcPr>
          <w:p>
            <w:pPr>
              <w:jc w:val="center"/>
              <w:ind w:right="2043"/>
              <w:spacing w:after="0" w:line="189" w:lineRule="exact"/>
              <w:rPr>
                <w:sz w:val="20"/>
                <w:szCs w:val="20"/>
                <w:color w:val="auto"/>
              </w:rPr>
            </w:pPr>
            <w:r>
              <w:rPr>
                <w:rFonts w:ascii="Arial" w:cs="Arial" w:eastAsia="Arial" w:hAnsi="Arial"/>
                <w:sz w:val="18"/>
                <w:szCs w:val="18"/>
                <w:color w:val="auto"/>
                <w:w w:val="93"/>
              </w:rPr>
              <w:t>(State or other jurisdiction of</w:t>
            </w:r>
          </w:p>
        </w:tc>
        <w:tc>
          <w:tcPr>
            <w:tcW w:w="2220" w:type="dxa"/>
            <w:vAlign w:val="bottom"/>
          </w:tcPr>
          <w:p>
            <w:pPr>
              <w:jc w:val="center"/>
              <w:ind w:left="81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4960" w:type="dxa"/>
            <w:vAlign w:val="bottom"/>
          </w:tcPr>
          <w:p>
            <w:pPr>
              <w:jc w:val="center"/>
              <w:ind w:right="2063"/>
              <w:spacing w:after="0"/>
              <w:rPr>
                <w:sz w:val="20"/>
                <w:szCs w:val="20"/>
                <w:color w:val="auto"/>
              </w:rPr>
            </w:pPr>
            <w:r>
              <w:rPr>
                <w:rFonts w:ascii="Arial" w:cs="Arial" w:eastAsia="Arial" w:hAnsi="Arial"/>
                <w:sz w:val="18"/>
                <w:szCs w:val="18"/>
                <w:color w:val="auto"/>
                <w:w w:val="92"/>
              </w:rPr>
              <w:t>incorporation or organization)</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4960" w:type="dxa"/>
            <w:vAlign w:val="bottom"/>
          </w:tcPr>
          <w:p>
            <w:pPr>
              <w:jc w:val="center"/>
              <w:ind w:right="2063"/>
              <w:spacing w:after="0"/>
              <w:rPr>
                <w:sz w:val="20"/>
                <w:szCs w:val="20"/>
                <w:color w:val="auto"/>
              </w:rPr>
            </w:pPr>
            <w:r>
              <w:rPr>
                <w:rFonts w:ascii="Arial" w:cs="Arial" w:eastAsia="Arial" w:hAnsi="Arial"/>
                <w:sz w:val="18"/>
                <w:szCs w:val="18"/>
                <w:b w:val="1"/>
                <w:bCs w:val="1"/>
                <w:color w:val="auto"/>
                <w:w w:val="91"/>
              </w:rPr>
              <w:t>1411 Sand Island Parkway</w:t>
            </w:r>
          </w:p>
        </w:tc>
        <w:tc>
          <w:tcPr>
            <w:tcW w:w="2220" w:type="dxa"/>
            <w:vAlign w:val="bottom"/>
          </w:tcPr>
          <w:p>
            <w:pPr>
              <w:spacing w:after="0"/>
              <w:rPr>
                <w:sz w:val="24"/>
                <w:szCs w:val="24"/>
                <w:color w:val="auto"/>
              </w:rPr>
            </w:pPr>
          </w:p>
        </w:tc>
      </w:tr>
      <w:tr>
        <w:trPr>
          <w:trHeight w:val="193"/>
        </w:trPr>
        <w:tc>
          <w:tcPr>
            <w:tcW w:w="4960" w:type="dxa"/>
            <w:vAlign w:val="bottom"/>
          </w:tcPr>
          <w:p>
            <w:pPr>
              <w:jc w:val="center"/>
              <w:ind w:right="204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2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4960" w:type="dxa"/>
            <w:vAlign w:val="bottom"/>
          </w:tcPr>
          <w:p>
            <w:pPr>
              <w:jc w:val="center"/>
              <w:ind w:right="2003"/>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sectPr>
      </w:pPr>
    </w:p>
    <w:p>
      <w:pPr>
        <w:spacing w:after="0" w:line="83" w:lineRule="exact"/>
        <w:rPr>
          <w:sz w:val="24"/>
          <w:szCs w:val="24"/>
          <w:color w:val="auto"/>
        </w:rPr>
      </w:pPr>
    </w:p>
    <w:p>
      <w:pPr>
        <w:ind w:left="166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83" w:lineRule="exact"/>
        <w:rPr>
          <w:sz w:val="24"/>
          <w:szCs w:val="24"/>
          <w:color w:val="auto"/>
        </w:rPr>
      </w:pPr>
    </w:p>
    <w:p>
      <w:pPr>
        <w:sectPr>
          <w:pgSz w:w="11900" w:h="16838" w:orient="portrait"/>
          <w:cols w:equalWidth="0" w:num="2">
            <w:col w:w="6260" w:space="720"/>
            <w:col w:w="3260"/>
          </w:cols>
          <w:pgMar w:left="840" w:top="665" w:right="819" w:bottom="1440" w:gutter="0" w:footer="0" w:header="0"/>
          <w:type w:val="continuous"/>
        </w:sectPr>
      </w:pPr>
    </w:p>
    <w:p>
      <w:pPr>
        <w:ind w:left="1700"/>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96" w:lineRule="exact"/>
        <w:rPr>
          <w:sz w:val="24"/>
          <w:szCs w:val="24"/>
          <w:color w:val="auto"/>
        </w:rPr>
      </w:pPr>
    </w:p>
    <w:p>
      <w:pPr>
        <w:sectPr>
          <w:pgSz w:w="11900" w:h="16838" w:orient="portrait"/>
          <w:cols w:equalWidth="0" w:num="2">
            <w:col w:w="5860" w:space="720"/>
            <w:col w:w="3660"/>
          </w:cols>
          <w:pgMar w:left="840" w:top="665" w:right="819" w:bottom="1440" w:gutter="0" w:footer="0" w:header="0"/>
          <w:type w:val="continuous"/>
        </w:sectPr>
      </w:pPr>
    </w:p>
    <w:p>
      <w:pPr>
        <w:ind w:left="658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240"/>
          </w:cols>
          <w:pgMar w:left="840" w:top="665" w:right="819" w:bottom="1440" w:gutter="0" w:footer="0" w:header="0"/>
          <w:type w:val="continuous"/>
        </w:sectPr>
      </w:pPr>
    </w:p>
    <w:p>
      <w:pPr>
        <w:spacing w:after="0" w:line="102"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right="10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Number of shares of common stock outstanding as of March 31, 2021: 43,435,607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80" w:type="dxa"/>
            <w:vAlign w:val="bottom"/>
            <w:gridSpan w:val="12"/>
          </w:tcPr>
          <w:p>
            <w:pPr>
              <w:jc w:val="center"/>
              <w:ind w:right="172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62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620" w:type="dxa"/>
            <w:vAlign w:val="bottom"/>
            <w:gridSpan w:val="2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8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and Comprehensive Income</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13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Shareholders’ Equity</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120" w:type="dxa"/>
            <w:vAlign w:val="bottom"/>
            <w:tcBorders>
              <w:top w:val="single" w:sz="8" w:color="0000EE"/>
            </w:tcBorders>
            <w:gridSpan w:val="3"/>
          </w:tcPr>
          <w:p>
            <w:pPr>
              <w:spacing w:after="0"/>
              <w:rPr>
                <w:sz w:val="17"/>
                <w:szCs w:val="17"/>
                <w:color w:val="auto"/>
              </w:rPr>
            </w:pPr>
          </w:p>
        </w:tc>
        <w:tc>
          <w:tcPr>
            <w:tcW w:w="24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6840" w:type="dxa"/>
            <w:vAlign w:val="bottom"/>
            <w:gridSpan w:val="17"/>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Management’s Discussion and Analysis of Financial Condition and Results of Operations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Part II—OTHER INFORMATION</w:t>
              </w:r>
            </w:hyperlink>
          </w:p>
        </w:tc>
        <w:tc>
          <w:tcPr>
            <w:tcW w:w="50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w:t>
              </w:r>
            </w:hyperlink>
          </w:p>
        </w:tc>
        <w:tc>
          <w:tcPr>
            <w:tcW w:w="684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1A.</w:t>
              </w:r>
            </w:hyperlink>
          </w:p>
        </w:tc>
        <w:tc>
          <w:tcPr>
            <w:tcW w:w="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5940" w:type="dxa"/>
            <w:vAlign w:val="bottom"/>
            <w:gridSpan w:val="14"/>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560.5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(544.7)</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(448.3)</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Income from SSAT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(500.9)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4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net loss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40"/>
              <w:spacing w:after="0"/>
              <w:rPr>
                <w:sz w:val="20"/>
                <w:szCs w:val="20"/>
                <w:color w:val="auto"/>
              </w:rPr>
            </w:pPr>
            <w:r>
              <w:rPr>
                <w:rFonts w:ascii="Arial" w:cs="Arial" w:eastAsia="Arial" w:hAnsi="Arial"/>
                <w:sz w:val="18"/>
                <w:szCs w:val="18"/>
                <w:color w:val="auto"/>
              </w:rPr>
              <w:t>Other adjustments</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7"/>
              </w:rPr>
              <w:t>Accounts receivable, net of allowance for credit loss of $6.5 million and $6.3</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million, respectively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Assets: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Investment in SSAT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dry-docking costs, net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2,929.7</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accruals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Long-term debt, net of deferred loan fees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2,929.7</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87.2</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operating lease right of use 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Arial" w:cs="Arial" w:eastAsia="Arial" w:hAnsi="Arial"/>
                <w:sz w:val="16"/>
                <w:szCs w:val="16"/>
                <w:color w:val="auto"/>
              </w:rPr>
              <w:t>Income from SSAT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(9.2)</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Distribution from SSAT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dry-docking payments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Arial" w:cs="Arial" w:eastAsia="Arial" w:hAnsi="Arial"/>
                <w:sz w:val="16"/>
                <w:szCs w:val="16"/>
                <w:color w:val="auto"/>
              </w:rPr>
              <w:t>Deferred dry-docking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Arial" w:cs="Arial" w:eastAsia="Arial" w:hAnsi="Arial"/>
                <w:sz w:val="16"/>
                <w:szCs w:val="16"/>
                <w:color w:val="auto"/>
              </w:rPr>
              <w:t>Accounts payable, accruals and other liabilities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2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2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Repayments of debt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(154.9)</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Payment of financing costs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2"/>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Reconciliation of Cash, Cash Equivalents and Restricted Cash, End of the Period: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(refunds) and payments, net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Non-cash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8"/>
            <w:vMerge w:val="restart"/>
          </w:tcPr>
          <w:p>
            <w:pPr>
              <w:jc w:val="right"/>
              <w:ind w:right="200"/>
              <w:spacing w:after="0"/>
              <w:rPr>
                <w:sz w:val="20"/>
                <w:szCs w:val="20"/>
                <w:color w:val="auto"/>
              </w:rPr>
            </w:pPr>
            <w:r>
              <w:rPr>
                <w:rFonts w:ascii="Arial" w:cs="Arial" w:eastAsia="Arial" w:hAnsi="Arial"/>
                <w:sz w:val="14"/>
                <w:szCs w:val="14"/>
                <w:b w:val="1"/>
                <w:bCs w:val="1"/>
                <w:color w:val="auto"/>
                <w:w w:val="95"/>
              </w:rPr>
              <w:t>Common Stock</w:t>
            </w:r>
          </w:p>
        </w:tc>
        <w:tc>
          <w:tcPr>
            <w:tcW w:w="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8"/>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5"/>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2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0"/>
                <w:szCs w:val="10"/>
                <w:color w:val="auto"/>
              </w:rPr>
            </w:pPr>
          </w:p>
        </w:tc>
        <w:tc>
          <w:tcPr>
            <w:tcW w:w="6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40" w:type="dxa"/>
            <w:vAlign w:val="bottom"/>
            <w:gridSpan w:val="3"/>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7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$ 32.4</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321.5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$ 658.1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  961.2</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Net income</w:t>
            </w:r>
          </w:p>
        </w:tc>
        <w:tc>
          <w:tcPr>
            <w:tcW w:w="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comprehensive loss, net of tax</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Share-based compensation</w:t>
            </w:r>
          </w:p>
        </w:tc>
        <w:tc>
          <w:tcPr>
            <w:tcW w:w="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7"/>
              </w:rPr>
              <w:t>Shares issued, net of shares withheld for employee taxes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(14.3)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Dividends ($0.23 per share)</w:t>
            </w:r>
          </w:p>
        </w:tc>
        <w:tc>
          <w:tcPr>
            <w:tcW w:w="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rPr>
              <w:t>(10.1)</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Balance at March 31, 2021</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$ 32.6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312.0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$ 735.2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$ 1,028.9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7"/>
            <w:vMerge w:val="restart"/>
          </w:tcPr>
          <w:p>
            <w:pPr>
              <w:jc w:val="right"/>
              <w:ind w:right="12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23"/>
                <w:szCs w:val="23"/>
                <w:color w:val="auto"/>
              </w:rPr>
            </w:pPr>
          </w:p>
        </w:tc>
        <w:tc>
          <w:tcPr>
            <w:tcW w:w="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3"/>
                <w:szCs w:val="23"/>
                <w:color w:val="auto"/>
              </w:rPr>
            </w:pPr>
          </w:p>
        </w:tc>
        <w:tc>
          <w:tcPr>
            <w:tcW w:w="10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60" w:type="dxa"/>
            <w:vAlign w:val="bottom"/>
          </w:tcPr>
          <w:p>
            <w:pPr>
              <w:spacing w:after="0"/>
              <w:rPr>
                <w:sz w:val="10"/>
                <w:szCs w:val="10"/>
                <w:color w:val="auto"/>
              </w:rPr>
            </w:pPr>
          </w:p>
        </w:tc>
        <w:tc>
          <w:tcPr>
            <w:tcW w:w="5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Stated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Paid In</w:t>
            </w:r>
          </w:p>
        </w:tc>
        <w:tc>
          <w:tcPr>
            <w:tcW w:w="80" w:type="dxa"/>
            <w:vAlign w:val="bottom"/>
          </w:tcPr>
          <w:p>
            <w:pPr>
              <w:spacing w:after="0"/>
              <w:rPr>
                <w:sz w:val="10"/>
                <w:szCs w:val="10"/>
                <w:color w:val="auto"/>
              </w:rPr>
            </w:pPr>
          </w:p>
        </w:tc>
        <w:tc>
          <w:tcPr>
            <w:tcW w:w="102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62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0"/>
                <w:szCs w:val="10"/>
                <w:color w:val="auto"/>
              </w:rPr>
            </w:pPr>
          </w:p>
        </w:tc>
        <w:tc>
          <w:tcPr>
            <w:tcW w:w="6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$ 32.2</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306.2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$ 504.2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$ 805.7</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Net income</w:t>
            </w:r>
          </w:p>
        </w:tc>
        <w:tc>
          <w:tcPr>
            <w:tcW w:w="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comprehensive loss, net of tax</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Share-based compensation</w:t>
            </w:r>
          </w:p>
        </w:tc>
        <w:tc>
          <w:tcPr>
            <w:tcW w:w="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7"/>
              </w:rPr>
              <w:t>Shares issued, net of shares withheld for employee taxes</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Equity interest in SSAT</w:t>
            </w:r>
          </w:p>
        </w:tc>
        <w:tc>
          <w:tcPr>
            <w:tcW w:w="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Dividends ($0.22 per share)</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0"/>
        </w:trPr>
        <w:tc>
          <w:tcPr>
            <w:tcW w:w="4340" w:type="dxa"/>
            <w:vAlign w:val="bottom"/>
            <w:gridSpan w:val="3"/>
          </w:tcPr>
          <w:p>
            <w:pPr>
              <w:ind w:left="20"/>
              <w:spacing w:after="0"/>
              <w:rPr>
                <w:sz w:val="20"/>
                <w:szCs w:val="20"/>
                <w:color w:val="auto"/>
              </w:rPr>
            </w:pPr>
            <w:r>
              <w:rPr>
                <w:rFonts w:ascii="Arial" w:cs="Arial" w:eastAsia="Arial" w:hAnsi="Arial"/>
                <w:sz w:val="17"/>
                <w:szCs w:val="17"/>
                <w:color w:val="auto"/>
              </w:rPr>
              <w:t>Balance at March 31, 2020</w:t>
            </w: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2"/>
              </w:rPr>
              <w:t>$ 32.3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1"/>
              </w:rPr>
              <w:t>$ 500.7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$ 800.2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40" w:hanging="59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84"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b w:val="1"/>
          <w:bCs w:val="1"/>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two premium, expedited services from China to Long Beach, California, and provides services to Okinawa, Japan and various islands in the South Pacific, and operates an international export service from Dutch Harbor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seven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390" w:lineRule="exact"/>
        <w:rPr>
          <w:sz w:val="20"/>
          <w:szCs w:val="20"/>
          <w:color w:val="auto"/>
        </w:rPr>
      </w:pPr>
    </w:p>
    <w:p>
      <w:pPr>
        <w:ind w:left="640" w:hanging="59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and include the accounts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The Condensed Consolidated Financial Statements should be read in conjunction with the Consolidated Financial Statements and notes thereto included in the Company’s Annual Report on Form 10-K for the year ended December 31, 2020, filed with the Securities and Exchange Commission (“SEC”) on February 26, 2021.</w:t>
      </w:r>
    </w:p>
    <w:p>
      <w:pPr>
        <w:spacing w:after="0" w:line="16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covered by this report is March 31, 2021. The period end for MatNav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covered by this report occurred on the last Friday in March, or March 26, 2021.</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2020.</w:t>
      </w:r>
    </w:p>
    <w:p>
      <w:pPr>
        <w:spacing w:after="0" w:line="184"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the interim condensed consolidated financial statements in conformity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legal contingencies; insurance reserves and other related liabilities; accrual estimates; pension and post-retirement estimates; multi-employer withdrawal liabilities; operating lease assets and liabilities; and income taxes. Future results could be materially affected if actual results differ from these estimates and assumptions.</w:t>
      </w:r>
    </w:p>
    <w:p>
      <w:pPr>
        <w:spacing w:after="0" w:line="177" w:lineRule="exact"/>
        <w:rPr>
          <w:sz w:val="20"/>
          <w:szCs w:val="20"/>
          <w:color w:val="auto"/>
        </w:rPr>
      </w:pPr>
    </w:p>
    <w:p>
      <w:pPr>
        <w:ind w:left="60" w:right="279"/>
        <w:spacing w:after="0" w:line="254" w:lineRule="auto"/>
        <w:rPr>
          <w:sz w:val="20"/>
          <w:szCs w:val="20"/>
          <w:color w:val="auto"/>
        </w:rPr>
      </w:pPr>
      <w:r>
        <w:rPr>
          <w:rFonts w:ascii="Arial" w:cs="Arial" w:eastAsia="Arial" w:hAnsi="Arial"/>
          <w:sz w:val="18"/>
          <w:szCs w:val="18"/>
          <w:b w:val="1"/>
          <w:bCs w:val="1"/>
          <w:i w:val="1"/>
          <w:iCs w:val="1"/>
          <w:color w:val="auto"/>
        </w:rPr>
        <w:t xml:space="preserve">Recognition of Revenues and Expenses: </w:t>
      </w:r>
      <w:r>
        <w:rPr>
          <w:rFonts w:ascii="Arial" w:cs="Arial" w:eastAsia="Arial" w:hAnsi="Arial"/>
          <w:sz w:val="18"/>
          <w:szCs w:val="18"/>
          <w:color w:val="auto"/>
        </w:rPr>
        <w:t>Revenue in the Company’s Condensed Consolidated Financial Statements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9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110" w:lineRule="exact"/>
        <w:rPr>
          <w:sz w:val="20"/>
          <w:szCs w:val="20"/>
          <w:color w:val="auto"/>
        </w:rPr>
      </w:pPr>
    </w:p>
    <w:p>
      <w:pPr>
        <w:ind w:left="380" w:right="119"/>
        <w:spacing w:after="0" w:line="254" w:lineRule="auto"/>
        <w:rPr>
          <w:sz w:val="20"/>
          <w:szCs w:val="20"/>
          <w:color w:val="auto"/>
        </w:rPr>
      </w:pPr>
      <w:r>
        <w:rPr>
          <w:rFonts w:ascii="Arial" w:cs="Arial" w:eastAsia="Arial" w:hAnsi="Arial"/>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spacing w:after="0" w:line="2" w:lineRule="exact"/>
        <w:rPr>
          <w:sz w:val="20"/>
          <w:szCs w:val="20"/>
          <w:color w:val="auto"/>
        </w:rPr>
      </w:pPr>
    </w:p>
    <w:p>
      <w:pPr>
        <w:ind w:left="380" w:right="179"/>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Arial" w:cs="Arial" w:eastAsia="Arial" w:hAnsi="Arial"/>
                <w:sz w:val="18"/>
                <w:szCs w:val="18"/>
                <w:color w:val="auto"/>
              </w:rPr>
              <w:t>Warehouse and distribution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68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79" w:hanging="330"/>
        <w:spacing w:after="0" w:line="335"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5 percent of transportation brokerage and freight forwarding services revenue, and supply chain management and other services revenue categories which are denominated in foreign currencies.</w:t>
      </w:r>
    </w:p>
    <w:p>
      <w:pPr>
        <w:spacing w:after="0" w:line="65" w:lineRule="exact"/>
        <w:rPr>
          <w:sz w:val="20"/>
          <w:szCs w:val="20"/>
          <w:color w:val="auto"/>
        </w:rPr>
      </w:pPr>
    </w:p>
    <w:p>
      <w:pPr>
        <w:ind w:left="380" w:right="99"/>
        <w:spacing w:after="0" w:line="267" w:lineRule="auto"/>
        <w:rPr>
          <w:sz w:val="20"/>
          <w:szCs w:val="20"/>
          <w:color w:val="auto"/>
        </w:rPr>
      </w:pPr>
      <w:r>
        <w:rPr>
          <w:rFonts w:ascii="Arial" w:cs="Arial" w:eastAsia="Arial" w:hAnsi="Arial"/>
          <w:sz w:val="17"/>
          <w:szCs w:val="17"/>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4" w:lineRule="exact"/>
        <w:rPr>
          <w:sz w:val="20"/>
          <w:szCs w:val="20"/>
          <w:color w:val="auto"/>
        </w:rPr>
      </w:pPr>
    </w:p>
    <w:p>
      <w:pPr>
        <w:ind w:left="380" w:right="99"/>
        <w:spacing w:after="0" w:line="290" w:lineRule="auto"/>
        <w:rPr>
          <w:sz w:val="20"/>
          <w:szCs w:val="20"/>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619"/>
        <w:spacing w:after="0" w:line="274" w:lineRule="auto"/>
        <w:rPr>
          <w:sz w:val="20"/>
          <w:szCs w:val="20"/>
          <w:color w:val="auto"/>
        </w:rPr>
      </w:pPr>
      <w:r>
        <w:rPr>
          <w:rFonts w:ascii="Arial" w:cs="Arial" w:eastAsia="Arial" w:hAnsi="Arial"/>
          <w:sz w:val="17"/>
          <w:szCs w:val="17"/>
          <w:color w:val="auto"/>
        </w:rPr>
        <w:t>provided to the customer. Storage related costs are recognized as incurred. Other warehousing and distribution services revenue and related costs are recognized in proportion to the services performed.</w:t>
      </w: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administration expenses in the Condensed Consolidated Statements of Income and Comprehensive Income.</w:t>
      </w:r>
    </w:p>
    <w:p>
      <w:pPr>
        <w:spacing w:after="0" w:line="178"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Financial Statements included in Part II, Item 8 of the Company’s Annual Report on Form 10-K for the year ended December 31, 2020. As of March 31, 2021 and December 31, 2020, $1.7 million of eligible accounts receivable was assigned to the CCF.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The Company made no qualifying cash deposits into or withdrawals from the CCF during the three months ended March 31, 2021. The balance of cash on deposit at March 31, 2021 and December 31, 2020 was nominal.</w:t>
      </w:r>
    </w:p>
    <w:p>
      <w:pPr>
        <w:spacing w:after="0" w:line="166" w:lineRule="exact"/>
        <w:rPr>
          <w:sz w:val="20"/>
          <w:szCs w:val="20"/>
          <w:color w:val="auto"/>
        </w:rPr>
      </w:pPr>
    </w:p>
    <w:p>
      <w:pPr>
        <w:ind w:left="60" w:right="159"/>
        <w:spacing w:after="0" w:line="276" w:lineRule="auto"/>
        <w:rPr>
          <w:sz w:val="20"/>
          <w:szCs w:val="20"/>
          <w:color w:val="auto"/>
        </w:rPr>
      </w:pPr>
      <w:r>
        <w:rPr>
          <w:rFonts w:ascii="Arial" w:cs="Arial" w:eastAsia="Arial" w:hAnsi="Arial"/>
          <w:sz w:val="18"/>
          <w:szCs w:val="18"/>
          <w:b w:val="1"/>
          <w:bCs w:val="1"/>
          <w:i w:val="1"/>
          <w:iCs w:val="1"/>
          <w:color w:val="auto"/>
        </w:rPr>
        <w:t xml:space="preserve">Investment in SSAT: </w:t>
      </w:r>
      <w:r>
        <w:rPr>
          <w:rFonts w:ascii="Arial" w:cs="Arial" w:eastAsia="Arial" w:hAnsi="Arial"/>
          <w:sz w:val="18"/>
          <w:szCs w:val="18"/>
          <w:color w:val="auto"/>
        </w:rPr>
        <w:t>Condensed income statement information for SSAT for the three months ended March 31,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consisted of the following:</w:t>
      </w:r>
    </w:p>
    <w:tbl>
      <w:tblPr>
        <w:tblLayout w:type="fixed"/>
        <w:tblInd w:w="40" w:type="dxa"/>
        <w:tblCellMar>
          <w:top w:w="0" w:type="dxa"/>
          <w:left w:w="0" w:type="dxa"/>
          <w:bottom w:w="0" w:type="dxa"/>
          <w:right w:w="0" w:type="dxa"/>
        </w:tblCellMar>
      </w:tblPr>
      <w:tr>
        <w:trPr>
          <w:trHeight w:val="150"/>
        </w:trPr>
        <w:tc>
          <w:tcPr>
            <w:tcW w:w="22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ind w:left="160"/>
              <w:spacing w:after="0" w:line="150"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(273.1)</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Income (1)</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Company Share of SSAT’s Net Income (2)</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80" w:right="759" w:hanging="330"/>
        <w:spacing w:after="0" w:line="237"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20"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The Company’s investment in SSAT was $47.5 million and $48.7 million at March 31, 2021 and December 31, 2020, respectively.</w:t>
      </w:r>
    </w:p>
    <w:p>
      <w:pPr>
        <w:spacing w:after="0" w:line="170"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i w:val="1"/>
          <w:iCs w:val="1"/>
          <w:color w:val="auto"/>
        </w:rPr>
        <w:t>Environmental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Ocean Transportation business has certain risks that could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expenditures for environmental remediation. The Company believes that based on all information available to it, the Company is currently in compliance, in all material respects, with applicable environmental laws and regulations.</w:t>
      </w:r>
    </w:p>
    <w:p>
      <w:pPr>
        <w:spacing w:after="0" w:line="14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7"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Company’s first quarter 2021 cash dividend of $0.23 per share was paid on March 4, 2021. On April 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the Company’s Board of Directors declared a cash dividend of $0.23 per share payable on June 3,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7" w:lineRule="exact"/>
        <w:rPr>
          <w:sz w:val="20"/>
          <w:szCs w:val="20"/>
          <w:color w:val="auto"/>
        </w:rPr>
      </w:pPr>
    </w:p>
    <w:p>
      <w:pPr>
        <w:ind w:left="60" w:right="359"/>
        <w:spacing w:after="0" w:line="255" w:lineRule="auto"/>
        <w:rPr>
          <w:sz w:val="20"/>
          <w:szCs w:val="20"/>
          <w:color w:val="auto"/>
        </w:rPr>
      </w:pPr>
      <w:r>
        <w:rPr>
          <w:rFonts w:ascii="Arial" w:cs="Arial" w:eastAsia="Arial" w:hAnsi="Arial"/>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92" w:lineRule="exact"/>
        <w:rPr>
          <w:sz w:val="20"/>
          <w:szCs w:val="20"/>
          <w:color w:val="auto"/>
        </w:rPr>
      </w:pPr>
    </w:p>
    <w:p>
      <w:pPr>
        <w:ind w:left="60" w:right="339"/>
        <w:spacing w:after="0" w:line="279" w:lineRule="auto"/>
        <w:rPr>
          <w:sz w:val="20"/>
          <w:szCs w:val="20"/>
          <w:color w:val="auto"/>
        </w:rPr>
      </w:pPr>
      <w:r>
        <w:rPr>
          <w:rFonts w:ascii="Arial" w:cs="Arial" w:eastAsia="Arial" w:hAnsi="Arial"/>
          <w:sz w:val="17"/>
          <w:szCs w:val="17"/>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$33.7 million and $19.4 million for the three months ended March 31, 2021 and 2020, respectively, have been eliminated from operating revenues in the table below.</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Reportable segment financial information for the three months ended March 31, 2021 and 2020 are as follows: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6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Ocean Transportation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560.5</w:t>
            </w:r>
          </w:p>
        </w:tc>
        <w:tc>
          <w:tcPr>
            <w:tcW w:w="2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9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Ocean Transportation (3)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gridSpan w:val="3"/>
          </w:tcPr>
          <w:p>
            <w:pPr>
              <w:ind w:left="440"/>
              <w:spacing w:after="0"/>
              <w:rPr>
                <w:sz w:val="20"/>
                <w:szCs w:val="20"/>
                <w:color w:val="auto"/>
              </w:rPr>
            </w:pPr>
            <w:r>
              <w:rPr>
                <w:rFonts w:ascii="Arial" w:cs="Arial" w:eastAsia="Arial" w:hAnsi="Arial"/>
                <w:sz w:val="18"/>
                <w:szCs w:val="18"/>
                <w:color w:val="auto"/>
              </w:rPr>
              <w:t>Total Operating Income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19" w:hanging="330"/>
        <w:spacing w:after="0" w:line="230"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operating revenue excludes inter-segment revenue of $15.1 million and $9.4 million for the three months ended March 31, 2021 and 2020, respectively.</w:t>
      </w:r>
    </w:p>
    <w:p>
      <w:pPr>
        <w:ind w:left="380" w:right="399" w:hanging="330"/>
        <w:spacing w:after="0" w:line="221"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$18.6 million and $10.0 million for the three months ended March 31, 2021 and 2020, respectively.</w:t>
      </w:r>
    </w:p>
    <w:p>
      <w:pPr>
        <w:ind w:left="380" w:right="339" w:hanging="330"/>
        <w:spacing w:after="0" w:line="237"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$9.2 million and $4.0 million of equity in income from the Company’s equity investment in SSAT for the three months ended March 31, 2021 and 2020, respectively.</w:t>
      </w:r>
    </w:p>
    <w:p>
      <w:pPr>
        <w:spacing w:after="0" w:line="399" w:lineRule="exact"/>
        <w:rPr>
          <w:sz w:val="20"/>
          <w:szCs w:val="20"/>
          <w:color w:val="auto"/>
        </w:rPr>
      </w:pPr>
    </w:p>
    <w:p>
      <w:pPr>
        <w:ind w:left="640" w:hanging="590"/>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March 31, 2021 and December 31, 2020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Vessels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2,200.1</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Total Property and Equipment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(1,227.4)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(1,222.4)</w:t>
            </w:r>
          </w:p>
        </w:tc>
        <w:tc>
          <w:tcPr>
            <w:tcW w:w="0" w:type="dxa"/>
            <w:vAlign w:val="bottom"/>
          </w:tcPr>
          <w:p>
            <w:pPr>
              <w:spacing w:after="0"/>
              <w:rPr>
                <w:sz w:val="1"/>
                <w:szCs w:val="1"/>
                <w:color w:val="auto"/>
              </w:rPr>
            </w:pPr>
          </w:p>
        </w:tc>
      </w:tr>
      <w:tr>
        <w:trPr>
          <w:trHeight w:val="21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hanging="590"/>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by segment as of March 31, 2021 and December 31, 2020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76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Ocean</w:t>
            </w:r>
          </w:p>
        </w:tc>
        <w:tc>
          <w:tcPr>
            <w:tcW w:w="180" w:type="dxa"/>
            <w:vAlign w:val="bottom"/>
          </w:tcPr>
          <w:p>
            <w:pPr>
              <w:spacing w:after="0"/>
              <w:rPr>
                <w:sz w:val="14"/>
                <w:szCs w:val="14"/>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Logistics</w:t>
            </w:r>
          </w:p>
        </w:tc>
        <w:tc>
          <w:tcPr>
            <w:tcW w:w="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Transportation</w:t>
            </w:r>
          </w:p>
        </w:tc>
        <w:tc>
          <w:tcPr>
            <w:tcW w:w="1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6"/>
          </w:tcPr>
          <w:p>
            <w:pPr>
              <w:ind w:left="20"/>
              <w:spacing w:after="0"/>
              <w:rPr>
                <w:sz w:val="20"/>
                <w:szCs w:val="20"/>
                <w:color w:val="auto"/>
              </w:rPr>
            </w:pPr>
            <w:r>
              <w:rPr>
                <w:rFonts w:ascii="Arial" w:cs="Arial" w:eastAsia="Arial" w:hAnsi="Arial"/>
                <w:sz w:val="18"/>
                <w:szCs w:val="18"/>
                <w:color w:val="auto"/>
                <w:w w:val="97"/>
              </w:rPr>
              <w:t>Intangible assets as of March 31, 2021 and December 31, 2020 consisted of the following:</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5"/>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Ocean Transportation</w:t>
            </w:r>
          </w:p>
        </w:tc>
        <w:tc>
          <w:tcPr>
            <w:tcW w:w="180" w:type="dxa"/>
            <w:vAlign w:val="bottom"/>
          </w:tcPr>
          <w:p>
            <w:pPr>
              <w:spacing w:after="0"/>
              <w:rPr>
                <w:sz w:val="18"/>
                <w:szCs w:val="18"/>
                <w:color w:val="auto"/>
              </w:rPr>
            </w:pPr>
          </w:p>
        </w:tc>
        <w:tc>
          <w:tcPr>
            <w:tcW w:w="76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Customer Relationships,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162.0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 – 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due to the COVID-19 pandemic and its impact on the performance of each of the Company’s reporting units. Based on the Company’s assessment of its market capitalization, future forecasts and the amount of excess of fair value over the carrying value of the reporting units in the 2020 annual impairment tests, the Company concluded that an impairment triggering event did not occur during the quarter ended March 31, 2021.</w:t>
      </w:r>
    </w:p>
    <w:p>
      <w:pPr>
        <w:spacing w:after="0" w:line="16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a more prolonged and/or severe COVID-19 pandemic, or future changes in the assumptions and estimates used in assessing the fair value of the reporting unit, could require the Company to record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2021 and December 31, 2020, the Company’s debt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Placement Term Loans: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3.66 %, payable through 2023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4.16 %, payable through 2027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3.37 %, payable through 2027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3.14 %, payable through 2031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4.31 %, payable through 2032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Title XI Debt: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5.34 %, payable through 2028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5.27 %, payable through 2029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1.22 %, payable through 2043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1.35 %, payable through 2044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credit facility, maturity date of March 31, 2026</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Less: Deferred loan fees</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 net of deferred loan fees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Except as described below, the Company’s debt is described in Note 8 to the Consolidated Financial Statements included in the Company’s Annual Report on Form 10-K for the year ended December 31, 2020.</w:t>
      </w:r>
    </w:p>
    <w:p>
      <w:pPr>
        <w:spacing w:after="0" w:line="170"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i w:val="1"/>
          <w:iCs w:val="1"/>
          <w:color w:val="auto"/>
        </w:rPr>
        <w:t xml:space="preserve">Revolving Credit Facility Amendment: </w:t>
      </w:r>
      <w:r>
        <w:rPr>
          <w:rFonts w:ascii="Arial" w:cs="Arial" w:eastAsia="Arial" w:hAnsi="Arial"/>
          <w:sz w:val="16"/>
          <w:szCs w:val="16"/>
          <w:color w:val="auto"/>
        </w:rPr>
        <w:t>On March 31, 2021, the Company entered into the Second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(the “Credit Agreement”). The Credit Agreement extends the maturity date to March 31, 2026, and retains the existing committed aggregate borrowings of up to $650 million, with an uncommitted option to increase the aggregate borrowings by up to $250 million. The Credit Agreement amended certain covenants and other terms set forth in the prior credit agreement, including (i) amending the pricing grid to provide for pricing ranging from, at the Company’s election, LIBOR plus a margin between 1.00 percent and 1.75 percent depending on the Company’s consolidated net leverage ratio, or base rate plus a margin between 0.00 percent and 0.75 percent depending on the Company’s consolidated net leverage ratio; (ii) reducing the maximum permitted consolidated leverage ratio to 3.50 to 1.0, with an option for a one-time increase to 4.0 to 1.0 in connection with a material acquisition; and (iii) removing certain limitations on stock redemptions and repurchases, sale leaseback transactions and asset sales, and the incurrence of priority debt. The Company may prepay any amounts outstanding under the Credit Agreement without premium or penalty. The Credit Agreement contains affirmative, negative and financial covenants customary for financings of this type, including, among other things, limitations on certain other indebtedness, loans and investments, liens, mergers, asset sales, and transactions with affiliates. The Credit Agreement also contains customary events of default. The Company paid fees of approximately $2.2 million in connection with the closing of the Credit Agreement which is included in other long-term assets in the Condensed Consolidated Balance Sheet as of March 31, 2021.</w:t>
      </w:r>
    </w:p>
    <w:p>
      <w:pPr>
        <w:spacing w:after="0" w:line="176"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As of March 31, 2021, the Company had $616.9 million of remaining borrowing availability under the revolving credit facility. The Company used $8.1 million of the sublimit for letters of credit outstanding as of March 31, 2021. Based on the Company’s consolidated net leverage ratio, which stipulates borrowing margins, the interest rate applicable to revolving credit facility was approximately 1.58 percent at March 31, 2021. Borrowings under the revolving credit facility are classified as long-term debt in the Condensed Consolidated Balance Sheets, as principal payments are not required until the maturity date.</w:t>
      </w:r>
    </w:p>
    <w:p>
      <w:pPr>
        <w:spacing w:after="0" w:line="192"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i w:val="1"/>
          <w:iCs w:val="1"/>
          <w:color w:val="auto"/>
        </w:rPr>
        <w:t xml:space="preserve">Private Placement Term Loans Amendments: </w:t>
      </w:r>
      <w:r>
        <w:rPr>
          <w:rFonts w:ascii="Arial" w:cs="Arial" w:eastAsia="Arial" w:hAnsi="Arial"/>
          <w:sz w:val="16"/>
          <w:szCs w:val="16"/>
          <w:color w:val="auto"/>
        </w:rPr>
        <w:t>On March 31, 2021, the Company and the holders of the private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term loans entered into amendments (collectively, the “2021 Note Amendments”) to each of (i) the Third Amended and Restated Note Purchase Agreement and Private Shelf Agreement dated as of September 14, 2016, among the Company and the holders of the notes issued thereunder, as amended; and (ii) the Note Purchase Agreement dated December 21, 2016 among the Company and the holders of the notes issued thereunder, in each case as amended prior to such 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The 2021 Note Amendments amended certain covenants and other terms, including (i) eliminating the Leverage Relief Period and associated quarterly interest enhancement payments; (ii) removing certain other fees and increases to interest rate; (iii) reducing the maximum permitted consolidated leverage ratio to 3.50 to 1.0, with an option for a one-time increase to 4.0 to 1.0 in connection with a material acquisition, with potential interest enhancement payments if leverage is over 3.25 to 1.0; and (iv) removing certain additional limitations on stock redemptions and repurchases, sale leaseback transactions and asset sales, and the incurrence of priority debt. The Company paid fees of approximately $0.8 million related to the 2021 Note Amendments which is included in deferred loan fees in debt in the Condensed Consolidated Balance Sheet as of March 31, 2021.</w:t>
      </w:r>
    </w:p>
    <w:p>
      <w:pPr>
        <w:spacing w:after="0" w:line="178"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was unsecured, except for the Title XI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Maturities: </w:t>
      </w:r>
      <w:r>
        <w:rPr>
          <w:rFonts w:ascii="Arial" w:cs="Arial" w:eastAsia="Arial" w:hAnsi="Arial"/>
          <w:sz w:val="18"/>
          <w:szCs w:val="18"/>
          <w:color w:val="auto"/>
        </w:rPr>
        <w:t>As of March 31, 2021, debt maturities during the next five years and thereafter are as follows: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120" w:type="dxa"/>
            <w:vAlign w:val="bottom"/>
          </w:tcPr>
          <w:p>
            <w:pPr>
              <w:spacing w:after="0"/>
              <w:rPr>
                <w:sz w:val="14"/>
                <w:szCs w:val="14"/>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209"/>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40" w:hanging="590"/>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Company’s leases are described in Note 9 to the Consolidated Financial Statements included in Part II, Item 8 of the Company’s Annual Report on Form 10-K for the year ended December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Condensed Consolidated Statement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Income and Comprehensive Income for the three months ended March 31, 2021 and 2020 consisted of the following:</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65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i w:val="1"/>
          <w:iCs w:val="1"/>
          <w:color w:val="auto"/>
        </w:rPr>
        <w:t xml:space="preserve">Sale and Leaseback of Equipment: </w:t>
      </w:r>
      <w:r>
        <w:rPr>
          <w:rFonts w:ascii="Arial" w:cs="Arial" w:eastAsia="Arial" w:hAnsi="Arial"/>
          <w:sz w:val="18"/>
          <w:szCs w:val="18"/>
          <w:color w:val="auto"/>
        </w:rPr>
        <w:t>There were no sale and leaseback transactions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On March 25, 2020, the Company entered into an agreement for the sale and leaseback of multiple tranches of chassis and container equipment. The net proceeds from the sales were $14.3 million, and the gain on the disposal of the equipment was not material to the Company’s Condensed Consolidated Financial Statements. The Company subsequently leased back the equipment under a five-year operating lease agreement that includes purchase options exercisable at 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hanging="570"/>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4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3"/>
                <w:szCs w:val="13"/>
                <w:color w:val="auto"/>
              </w:rPr>
            </w:pPr>
          </w:p>
        </w:tc>
        <w:tc>
          <w:tcPr>
            <w:tcW w:w="8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3"/>
                <w:szCs w:val="13"/>
                <w:color w:val="auto"/>
              </w:rPr>
            </w:pPr>
          </w:p>
        </w:tc>
        <w:tc>
          <w:tcPr>
            <w:tcW w:w="6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Plans</w:t>
            </w:r>
          </w:p>
        </w:tc>
        <w:tc>
          <w:tcPr>
            <w:tcW w:w="720" w:type="dxa"/>
            <w:vAlign w:val="bottom"/>
            <w:gridSpan w:val="3"/>
            <w:vMerge w:val="continue"/>
          </w:tcPr>
          <w:p>
            <w:pPr>
              <w:spacing w:after="0"/>
              <w:rPr>
                <w:sz w:val="13"/>
                <w:szCs w:val="13"/>
                <w:color w:val="auto"/>
              </w:rPr>
            </w:pPr>
          </w:p>
        </w:tc>
        <w:tc>
          <w:tcPr>
            <w:tcW w:w="104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2020 consisted of the following:</w:t>
      </w:r>
    </w:p>
    <w:tbl>
      <w:tblPr>
        <w:tblLayout w:type="fixed"/>
        <w:tblInd w:w="40" w:type="dxa"/>
        <w:tblCellMar>
          <w:top w:w="0" w:type="dxa"/>
          <w:left w:w="0" w:type="dxa"/>
          <w:bottom w:w="0" w:type="dxa"/>
          <w:right w:w="0" w:type="dxa"/>
        </w:tblCellMar>
      </w:tblP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(0.5)</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40" w:hanging="590"/>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1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64"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57" w:lineRule="exact"/>
        <w:rPr>
          <w:sz w:val="20"/>
          <w:szCs w:val="20"/>
          <w:color w:val="auto"/>
        </w:rPr>
      </w:pPr>
    </w:p>
    <w:p>
      <w:pPr>
        <w:ind w:left="60" w:right="7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March 31, 2021 and December 31, 2020 are as follows:</w:t>
      </w:r>
    </w:p>
    <w:tbl>
      <w:tblPr>
        <w:tblLayout w:type="fixed"/>
        <w:tblInd w:w="40" w:type="dxa"/>
        <w:tblCellMar>
          <w:top w:w="0" w:type="dxa"/>
          <w:left w:w="0" w:type="dxa"/>
          <w:bottom w:w="0" w:type="dxa"/>
          <w:right w:w="0" w:type="dxa"/>
        </w:tblCellMar>
      </w:tblPr>
      <w:tr>
        <w:trPr>
          <w:trHeight w:val="141"/>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020" w:type="dxa"/>
            <w:vAlign w:val="bottom"/>
            <w:gridSpan w:val="3"/>
          </w:tcPr>
          <w:p>
            <w:pPr>
              <w:ind w:left="160"/>
              <w:spacing w:after="0" w:line="141"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Active Markets</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Carrying Value</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Inputs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96"/>
              </w:rPr>
              <w:t>March 31, 2021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9"/>
          </w:tcPr>
          <w:p>
            <w:pPr>
              <w:ind w:left="640"/>
              <w:spacing w:after="0" w:line="129" w:lineRule="exact"/>
              <w:rPr>
                <w:sz w:val="20"/>
                <w:szCs w:val="20"/>
                <w:color w:val="auto"/>
              </w:rPr>
            </w:pPr>
            <w:r>
              <w:rPr>
                <w:rFonts w:ascii="Arial" w:cs="Arial" w:eastAsia="Arial" w:hAnsi="Arial"/>
                <w:sz w:val="14"/>
                <w:szCs w:val="14"/>
                <w:b w:val="1"/>
                <w:bCs w:val="1"/>
                <w:color w:val="auto"/>
              </w:rPr>
              <w:t>Fair Value Measurements at March 31, 2021</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673.9</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648.3</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Pr>
          <w:p>
            <w:pPr>
              <w:spacing w:after="0"/>
              <w:rPr>
                <w:sz w:val="24"/>
                <w:szCs w:val="24"/>
                <w:color w:val="auto"/>
              </w:rPr>
            </w:pPr>
          </w:p>
        </w:tc>
        <w:tc>
          <w:tcPr>
            <w:tcW w:w="3760" w:type="dxa"/>
            <w:vAlign w:val="bottom"/>
            <w:gridSpan w:val="9"/>
          </w:tcPr>
          <w:p>
            <w:pPr>
              <w:ind w:left="620"/>
              <w:spacing w:after="0"/>
              <w:rPr>
                <w:sz w:val="20"/>
                <w:szCs w:val="20"/>
                <w:color w:val="auto"/>
              </w:rPr>
            </w:pPr>
            <w:r>
              <w:rPr>
                <w:rFonts w:ascii="Arial" w:cs="Arial" w:eastAsia="Arial" w:hAnsi="Arial"/>
                <w:sz w:val="14"/>
                <w:szCs w:val="14"/>
                <w:b w:val="1"/>
                <w:bCs w:val="1"/>
                <w:color w:val="auto"/>
                <w:w w:val="98"/>
              </w:rPr>
              <w:t>Fair Value Measurements at December 31, 2020</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688.3</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686.7</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20" w:hanging="670"/>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March 31, 2021 and 2020.</w:t>
      </w:r>
    </w:p>
    <w:p>
      <w:pPr>
        <w:spacing w:after="0" w:line="90"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denominators used to compute basic and diluted earnings per share for the three months ended March 31, 2021 and 2020 are as follows: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7"/>
          </w:tcPr>
          <w:p>
            <w:pPr>
              <w:jc w:val="center"/>
              <w:ind w:right="380"/>
              <w:spacing w:after="0"/>
              <w:rPr>
                <w:sz w:val="20"/>
                <w:szCs w:val="20"/>
                <w:color w:val="auto"/>
              </w:rPr>
            </w:pPr>
            <w:r>
              <w:rPr>
                <w:rFonts w:ascii="Arial" w:cs="Arial" w:eastAsia="Arial" w:hAnsi="Arial"/>
                <w:sz w:val="13"/>
                <w:szCs w:val="13"/>
                <w:b w:val="1"/>
                <w:bCs w:val="1"/>
                <w:color w:val="auto"/>
                <w:w w:val="88"/>
              </w:rPr>
              <w:t>Three Months Ended March 31, 2021</w:t>
            </w:r>
          </w:p>
        </w:tc>
        <w:tc>
          <w:tcPr>
            <w:tcW w:w="160" w:type="dxa"/>
            <w:vAlign w:val="bottom"/>
          </w:tcPr>
          <w:p>
            <w:pPr>
              <w:spacing w:after="0"/>
              <w:rPr>
                <w:sz w:val="13"/>
                <w:szCs w:val="13"/>
                <w:color w:val="auto"/>
              </w:rPr>
            </w:pPr>
          </w:p>
        </w:tc>
        <w:tc>
          <w:tcPr>
            <w:tcW w:w="258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w w:val="88"/>
              </w:rPr>
              <w:t>Three Months Ended March 31, 2020</w:t>
            </w:r>
          </w:p>
        </w:tc>
      </w:tr>
      <w:tr>
        <w:trPr>
          <w:trHeight w:val="124"/>
        </w:trPr>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9"/>
              <w:spacing w:after="0" w:line="124" w:lineRule="exact"/>
              <w:rPr>
                <w:sz w:val="20"/>
                <w:szCs w:val="20"/>
                <w:color w:val="auto"/>
              </w:rPr>
            </w:pPr>
            <w:r>
              <w:rPr>
                <w:rFonts w:ascii="Arial" w:cs="Arial" w:eastAsia="Arial" w:hAnsi="Arial"/>
                <w:sz w:val="13"/>
                <w:szCs w:val="13"/>
                <w:b w:val="1"/>
                <w:bCs w:val="1"/>
                <w:color w:val="auto"/>
                <w:w w:val="95"/>
              </w:rPr>
              <w:t>Per</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9"/>
              <w:spacing w:after="0" w:line="124" w:lineRule="exact"/>
              <w:rPr>
                <w:sz w:val="20"/>
                <w:szCs w:val="20"/>
                <w:color w:val="auto"/>
              </w:rPr>
            </w:pPr>
            <w:r>
              <w:rPr>
                <w:rFonts w:ascii="Arial" w:cs="Arial" w:eastAsia="Arial" w:hAnsi="Arial"/>
                <w:sz w:val="13"/>
                <w:szCs w:val="13"/>
                <w:b w:val="1"/>
                <w:bCs w:val="1"/>
                <w:color w:val="auto"/>
                <w:w w:val="95"/>
              </w:rPr>
              <w:t>Per</w:t>
            </w:r>
          </w:p>
        </w:tc>
        <w:tc>
          <w:tcPr>
            <w:tcW w:w="40" w:type="dxa"/>
            <w:vAlign w:val="bottom"/>
          </w:tcPr>
          <w:p>
            <w:pPr>
              <w:spacing w:after="0"/>
              <w:rPr>
                <w:sz w:val="10"/>
                <w:szCs w:val="10"/>
                <w:color w:val="auto"/>
              </w:rPr>
            </w:pP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Common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Average</w:t>
            </w:r>
          </w:p>
        </w:tc>
        <w:tc>
          <w:tcPr>
            <w:tcW w:w="1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Common</w:t>
            </w: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Net</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Net</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Share</w:t>
            </w:r>
          </w:p>
        </w:tc>
      </w:tr>
      <w:tr>
        <w:trPr>
          <w:trHeight w:val="153"/>
        </w:trPr>
        <w:tc>
          <w:tcPr>
            <w:tcW w:w="32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16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Income</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Income</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r>
      <w:tr>
        <w:trPr>
          <w:trHeight w:val="196"/>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40" w:type="dxa"/>
            <w:vAlign w:val="bottom"/>
            <w:tcBorders>
              <w:top w:val="single" w:sz="8" w:color="CCEEFF"/>
            </w:tcBorders>
            <w:shd w:val="clear" w:color="auto" w:fill="CCEEFF"/>
          </w:tcPr>
          <w:p>
            <w:pPr>
              <w:spacing w:after="0"/>
              <w:rPr>
                <w:sz w:val="17"/>
                <w:szCs w:val="17"/>
                <w:color w:val="auto"/>
              </w:rPr>
            </w:pPr>
          </w:p>
        </w:tc>
      </w:tr>
      <w:tr>
        <w:trPr>
          <w:trHeight w:val="213"/>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Effect of Dilutive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9"/>
        </w:trPr>
        <w:tc>
          <w:tcPr>
            <w:tcW w:w="3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720" w:hanging="670"/>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During the three months ended March 31, 2021, the Company granted approximately 225,600 in total of time-based restricted stock units and performance-based shares to certain of its employees at a weighted average grant date fair value of $68.41.</w:t>
      </w:r>
    </w:p>
    <w:p>
      <w:pPr>
        <w:spacing w:after="0" w:line="184"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Total share-based compensation cost recognized in the Condensed Consolidated Statements of Income and Comprehensive Income as a component of selling, general and administrative expenses was $4.8 million and $3.1 million for the three months ended March 31, 2021 and 2020, respectively. Total unrecognized compensation cost related to unvested share-based compensation arrangements was $35.7 million at March 31, 2021, and is expected to be recognized over a weighted average period of approximately 2.3 years. Total unrecognized compensation cost may be adjusted for any unearned performance shares or forfeited shares.</w:t>
      </w:r>
    </w:p>
    <w:p>
      <w:pPr>
        <w:spacing w:after="0" w:line="200" w:lineRule="exact"/>
        <w:rPr>
          <w:sz w:val="20"/>
          <w:szCs w:val="20"/>
          <w:color w:val="auto"/>
        </w:rPr>
      </w:pPr>
    </w:p>
    <w:p>
      <w:pPr>
        <w:spacing w:after="0" w:line="204" w:lineRule="exact"/>
        <w:rPr>
          <w:sz w:val="20"/>
          <w:szCs w:val="20"/>
          <w:color w:val="auto"/>
        </w:rPr>
      </w:pPr>
    </w:p>
    <w:p>
      <w:pPr>
        <w:ind w:left="720" w:hanging="670"/>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left="60" w:right="459"/>
        <w:spacing w:after="0" w:line="257" w:lineRule="auto"/>
        <w:rPr>
          <w:sz w:val="20"/>
          <w:szCs w:val="20"/>
          <w:color w:val="auto"/>
        </w:rPr>
      </w:pPr>
      <w:r>
        <w:rPr>
          <w:rFonts w:ascii="Arial" w:cs="Arial" w:eastAsia="Arial" w:hAnsi="Arial"/>
          <w:sz w:val="18"/>
          <w:szCs w:val="18"/>
          <w:color w:val="auto"/>
        </w:rPr>
        <w:t>The Company’s pension and post-retirement plans are described in Note 11 to the Consolidated Financial Statements included in Part II, Item 8 of the Company’s Annual Report on Form 10-K for the year ended December 31, 2020. Components of net periodic benefit cost and other amounts recognized in Other Comprehensive Income (Loss) for the qualified pension plans and the post-retirement benefit plans for the three months ended March 31, 2021 and 2020 consisted of the following:</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4"/>
                <w:szCs w:val="14"/>
                <w:color w:val="auto"/>
              </w:rPr>
            </w:pPr>
          </w:p>
        </w:tc>
        <w:tc>
          <w:tcPr>
            <w:tcW w:w="186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7"/>
              </w:rPr>
              <w:t>Post-retirement Benefits</w:t>
            </w:r>
          </w:p>
        </w:tc>
        <w:tc>
          <w:tcPr>
            <w:tcW w:w="0" w:type="dxa"/>
            <w:vAlign w:val="bottom"/>
          </w:tcPr>
          <w:p>
            <w:pPr>
              <w:spacing w:after="0"/>
              <w:rPr>
                <w:sz w:val="1"/>
                <w:szCs w:val="1"/>
                <w:color w:val="auto"/>
              </w:rPr>
            </w:pPr>
          </w:p>
        </w:tc>
      </w:tr>
      <w:tr>
        <w:trPr>
          <w:trHeight w:val="171"/>
        </w:trPr>
        <w:tc>
          <w:tcPr>
            <w:tcW w:w="4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1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2"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2020.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90" w:lineRule="auto"/>
        <w:rPr>
          <w:rFonts w:ascii="Arial" w:cs="Arial" w:eastAsia="Arial" w:hAnsi="Arial"/>
          <w:sz w:val="16"/>
          <w:szCs w:val="16"/>
          <w:color w:val="0000EE"/>
        </w:rPr>
      </w:pPr>
      <w:r>
        <w:rPr>
          <w:rFonts w:ascii="Arial" w:cs="Arial" w:eastAsia="Arial" w:hAnsi="Arial"/>
          <w:sz w:val="16"/>
          <w:szCs w:val="16"/>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w:t>
      </w:r>
      <w:hyperlink r:id="rId26">
        <w:r>
          <w:rPr>
            <w:rFonts w:ascii="Arial" w:cs="Arial" w:eastAsia="Arial" w:hAnsi="Arial"/>
            <w:sz w:val="16"/>
            <w:szCs w:val="16"/>
            <w:color w:val="auto"/>
          </w:rPr>
          <w:t xml:space="preserve">and notes herein, and should be read in conjunction with the Company’s </w:t>
        </w:r>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December 31, 2020</w:t>
        </w:r>
        <w:r>
          <w:rPr>
            <w:rFonts w:ascii="Arial" w:cs="Arial" w:eastAsia="Arial" w:hAnsi="Arial"/>
            <w:sz w:val="16"/>
            <w:szCs w:val="16"/>
            <w:color w:val="000000"/>
          </w:rPr>
          <w:t>, the Company’s reports on Forms 10-Q and 8-K, and other publicly available information.</w:t>
        </w:r>
      </w:hyperlink>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FIRST QUARTER 2021 DISCUSSION AND UPDATE ON BUSINESS CONDITIONS</w:t>
      </w:r>
    </w:p>
    <w:p>
      <w:pPr>
        <w:spacing w:after="0" w:line="229"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The Company’s container volume in the Hawaii service in the first quarter 2021 was 0.6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higher year-over-year primarily due to higher demand for sustenance and home improvement goods, partially offset by one less westbound sailing and lower tourism activity as a result of the pandemic. The low tourism levels during the COVID-19 pandemic have had a meaningfully negative impact on Hawaii’s economy. With eased visitor travel restrictions and increased vaccinations on the mainland, tourism to the Hawaiian islands has recently picked up and is expected to accelerate into the summer as vaccinations become more widespread. The recovery in tourism is expected to lead to gradually improving economic conditions in the state, but the economic recovery trajectory continues to remain uncertain.</w:t>
      </w:r>
    </w:p>
    <w:p>
      <w:pPr>
        <w:spacing w:after="0" w:line="166"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In China, the Company’s container volume in the first quarter 2021 increased 218.6 percent year-over-year primarily due to volume from the CLX+ service in addition to higher volume on the CLX service as a result of our increased capacity in the tradelane. Matson continued to realize a significant rate premium in the first quarter 2021 and achieved average freight rates that were considerably higher than in the year ago period. At present, significant supply chain congestion continues, particularly at the California ports, and these conditions will most likely persist through the second quarter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2021 and into the traditional peak season. We also expect demand in the Transpacific tradelane to remain favorable as elevated consumption trends, including heightened e-commerce activity, are expected to continue beyond the second quarter. Accordingly, we expect significant demand for our expedited CLX and CLX+ services to remain throughout the peak season into late October.</w:t>
      </w:r>
    </w:p>
    <w:p>
      <w:pPr>
        <w:spacing w:after="0" w:line="187"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In Guam, the Company’s container volume in the first quarter 2021 increased 2.0 percent year-over-year primarily due to higher demand for sustenance and home improvement goods, partially offset by lower tourism activity as a result of the pandemic. In the near-term, we expect depressed tourism levels to have a negative impact on the Guam economy.</w:t>
      </w:r>
    </w:p>
    <w:p>
      <w:pPr>
        <w:spacing w:after="0" w:line="149" w:lineRule="exact"/>
        <w:rPr>
          <w:sz w:val="20"/>
          <w:szCs w:val="20"/>
          <w:color w:val="auto"/>
        </w:rPr>
      </w:pPr>
    </w:p>
    <w:p>
      <w:pPr>
        <w:jc w:val="both"/>
        <w:ind w:left="60" w:right="299"/>
        <w:spacing w:after="0" w:line="287" w:lineRule="auto"/>
        <w:rPr>
          <w:sz w:val="20"/>
          <w:szCs w:val="20"/>
          <w:color w:val="auto"/>
        </w:rPr>
      </w:pPr>
      <w:r>
        <w:rPr>
          <w:rFonts w:ascii="Arial" w:cs="Arial" w:eastAsia="Arial" w:hAnsi="Arial"/>
          <w:sz w:val="16"/>
          <w:szCs w:val="16"/>
          <w:color w:val="auto"/>
        </w:rPr>
        <w:t>In Alaska, the Company’s container volume for the first quarter 2021 decreased 4.9 percent year-over-year as a result of lower northbound volume primarily due to one less sailing this year and volume related to a competitor’s dry-docking in the year ago period and lower southbound volume, partially offset by volume from the Alaska-to-Asia Express service.</w:t>
      </w:r>
    </w:p>
    <w:p>
      <w:pPr>
        <w:spacing w:after="0" w:line="2" w:lineRule="exact"/>
        <w:rPr>
          <w:sz w:val="20"/>
          <w:szCs w:val="20"/>
          <w:color w:val="auto"/>
        </w:rPr>
      </w:pPr>
    </w:p>
    <w:p>
      <w:pPr>
        <w:ind w:left="60" w:right="279"/>
        <w:spacing w:after="0" w:line="277" w:lineRule="auto"/>
        <w:rPr>
          <w:sz w:val="20"/>
          <w:szCs w:val="20"/>
          <w:color w:val="auto"/>
        </w:rPr>
      </w:pPr>
      <w:r>
        <w:rPr>
          <w:rFonts w:ascii="Arial" w:cs="Arial" w:eastAsia="Arial" w:hAnsi="Arial"/>
          <w:sz w:val="17"/>
          <w:szCs w:val="17"/>
          <w:color w:val="auto"/>
        </w:rPr>
        <w:t>Normalizing for the one less sailing this year and volume related to a competitor’s dry-docking in the year ago period, Alaska volume increased approximately 2.5 percent. In the near-term, we expect the Alaska economy to slowly recover, but remain challenged until the pandemic subsides and the unemployment rate improves.</w:t>
      </w:r>
    </w:p>
    <w:p>
      <w:pPr>
        <w:spacing w:after="0" w:line="173"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contribution in the first quarter 2021 from the Company’s SSAT joint venture investment was $9.2 million, or $5.2 million higher than the first quarter 2020. The increase was driven by higher lift volume.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first quarter 2021, operating income for the Company’s Logistics segment was $6.1 million, or</w:t>
      </w:r>
    </w:p>
    <w:p>
      <w:pPr>
        <w:spacing w:after="0" w:line="23" w:lineRule="exact"/>
        <w:rPr>
          <w:sz w:val="20"/>
          <w:szCs w:val="20"/>
          <w:color w:val="auto"/>
        </w:rPr>
      </w:pPr>
    </w:p>
    <w:p>
      <w:pPr>
        <w:ind w:left="60" w:right="79"/>
        <w:spacing w:after="0" w:line="302" w:lineRule="auto"/>
        <w:rPr>
          <w:sz w:val="20"/>
          <w:szCs w:val="20"/>
          <w:color w:val="auto"/>
        </w:rPr>
      </w:pPr>
      <w:r>
        <w:rPr>
          <w:rFonts w:ascii="Arial" w:cs="Arial" w:eastAsia="Arial" w:hAnsi="Arial"/>
          <w:sz w:val="16"/>
          <w:szCs w:val="16"/>
          <w:color w:val="auto"/>
        </w:rPr>
        <w:t>$1.0 million higher compared to the operating income achieved in the first quarter 2020. The increase was due primarily to higher contributions from transportation brokerage and supply chain management as a result of elevated goods consumption and inventory restocking in addition to tight supply and demand fundamentals in our core markets.</w:t>
      </w:r>
    </w:p>
    <w:p>
      <w:pPr>
        <w:spacing w:after="0" w:line="3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Three months ended March 31, 2021, compared with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8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39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197.9</w:t>
            </w:r>
          </w:p>
        </w:tc>
        <w:tc>
          <w:tcPr>
            <w:tcW w:w="240" w:type="dxa"/>
            <w:vAlign w:val="bottom"/>
            <w:tcBorders>
              <w:right w:val="single" w:sz="8" w:color="CCEEFF"/>
            </w:tcBorders>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(591.6)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(500.9)</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(90.7)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107.2</w:t>
            </w:r>
          </w:p>
        </w:tc>
        <w:tc>
          <w:tcPr>
            <w:tcW w:w="240" w:type="dxa"/>
            <w:vAlign w:val="bottom"/>
            <w:tcBorders>
              <w:right w:val="single" w:sz="8" w:color="CCEEFF"/>
            </w:tcBorders>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824.6 %</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109.3</w:t>
            </w:r>
          </w:p>
        </w:tc>
        <w:tc>
          <w:tcPr>
            <w:tcW w:w="2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1"/>
              </w:rPr>
              <w:t>2,186.0 %</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2,158.</w:t>
            </w:r>
            <w:r>
              <w:rPr>
                <w:rFonts w:ascii="Arial" w:cs="Arial" w:eastAsia="Arial" w:hAnsi="Arial"/>
                <w:sz w:val="18"/>
                <w:szCs w:val="18"/>
                <w:u w:val="single" w:color="auto"/>
                <w:color w:val="auto"/>
                <w:w w:val="91"/>
              </w:rPr>
              <w:t>3</w:t>
            </w:r>
            <w:r>
              <w:rPr>
                <w:rFonts w:ascii="Arial" w:cs="Arial" w:eastAsia="Arial" w:hAnsi="Arial"/>
                <w:sz w:val="18"/>
                <w:szCs w:val="18"/>
                <w:color w:val="auto"/>
                <w:w w:val="91"/>
              </w:rPr>
              <w:t xml:space="preserve"> %</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4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2,194.</w:t>
            </w:r>
            <w:r>
              <w:rPr>
                <w:rFonts w:ascii="Arial" w:cs="Arial" w:eastAsia="Arial" w:hAnsi="Arial"/>
                <w:sz w:val="18"/>
                <w:szCs w:val="18"/>
                <w:u w:val="single" w:color="auto"/>
                <w:color w:val="auto"/>
                <w:w w:val="89"/>
              </w:rPr>
              <w:t>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5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w:t>
            </w:r>
          </w:p>
        </w:tc>
        <w:tc>
          <w:tcPr>
            <w:tcW w:w="2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2,133.3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1"/>
              </w:rPr>
              <w:t>2,111.1 %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The decrease in interest expense for the three months ended March 31, 2021, compared to the three months ended March 31, 2020, was due to lower outstanding debt during the period, offset by a lower amount of capitalized interest associated with the new vessel construction in 2020.</w:t>
      </w:r>
    </w:p>
    <w:p>
      <w:pPr>
        <w:spacing w:after="0" w:line="184" w:lineRule="exact"/>
        <w:rPr>
          <w:sz w:val="20"/>
          <w:szCs w:val="20"/>
          <w:color w:val="auto"/>
        </w:rPr>
      </w:pPr>
    </w:p>
    <w:p>
      <w:pPr>
        <w:jc w:val="both"/>
        <w:ind w:left="60" w:right="279"/>
        <w:spacing w:after="0" w:line="259"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 and interest received from income tax refunds. The increase in Other income (expense) was due to favorable adjustments related to the Company’s pension and post-retirement plan liabilities during the three months ended March 31,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Income tax expense was $27.1 million or 23.7 percent of income before income taxes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March 31, 2021, compared to $1.2 million or 24.0 percent of income before income taxes for the three months ended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31, 2020. The effective tax rate for the three months ended March 31, 2021 was lower than the effective tax rate</w:t>
      </w:r>
    </w:p>
    <w:p>
      <w:pPr>
        <w:sectPr>
          <w:pgSz w:w="11900" w:h="16838" w:orient="portrait"/>
          <w:cols w:equalWidth="0" w:num="1">
            <w:col w:w="9019"/>
          </w:cols>
          <w:pgMar w:left="1440" w:top="517" w:right="1440" w:bottom="1006"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006"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for the three months ended March 31, 2020 as it benefitted from discrete adjustments related to stock compensation and foreign taxes that lowered the effective tax rate for that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Operating Results - Three months ended March 31, 2021, compared with 2020:</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3100" w:type="dxa"/>
            <w:vAlign w:val="bottom"/>
            <w:gridSpan w:val="10"/>
          </w:tcPr>
          <w:p>
            <w:pPr>
              <w:jc w:val="right"/>
              <w:ind w:right="63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(446.4)</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(393.0)</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1,344.3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41,100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28,200</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218.6 %</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Ocean Transportation revenue increased $159.6 million during the three months ended March 31, 2021, compared with the three months ended March 31, 2020. The increase was primarily due to higher freight revenue in the China service, including revenue associated with the CLX+ service, partially offset by lower fuel-related surcharge revenue and lower service revenue in Alaska.</w:t>
      </w:r>
    </w:p>
    <w:p>
      <w:pPr>
        <w:spacing w:after="0" w:line="187"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 a year-over-year FEU basis, Hawaii container volume increased 0.6 percent primarily due to higher demand for sustenance and home improvement goods, partially offset by one less westbound sailing and lower tourism activity as a result of the pandemic; Alaska volume decreased 4.9 percent due to lower northbound volume primarily due to one less sailing this year and volume related to a competitor’s dry-docking in the year ago period and lower southbound volume, partially offset by volume from the Alaska-to-Asia Express service; China volume was 218.6 percent higher primarily due to volume from the CLX+ service in addition to higher volume on the CLX service as a result of our increased capacity in the tradelane; Guam volume was 2.0 percent higher primarily due to higher demand for sustenance and home improvement goods, partially offset by lower tourism activity as a result of the pandemic; and Other containers volume decreased 2.4 percent.</w:t>
      </w:r>
    </w:p>
    <w:p>
      <w:pPr>
        <w:spacing w:after="0" w:line="19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Ocean Transportation operating income increased $106.2 million during the three months ended March 31, 2021, compared with the three months ended March 31, 2020. The increase was primarily due to a higher contribution from China, including the contribution from the CLX+ service, and a higher contribution from SSAT, partially offset by a lower contribution from the Alaska service and higher depreciation.</w:t>
      </w:r>
    </w:p>
    <w:p>
      <w:pPr>
        <w:spacing w:after="0" w:line="187"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The Company’s SSAT terminal joint venture investment contributed $9.2 million during the three months ended March 31, 2021, compared to a contribution of $4.0 million during the three months ended March 31, 2020. The increase was driven by higher lift volume.</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Three months ended March 31, 2021, compared with 2020:</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96"/>
              </w:rPr>
              <w:t>Three Months Ended March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(145.2)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(107.9)</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(37.3)</w:t>
            </w: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34.6 %</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19.6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color w:val="auto"/>
        </w:rPr>
        <w:t>Logistics revenue increased $38.3 million, or 33.9 percent, during the three months ended March 31, 2021, compared with the three months ended March 31, 2020. The increase was primarily due to higher transportation brokerage revenue.</w:t>
      </w:r>
    </w:p>
    <w:p>
      <w:pPr>
        <w:spacing w:after="0" w:line="124"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Logistics operating income increased $1.0 million, or 19.6 percent, for the three months ended March 31, 2021, compared with the three months ended March 31, 2020. The increase was primarily due to higher contributions from transportation brokerage and supply chain management.</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Sources of liquidity available to the Company as of March 31, 2021, compared to December 31, 2020 were as follows:</w:t>
      </w:r>
    </w:p>
    <w:p>
      <w:pPr>
        <w:spacing w:after="0" w:line="237" w:lineRule="exact"/>
        <w:rPr>
          <w:sz w:val="20"/>
          <w:szCs w:val="20"/>
          <w:color w:val="auto"/>
        </w:rPr>
      </w:pPr>
    </w:p>
    <w:p>
      <w:pPr>
        <w:ind w:left="60" w:right="559"/>
        <w:spacing w:after="0" w:line="381" w:lineRule="auto"/>
        <w:rPr>
          <w:sz w:val="20"/>
          <w:szCs w:val="20"/>
          <w:color w:val="auto"/>
        </w:rPr>
      </w:pPr>
      <w:r>
        <w:rPr>
          <w:rFonts w:ascii="Arial" w:cs="Arial" w:eastAsia="Arial" w:hAnsi="Arial"/>
          <w:sz w:val="15"/>
          <w:szCs w:val="15"/>
          <w:b w:val="1"/>
          <w:bCs w:val="1"/>
          <w:i w:val="1"/>
          <w:iCs w:val="1"/>
          <w:color w:val="auto"/>
        </w:rPr>
        <w:t xml:space="preserve">Cash, Cash Equivalents, Restricted Cash and Accounts Receivable: </w:t>
      </w:r>
      <w:r>
        <w:rPr>
          <w:rFonts w:ascii="Arial" w:cs="Arial" w:eastAsia="Arial" w:hAnsi="Arial"/>
          <w:sz w:val="15"/>
          <w:szCs w:val="15"/>
          <w:color w:val="auto"/>
        </w:rPr>
        <w:t>Cash and cash equivalents, restricted cash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accounts receivable for the three months ended March 31, 2021, compared to December 31, 2020 were as follows: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receivable, net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of March 31, 2021 and December 31, 2020, $1.7 million of eligible accounts receivable were assigned to the CCF.</w:t>
      </w:r>
    </w:p>
    <w:p>
      <w:pPr>
        <w:spacing w:after="0" w:line="208"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color w:val="auto"/>
        </w:rPr>
        <w:t>Changes in the Company’s cash, cash equivalents and restricted cash for the three months ended March 31, 2021, compared to the three months ended March 31, 2020 were as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400" w:type="dxa"/>
            <w:vAlign w:val="bottom"/>
            <w:gridSpan w:val="8"/>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 (3)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12" w:lineRule="exact"/>
        <w:rPr>
          <w:sz w:val="20"/>
          <w:szCs w:val="20"/>
          <w:color w:val="auto"/>
        </w:rPr>
      </w:pPr>
    </w:p>
    <w:p>
      <w:pPr>
        <w:jc w:val="both"/>
        <w:ind w:left="60" w:right="399"/>
        <w:spacing w:after="0" w:line="277" w:lineRule="auto"/>
        <w:rPr>
          <w:sz w:val="20"/>
          <w:szCs w:val="20"/>
          <w:color w:val="auto"/>
        </w:rPr>
      </w:pPr>
      <w:r>
        <w:rPr>
          <w:rFonts w:ascii="Arial" w:cs="Arial" w:eastAsia="Arial" w:hAnsi="Arial"/>
          <w:sz w:val="18"/>
          <w:szCs w:val="18"/>
          <w:color w:val="auto"/>
        </w:rPr>
        <w:t>Changes in net cash provided by operating activities for the three months ended March 31, 2021, compared to the three months ended March 31, 2020,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Non-cash deferred income taxes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operating lease right of use 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Other non-cash related changes,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and distributions from SSAT,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payments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amortization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09"/>
        </w:trPr>
        <w:tc>
          <w:tcPr>
            <w:tcW w:w="79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Deferred dry-docking payments for the three months ended March 31, 2021 were $9.5 million, compared to $2.6 million for the three months ended March 31, 2020. The increase in deferred dry-docking payments was due to the timing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when vessels are in dry-dock during each period. Changes in accounts receivable were primarily due to increased levels of revenues, and the timing of collections associated with those receivables. Changes in accounts payable, accruals and other liabilities were primarily due to accrued income taxes for the three months ended March 31, 2021 which will be paid during the subsequent quarter. There were no accrued income taxes during the quarter ended March 31, 2020. In addition, the change is also related to the increased level of operating costs and expenses, and the timing of payments associated with those liabilities.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Changes in net cash used in investing activities for the three months ended March 31, 2021, compared to the three months ended March 31, 2020,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r>
      <w:tr>
        <w:trPr>
          <w:trHeight w:val="209"/>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Cash deposits into CCF</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Withdrawals from CCF</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Other capital expenditures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 net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r>
      <w:tr>
        <w:trPr>
          <w:trHeight w:val="210"/>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Capitalized vessel construction expenditures (including capitalized interest) were $9.1 million for the three months ended March 31, 2020. There were no capitalized vessel construction expenditures during the quarter ended March 31, 2021. Capitalized vessel construction expenditures relate to progress payments for the construction of new vessels, capitalized interest and owner’s items. The reduction is primarily due to the completion of the Company’s fleet renewal program in 2020. Changes in cash deposits into CCF and withdrawals from CCF primarily relate to the timing of when deposits are made into the CCF, and when the subsequent withdrawals are made out of the CCF for the purposes of vessel construction progress payments. Other capital expenditures payments were $38.5 million for the three months ended March 31, 2021, compared to $26.1 million for the three months ended March 31, 2020. The increase in other capital expenditures is primarily due to the timing of certain capital project activities incurred during 2021 as compared to 2020. The decrease in proceeds from disposal of property and equipment is primarily due to the sale and leaseback of chassis and container equipment for net proceeds of $14.3 million during the three months ended March 31, 2020. There were no sale and leaseback transactions during the three months ended March 31, 2021.</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Changes in net cash used in financing activities for the three months ended March 31, 2021, compared to the three months ended March 31, 2020,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Repayments of fixed interest debt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Repayments and borrowings under revolving credit facility, net</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of financing costs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r>
      <w:tr>
        <w:trPr>
          <w:trHeight w:val="209"/>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r>
              <w:rPr>
                <w:rFonts w:ascii="Arial" w:cs="Arial" w:eastAsia="Arial" w:hAnsi="Arial"/>
                <w:sz w:val="18"/>
                <w:szCs w:val="18"/>
                <w:u w:val="single" w:color="auto"/>
                <w:color w:val="auto"/>
              </w:rPr>
              <w:t>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87" w:lineRule="auto"/>
        <w:rPr>
          <w:sz w:val="20"/>
          <w:szCs w:val="20"/>
          <w:color w:val="auto"/>
        </w:rPr>
      </w:pPr>
      <w:r>
        <w:rPr>
          <w:rFonts w:ascii="Arial" w:cs="Arial" w:eastAsia="Arial" w:hAnsi="Arial"/>
          <w:sz w:val="16"/>
          <w:szCs w:val="16"/>
          <w:color w:val="auto"/>
        </w:rPr>
        <w:t>During the three months ended March 31, 2021, the Company paid $14.4 million in scheduled fixed debt payments, compared to $11.4 million during the three months ended March 31, 2020. During the three months ended March 31, 2021, the Company decreased net borrowings under the revolving credit facility by $46.8 million, compared to</w:t>
      </w:r>
    </w:p>
    <w:p>
      <w:pPr>
        <w:spacing w:after="0" w:line="2" w:lineRule="exact"/>
        <w:rPr>
          <w:sz w:val="20"/>
          <w:szCs w:val="20"/>
          <w:color w:val="auto"/>
        </w:rPr>
      </w:pPr>
    </w:p>
    <w:p>
      <w:pPr>
        <w:ind w:left="60" w:right="119"/>
        <w:spacing w:after="0" w:line="281" w:lineRule="auto"/>
        <w:rPr>
          <w:sz w:val="20"/>
          <w:szCs w:val="20"/>
          <w:color w:val="auto"/>
        </w:rPr>
      </w:pPr>
      <w:r>
        <w:rPr>
          <w:rFonts w:ascii="Arial" w:cs="Arial" w:eastAsia="Arial" w:hAnsi="Arial"/>
          <w:sz w:val="16"/>
          <w:szCs w:val="16"/>
          <w:color w:val="auto"/>
        </w:rPr>
        <w:t>$22.1 million decrease during the three months ended March 31, 2020. During the three months ended March 31, 2021, the Company paid $3.0 million in financing costs, compared to $3.1 million paid during the three months ended March 31, 2020, related to amendments of its revolving credit facility, private placement term loans and Title XI debt. During the three months ended March 31, 2021, the Company paid $10.1 million in dividends, compared to $9.5 million during the three months ended March 31, 2020. The increase in dividend payments resulted from an increase in dividends declared per share of common stock by the Company. During the three months ended March 31, 2021, the Company paid $14.1 million in taxes related to vested restricted stock units, compared to $4.5 million for the three months ended</w:t>
      </w:r>
    </w:p>
    <w:p>
      <w:pPr>
        <w:spacing w:after="0" w:line="4"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March 31, 2020. The increase in taxes is primarily due to the increase of the Company’s stock price as of the vesting date of the restricted stock units.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March 31, 2021 and December 31, 2020 is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Fixed interest debt</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Total Debt decreased by $61.2 million during the three months ended March 31, 2021. The decrease in the Company’s outstanding revolving credit borrowings was primarily due to the increase in net cash provided by operating activities. The decrease in fixed interest debt was due to the scheduled repayments of private placement term loans and Title XI debt during the three months ended March 31, 2021.</w:t>
      </w:r>
    </w:p>
    <w:p>
      <w:pPr>
        <w:spacing w:after="0" w:line="187"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As of March 31, 2021, the Company had $616.9 million of remaining borrowing availability under the revolving credit facility, with a maturity date of March 31, 2026. The Company’s debt is described in Note 6 of Part I, Item 1 above.</w:t>
      </w:r>
    </w:p>
    <w:p>
      <w:pPr>
        <w:spacing w:after="0" w:line="124"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b w:val="1"/>
          <w:bCs w:val="1"/>
          <w:i w:val="1"/>
          <w:iCs w:val="1"/>
          <w:color w:val="auto"/>
        </w:rPr>
        <w:t xml:space="preserve">Working Capital: </w:t>
      </w:r>
      <w:r>
        <w:rPr>
          <w:rFonts w:ascii="Arial" w:cs="Arial" w:eastAsia="Arial" w:hAnsi="Arial"/>
          <w:sz w:val="17"/>
          <w:szCs w:val="17"/>
          <w:color w:val="auto"/>
        </w:rPr>
        <w:t>The Company had a working capital deficit of $205.2 million and $205.6 million at March 31, 2021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respectively. The Company manages its working capital needs through the use of borrowings on its revolving credit facility which can be received on short notice. The increase in working capital deficit at March 31, 2021 is partially due to the timing of billings and collections associated with accounts receivable and other assets, and the timing of payments associated with accounts payable, accruals and other liabilities.</w:t>
      </w:r>
    </w:p>
    <w:p>
      <w:pPr>
        <w:spacing w:after="0" w:line="172" w:lineRule="exact"/>
        <w:rPr>
          <w:sz w:val="20"/>
          <w:szCs w:val="20"/>
          <w:color w:val="auto"/>
        </w:rPr>
      </w:pPr>
    </w:p>
    <w:p>
      <w:pPr>
        <w:ind w:left="60" w:right="679"/>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jc w:val="both"/>
        <w:ind w:left="60" w:right="99"/>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There were no material changes during this quarter to the Company’s contractual obligations, commitments, contingencies </w:t>
      </w:r>
      <w:hyperlink r:id="rId26">
        <w:r>
          <w:rPr>
            <w:rFonts w:ascii="Arial" w:cs="Arial" w:eastAsia="Arial" w:hAnsi="Arial"/>
            <w:sz w:val="18"/>
            <w:szCs w:val="18"/>
            <w:color w:val="auto"/>
          </w:rPr>
          <w:t xml:space="preserve">and off-balance sheet arrangements that are described in Part II, Item 7 of the Company’s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the year ended December 31, 2020</w:t>
        </w:r>
        <w:r>
          <w:rPr>
            <w:rFonts w:ascii="Arial" w:cs="Arial" w:eastAsia="Arial" w:hAnsi="Arial"/>
            <w:sz w:val="18"/>
            <w:szCs w:val="18"/>
            <w:color w:val="000000"/>
          </w:rPr>
          <w:t>, which is incorporated herein by reference, except as described in Note 6 of Part I, Item</w:t>
        </w:r>
      </w:hyperlink>
      <w:r>
        <w:rPr>
          <w:rFonts w:ascii="Arial" w:cs="Arial" w:eastAsia="Arial" w:hAnsi="Arial"/>
          <w:sz w:val="18"/>
          <w:szCs w:val="18"/>
          <w:color w:val="0000EE"/>
        </w:rPr>
        <w:t xml:space="preserve"> </w:t>
      </w:r>
      <w:r>
        <w:rPr>
          <w:rFonts w:ascii="Arial" w:cs="Arial" w:eastAsia="Arial" w:hAnsi="Arial"/>
          <w:sz w:val="18"/>
          <w:szCs w:val="18"/>
          <w:color w:val="000000"/>
        </w:rPr>
        <w:t>1 above.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color w:val="auto"/>
        </w:rPr>
        <w:t>The Company’s first quarter 2021 cash dividend of $0.23 per share was paid on March 4, 2021. On April 22, 2021, the Company’s Board of Directors declared a cash dividend of $0.23 per share payable on June 3,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have been no material changes to the Company’s market risk position from the information provided under</w:t>
      </w:r>
    </w:p>
    <w:p>
      <w:pPr>
        <w:spacing w:after="0" w:line="35"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2020.</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2021, the Company’s disclosure controls and procedures are effective.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There were no changes in the Company’s internal control over financial reporting (as defined in Rules 13a-15(f) and 15d-15(f) under the Exchange Act) that occurred during the three months ended March 31, 2021, that have materially affected, or are reasonably likely to materially affect, the Company’s internal control over financial reporting.</w:t>
      </w:r>
    </w:p>
    <w:p>
      <w:pPr>
        <w:spacing w:after="0" w:line="149"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Following the end of the first quarter, the Company implemented the financial modules of a new enterprise resource planning (“ERP”) system intended to enhance operating efficiencies and provide more effective management of its business operations. The Company completed significant pre-implementation testing and is currently performing post-implementation monitoring of the financial modules to ensure the continued effectiveness of internal controls over financial reporting. As a result of this implementation, certain internal controls over financial reporting have been automated, modified or implemented. While the Company believes the ERP financial modules system will strengthen its internal control environment, there are inherent risks in implementing any new system. The Company will continue to evaluate these internal control changes as part of its assessment of internal controls over financial reporting throughout 2021.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segment has certain risks that could result in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environmental remediation. The Company believes that based on all information available to it, the Company is currently in compliance, in all material respects, with applicable environmental laws and regulations.</w:t>
      </w:r>
    </w:p>
    <w:p>
      <w:pPr>
        <w:spacing w:after="0" w:line="16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In accordance with SEC rules, with respect to administrative or judicial proceedings involving the environment, the Company has determined that in future filings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8"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There were no material changes to the Company’s risk factors that are described in Part I, Item 1A, “Risk Factors” of the Company’s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70" w:lineRule="exact"/>
        <w:rPr>
          <w:sz w:val="20"/>
          <w:szCs w:val="20"/>
          <w:color w:val="auto"/>
        </w:rPr>
      </w:pPr>
    </w:p>
    <w:p>
      <w:pPr>
        <w:ind w:left="880" w:right="319" w:hanging="822"/>
        <w:spacing w:after="0" w:line="29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35">
        <w:r>
          <w:rPr>
            <w:rFonts w:ascii="Arial" w:cs="Arial" w:eastAsia="Arial" w:hAnsi="Arial"/>
            <w:sz w:val="18"/>
            <w:szCs w:val="18"/>
            <w:u w:val="single" w:color="auto"/>
            <w:color w:val="0000EE"/>
          </w:rPr>
          <w:t>Second Amended and Restated Credit Agreement among Matson, Inc., Bank of America, N.A. as the Agent,</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and the lenders thereto, dated as of March 31, 2021 (incorporated by reference to Exhibit 10.1 of Matson’s</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Form 8-K dated April 5, 2021).</w:t>
        </w:r>
      </w:hyperlink>
    </w:p>
    <w:p>
      <w:pPr>
        <w:spacing w:after="0" w:line="209" w:lineRule="exact"/>
        <w:rPr>
          <w:rFonts w:ascii="Arial" w:cs="Arial" w:eastAsia="Arial" w:hAnsi="Arial"/>
          <w:sz w:val="18"/>
          <w:szCs w:val="18"/>
          <w:u w:val="single" w:color="auto"/>
          <w:color w:val="0000EE"/>
        </w:rPr>
      </w:pPr>
    </w:p>
    <w:p>
      <w:pPr>
        <w:ind w:left="880" w:right="179" w:hanging="822"/>
        <w:spacing w:after="0" w:line="377"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36">
        <w:r>
          <w:rPr>
            <w:rFonts w:ascii="Arial" w:cs="Arial" w:eastAsia="Arial" w:hAnsi="Arial"/>
            <w:sz w:val="16"/>
            <w:szCs w:val="16"/>
            <w:u w:val="single" w:color="auto"/>
            <w:color w:val="0000EE"/>
          </w:rPr>
          <w:t>Amendment to Third Amended and Restated Note Purchase Agreement and Private Shelf Agreement, dated as</w:t>
        </w:r>
      </w:hyperlink>
      <w:r>
        <w:rPr>
          <w:rFonts w:ascii="Arial" w:cs="Arial" w:eastAsia="Arial" w:hAnsi="Arial"/>
          <w:sz w:val="16"/>
          <w:szCs w:val="16"/>
          <w:u w:val="single" w:color="auto"/>
          <w:color w:val="0000EE"/>
        </w:rPr>
        <w:t xml:space="preserve"> </w:t>
      </w:r>
      <w:hyperlink r:id="rId36">
        <w:r>
          <w:rPr>
            <w:rFonts w:ascii="Arial" w:cs="Arial" w:eastAsia="Arial" w:hAnsi="Arial"/>
            <w:sz w:val="16"/>
            <w:szCs w:val="16"/>
            <w:u w:val="single" w:color="auto"/>
            <w:color w:val="0000EE"/>
          </w:rPr>
          <w:t>of March 31, 2021 (incorporated by reference to Exhibit 10.2 of Matson’s Form 8-K dated April 5, 2021).</w:t>
        </w:r>
      </w:hyperlink>
    </w:p>
    <w:p>
      <w:pPr>
        <w:spacing w:after="0" w:line="137" w:lineRule="exact"/>
        <w:rPr>
          <w:sz w:val="20"/>
          <w:szCs w:val="20"/>
          <w:color w:val="auto"/>
        </w:rPr>
      </w:pPr>
    </w:p>
    <w:p>
      <w:pPr>
        <w:ind w:left="880" w:right="159" w:hanging="822"/>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37">
        <w:r>
          <w:rPr>
            <w:rFonts w:ascii="Arial" w:cs="Arial" w:eastAsia="Arial" w:hAnsi="Arial"/>
            <w:sz w:val="18"/>
            <w:szCs w:val="18"/>
            <w:u w:val="single" w:color="auto"/>
            <w:color w:val="0000EE"/>
          </w:rPr>
          <w:t>Amendment to Note Purchase Agreement dated December 21, 2016, dated as of March 31, 2021 (incorporated</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by reference to Exhibit 10.3 of Matson’s Form 8-K dated April 5, 2021).</w:t>
        </w:r>
      </w:hyperlink>
    </w:p>
    <w:p>
      <w:pPr>
        <w:spacing w:after="0" w:line="211" w:lineRule="exact"/>
        <w:rPr>
          <w:sz w:val="20"/>
          <w:szCs w:val="20"/>
          <w:color w:val="auto"/>
        </w:rPr>
      </w:pPr>
    </w:p>
    <w:p>
      <w:pPr>
        <w:ind w:left="880" w:right="35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5">
        <w:r>
          <w:rPr>
            <w:rFonts w:ascii="Arial" w:cs="Arial" w:eastAsia="Arial" w:hAnsi="Arial"/>
            <w:sz w:val="18"/>
            <w:szCs w:val="18"/>
            <w:u w:val="single" w:color="auto"/>
            <w:color w:val="0000EE"/>
          </w:rPr>
          <w:t>Certification of Chief Executive Officer pursuant to Rule 13a-14(a) or 15d-14(a) of the Securities Exchange</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Act of 1934.</w:t>
        </w:r>
      </w:hyperlink>
    </w:p>
    <w:p>
      <w:pPr>
        <w:spacing w:after="0" w:line="198" w:lineRule="exact"/>
        <w:rPr>
          <w:sz w:val="20"/>
          <w:szCs w:val="20"/>
          <w:color w:val="auto"/>
        </w:rPr>
      </w:pPr>
    </w:p>
    <w:p>
      <w:pPr>
        <w:ind w:left="880" w:right="11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26">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of 1934.</w:t>
        </w:r>
      </w:hyperlink>
    </w:p>
    <w:p>
      <w:pPr>
        <w:spacing w:after="0" w:line="198" w:lineRule="exact"/>
        <w:rPr>
          <w:sz w:val="20"/>
          <w:szCs w:val="20"/>
          <w:color w:val="auto"/>
        </w:rPr>
      </w:pPr>
    </w:p>
    <w:p>
      <w:pPr>
        <w:ind w:left="880" w:hanging="824"/>
        <w:spacing w:after="0"/>
        <w:tabs>
          <w:tab w:leader="none" w:pos="880" w:val="left"/>
        </w:tabs>
        <w:numPr>
          <w:ilvl w:val="0"/>
          <w:numId w:val="24"/>
        </w:numPr>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Certification of Chief Executive Officer and Chief Financial Officer pursuant to 18 U.S.C. Section 1350.</w:t>
        </w:r>
      </w:hyperlink>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7760" w:type="dxa"/>
            <w:vAlign w:val="bottom"/>
          </w:tcPr>
          <w:p>
            <w:pPr>
              <w:ind w:left="8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w:t>
            </w:r>
          </w:p>
        </w:tc>
      </w:tr>
      <w:tr>
        <w:trPr>
          <w:trHeight w:val="243"/>
        </w:trPr>
        <w:tc>
          <w:tcPr>
            <w:tcW w:w="7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56" w:lineRule="exact"/>
        <w:rPr>
          <w:sz w:val="20"/>
          <w:szCs w:val="20"/>
          <w:color w:val="auto"/>
        </w:rPr>
      </w:pPr>
    </w:p>
    <w:p>
      <w:pPr>
        <w:ind w:left="880" w:hanging="8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as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6"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April 28, 2021</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Arial" w:cs="Arial" w:eastAsia="Arial" w:hAnsi="Arial"/>
          <w:sz w:val="18"/>
          <w:szCs w:val="18"/>
          <w:color w:val="auto"/>
        </w:rPr>
        <w:t>Date: April 28, 2021</w:t>
      </w:r>
      <w:r>
        <w:rPr>
          <w:sz w:val="20"/>
          <w:szCs w:val="20"/>
          <w:color w:val="auto"/>
        </w:rPr>
        <w:tab/>
      </w:r>
      <w:r>
        <w:rPr>
          <w:rFonts w:ascii="Arial" w:cs="Arial" w:eastAsia="Arial" w:hAnsi="Arial"/>
          <w:sz w:val="16"/>
          <w:szCs w:val="16"/>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880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98"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6350</wp:posOffset>
            </wp:positionV>
            <wp:extent cx="29229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Matthew J. Cox, Chairman and</w:t>
      </w:r>
    </w:p>
    <w:p>
      <w:pPr>
        <w:ind w:left="53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 w:name="page26"/>
    <w:bookmarkEnd w:id="25"/>
    <w:p>
      <w:pPr>
        <w:ind w:left="880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98"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6350</wp:posOffset>
            </wp:positionV>
            <wp:extent cx="2914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Joel M. Wine, Executive Vice President and</w:t>
      </w:r>
    </w:p>
    <w:p>
      <w:pPr>
        <w:ind w:left="53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ind w:left="7960"/>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02" w:lineRule="exact"/>
        <w:rPr>
          <w:sz w:val="20"/>
          <w:szCs w:val="20"/>
          <w:color w:val="auto"/>
        </w:rPr>
      </w:pPr>
    </w:p>
    <w:p>
      <w:pPr>
        <w:ind w:left="60" w:right="119"/>
        <w:spacing w:after="0" w:line="284"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March 31, 2021,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42" w:lineRule="exact"/>
        <w:rPr>
          <w:sz w:val="20"/>
          <w:szCs w:val="20"/>
          <w:color w:val="auto"/>
        </w:rPr>
      </w:pPr>
    </w:p>
    <w:p>
      <w:pPr>
        <w:ind w:left="60" w:right="519" w:hanging="10"/>
        <w:spacing w:after="0" w:line="261" w:lineRule="auto"/>
        <w:tabs>
          <w:tab w:leader="none" w:pos="7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0" w:right="99" w:hanging="10"/>
        <w:spacing w:after="0" w:line="261" w:lineRule="auto"/>
        <w:tabs>
          <w:tab w:leader="none" w:pos="7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983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Matthew J. Cox</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Chairman and Chief Executive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April 28, 2021</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983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Joel M. Wine</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
      <w:numFmt w:val="bullet"/>
      <w:start w:val="1"/>
    </w:lvl>
  </w:abstractNum>
  <w:abstractNum w:abstractNumId="8">
    <w:nsid w:val="333AB105"/>
    <w:multiLevelType w:val="hybridMultilevel"/>
    <w:lvl w:ilvl="0">
      <w:lvlJc w:val="left"/>
      <w:lvlText w:val=" "/>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3"/>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4"/>
    </w:lvl>
  </w:abstractNum>
  <w:abstractNum w:abstractNumId="13">
    <w:nsid w:val="75A2A8D4"/>
    <w:multiLevelType w:val="hybridMultilevel"/>
    <w:lvl w:ilvl="0">
      <w:lvlJc w:val="left"/>
      <w:lvlText w:val="%1."/>
      <w:numFmt w:val="decimal"/>
      <w:start w:val="5"/>
    </w:lvl>
  </w:abstractNum>
  <w:abstractNum w:abstractNumId="14">
    <w:nsid w:val="8EDBDAB"/>
    <w:multiLevelType w:val="hybridMultilevel"/>
    <w:lvl w:ilvl="0">
      <w:lvlJc w:val="left"/>
      <w:lvlText w:val="%1."/>
      <w:numFmt w:val="decimal"/>
      <w:start w:val="6"/>
    </w:lvl>
  </w:abstractNum>
  <w:abstractNum w:abstractNumId="15">
    <w:nsid w:val="79838CB2"/>
    <w:multiLevelType w:val="hybridMultilevel"/>
    <w:lvl w:ilvl="0">
      <w:lvlJc w:val="left"/>
      <w:lvlText w:val="%1."/>
      <w:numFmt w:val="decimal"/>
      <w:start w:val="7"/>
    </w:lvl>
  </w:abstractNum>
  <w:abstractNum w:abstractNumId="16">
    <w:nsid w:val="4353D0CD"/>
    <w:multiLevelType w:val="hybridMultilevel"/>
    <w:lvl w:ilvl="0">
      <w:lvlJc w:val="left"/>
      <w:lvlText w:val="%1."/>
      <w:numFmt w:val="decimal"/>
      <w:start w:val="8"/>
    </w:lvl>
  </w:abstractNum>
  <w:abstractNum w:abstractNumId="17">
    <w:nsid w:val="B03E0C6"/>
    <w:multiLevelType w:val="hybridMultilevel"/>
    <w:lvl w:ilvl="0">
      <w:lvlJc w:val="left"/>
      <w:lvlText w:val="%1."/>
      <w:numFmt w:val="decimal"/>
      <w:start w:val="9"/>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1."/>
      <w:numFmt w:val="decimal"/>
      <w:start w:val="11"/>
    </w:lvl>
  </w:abstractNum>
  <w:abstractNum w:abstractNumId="20">
    <w:nsid w:val="71F32454"/>
    <w:multiLevelType w:val="hybridMultilevel"/>
    <w:lvl w:ilvl="0">
      <w:lvlJc w:val="left"/>
      <w:lvlText w:val="%1."/>
      <w:numFmt w:val="decimal"/>
      <w:start w:val="12"/>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32"/>
    </w:lvl>
  </w:abstractNum>
  <w:abstractNum w:abstractNumId="24">
    <w:nsid w:val="3A95F874"/>
    <w:multiLevelType w:val="hybridMultilevel"/>
    <w:lvl w:ilvl="0">
      <w:lvlJc w:val="left"/>
      <w:lvlText w:val="%1"/>
      <w:numFmt w:val="decimal"/>
      <w:start w:val="104"/>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decimal"/>
      <w:start w:val="5"/>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5"/>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26" Type="http://schemas.openxmlformats.org/officeDocument/2006/relationships/hyperlink" Target="https://www.sec.gov/ix?doc=/Archives/edgar/data/3453/000155837021001909/matx-20201231x10k.htm" TargetMode="External"/><Relationship Id="rId35" Type="http://schemas.openxmlformats.org/officeDocument/2006/relationships/hyperlink" Target="https://www.sec.gov/Archives/edgar/data/3453/000155837021003980/matx-20210331xex10d1.htm" TargetMode="External"/><Relationship Id="rId36" Type="http://schemas.openxmlformats.org/officeDocument/2006/relationships/hyperlink" Target="https://www.sec.gov/Archives/edgar/data/3453/000155837021003980/matx-20210331xex10d2.htm" TargetMode="External"/><Relationship Id="rId37" Type="http://schemas.openxmlformats.org/officeDocument/2006/relationships/hyperlink" Target="https://www.sec.gov/Archives/edgar/data/3453/000155837021003980/matx-20210331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2021-04-28T05:58:09Z</dcterms:created>
  <dcterms:modified xsi:type="dcterms:W3CDTF">2021-04-28T05:58:09Z</dcterms:modified>
</cp:coreProperties>
</file>