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60" w:type="dxa"/>
            <w:vAlign w:val="bottom"/>
          </w:tcPr>
          <w:p>
            <w:pPr>
              <w:ind w:left="182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718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4960" w:type="dxa"/>
            <w:vAlign w:val="bottom"/>
          </w:tcPr>
          <w:p>
            <w:pPr>
              <w:jc w:val="center"/>
              <w:ind w:left="2883"/>
              <w:spacing w:after="0"/>
              <w:rPr>
                <w:sz w:val="20"/>
                <w:szCs w:val="20"/>
                <w:color w:val="auto"/>
              </w:rPr>
            </w:pPr>
            <w:r>
              <w:rPr>
                <w:rFonts w:ascii="Arial" w:cs="Arial" w:eastAsia="Arial" w:hAnsi="Arial"/>
                <w:sz w:val="32"/>
                <w:szCs w:val="32"/>
                <w:b w:val="1"/>
                <w:bCs w:val="1"/>
                <w:color w:val="auto"/>
                <w:w w:val="94"/>
              </w:rPr>
              <w:t>Matson, Inc.</w:t>
            </w:r>
          </w:p>
        </w:tc>
        <w:tc>
          <w:tcPr>
            <w:tcW w:w="2220" w:type="dxa"/>
            <w:vAlign w:val="bottom"/>
          </w:tcPr>
          <w:p>
            <w:pPr>
              <w:spacing w:after="0"/>
              <w:rPr>
                <w:sz w:val="24"/>
                <w:szCs w:val="24"/>
                <w:color w:val="auto"/>
              </w:rPr>
            </w:pPr>
          </w:p>
        </w:tc>
      </w:tr>
      <w:tr>
        <w:trPr>
          <w:trHeight w:val="230"/>
        </w:trPr>
        <w:tc>
          <w:tcPr>
            <w:tcW w:w="718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4960" w:type="dxa"/>
            <w:vAlign w:val="bottom"/>
          </w:tcPr>
          <w:p>
            <w:pPr>
              <w:jc w:val="center"/>
              <w:ind w:right="2043"/>
              <w:spacing w:after="0"/>
              <w:rPr>
                <w:sz w:val="20"/>
                <w:szCs w:val="20"/>
                <w:color w:val="auto"/>
              </w:rPr>
            </w:pPr>
            <w:r>
              <w:rPr>
                <w:rFonts w:ascii="Arial" w:cs="Arial" w:eastAsia="Arial" w:hAnsi="Arial"/>
                <w:sz w:val="18"/>
                <w:szCs w:val="18"/>
                <w:b w:val="1"/>
                <w:bCs w:val="1"/>
                <w:color w:val="auto"/>
                <w:w w:val="94"/>
              </w:rPr>
              <w:t>Hawaii</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960" w:type="dxa"/>
            <w:vAlign w:val="bottom"/>
          </w:tcPr>
          <w:p>
            <w:pPr>
              <w:jc w:val="center"/>
              <w:ind w:right="204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tcPr>
          <w:p>
            <w:pPr>
              <w:jc w:val="center"/>
              <w:ind w:right="206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960" w:type="dxa"/>
            <w:vAlign w:val="bottom"/>
          </w:tcPr>
          <w:p>
            <w:pPr>
              <w:jc w:val="center"/>
              <w:ind w:right="2063"/>
              <w:spacing w:after="0"/>
              <w:rPr>
                <w:sz w:val="20"/>
                <w:szCs w:val="20"/>
                <w:color w:val="auto"/>
              </w:rPr>
            </w:pPr>
            <w:r>
              <w:rPr>
                <w:rFonts w:ascii="Arial" w:cs="Arial" w:eastAsia="Arial" w:hAnsi="Arial"/>
                <w:sz w:val="18"/>
                <w:szCs w:val="18"/>
                <w:b w:val="1"/>
                <w:bCs w:val="1"/>
                <w:color w:val="auto"/>
                <w:w w:val="91"/>
              </w:rPr>
              <w:t>1411 Sand Island Parkway</w:t>
            </w:r>
          </w:p>
        </w:tc>
        <w:tc>
          <w:tcPr>
            <w:tcW w:w="2220" w:type="dxa"/>
            <w:vAlign w:val="bottom"/>
          </w:tcPr>
          <w:p>
            <w:pPr>
              <w:spacing w:after="0"/>
              <w:rPr>
                <w:sz w:val="24"/>
                <w:szCs w:val="24"/>
                <w:color w:val="auto"/>
              </w:rPr>
            </w:pPr>
          </w:p>
        </w:tc>
      </w:tr>
      <w:tr>
        <w:trPr>
          <w:trHeight w:val="193"/>
        </w:trPr>
        <w:tc>
          <w:tcPr>
            <w:tcW w:w="4960" w:type="dxa"/>
            <w:vAlign w:val="bottom"/>
          </w:tcPr>
          <w:p>
            <w:pPr>
              <w:jc w:val="center"/>
              <w:ind w:right="204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960" w:type="dxa"/>
            <w:vAlign w:val="bottom"/>
          </w:tcPr>
          <w:p>
            <w:pPr>
              <w:jc w:val="center"/>
              <w:ind w:right="200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September 30, 2021: 42,031,967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Part II—OTHER INFORMATION</w:t>
              </w:r>
            </w:hyperlink>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64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20" w:type="dxa"/>
            <w:vAlign w:val="bottom"/>
          </w:tcPr>
          <w:p>
            <w:pPr>
              <w:spacing w:after="0"/>
              <w:rPr>
                <w:sz w:val="14"/>
                <w:szCs w:val="14"/>
                <w:color w:val="auto"/>
              </w:rPr>
            </w:pPr>
          </w:p>
        </w:tc>
        <w:tc>
          <w:tcPr>
            <w:tcW w:w="1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6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2,106.9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(495.8)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(1,809.6)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(1,370.4)</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Income from SSAT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(546.8)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(1,946.3)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(1,520.6)</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4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420" w:type="dxa"/>
            <w:vAlign w:val="bottom"/>
            <w:gridSpan w:val="2"/>
          </w:tcPr>
          <w:p>
            <w:pPr>
              <w:ind w:left="340"/>
              <w:spacing w:after="0"/>
              <w:rPr>
                <w:sz w:val="20"/>
                <w:szCs w:val="20"/>
                <w:color w:val="auto"/>
              </w:rPr>
            </w:pPr>
            <w:r>
              <w:rPr>
                <w:rFonts w:ascii="Arial" w:cs="Arial" w:eastAsia="Arial" w:hAnsi="Arial"/>
                <w:sz w:val="18"/>
                <w:szCs w:val="18"/>
                <w:color w:val="auto"/>
              </w:rPr>
              <w:t>Other adjustments</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7"/>
              </w:rPr>
              <w:t>Accounts receivable, net of allowance for credit loss of $9.0 million and $6.3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million, respectively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Investment in SSAT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dry-docking costs, 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accruals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Long-term debt, net of deferred loan fees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3,222.8</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532.9</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(75.2)</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(72.1)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3"/>
        </w:trPr>
        <w:tc>
          <w:tcPr>
            <w:tcW w:w="656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583.3</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(244.7)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debt</w:t>
            </w:r>
          </w:p>
        </w:tc>
        <w:tc>
          <w:tcPr>
            <w:tcW w:w="24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debt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304.3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(376.1)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(803.5)</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Payment of financing costs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(33.3)</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Matson common stock</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(14.4)</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6"/>
        </w:trPr>
        <w:tc>
          <w:tcPr>
            <w:tcW w:w="6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75.9</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20"/>
              <w:spacing w:after="0"/>
              <w:rPr>
                <w:sz w:val="20"/>
                <w:szCs w:val="20"/>
                <w:color w:val="auto"/>
              </w:rPr>
            </w:pPr>
            <w:r>
              <w:rPr>
                <w:rFonts w:ascii="Arial" w:cs="Arial" w:eastAsia="Arial" w:hAnsi="Arial"/>
                <w:sz w:val="16"/>
                <w:szCs w:val="16"/>
                <w:color w:val="auto"/>
              </w:rPr>
              <w:t>Income tax payments and (refunds), net</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162.1</w:t>
            </w:r>
          </w:p>
        </w:tc>
        <w:tc>
          <w:tcPr>
            <w:tcW w:w="2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rPr>
                <w:sz w:val="20"/>
                <w:szCs w:val="20"/>
                <w:color w:val="auto"/>
              </w:rPr>
            </w:pPr>
            <w:r>
              <w:rPr>
                <w:rFonts w:ascii="Arial" w:cs="Arial" w:eastAsia="Arial" w:hAnsi="Arial"/>
                <w:sz w:val="16"/>
                <w:szCs w:val="16"/>
                <w:color w:val="auto"/>
              </w:rPr>
              <w:t>Non-cash Information:</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14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149"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w w:val="94"/>
              </w:rPr>
              <w:t>Common Stock</w:t>
            </w:r>
          </w:p>
        </w:tc>
        <w:tc>
          <w:tcPr>
            <w:tcW w:w="7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10"/>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w w:val="98"/>
              </w:rPr>
              <w:t>Stated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rPr>
              <w:t>Paid In</w:t>
            </w:r>
          </w:p>
        </w:tc>
        <w:tc>
          <w:tcPr>
            <w:tcW w:w="96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Comprehensive</w:t>
            </w:r>
          </w:p>
        </w:tc>
        <w:tc>
          <w:tcPr>
            <w:tcW w:w="60" w:type="dxa"/>
            <w:vAlign w:val="bottom"/>
          </w:tcPr>
          <w:p>
            <w:pPr>
              <w:spacing w:after="0"/>
              <w:rPr>
                <w:sz w:val="9"/>
                <w:szCs w:val="9"/>
                <w:color w:val="auto"/>
              </w:rPr>
            </w:pPr>
          </w:p>
        </w:tc>
        <w:tc>
          <w:tcPr>
            <w:tcW w:w="780" w:type="dxa"/>
            <w:vAlign w:val="bottom"/>
            <w:gridSpan w:val="4"/>
          </w:tcPr>
          <w:p>
            <w:pPr>
              <w:ind w:left="60"/>
              <w:spacing w:after="0" w:line="110" w:lineRule="exact"/>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53"/>
        </w:trPr>
        <w:tc>
          <w:tcPr>
            <w:tcW w:w="4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Value</w:t>
            </w:r>
          </w:p>
        </w:tc>
        <w:tc>
          <w:tcPr>
            <w:tcW w:w="60" w:type="dxa"/>
            <w:vAlign w:val="bottom"/>
          </w:tcPr>
          <w:p>
            <w:pPr>
              <w:spacing w:after="0"/>
              <w:rPr>
                <w:sz w:val="13"/>
                <w:szCs w:val="13"/>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960" w:type="dxa"/>
            <w:vAlign w:val="bottom"/>
            <w:gridSpan w:val="5"/>
          </w:tcPr>
          <w:p>
            <w:pPr>
              <w:ind w:left="40"/>
              <w:spacing w:after="0"/>
              <w:rPr>
                <w:sz w:val="20"/>
                <w:szCs w:val="20"/>
                <w:color w:val="auto"/>
              </w:rPr>
            </w:pPr>
            <w:r>
              <w:rPr>
                <w:rFonts w:ascii="Arial" w:cs="Arial" w:eastAsia="Arial" w:hAnsi="Arial"/>
                <w:sz w:val="13"/>
                <w:szCs w:val="13"/>
                <w:b w:val="1"/>
                <w:bCs w:val="1"/>
                <w:color w:val="auto"/>
              </w:rPr>
              <w:t>Income (Loss)</w:t>
            </w:r>
          </w:p>
        </w:tc>
        <w:tc>
          <w:tcPr>
            <w:tcW w:w="6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43.2</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$ 32.4</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$ 321.5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961.2</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Dividends ($0.23 per share)</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196"/>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43.4</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735.2</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1,028.9</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162.5</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Dividends ($0.23 per share and $0.30 per share)</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196"/>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43.5</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874.4</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1,172.8</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283.2</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Shares repurchased</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(115.7)</w:t>
            </w:r>
          </w:p>
        </w:tc>
      </w:tr>
      <w:tr>
        <w:trPr>
          <w:trHeight w:val="196"/>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September 30, 2021</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$ 31.5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$ 313.9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0"/>
              </w:rPr>
              <w:t>$ 1,050.3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1,344.8</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9"/>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53"/>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7"/>
          </w:tcPr>
          <w:p>
            <w:pPr>
              <w:ind w:left="12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Additional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10"/>
        </w:trPr>
        <w:tc>
          <w:tcPr>
            <w:tcW w:w="4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ind w:left="80"/>
              <w:spacing w:after="0" w:line="110" w:lineRule="exact"/>
              <w:rPr>
                <w:sz w:val="20"/>
                <w:szCs w:val="20"/>
                <w:color w:val="auto"/>
              </w:rPr>
            </w:pPr>
            <w:r>
              <w:rPr>
                <w:rFonts w:ascii="Arial" w:cs="Arial" w:eastAsia="Arial" w:hAnsi="Arial"/>
                <w:sz w:val="12"/>
                <w:szCs w:val="12"/>
                <w:b w:val="1"/>
                <w:bCs w:val="1"/>
                <w:color w:val="auto"/>
              </w:rPr>
              <w:t>Stated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rPr>
              <w:t>Paid In</w:t>
            </w:r>
          </w:p>
        </w:tc>
        <w:tc>
          <w:tcPr>
            <w:tcW w:w="40" w:type="dxa"/>
            <w:vAlign w:val="bottom"/>
          </w:tcPr>
          <w:p>
            <w:pPr>
              <w:spacing w:after="0"/>
              <w:rPr>
                <w:sz w:val="9"/>
                <w:szCs w:val="9"/>
                <w:color w:val="auto"/>
              </w:rPr>
            </w:pPr>
          </w:p>
        </w:tc>
        <w:tc>
          <w:tcPr>
            <w:tcW w:w="92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w w:val="97"/>
              </w:rPr>
              <w:t>Comprehensive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53"/>
        </w:trPr>
        <w:tc>
          <w:tcPr>
            <w:tcW w:w="4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52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580" w:type="dxa"/>
            <w:vAlign w:val="bottom"/>
            <w:gridSpan w:val="3"/>
          </w:tcPr>
          <w:p>
            <w:pPr>
              <w:ind w:left="100"/>
              <w:spacing w:after="0"/>
              <w:rPr>
                <w:sz w:val="20"/>
                <w:szCs w:val="20"/>
                <w:color w:val="auto"/>
              </w:rPr>
            </w:pPr>
            <w:r>
              <w:rPr>
                <w:rFonts w:ascii="Arial" w:cs="Arial" w:eastAsia="Arial" w:hAnsi="Arial"/>
                <w:sz w:val="13"/>
                <w:szCs w:val="13"/>
                <w:b w:val="1"/>
                <w:bCs w:val="1"/>
                <w:color w:val="auto"/>
              </w:rPr>
              <w:t>Value</w:t>
            </w:r>
          </w:p>
        </w:tc>
        <w:tc>
          <w:tcPr>
            <w:tcW w:w="6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Capital</w:t>
            </w:r>
          </w:p>
        </w:tc>
        <w:tc>
          <w:tcPr>
            <w:tcW w:w="40" w:type="dxa"/>
            <w:vAlign w:val="bottom"/>
          </w:tcPr>
          <w:p>
            <w:pPr>
              <w:spacing w:after="0"/>
              <w:rPr>
                <w:sz w:val="13"/>
                <w:szCs w:val="13"/>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96"/>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$ 32.2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$ 306.2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504.2</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805.7</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Equity interest in SSAT</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0"/>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Balance at March 31, 2020</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43.0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800.2</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380" w:type="dxa"/>
            <w:vAlign w:val="bottom"/>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 and $0.23 per share)</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196"/>
        </w:trPr>
        <w:tc>
          <w:tcPr>
            <w:tcW w:w="4520" w:type="dxa"/>
            <w:vAlign w:val="bottom"/>
            <w:gridSpan w:val="2"/>
          </w:tcPr>
          <w:p>
            <w:pPr>
              <w:ind w:left="20"/>
              <w:spacing w:after="0"/>
              <w:rPr>
                <w:sz w:val="20"/>
                <w:szCs w:val="20"/>
                <w:color w:val="auto"/>
              </w:rPr>
            </w:pPr>
            <w:r>
              <w:rPr>
                <w:rFonts w:ascii="Arial" w:cs="Arial" w:eastAsia="Arial" w:hAnsi="Arial"/>
                <w:sz w:val="17"/>
                <w:szCs w:val="17"/>
                <w:color w:val="auto"/>
              </w:rPr>
              <w:t>Balance at June 30, 2020</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306.7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(37.4)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513.9</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815.5</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45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4520" w:type="dxa"/>
            <w:vAlign w:val="bottom"/>
            <w:gridSpan w:val="2"/>
          </w:tcPr>
          <w:p>
            <w:pPr>
              <w:ind w:left="120"/>
              <w:spacing w:after="0"/>
              <w:rPr>
                <w:sz w:val="20"/>
                <w:szCs w:val="20"/>
                <w:color w:val="auto"/>
              </w:rPr>
            </w:pPr>
            <w:r>
              <w:rPr>
                <w:rFonts w:ascii="Arial" w:cs="Arial" w:eastAsia="Arial" w:hAnsi="Arial"/>
                <w:sz w:val="17"/>
                <w:szCs w:val="17"/>
                <w:color w:val="auto"/>
              </w:rPr>
              <w:t>Shares issued, net of shares withheld for employee taxes</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196"/>
        </w:trPr>
        <w:tc>
          <w:tcPr>
            <w:tcW w:w="4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September 30, 2020</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$ 312.6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891.8</w:t>
            </w: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and provides services to Okinawa, Japan and various islands in the South Pacific, and operates an international export service from Dutch Harbor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seven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Matson Logistics, established in 1987, extends the geographic reach of Matson’s transportation network throughout North America,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200" w:lineRule="exact"/>
        <w:rPr>
          <w:sz w:val="20"/>
          <w:szCs w:val="20"/>
          <w:color w:val="auto"/>
        </w:rPr>
      </w:pPr>
    </w:p>
    <w:p>
      <w:pPr>
        <w:spacing w:after="0" w:line="208"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2020, filed with the Securities and Exchange Commission (“SEC”) on February 26,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 xml:space="preserve">Fiscal Period: </w:t>
      </w:r>
      <w:r>
        <w:rPr>
          <w:rFonts w:ascii="Arial" w:cs="Arial" w:eastAsia="Arial" w:hAnsi="Arial"/>
          <w:sz w:val="17"/>
          <w:szCs w:val="17"/>
          <w:color w:val="auto"/>
        </w:rPr>
        <w:t>The period end for Matson covered by this report is September 30, 2021. The period end for MatNav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its subsidiaries covered by this report occurred on the last Friday in September, or September 24, 2021.</w:t>
      </w:r>
    </w:p>
    <w:p>
      <w:pPr>
        <w:spacing w:after="0" w:line="14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2020.</w:t>
      </w:r>
    </w:p>
    <w:p>
      <w:pPr>
        <w:spacing w:after="0" w:line="184"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the interim condensed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insurance reserves and other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Expenses: </w:t>
      </w:r>
      <w:r>
        <w:rPr>
          <w:rFonts w:ascii="Arial" w:cs="Arial" w:eastAsia="Arial" w:hAnsi="Arial"/>
          <w:sz w:val="18"/>
          <w:szCs w:val="18"/>
          <w:color w:val="auto"/>
        </w:rPr>
        <w:t>Revenue in the Company’s Condensed Consolidated Financial Statements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6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$ 2,083.8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$ 1,284.5</w:t>
            </w: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r>
              <w:rPr>
                <w:rFonts w:ascii="Arial" w:cs="Arial" w:eastAsia="Arial" w:hAnsi="Arial"/>
                <w:sz w:val="18"/>
                <w:szCs w:val="18"/>
                <w:u w:val="single" w:color="auto"/>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$ 2,106.9</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$ 1,310.0</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78" w:lineRule="exact"/>
        <w:rPr>
          <w:sz w:val="20"/>
          <w:szCs w:val="20"/>
          <w:color w:val="auto"/>
        </w:rPr>
      </w:pPr>
    </w:p>
    <w:p>
      <w:pPr>
        <w:ind w:left="380" w:right="119"/>
        <w:spacing w:after="0" w:line="259" w:lineRule="auto"/>
        <w:rPr>
          <w:sz w:val="20"/>
          <w:szCs w:val="20"/>
          <w:color w:val="auto"/>
        </w:rPr>
      </w:pPr>
      <w:r>
        <w:rPr>
          <w:rFonts w:ascii="Arial" w:cs="Arial" w:eastAsia="Arial" w:hAnsi="Arial"/>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17"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5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5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54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79" w:hanging="330"/>
        <w:spacing w:after="0" w:line="335"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5 percent of transportation brokerage and freight forwarding services revenue, and supply chain management and other services revenue categories which are denominated in foreign currencies.</w:t>
      </w:r>
    </w:p>
    <w:p>
      <w:pPr>
        <w:spacing w:after="0" w:line="32" w:lineRule="exact"/>
        <w:rPr>
          <w:sz w:val="20"/>
          <w:szCs w:val="20"/>
          <w:color w:val="auto"/>
        </w:rPr>
      </w:pPr>
    </w:p>
    <w:p>
      <w:pPr>
        <w:ind w:left="380" w:right="99"/>
        <w:spacing w:after="0" w:line="296" w:lineRule="auto"/>
        <w:rPr>
          <w:sz w:val="20"/>
          <w:szCs w:val="20"/>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99"/>
        <w:spacing w:after="0" w:line="255" w:lineRule="auto"/>
        <w:rPr>
          <w:sz w:val="20"/>
          <w:szCs w:val="20"/>
          <w:color w:val="auto"/>
        </w:rPr>
      </w:pPr>
      <w:r>
        <w:rPr>
          <w:rFonts w:ascii="Arial" w:cs="Arial" w:eastAsia="Arial" w:hAnsi="Arial"/>
          <w:sz w:val="18"/>
          <w:szCs w:val="18"/>
          <w:color w:val="auto"/>
        </w:rPr>
        <w:t>the Company serves as the principal in these transactions because it is responsible for fulfilling the contractual arrangements with the customer and has latitude in establishing prices.</w:t>
      </w:r>
    </w:p>
    <w:p>
      <w:pPr>
        <w:spacing w:after="0" w:line="2" w:lineRule="exact"/>
        <w:rPr>
          <w:sz w:val="20"/>
          <w:szCs w:val="20"/>
          <w:color w:val="auto"/>
        </w:rPr>
      </w:pPr>
    </w:p>
    <w:p>
      <w:pPr>
        <w:ind w:left="380" w:right="99"/>
        <w:spacing w:after="0" w:line="266"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2" w:lineRule="exact"/>
        <w:rPr>
          <w:sz w:val="20"/>
          <w:szCs w:val="20"/>
          <w:color w:val="auto"/>
        </w:rPr>
      </w:pP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78"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included in Part II, Item 8 of the Company’s Annual Report on Form 10-K for the year ended December 31, 2020. As of September 30, 2021 and December 31, 2020, $1.8 million and $1.7 million of eligible accounts receivable was assigned to the CCF, respectively.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nine months ended September 30, 2021, the Company deposited $31.2 million into the CCF and made qualifying cash withdrawals of $31.2 million from the CCF. The Company made no qualifying cash deposits or withdrawals during the three months ended September 30, 2021. The balance of cash on deposit at September 30, 2021 and December 31, 2020 was nominal.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for SSAT for the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consisted of the following:</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(274.2)</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(243.1)</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(831.3)</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(738.4)</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Company’s investment in SSAT was $37.2 million and $48.7 million at September 30, 2021 and December 31, 2020, respectively.</w:t>
      </w:r>
    </w:p>
    <w:p>
      <w:pPr>
        <w:spacing w:after="0" w:line="170"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Company’s third quarter 2021 cash dividend of $0.30 per share was paid on September 2, 2021.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28, 2021, the Company’s Board of Directors declared a cash dividend of $0.30 per share payable on December 2, 2021.</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hanging="590"/>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92"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$57.8 million and $40.2 million for the three months ended September 30, 2021 and 2020, and $140.5 million and $83.8 million for the nine months ended September 30, 2021 and 2020, respectively, have been eliminated from operating revenues in the table below.</w:t>
      </w:r>
    </w:p>
    <w:p>
      <w:pPr>
        <w:spacing w:after="0" w:line="1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Reportable segment financial information for the three and nine months ended September 30, 2021 and 2020 are as follows: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5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863.5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498.3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2,106.9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1,310.0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1,071.6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645.2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2,658.3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1,683.2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220"/>
              <w:spacing w:after="0"/>
              <w:rPr>
                <w:sz w:val="20"/>
                <w:szCs w:val="20"/>
                <w:color w:val="auto"/>
              </w:rPr>
            </w:pPr>
            <w:r>
              <w:rPr>
                <w:rFonts w:ascii="Arial" w:cs="Arial" w:eastAsia="Arial" w:hAnsi="Arial"/>
                <w:sz w:val="18"/>
                <w:szCs w:val="18"/>
                <w:color w:val="auto"/>
              </w:rPr>
              <w:t>Ocean Transportation (3)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(24.2)</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679" w:hanging="330"/>
        <w:spacing w:after="0" w:line="268" w:lineRule="auto"/>
        <w:tabs>
          <w:tab w:leader="none" w:pos="3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Ocean Transportation operating revenue excludes inter-segment revenue of $21.8 million and $22.4 million for the three months ended September 30, 2021 and 2020, and $55.6 million and $43.7 million for the nine months ended September 30, 2021 and 2020, respectively.</w:t>
      </w:r>
    </w:p>
    <w:p>
      <w:pPr>
        <w:ind w:left="380" w:right="159" w:hanging="330"/>
        <w:spacing w:after="0" w:line="22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$36.0 million and $17.8 million for the three months ended September 30, 2021 and 2020, and $84.9 million and $40.1 million for the nine months ended September 30, 2021 and 2020, respectively.</w:t>
      </w:r>
    </w:p>
    <w:p>
      <w:pPr>
        <w:ind w:left="380" w:right="99" w:hanging="330"/>
        <w:spacing w:after="0" w:line="232"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$13.0 million and $7.7 million of equity in income from the Company’s equity investment in SSAT for the three months ended September 30, 2021 and 2020, and $35.0 million and $15.4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September 30, 2021 and December 31, 2020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2,323.8</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(1,281.6)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0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September 30, 2021 and December 31, 2020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7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6"/>
          </w:tcPr>
          <w:p>
            <w:pPr>
              <w:ind w:left="20"/>
              <w:spacing w:after="0"/>
              <w:rPr>
                <w:sz w:val="20"/>
                <w:szCs w:val="20"/>
                <w:color w:val="auto"/>
              </w:rPr>
            </w:pPr>
            <w:r>
              <w:rPr>
                <w:rFonts w:ascii="Arial" w:cs="Arial" w:eastAsia="Arial" w:hAnsi="Arial"/>
                <w:sz w:val="18"/>
                <w:szCs w:val="18"/>
                <w:color w:val="auto"/>
                <w:w w:val="92"/>
              </w:rPr>
              <w:t>Intangible assets as of September 30, 2021 and December 31, 2020 consisted of the following:</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180" w:type="dxa"/>
            <w:vAlign w:val="bottom"/>
          </w:tcPr>
          <w:p>
            <w:pPr>
              <w:spacing w:after="0"/>
              <w:rPr>
                <w:sz w:val="18"/>
                <w:szCs w:val="18"/>
                <w:color w:val="auto"/>
              </w:rPr>
            </w:pPr>
          </w:p>
        </w:tc>
        <w:tc>
          <w:tcPr>
            <w:tcW w:w="76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156.5</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due to the COVID-19 pandemic and its impact on the performance of each of the Company’s reporting units. Based on the Company’s assessment of its market capitalization, future forecasts and the amount of excess of fair value over the carrying value of the reporting units in the 2020 annual impairment tests, the Company concluded that an impairment triggering event did not occur during the quarter ended September 30, 2021.</w:t>
      </w:r>
    </w:p>
    <w:p>
      <w:pPr>
        <w:spacing w:after="0" w:line="16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a more prolonged and/or severe COVID-19 pandemic, or future changes in the assumptions and estimates used in assessing the fair value of the reporting unit, could require the Company to record a non-cash impairment charge.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and December 31, 2020,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3.66 %, payable through 2023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4.16 %, payable through 2027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3.37 %, payable through 2027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3.14 %, payable through 2031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4.31 %, payable through 2032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Title XI Debt: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5.34 %, payable through 2028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5.27 %, payable through 2029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20"/>
              <w:spacing w:after="0"/>
              <w:rPr>
                <w:sz w:val="20"/>
                <w:szCs w:val="20"/>
                <w:color w:val="auto"/>
              </w:rPr>
            </w:pPr>
            <w:r>
              <w:rPr>
                <w:rFonts w:ascii="Arial" w:cs="Arial" w:eastAsia="Arial" w:hAnsi="Arial"/>
                <w:sz w:val="18"/>
                <w:szCs w:val="18"/>
                <w:color w:val="auto"/>
              </w:rPr>
              <w:t>1.22 %, payable through 2043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1.35 %, payable through 2044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maturity date of March 31, 2026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Less: Deferred loan fees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Except as described below, the Company’s debt is described in Note 8 to the Consolidated Financial Statements included in the Company’s Annual Report on Form 10-K for the year ended December 31, 2020 and in Note 6 to the Condensed Consolidated Financial Statements included in the Company’s Quarterly Report on Form 10-Q for the three months ended March 31, 2021.</w:t>
      </w:r>
    </w:p>
    <w:p>
      <w:pPr>
        <w:spacing w:after="0" w:line="187"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As of September 30, 2021, the Company had $641.9 million of remaining borrowing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availability under the revolving credit facility. The Company used $8.1 million of the sublimit for letters of credit outstanding as of September 30, 2021. Although there were no outstanding borrowings under the facility at September 30, 2021, based on the Company’s consolidated net leverage ratio, which stipulates borrowing margins, the interest rate applicable to the revolving credit facility would have been approximately 1.10 percent at September 30, 2021. Borrowings under the revolving credit facility are classified as long-term debt in the Condensed Consolidated Balance Sheets, as principal payments are not required until the maturity date.</w:t>
      </w:r>
    </w:p>
    <w:p>
      <w:pPr>
        <w:spacing w:after="0" w:line="177"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was unsecured, except for the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 xml:space="preserve">Debt Maturities: </w:t>
      </w:r>
      <w:r>
        <w:rPr>
          <w:rFonts w:ascii="Arial" w:cs="Arial" w:eastAsia="Arial" w:hAnsi="Arial"/>
          <w:sz w:val="17"/>
          <w:szCs w:val="17"/>
          <w:color w:val="auto"/>
        </w:rPr>
        <w:t>As of September 30, 2021, debt maturities during the next five years and thereafter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26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00" w:type="dxa"/>
            <w:vAlign w:val="bottom"/>
            <w:gridSpan w:val="2"/>
            <w:vMerge w:val="continue"/>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0"/>
              </w:rPr>
              <w:t>September 30, 2021</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2020.</w:t>
      </w:r>
    </w:p>
    <w:p>
      <w:pPr>
        <w:spacing w:after="0" w:line="170"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i w:val="1"/>
          <w:iCs w:val="1"/>
          <w:color w:val="auto"/>
        </w:rPr>
        <w:t xml:space="preserve">Components of Lease Cost: </w:t>
      </w:r>
      <w:r>
        <w:rPr>
          <w:rFonts w:ascii="Arial" w:cs="Arial" w:eastAsia="Arial" w:hAnsi="Arial"/>
          <w:sz w:val="18"/>
          <w:szCs w:val="18"/>
          <w:color w:val="auto"/>
        </w:rPr>
        <w:t>Components of lease cost recorded in the Company’s Condensed Consolidated Statement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Comprehensive Income for the three and nine months ended September 30, 2021 and 2020 consisted of the following:</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6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59"/>
        <w:spacing w:after="0" w:line="287" w:lineRule="auto"/>
        <w:rPr>
          <w:sz w:val="20"/>
          <w:szCs w:val="20"/>
          <w:color w:val="auto"/>
        </w:rPr>
      </w:pPr>
      <w:r>
        <w:rPr>
          <w:rFonts w:ascii="Arial" w:cs="Arial" w:eastAsia="Arial" w:hAnsi="Arial"/>
          <w:sz w:val="16"/>
          <w:szCs w:val="16"/>
          <w:i w:val="1"/>
          <w:iCs w:val="1"/>
          <w:color w:val="auto"/>
        </w:rPr>
        <w:t xml:space="preserve">Sale and Leaseback of Equipment: </w:t>
      </w:r>
      <w:r>
        <w:rPr>
          <w:rFonts w:ascii="Arial" w:cs="Arial" w:eastAsia="Arial" w:hAnsi="Arial"/>
          <w:sz w:val="16"/>
          <w:szCs w:val="16"/>
          <w:color w:val="auto"/>
        </w:rPr>
        <w:t>There were no sale and leaseback transactions during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During the three months ended March 31, 2020, the Company entered into an agreement for the sale and leaseback of multiple tranches of chassis and container equipment. The net proceeds from the sales were</w:t>
      </w:r>
    </w:p>
    <w:p>
      <w:pPr>
        <w:spacing w:after="0" w:line="2" w:lineRule="exact"/>
        <w:rPr>
          <w:sz w:val="20"/>
          <w:szCs w:val="20"/>
          <w:color w:val="auto"/>
        </w:rPr>
      </w:pPr>
    </w:p>
    <w:p>
      <w:pPr>
        <w:jc w:val="both"/>
        <w:ind w:left="60" w:right="179" w:firstLine="45"/>
        <w:spacing w:after="0" w:line="253" w:lineRule="auto"/>
        <w:rPr>
          <w:sz w:val="20"/>
          <w:szCs w:val="20"/>
          <w:color w:val="auto"/>
        </w:rPr>
      </w:pPr>
      <w:r>
        <w:rPr>
          <w:rFonts w:ascii="Arial" w:cs="Arial" w:eastAsia="Arial" w:hAnsi="Arial"/>
          <w:sz w:val="18"/>
          <w:szCs w:val="18"/>
          <w:color w:val="auto"/>
        </w:rPr>
        <w:t>$14.3 million, and the gain on the disposal of the equipment was not material to the Company’s Condensed Consolidated Financial Statements. The Company subsequently leased back the equipment under a five-year operating lease agreement that includes purchase options exercisable at fair market value. There were no sale and leaseback transactions during the three months ended June 30, 2020 and September 30, 2020.</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 xml:space="preserve">Termination of Vessel Charter: </w:t>
      </w:r>
      <w:r>
        <w:rPr>
          <w:rFonts w:ascii="Arial" w:cs="Arial" w:eastAsia="Arial" w:hAnsi="Arial"/>
          <w:sz w:val="16"/>
          <w:szCs w:val="16"/>
          <w:color w:val="auto"/>
        </w:rPr>
        <w:t>On July 7, 2021, a wholly-owned subsidiary of the Company entered into an agreement 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terminate a Bareboat Charter Agreement (the “Charter”) on the vessel,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for $95.8 million thereby acquiring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vessel. The Company paid the termination payment with a combination of cash on hand and borrowing on the revolving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credit facility. The Company derecognized the related right-of-use (“ROU”) asset of $27.4 million and ROU liability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$28.5 million, and increased property and equipment by $94.7 million, net. Concurrent with the termination of the Charter,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was released from obligations under a Guaranty related to the Charter.</w:t>
      </w:r>
    </w:p>
    <w:p>
      <w:pPr>
        <w:spacing w:after="0" w:line="200" w:lineRule="exact"/>
        <w:rPr>
          <w:sz w:val="20"/>
          <w:szCs w:val="20"/>
          <w:color w:val="auto"/>
        </w:rPr>
      </w:pPr>
    </w:p>
    <w:p>
      <w:pPr>
        <w:spacing w:after="0" w:line="263" w:lineRule="exact"/>
        <w:rPr>
          <w:sz w:val="20"/>
          <w:szCs w:val="20"/>
          <w:color w:val="auto"/>
        </w:rPr>
      </w:pPr>
    </w:p>
    <w:p>
      <w:pPr>
        <w:ind w:left="620" w:hanging="570"/>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consisted of the following: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4"/>
                <w:szCs w:val="14"/>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3"/>
                <w:szCs w:val="13"/>
                <w:color w:val="auto"/>
              </w:rPr>
            </w:pPr>
          </w:p>
        </w:tc>
        <w:tc>
          <w:tcPr>
            <w:tcW w:w="6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3"/>
                <w:szCs w:val="13"/>
                <w:color w:val="auto"/>
              </w:rPr>
            </w:pPr>
          </w:p>
        </w:tc>
        <w:tc>
          <w:tcPr>
            <w:tcW w:w="1040" w:type="dxa"/>
            <w:vAlign w:val="bottom"/>
            <w:gridSpan w:val="4"/>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June 30, 2021</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(0.8)</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accumulated other comprehensive income (loss) by component, net of tax,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2020 consisted of the following:</w:t>
      </w:r>
    </w:p>
    <w:tbl>
      <w:tblPr>
        <w:tblLayout w:type="fixed"/>
        <w:tblInd w:w="40" w:type="dxa"/>
        <w:tblCellMar>
          <w:top w:w="0" w:type="dxa"/>
          <w:left w:w="0" w:type="dxa"/>
          <w:bottom w:w="0" w:type="dxa"/>
          <w:right w:w="0" w:type="dxa"/>
        </w:tblCellMar>
      </w:tblP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(0.5)</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(0.4)</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 (gain)</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40" w:hanging="590"/>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57" w:lineRule="exact"/>
        <w:rPr>
          <w:sz w:val="20"/>
          <w:szCs w:val="20"/>
          <w:color w:val="auto"/>
        </w:rPr>
      </w:pPr>
    </w:p>
    <w:p>
      <w:pPr>
        <w:ind w:left="60" w:right="45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September 30, 2021 and December 31, 2020 are as follows:</w:t>
      </w:r>
    </w:p>
    <w:tbl>
      <w:tblPr>
        <w:tblLayout w:type="fixed"/>
        <w:tblInd w:w="40" w:type="dxa"/>
        <w:tblCellMar>
          <w:top w:w="0" w:type="dxa"/>
          <w:left w:w="0" w:type="dxa"/>
          <w:bottom w:w="0" w:type="dxa"/>
          <w:right w:w="0" w:type="dxa"/>
        </w:tblCellMar>
      </w:tblPr>
      <w:tr>
        <w:trPr>
          <w:trHeight w:val="141"/>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02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Active Markets</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7"/>
              </w:rPr>
              <w:t>Carrying Value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continue"/>
          </w:tcPr>
          <w:p>
            <w:pPr>
              <w:spacing w:after="0"/>
              <w:rPr>
                <w:sz w:val="11"/>
                <w:szCs w:val="11"/>
                <w:color w:val="auto"/>
              </w:rPr>
            </w:pPr>
          </w:p>
        </w:tc>
        <w:tc>
          <w:tcPr>
            <w:tcW w:w="12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3"/>
              </w:rPr>
              <w:t>Value Measurements</w:t>
            </w:r>
          </w:p>
        </w:tc>
        <w:tc>
          <w:tcPr>
            <w:tcW w:w="14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92"/>
              </w:rPr>
              <w:t>at September 30,</w:t>
            </w:r>
          </w:p>
        </w:tc>
        <w:tc>
          <w:tcPr>
            <w:tcW w:w="560" w:type="dxa"/>
            <w:vAlign w:val="bottom"/>
          </w:tcPr>
          <w:p>
            <w:pPr>
              <w:spacing w:after="0" w:line="129"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647.2</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636.0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636.0</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24"/>
                <w:szCs w:val="24"/>
                <w:color w:val="auto"/>
              </w:rPr>
            </w:pPr>
          </w:p>
        </w:tc>
        <w:tc>
          <w:tcPr>
            <w:tcW w:w="3760" w:type="dxa"/>
            <w:vAlign w:val="bottom"/>
            <w:gridSpan w:val="9"/>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2020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688.3</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September 30, 2021 and 2020.</w:t>
      </w:r>
    </w:p>
    <w:p>
      <w:pPr>
        <w:spacing w:after="0" w:line="90"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computations for basic and diluted earnings per share for the three and nine months ended September 30, 2021 and 2020 are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4"/>
          </w:tcPr>
          <w:p>
            <w:pPr>
              <w:spacing w:after="0"/>
              <w:rPr>
                <w:sz w:val="20"/>
                <w:szCs w:val="20"/>
                <w:color w:val="auto"/>
              </w:rPr>
            </w:pPr>
            <w:r>
              <w:rPr>
                <w:rFonts w:ascii="Arial" w:cs="Arial" w:eastAsia="Arial" w:hAnsi="Arial"/>
                <w:sz w:val="13"/>
                <w:szCs w:val="13"/>
                <w:b w:val="1"/>
                <w:bCs w:val="1"/>
                <w:color w:val="auto"/>
                <w:w w:val="98"/>
              </w:rPr>
              <w:t>Three Months Ended September 30, 2021</w:t>
            </w:r>
          </w:p>
        </w:tc>
        <w:tc>
          <w:tcPr>
            <w:tcW w:w="20" w:type="dxa"/>
            <w:vAlign w:val="bottom"/>
          </w:tcPr>
          <w:p>
            <w:pPr>
              <w:spacing w:after="0"/>
              <w:rPr>
                <w:sz w:val="14"/>
                <w:szCs w:val="14"/>
                <w:color w:val="auto"/>
              </w:rPr>
            </w:pPr>
          </w:p>
        </w:tc>
        <w:tc>
          <w:tcPr>
            <w:tcW w:w="2380" w:type="dxa"/>
            <w:vAlign w:val="bottom"/>
            <w:gridSpan w:val="11"/>
          </w:tcPr>
          <w:p>
            <w:pPr>
              <w:jc w:val="center"/>
              <w:ind w:right="20"/>
              <w:spacing w:after="0"/>
              <w:rPr>
                <w:sz w:val="20"/>
                <w:szCs w:val="20"/>
                <w:color w:val="auto"/>
              </w:rPr>
            </w:pPr>
            <w:r>
              <w:rPr>
                <w:rFonts w:ascii="Arial" w:cs="Arial" w:eastAsia="Arial" w:hAnsi="Arial"/>
                <w:sz w:val="13"/>
                <w:szCs w:val="13"/>
                <w:b w:val="1"/>
                <w:bCs w:val="1"/>
                <w:color w:val="auto"/>
                <w:w w:val="94"/>
              </w:rPr>
              <w:t>Nine Months Ended September 30, 2021</w:t>
            </w:r>
          </w:p>
        </w:tc>
      </w:tr>
      <w:tr>
        <w:trPr>
          <w:trHeight w:val="129"/>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1"/>
              <w:spacing w:after="0" w:line="129" w:lineRule="exact"/>
              <w:rPr>
                <w:sz w:val="20"/>
                <w:szCs w:val="20"/>
                <w:color w:val="auto"/>
              </w:rPr>
            </w:pPr>
            <w:r>
              <w:rPr>
                <w:rFonts w:ascii="Arial" w:cs="Arial" w:eastAsia="Arial" w:hAnsi="Arial"/>
                <w:sz w:val="13"/>
                <w:szCs w:val="13"/>
                <w:b w:val="1"/>
                <w:bCs w:val="1"/>
                <w:color w:val="auto"/>
              </w:rPr>
              <w:t>Per</w:t>
            </w:r>
          </w:p>
        </w:tc>
        <w:tc>
          <w:tcPr>
            <w:tcW w:w="2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Average</w:t>
            </w:r>
          </w:p>
        </w:tc>
        <w:tc>
          <w:tcPr>
            <w:tcW w:w="20" w:type="dxa"/>
            <w:vAlign w:val="bottom"/>
          </w:tcPr>
          <w:p>
            <w:pPr>
              <w:spacing w:after="0"/>
              <w:rPr>
                <w:sz w:val="12"/>
                <w:szCs w:val="12"/>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Share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0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r>
      <w:tr>
        <w:trPr>
          <w:trHeight w:val="210"/>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283.2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532.9</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8"/>
                <w:szCs w:val="18"/>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r>
      <w:tr>
        <w:trPr>
          <w:trHeight w:val="209"/>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283.2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532.9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3"/>
          </w:tcPr>
          <w:p>
            <w:pPr>
              <w:spacing w:after="0"/>
              <w:rPr>
                <w:sz w:val="20"/>
                <w:szCs w:val="20"/>
                <w:color w:val="auto"/>
              </w:rPr>
            </w:pPr>
            <w:r>
              <w:rPr>
                <w:rFonts w:ascii="Arial" w:cs="Arial" w:eastAsia="Arial" w:hAnsi="Arial"/>
                <w:sz w:val="13"/>
                <w:szCs w:val="13"/>
                <w:b w:val="1"/>
                <w:bCs w:val="1"/>
                <w:color w:val="auto"/>
                <w:w w:val="97"/>
              </w:rPr>
              <w:t>Three Months Ended September 30, 2020</w:t>
            </w:r>
          </w:p>
        </w:tc>
        <w:tc>
          <w:tcPr>
            <w:tcW w:w="20" w:type="dxa"/>
            <w:vAlign w:val="bottom"/>
          </w:tcPr>
          <w:p>
            <w:pPr>
              <w:spacing w:after="0"/>
              <w:rPr>
                <w:sz w:val="24"/>
                <w:szCs w:val="24"/>
                <w:color w:val="auto"/>
              </w:rPr>
            </w:pPr>
          </w:p>
        </w:tc>
        <w:tc>
          <w:tcPr>
            <w:tcW w:w="2380" w:type="dxa"/>
            <w:vAlign w:val="bottom"/>
            <w:gridSpan w:val="11"/>
          </w:tcPr>
          <w:p>
            <w:pPr>
              <w:jc w:val="center"/>
              <w:ind w:right="20"/>
              <w:spacing w:after="0"/>
              <w:rPr>
                <w:sz w:val="20"/>
                <w:szCs w:val="20"/>
                <w:color w:val="auto"/>
              </w:rPr>
            </w:pPr>
            <w:r>
              <w:rPr>
                <w:rFonts w:ascii="Arial" w:cs="Arial" w:eastAsia="Arial" w:hAnsi="Arial"/>
                <w:sz w:val="13"/>
                <w:szCs w:val="13"/>
                <w:b w:val="1"/>
                <w:bCs w:val="1"/>
                <w:color w:val="auto"/>
                <w:w w:val="94"/>
              </w:rPr>
              <w:t>Nine Months Ended September 30, 2020</w:t>
            </w:r>
          </w:p>
        </w:tc>
      </w:tr>
      <w:tr>
        <w:trPr>
          <w:trHeight w:val="129"/>
        </w:trPr>
        <w:tc>
          <w:tcPr>
            <w:tcW w:w="3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r>
      <w:tr>
        <w:trPr>
          <w:trHeight w:val="148"/>
        </w:trPr>
        <w:tc>
          <w:tcPr>
            <w:tcW w:w="3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Share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12"/>
                <w:szCs w:val="12"/>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00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Amount</w:t>
            </w:r>
          </w:p>
        </w:tc>
      </w:tr>
      <w:tr>
        <w:trPr>
          <w:trHeight w:val="210"/>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70.9</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107.5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r>
      <w:tr>
        <w:trPr>
          <w:trHeight w:val="210"/>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70.9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7"/>
              </w:rPr>
              <w:t>107.5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20" w:hanging="6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During the three and nine months ended September 30, 2021, the Company granted approximately 900 and 238,400 in total of time-based restricted stock units and performance-based shares to certain of its employees at a weighted average grant date fair value of $75.07 and $68.39 per share, respectively.</w:t>
      </w:r>
    </w:p>
    <w:p>
      <w:pPr>
        <w:spacing w:after="0" w:line="184"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Total share-based compensation cost recognized in the Condensed Consolidated Statements of Income and Comprehensive Income as a component of selling, general and administrative expenses was $4.7 million and $5.9 million for the three months ended September 30, 2021 and 2020, and $14.2 million and $12.0 million for the nine months ended September 30, 2021 and 2020, respectively. Total unrecognized compensation cost related to unvested share-based compensation arrangements was $25.8 million at September 30, 2021, and is expected to be recognized over a weighted average period of approximately 1.7 years. Total unrecognized compensation cost may be adjusted for any unearned performance shares or forfeited shares.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148"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2020. Components of net periodic benefit cost and other amounts recognized in Other Comprehensive Income (Loss) for the qualified pension plans and the post-retirement benefit plans for the three and nine months ended September 30, 2021 and 2020 consisted of the following: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313"/>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420" w:type="dxa"/>
            <w:vAlign w:val="bottom"/>
            <w:gridSpan w:val="10"/>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80" w:type="dxa"/>
            <w:vAlign w:val="bottom"/>
            <w:gridSpan w:val="8"/>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jc w:val="right"/>
              <w:ind w:right="27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280" w:type="dxa"/>
            <w:vAlign w:val="bottom"/>
            <w:gridSpan w:val="9"/>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80" w:type="dxa"/>
            <w:vAlign w:val="bottom"/>
          </w:tcPr>
          <w:p>
            <w:pPr>
              <w:spacing w:after="0"/>
              <w:rPr>
                <w:sz w:val="14"/>
                <w:szCs w:val="14"/>
                <w:color w:val="auto"/>
              </w:rPr>
            </w:pPr>
          </w:p>
        </w:tc>
        <w:tc>
          <w:tcPr>
            <w:tcW w:w="2200" w:type="dxa"/>
            <w:vAlign w:val="bottom"/>
            <w:gridSpan w:val="7"/>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60" w:type="dxa"/>
            <w:vAlign w:val="bottom"/>
            <w:gridSpan w:val="2"/>
          </w:tcPr>
          <w:p>
            <w:pPr>
              <w:jc w:val="right"/>
              <w:ind w:right="6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This report, and other statements that the Company may make, may contain forward-looking statements with respect to the Company’s future financial, business or ESG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spacing w:after="0" w:line="178"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2020.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90" w:lineRule="auto"/>
        <w:rPr>
          <w:rFonts w:ascii="Arial" w:cs="Arial" w:eastAsia="Arial" w:hAnsi="Arial"/>
          <w:sz w:val="16"/>
          <w:szCs w:val="16"/>
          <w:color w:val="0000EE"/>
        </w:rPr>
      </w:pPr>
      <w:r>
        <w:rPr>
          <w:rFonts w:ascii="Arial" w:cs="Arial" w:eastAsia="Arial" w:hAnsi="Arial"/>
          <w:sz w:val="16"/>
          <w:szCs w:val="16"/>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w:t>
      </w:r>
      <w:hyperlink r:id="rId27">
        <w:r>
          <w:rPr>
            <w:rFonts w:ascii="Arial" w:cs="Arial" w:eastAsia="Arial" w:hAnsi="Arial"/>
            <w:sz w:val="16"/>
            <w:szCs w:val="16"/>
            <w:color w:val="auto"/>
          </w:rPr>
          <w:t xml:space="preserve">and notes herein, and should be read in conjunction with the Company’s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27">
        <w:r>
          <w:rPr>
            <w:rFonts w:ascii="Arial" w:cs="Arial" w:eastAsia="Arial" w:hAnsi="Arial"/>
            <w:sz w:val="16"/>
            <w:szCs w:val="16"/>
            <w:u w:val="single" w:color="auto"/>
            <w:color w:val="0000EE"/>
          </w:rPr>
          <w:t>December 31, 2020</w:t>
        </w:r>
        <w:r>
          <w:rPr>
            <w:rFonts w:ascii="Arial" w:cs="Arial" w:eastAsia="Arial" w:hAnsi="Arial"/>
            <w:sz w:val="16"/>
            <w:szCs w:val="16"/>
            <w:color w:val="000000"/>
          </w:rPr>
          <w:t>, the Company’s reports on Forms 10-Q and 8-K, and other publicly available information.</w:t>
        </w:r>
      </w:hyperlink>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THIRD QUARTER 2021 DISCUSSION AND UPDATE ON BUSINESS CONDITIONS</w:t>
      </w:r>
    </w:p>
    <w:p>
      <w:pPr>
        <w:spacing w:after="0" w:line="229"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The Company’s container volume in the Hawaii service in the third quarter 2021 was 11.5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higher year-over-year. The increase was primarily due to higher retail and hospitality-related demand due to the continued rebound in tourism and the Hawaii economy compared to the pandemic-reduced volume in the year ago period. Volume in the third quarter 2020 was negatively impacted by the state’s COVID-19 mitigation efforts, including restrictions on tourism. Domestic visitor travel to the state remained strong throughout much of the third quarter 2021 until the end of the quarter when the state’s efforts to address the spread of the COVID-19 Delta variant, including the Governor’s request to defer travel plans, led to a softening in airline passenger traffic. As a result, we experienced a modest negative impact in freight demand late in the quarter. In the near-term, the Hawaii economy may experience a brief slowdown as a result of the state’s response to the COVID-19 Delta variant and the related impacts on tourism trends. In late October, the Governor announced that non-essential travel to the state can resume on November 1, 2021.</w:t>
      </w:r>
    </w:p>
    <w:p>
      <w:pPr>
        <w:spacing w:after="0" w:line="168" w:lineRule="exact"/>
        <w:rPr>
          <w:sz w:val="20"/>
          <w:szCs w:val="20"/>
          <w:color w:val="auto"/>
        </w:rPr>
      </w:pPr>
    </w:p>
    <w:p>
      <w:pPr>
        <w:jc w:val="both"/>
        <w:ind w:left="60" w:right="279"/>
        <w:spacing w:after="0" w:line="311" w:lineRule="auto"/>
        <w:rPr>
          <w:sz w:val="20"/>
          <w:szCs w:val="20"/>
          <w:color w:val="auto"/>
        </w:rPr>
      </w:pPr>
      <w:r>
        <w:rPr>
          <w:rFonts w:ascii="Arial" w:cs="Arial" w:eastAsia="Arial" w:hAnsi="Arial"/>
          <w:sz w:val="16"/>
          <w:szCs w:val="16"/>
          <w:color w:val="auto"/>
        </w:rPr>
        <w:t>In China, the Company’s container volume in the third quarter 2021 increased 21.7 percent year-over-year. The increase was primarily due to volume from the China-California Express (“CCX”) service and volume from an extra loader. The total number of eastbound voyages in the China service increased by six year-over-year of which five were from CCX</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voyages and one from an extra loader. Volume demand in the quarter was driven by e-commerce, garments and other goods. Matson continued to realize a significant rate premium in the third quarter 2021 and achieved average freight rates that were considerably higher than in the year ago period. Currently, supply chain congestion continues in the Transpacific tradelane with the combination of ongoing elevated consumption trends, inventory restocking, and bottlenecks at critical points for both ocean and overland transportation. We expect these conditions to remain largely in place at least through mid-year 2022.</w:t>
      </w:r>
    </w:p>
    <w:p>
      <w:pPr>
        <w:spacing w:after="0" w:line="192"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In Guam, the Company’s container volume in the third quarter 2021 increased 14.6 percent year-over-year primarily due to higher retail-related demand compared to the pandemic-reduced volume in the year ago period. The economic recovery trajectory in Guam continues to remain uncertain as the economy recovers slowly and tourism remains constrained.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Alaska, the Company’s container volume for the third quarter 2021 increased 10.7 percent year-over-year due to</w:t>
      </w:r>
    </w:p>
    <w:p>
      <w:pPr>
        <w:spacing w:after="0" w:line="35" w:lineRule="exact"/>
        <w:rPr>
          <w:sz w:val="20"/>
          <w:szCs w:val="20"/>
          <w:color w:val="auto"/>
        </w:rPr>
      </w:pPr>
    </w:p>
    <w:p>
      <w:pPr>
        <w:ind w:left="60" w:right="459" w:hanging="10"/>
        <w:spacing w:after="0" w:line="277" w:lineRule="auto"/>
        <w:tabs>
          <w:tab w:leader="none" w:pos="2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addition of volume from the Alaska-Asia Express, (ii) higher northbound volume primarily due to an additional sailing and higher retail-related demand, and (iii) higher southbound volume. In the near-term, we expect improving economic trends in Alaska, but the recovery’s trajectory continues to remain uncertain.</w:t>
      </w:r>
    </w:p>
    <w:p>
      <w:pPr>
        <w:spacing w:after="0" w:line="173" w:lineRule="exact"/>
        <w:rPr>
          <w:sz w:val="20"/>
          <w:szCs w:val="20"/>
          <w:color w:val="auto"/>
        </w:rPr>
      </w:pPr>
    </w:p>
    <w:p>
      <w:pPr>
        <w:ind w:left="60" w:right="599"/>
        <w:spacing w:after="0" w:line="342" w:lineRule="auto"/>
        <w:rPr>
          <w:sz w:val="20"/>
          <w:szCs w:val="20"/>
          <w:color w:val="auto"/>
        </w:rPr>
      </w:pPr>
      <w:r>
        <w:rPr>
          <w:rFonts w:ascii="Arial" w:cs="Arial" w:eastAsia="Arial" w:hAnsi="Arial"/>
          <w:sz w:val="16"/>
          <w:szCs w:val="16"/>
          <w:color w:val="auto"/>
        </w:rPr>
        <w:t>The contribution in the third quarter 2021 from the Company’s SSAT joint venture investment was $13.0 million, or $5.3 million higher than the third quarter 2020. The increase was primarily driven by higher lift volume.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third quarter 2021, operating income for the Company’s Logistics segment was $16.0 million, or</w:t>
      </w:r>
    </w:p>
    <w:p>
      <w:pPr>
        <w:spacing w:after="0" w:line="23" w:lineRule="exact"/>
        <w:rPr>
          <w:sz w:val="20"/>
          <w:szCs w:val="20"/>
          <w:color w:val="auto"/>
        </w:rPr>
      </w:pPr>
    </w:p>
    <w:p>
      <w:pPr>
        <w:jc w:val="both"/>
        <w:ind w:left="60" w:right="419"/>
        <w:spacing w:after="0" w:line="277" w:lineRule="auto"/>
        <w:rPr>
          <w:sz w:val="20"/>
          <w:szCs w:val="20"/>
          <w:color w:val="auto"/>
        </w:rPr>
      </w:pPr>
      <w:r>
        <w:rPr>
          <w:rFonts w:ascii="Arial" w:cs="Arial" w:eastAsia="Arial" w:hAnsi="Arial"/>
          <w:sz w:val="17"/>
          <w:szCs w:val="17"/>
          <w:color w:val="auto"/>
        </w:rPr>
        <w:t>$4.1 million higher compared to the level achieved in the third quarter 2020. The increase was due primarily to higher contributions from supply chain management and transportation brokerage as a result of elevated goods consumption, inventory restocking and favorable supply and demand fundamentals in our core markets.</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September 30,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2"/>
              </w:rPr>
              <w:t>Three Months Ended September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(10.5)%</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374.6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279.5</w:t>
            </w: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293.9 %</w:t>
            </w:r>
          </w:p>
        </w:tc>
        <w:tc>
          <w:tcPr>
            <w:tcW w:w="0" w:type="dxa"/>
            <w:vAlign w:val="bottom"/>
          </w:tcPr>
          <w:p>
            <w:pPr>
              <w:spacing w:after="0"/>
              <w:rPr>
                <w:sz w:val="1"/>
                <w:szCs w:val="1"/>
                <w:color w:val="auto"/>
              </w:rPr>
            </w:pPr>
          </w:p>
        </w:tc>
      </w:tr>
      <w:tr>
        <w:trPr>
          <w:trHeight w:val="432"/>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277.7 %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212.3</w:t>
            </w: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299.4 %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Borders>
              <w:right w:val="single" w:sz="8" w:color="CCEEFF"/>
            </w:tcBorders>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300.0 %</w:t>
            </w:r>
          </w:p>
        </w:tc>
        <w:tc>
          <w:tcPr>
            <w:tcW w:w="0" w:type="dxa"/>
            <w:vAlign w:val="bottom"/>
          </w:tcPr>
          <w:p>
            <w:pPr>
              <w:spacing w:after="0"/>
              <w:rPr>
                <w:sz w:val="1"/>
                <w:szCs w:val="1"/>
                <w:color w:val="auto"/>
              </w:rPr>
            </w:pPr>
          </w:p>
        </w:tc>
      </w:tr>
      <w:tr>
        <w:trPr>
          <w:trHeight w:val="432"/>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300.6 %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decrease in interest expense for the three months ended September 30, 2021, compared to the three months ended September 30, 2020, was due to lower outstanding debt during the period.</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Income tax expense was $91.4 million or 24.4 percent of income before income taxes for the three months ended September 30, 2021, compared to $24.2 million or 25.4 percent of income before income taxes for the three months ended September 30, 2020. The effective tax rate for the three months ended September 30, 2021 was lower than the effective tax rate for the three months ended September 30, 2020 due to the impact of state taxes that lowered the effective tax rate for the current period.</w:t>
      </w:r>
    </w:p>
    <w:p>
      <w:pPr>
        <w:sectPr>
          <w:pgSz w:w="11900" w:h="16838" w:orient="portrait"/>
          <w:cols w:equalWidth="0" w:num="1">
            <w:col w:w="9019"/>
          </w:cols>
          <w:pgMar w:left="1440" w:top="517" w:right="14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574"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Nine months ended September 30,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7"/>
              </w:rPr>
              <w:t>Nine Months Ended 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(1,946.3)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(1,520.6)</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(425.7)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554.2</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383.3 %</w:t>
            </w:r>
          </w:p>
        </w:tc>
        <w:tc>
          <w:tcPr>
            <w:tcW w:w="0" w:type="dxa"/>
            <w:vAlign w:val="bottom"/>
          </w:tcPr>
          <w:p>
            <w:pPr>
              <w:spacing w:after="0"/>
              <w:rPr>
                <w:sz w:val="1"/>
                <w:szCs w:val="1"/>
                <w:color w:val="auto"/>
              </w:rPr>
            </w:pPr>
          </w:p>
        </w:tc>
      </w:tr>
      <w:tr>
        <w:trPr>
          <w:trHeight w:val="432"/>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347.2 %</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532.9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425.4</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395.7 %</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392.4 %</w:t>
            </w:r>
          </w:p>
        </w:tc>
        <w:tc>
          <w:tcPr>
            <w:tcW w:w="0" w:type="dxa"/>
            <w:vAlign w:val="bottom"/>
          </w:tcPr>
          <w:p>
            <w:pPr>
              <w:spacing w:after="0"/>
              <w:rPr>
                <w:sz w:val="1"/>
                <w:szCs w:val="1"/>
                <w:color w:val="auto"/>
              </w:rPr>
            </w:pPr>
          </w:p>
        </w:tc>
      </w:tr>
      <w:tr>
        <w:trPr>
          <w:trHeight w:val="432"/>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9.71</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391.5 %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The decrease in interest expense for the nine months ended September 30, 2021, compared to the nine months ended September 30, 2020, was due to a lower outstanding debt during the period.</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Income tax expense was $165.9 million or 23.7 percent of income before income taxes for the nine months ended September 30, 2021, compared to $37.1 million or 25.7 percent of income before income taxes for the nine months ended September 30, 2020. The effective tax rate for the nine months ended September 30, 2021 was lower than the effective tax rate for the nine months ended September 30, 2020 as it benefitted from discrete adjustments related to the release of the valuation allowance against the Company’s foreign income tax net operating losses and stock compensation that lowered the effective tax rate for the current period.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Ocean Transportation Operating Results - Three months ended September 30, 2021 compared with 2020:</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3020" w:type="dxa"/>
            <w:vAlign w:val="bottom"/>
            <w:gridSpan w:val="9"/>
          </w:tcPr>
          <w:p>
            <w:pPr>
              <w:jc w:val="right"/>
              <w:ind w:right="47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$ 365.2</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(501.6)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(411.8)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$ 275.4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318.4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36,400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12,600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12,900</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38,200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jc w:val="both"/>
        <w:ind w:left="60" w:right="359"/>
        <w:spacing w:after="0" w:line="286" w:lineRule="auto"/>
        <w:rPr>
          <w:sz w:val="20"/>
          <w:szCs w:val="20"/>
          <w:color w:val="auto"/>
        </w:rPr>
      </w:pPr>
      <w:r>
        <w:rPr>
          <w:rFonts w:ascii="Arial" w:cs="Arial" w:eastAsia="Arial" w:hAnsi="Arial"/>
          <w:sz w:val="17"/>
          <w:szCs w:val="17"/>
          <w:color w:val="auto"/>
        </w:rPr>
        <w:t>Ocean Transportation revenue increased $365.2 million, or 73.3 percent, during the three months ended September 30, 2021, compared with the three months ended September 30, 2020. The increase was primarily due to higher revenue in China, higher fuel-related surcharge revenue, and higher revenue in Hawaii and Alaska.</w:t>
      </w:r>
    </w:p>
    <w:p>
      <w:pPr>
        <w:sectPr>
          <w:pgSz w:w="11900" w:h="16838" w:orient="portrait"/>
          <w:cols w:equalWidth="0" w:num="1">
            <w:col w:w="9019"/>
          </w:cols>
          <w:pgMar w:left="1440" w:top="517" w:right="1440" w:bottom="547"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547"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On a year-over-year FEU basis, Hawaii container volume increased 11.5 percent primarily due to higher retail and hospitality-related demand due to the continued rebound in tourism and the Hawaii economy compared to the volume in the year ago period, which was negatively impacted by the state’s COVID-19 mitigation efforts, including restrictions on tourism; Alaska volume increased 10.7 percent due to the addition of volume from the Alaska-Asia Express, higher northbound volume primarily due to an additional sailing and higher retail-related demand, and higher southbound volume; China volume was 21.7 percent higher primarily due to CCX volume and volume from an extra loader; Guam volume was 14.6 percent higher primarily due to higher retail-related demand; and Other containers volume increased 17.4 percent primarily due to higher volume in Okinawa.</w:t>
      </w:r>
    </w:p>
    <w:p>
      <w:pPr>
        <w:spacing w:after="0" w:line="19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Ocean Transportation operating income increased $275.4 million during the three months ended September 30, 2021, compared with the three months ended September 30, 2020. The increase was primarily due to a higher contribution from China.</w:t>
      </w:r>
    </w:p>
    <w:p>
      <w:pPr>
        <w:spacing w:after="0" w:line="184"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SSAT terminal joint venture investment contributed $13.0 million during the three months ended September 30, 2021, compared to a contribution of $7.7 million during the three months ended September 30, 2020. The increase was primarily driven by higher lift volume.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Nine months ended September 30,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796.9</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60.8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(1,429.9)</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(1,173.3)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(256.6)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21.9 %</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540.3 395.2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52,700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67.1 %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16.5 %</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6"/>
              </w:rPr>
              <w:t>15.9 %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jc w:val="both"/>
        <w:ind w:left="60" w:right="399"/>
        <w:spacing w:after="0" w:line="286" w:lineRule="auto"/>
        <w:rPr>
          <w:sz w:val="20"/>
          <w:szCs w:val="20"/>
          <w:color w:val="auto"/>
        </w:rPr>
      </w:pPr>
      <w:r>
        <w:rPr>
          <w:rFonts w:ascii="Arial" w:cs="Arial" w:eastAsia="Arial" w:hAnsi="Arial"/>
          <w:sz w:val="17"/>
          <w:szCs w:val="17"/>
          <w:color w:val="auto"/>
        </w:rPr>
        <w:t>Ocean Transportation revenue increased $796.9 million, or 60.8 percent, during the nine months ended September 30, 2021, compared with the nine months ended September 30, 2020. The increase was primarily due to higher revenue in China and Hawaii, higher fuel-related surcharge revenue and higher revenue in Alaska.</w:t>
      </w:r>
    </w:p>
    <w:p>
      <w:pPr>
        <w:spacing w:after="0" w:line="16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On a year-over-year FEU basis, Hawaii container volume increased 7.4 percent primarily due to higher retail and hospitality-related demand due to the reopening of the Hawaii economy compared to the negatively impacted volume in the year ago period as a result of the pandemic and the state’s COVID-19 mitigation efforts, partially offset by volume associated with the dry-docking of a competitor’s vessel in the second quarter of last year; Alaska volume increased by 6.9 percent due to higher northbound volume primarily due to higher retail-related demand compared to the negatively impacted volume in the year ago period as a result of the pandemic and the state’s COVID-19 mitigation efforts, higher southbound volume, and the addition of volume from the Alaska-Asia Express service; China volume was 67.1 percent higher primarily due to incremental volume from the CLX+ service, higher volume on the CLX service as a result of increased capacity in the tradelane, and the addition of volume from the CCX service; Guam volume was 16.5 percent higher primarily due to higher retail-related demand compared to the negatively impacted volume in the year ago period as a result of the pandemic and the island’s COVID-19 mitigation measures; and Other container volume increased 15.9 percent primarily due to higher volume in Okinawa.</w:t>
      </w:r>
    </w:p>
    <w:p>
      <w:pPr>
        <w:spacing w:after="0" w:line="179"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Ocean Transportation operating income increased $540.3 million during the nine months ended September 30, 2021, compared with the nine months ended September 30, 2020. The increase was primarily due to a higher contribution from China.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Company’s SSAT terminal joint venture investment contributed $35.0 million during the nine months ended September 30, 2021, compared to a contribution of $15.4 million during the nine months ended September 30, 2020. The increase was primarily driven by higher lift volume.</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4"/>
                <w:szCs w:val="14"/>
                <w:color w:val="auto"/>
              </w:rPr>
            </w:pPr>
          </w:p>
        </w:tc>
        <w:tc>
          <w:tcPr>
            <w:tcW w:w="2860" w:type="dxa"/>
            <w:vAlign w:val="bottom"/>
            <w:gridSpan w:val="10"/>
          </w:tcPr>
          <w:p>
            <w:pPr>
              <w:jc w:val="right"/>
              <w:ind w:right="39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(192.1)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(135.0)</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Logistics revenue increased $61.2 million, or 41.7 percent, during the three months ended September 30, 2021, compared with the three months ended September 30, 2020. The increase was primarily due to higher transportation brokerage and supply chain management revenue.</w:t>
      </w:r>
    </w:p>
    <w:p>
      <w:pPr>
        <w:spacing w:after="0" w:line="184"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Logistics operating income increased $4.1 million, or 34.5 percent, for the three months ended September 30, 2021, compared with the three months ended September 30, 2020. The increase was primarily due to higher contributions from supply chain management and transportation brokerage.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w w:val="92"/>
              </w:rPr>
              <w:t>Nine Months Ended September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47.7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(516.4)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(347.3)</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(169.1)</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9"/>
              </w:rPr>
              <w:t>48.7 %</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Logistics revenue increased $178.2 million, or 47.7 percent, during the nine months ended September 30, 2021, compared with the nine months ended September 30, 2020. The increase was primarily due to higher transportation brokerage and supply chain management revenue.</w:t>
      </w:r>
    </w:p>
    <w:p>
      <w:pPr>
        <w:spacing w:after="0" w:line="184"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Logistics operating income increased $9.1 million, or 35.1 percent, for the nine months ended September 30, 2021, compared with the nine months ended September 30, 2020. The increase was due primarily to higher contributions from transportation brokerage, supply chain management, and freight forwarding.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Sources of liquidity available to the Company as of September 30, 2021, compared to December 31, 2020 were as follows:</w:t>
      </w:r>
    </w:p>
    <w:p>
      <w:pPr>
        <w:spacing w:after="0" w:line="248"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 xml:space="preserve">Cash, Cash Equivalents, Restricted Cash and Accounts Receivable: </w:t>
      </w:r>
      <w:r>
        <w:rPr>
          <w:rFonts w:ascii="Arial" w:cs="Arial" w:eastAsia="Arial" w:hAnsi="Arial"/>
          <w:sz w:val="17"/>
          <w:szCs w:val="17"/>
          <w:color w:val="auto"/>
        </w:rPr>
        <w:t>Cash and cash equivalents, restricted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accounts receivable as of September 30, 2021, compared to December 31, 2020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620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639" w:hanging="330"/>
        <w:spacing w:after="0" w:line="25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of September 30, 2021 and December 31, 2020, $1.8 million and $1.7 million of eligible accounts receivable were assigned to the CCF, respectively.</w:t>
      </w:r>
    </w:p>
    <w:p>
      <w:pPr>
        <w:spacing w:after="0" w:line="178"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Changes in the Company’s cash, cash equivalents and restricted cash for the nine months ended September 30, 2021, compared to the nine months ended September 30, 2020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2420" w:type="dxa"/>
            <w:vAlign w:val="bottom"/>
            <w:gridSpan w:val="8"/>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(242.5)</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(95.6)</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 (3)</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(187.9)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12"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Changes in net cash provided by operating activities for the nine months ended September 30, 2021, compared to the nine months ended September 30,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non-cash related changes,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Deferred dry-docking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r>
              <w:rPr>
                <w:rFonts w:ascii="Arial" w:cs="Arial" w:eastAsia="Arial" w:hAnsi="Arial"/>
                <w:sz w:val="18"/>
                <w:szCs w:val="18"/>
                <w:u w:val="single" w:color="auto"/>
                <w:color w:val="auto"/>
              </w:rPr>
              <w:t>5</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Income and cash distributions from SSAT was $35.0 million and $46.9 million for the nine months ended September 30, 2021, respectively, compared to $15.4 million and $37.9 million for the nine months ended September 30, 2020. The change in income and cash distributions was due to greater levels of operating profits generated by SSAT during the nine months ended September 30, 2021 as compared to the same prior year period. Changes in accounts receivable were primarily due to increased levels of revenues, and the timing of collections associated with those receivables. Changes in prepaid expenses and other assets were primarily due to increased prepaid fuel and other operating related costs, primarily due to increased levels of operations, and prepaid income taxes, primarily due to increased levels of earnings for the nine months ended September 30, 2021, as compared to the same prior year period. Changes in accounts payable, accruals and other liabilities were primarily due to increased levels of operating costs and the timing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payments associated with those liabilities. Deferred dry-docking payments for the nine months ended September 30, 2021 were $25.8 million, compared to $11.1 million for the nine months ended September 30, 2020. The increase in deferred dry-docking payments was due to an increase in dry-dock related activity during the nine months ended September 30, 2021 as compared to the same prior year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Changes in net cash used in investing activities for the nine months ended September 30, 2021, compared to the nine months ended September 30,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deposits into CCF</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Withdrawals from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capital expenditures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0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 xml:space="preserve">Capitalized vessel construction expenditures (including capitalized interest) were $57.8 million for the nine months ended September 30, 2020. There were no capitalized vessel construction expenditures during the nine months ended September 30, 2021 due to the completion of the Company’s fleet renewal program in 2020.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$244.7 million for the nine months ended September 30, 2021, compared to $53.5 million for the nine months ended September 30, 2020. During the nine months ended September 30, 2021, the Company increased its acquisition of containers, chassis and other terminal equipment, as compared to the same prior year period, primarily driven by the increased level of operating activities. The increase in other capital expenditure payments was also due to the repurchase of </w:t>
      </w:r>
      <w:r>
        <w:rPr>
          <w:rFonts w:ascii="Arial" w:cs="Arial" w:eastAsia="Arial" w:hAnsi="Arial"/>
          <w:sz w:val="16"/>
          <w:szCs w:val="16"/>
          <w:i w:val="1"/>
          <w:iCs w:val="1"/>
          <w:color w:val="auto"/>
        </w:rPr>
        <w:t>Maunalei</w:t>
      </w:r>
      <w:r>
        <w:rPr>
          <w:rFonts w:ascii="Arial" w:cs="Arial" w:eastAsia="Arial" w:hAnsi="Arial"/>
          <w:sz w:val="16"/>
          <w:szCs w:val="16"/>
          <w:color w:val="auto"/>
        </w:rPr>
        <w:t xml:space="preserve"> for $95.8 million, repurchase of other leased equipment, installation of scrubbers on certain vessels, and the timing of certain capital project activities incurred during 2021 as compared to 2020. The decrease in proceeds from disposal of property and equipment was primarily due to the sale and leaseback of chassis and container equipment for net proceeds of $14.3 million during the nine months ended September 30, 2020. There were no sale and leaseback transactions during the nine months ended September 30,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Changes in net cash used in financing activities for the nine months ended September 30, 2021, compared to the nine months ended September 30,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issuance of fixed interest debt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Repurchase of Matson common stock</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 of financing costs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 in other payments, net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9"/>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color w:val="auto"/>
        </w:rPr>
        <w:t>During the nine months ended September 30, 2021, the Company paid $41.1 million in scheduled fixed debt payments, compared to $34.7 million in scheduled fixed debt payments and redeemed debt at par of $169.5 million during the nine months ended September 30, 2020. During the nine months ended September 30, 2021, the Company decreased net borrowings under the revolving credit facility by $71.8 million, compared to a $256.1 million decrease during the nine months ended September 30, 2020. During the nine months ended September 30, 2021, the Company paid $3.0 million in financing costs, compared to $18.5 million paid during the nine months ended September 30, 2020, related to amendments of its revolving credit facility, private placement term loans and Title XI debt. During the nine months ended September 30, 2021, the Company paid $14.4 million in taxes related to vested restricted stock units, compared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$5.6 million for the nine months ended September 30, 2020. The increase in taxes was primarily due to the increase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 Company’s stock price as of the vesting date of the restricted stock units. During the nine months ended September 30, 2021, the Company paid $33.3 million in dividends, compared to $29.1 million during the nine months ended September 30, 2020. The increase in dividend payments resulted from an increase in dividends declared per share of common stock by the Company. During the nine months ended September 30, 2021, the Company paid $115.7 million for the repurchase of Matson common stock. There was no stock repurchase activity during the prior year.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September 30, 2021 and December 31, 2020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Total Debt decreased by $112.9 million during the nine months ended September 30, 2021. The decrease in the Company’s outstanding revolving credit borrowings was primarily due to the increase in net cash provided by operating activities during that same period. The decrease in fixed interest debt was due to the scheduled repayments of private placement term loans and Title XI debt during the nine months ended September 30, 2021.</w:t>
      </w:r>
    </w:p>
    <w:p>
      <w:pPr>
        <w:spacing w:after="0" w:line="171"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As of September 30, 2021, the Company had $641.9 million of remaining borrowing availability under the revolving credit facility, with a maturity date of March 31, 2026. The Company’s debt is described in Note 6 of Part I, Item 1 above.</w:t>
      </w:r>
    </w:p>
    <w:p>
      <w:pPr>
        <w:spacing w:after="0" w:line="124"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b w:val="1"/>
          <w:bCs w:val="1"/>
          <w:i w:val="1"/>
          <w:iCs w:val="1"/>
          <w:color w:val="auto"/>
        </w:rPr>
        <w:t xml:space="preserve">Working Capital: </w:t>
      </w:r>
      <w:r>
        <w:rPr>
          <w:rFonts w:ascii="Arial" w:cs="Arial" w:eastAsia="Arial" w:hAnsi="Arial"/>
          <w:sz w:val="17"/>
          <w:szCs w:val="17"/>
          <w:color w:val="auto"/>
        </w:rPr>
        <w:t>The Company had a working capital deficit of $65.6 million and $205.6 million at September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December 31, 2020, respectively. The Company manages its working capital needs through the use of borrowings on its revolving credit facility which can be received on short notice. The decrease in working capital deficit at September 30, 2021 is primarily due to the increase in cash flow generated from operating activities during the nine months ended September 30, 2021, compared to the nine months ended September 30, 2020. Working capital is also impacted by the timing of collections associated with accounts receivable and other assets, and the timing of payments associated with accounts payable, accruals, income taxes and other liabilities.</w:t>
      </w:r>
    </w:p>
    <w:p>
      <w:pPr>
        <w:spacing w:after="0" w:line="173"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left="60" w:right="319"/>
        <w:spacing w:after="0" w:line="311" w:lineRule="auto"/>
        <w:rPr>
          <w:rFonts w:ascii="Arial" w:cs="Arial" w:eastAsia="Arial" w:hAnsi="Arial"/>
          <w:sz w:val="16"/>
          <w:szCs w:val="16"/>
          <w:color w:val="0000EE"/>
        </w:rPr>
      </w:pPr>
      <w:r>
        <w:rPr>
          <w:rFonts w:ascii="Arial" w:cs="Arial" w:eastAsia="Arial" w:hAnsi="Arial"/>
          <w:sz w:val="16"/>
          <w:szCs w:val="16"/>
          <w:color w:val="auto"/>
        </w:rPr>
        <w:t xml:space="preserve">Except as described below, there were no material changes during this quarter to the Company’s contractual obligations, commitments, contingencies and off-balance sheet arrangements that are described in Part II, Item 7 of the Company’s </w:t>
      </w:r>
      <w:hyperlink r:id="rId27">
        <w:r>
          <w:rPr>
            <w:rFonts w:ascii="Arial" w:cs="Arial" w:eastAsia="Arial" w:hAnsi="Arial"/>
            <w:sz w:val="16"/>
            <w:szCs w:val="16"/>
            <w:u w:val="single" w:color="auto"/>
            <w:color w:val="0000EE"/>
          </w:rPr>
          <w:t>Annual Report on Form 10-K for the year ended December 31, 2020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which is incorporated herein by reference.</w:t>
      </w:r>
    </w:p>
    <w:p>
      <w:pPr>
        <w:spacing w:after="0" w:line="149" w:lineRule="exact"/>
        <w:rPr>
          <w:sz w:val="20"/>
          <w:szCs w:val="20"/>
          <w:color w:val="auto"/>
        </w:rPr>
      </w:pPr>
    </w:p>
    <w:p>
      <w:pPr>
        <w:ind w:left="60" w:right="279"/>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Company’s debt is described in Note 6 to the Condensed Consolidated Financial Statements included in the Company’s </w:t>
      </w:r>
      <w:hyperlink r:id="rId37">
        <w:r>
          <w:rPr>
            <w:rFonts w:ascii="Arial" w:cs="Arial" w:eastAsia="Arial" w:hAnsi="Arial"/>
            <w:sz w:val="18"/>
            <w:szCs w:val="18"/>
            <w:u w:val="single" w:color="auto"/>
            <w:color w:val="0000EE"/>
          </w:rPr>
          <w:t>Quarterly Report on Form 10-Q for the three months ended March 31, 2021</w:t>
        </w:r>
      </w:hyperlink>
      <w:r>
        <w:rPr>
          <w:rFonts w:ascii="Arial" w:cs="Arial" w:eastAsia="Arial" w:hAnsi="Arial"/>
          <w:sz w:val="18"/>
          <w:szCs w:val="18"/>
          <w:color w:val="auto"/>
        </w:rPr>
        <w:t>, which is incorporated herein by reference.</w:t>
      </w:r>
    </w:p>
    <w:p>
      <w:pPr>
        <w:spacing w:after="0" w:line="18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On July 7, 2021, the Company terminated a Bareboat Charter Operating Lease agreement as described in Note 7 of Part I, Item 1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color w:val="auto"/>
        </w:rPr>
        <w:t>The Company’s third quarter 2021 cash dividend of $0.30 per share was paid on September 2, 2021. On October 28, 2021, the Company’s Board of Directors declared a cash dividend of $0.30 per share payable on December 2,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From October 1, 2021 through November 2, 2021, Matson repurchased an additional 0.4 million shares for a total cost of $33.1 million. As of November 2, 2021, the Company had approximately 1.1 million shares remaining on its share repurchase program.</w:t>
      </w:r>
    </w:p>
    <w:p>
      <w:pPr>
        <w:spacing w:after="0" w:line="18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 xml:space="preserve">In early November, the Company announced short, medium and long-term goals designed to significantly reduce its impact on climate change by lowering the Company’s greenhouse gas emissions. To help meet these goals, the Company plans to install tanks, piping and other equipment on </w:t>
      </w:r>
      <w:r>
        <w:rPr>
          <w:rFonts w:ascii="Arial" w:cs="Arial" w:eastAsia="Arial" w:hAnsi="Arial"/>
          <w:sz w:val="16"/>
          <w:szCs w:val="16"/>
          <w:i w:val="1"/>
          <w:iCs w:val="1"/>
          <w:color w:val="auto"/>
        </w:rPr>
        <w:t>Daniel K. Inouye</w:t>
      </w:r>
      <w:r>
        <w:rPr>
          <w:rFonts w:ascii="Arial" w:cs="Arial" w:eastAsia="Arial" w:hAnsi="Arial"/>
          <w:sz w:val="16"/>
          <w:szCs w:val="16"/>
          <w:color w:val="auto"/>
        </w:rPr>
        <w:t xml:space="preserve">, its first Aloha Class vessel, to operate its dual fuel engine on liquefied natural gas (“LNG”) as originally designed. The installation is expected to take approximately five months to complete and is scheduled to begin during the first quarter of 2023, at an estimated cost of approximately $35 million. The Company is actively considering further LNG installations on </w:t>
      </w:r>
      <w:r>
        <w:rPr>
          <w:rFonts w:ascii="Arial" w:cs="Arial" w:eastAsia="Arial" w:hAnsi="Arial"/>
          <w:sz w:val="16"/>
          <w:szCs w:val="16"/>
          <w:i w:val="1"/>
          <w:iCs w:val="1"/>
          <w:color w:val="auto"/>
        </w:rPr>
        <w:t>Kaimana Hila</w:t>
      </w:r>
      <w:r>
        <w:rPr>
          <w:rFonts w:ascii="Arial" w:cs="Arial" w:eastAsia="Arial" w:hAnsi="Arial"/>
          <w:sz w:val="16"/>
          <w:szCs w:val="16"/>
          <w:color w:val="auto"/>
        </w:rPr>
        <w:t xml:space="preserve"> and the two Kanaloa Class vessels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Matsonia</w:t>
      </w:r>
      <w:r>
        <w:rPr>
          <w:rFonts w:ascii="Arial" w:cs="Arial" w:eastAsia="Arial" w:hAnsi="Arial"/>
          <w:sz w:val="16"/>
          <w:szCs w:val="16"/>
          <w:color w:val="auto"/>
        </w:rPr>
        <w:t xml:space="preserve">). In addition, the Company plans to re-engine </w:t>
      </w:r>
      <w:r>
        <w:rPr>
          <w:rFonts w:ascii="Arial" w:cs="Arial" w:eastAsia="Arial" w:hAnsi="Arial"/>
          <w:sz w:val="16"/>
          <w:szCs w:val="16"/>
          <w:i w:val="1"/>
          <w:iCs w:val="1"/>
          <w:color w:val="auto"/>
        </w:rPr>
        <w:t>Manukai</w:t>
      </w:r>
      <w:r>
        <w:rPr>
          <w:rFonts w:ascii="Arial" w:cs="Arial" w:eastAsia="Arial" w:hAnsi="Arial"/>
          <w:sz w:val="16"/>
          <w:szCs w:val="16"/>
          <w:color w:val="auto"/>
        </w:rPr>
        <w:t xml:space="preserve"> to operate on both LNG and conventional fuels at an estimated cost of approximately $60 million. The Company is continuing to evaluate different initiatives to increase efficiency and lower emissions. For more information about risks and uncertainties associated with the Company’s greenhouse gas emissions reduction goals, please see Item 2. Management’s Discussion and Analysis of Financial Condition and Results of Operations – Forward-Looking Statements.</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2021,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Except described below, there were no changes in the Company’s internal control over financial reporting (as defined in Rules 13a-15(f) and 15d-15(f) under the Exchange Act) that occurred during the three months ended September 30, 2021, that have materially affected, or are reasonably likely to materially affect, the Company’s internal control over financial reporting.</w:t>
      </w:r>
    </w:p>
    <w:p>
      <w:pPr>
        <w:spacing w:after="0" w:line="187"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During the quarter ended June 30, 2021, the Company implemented the financial modules of a new enterprise resource planning (“ERP”) system intended to enhance operating efficiencies and provide more effective management of its business operations. The Company completed pre-implementation testing and is currently performing post-implementation monitoring of the financial modules to ensure the continued effectiveness of internal controls over financial reporting. As a result of this implementation, certain internal controls over financial reporting have been automated, modified or implemented. While the Company believes the ERP financial modules system will strengthen its internal control environment, there are inherent risks in implementing any new system. The Company will continue to evaluate these internal control changes as part of its assessment of internal controls over financial reporting throughout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that in future filings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left="60" w:right="419"/>
        <w:spacing w:after="0" w:line="258" w:lineRule="auto"/>
        <w:rPr>
          <w:sz w:val="20"/>
          <w:szCs w:val="20"/>
          <w:color w:val="auto"/>
        </w:rPr>
      </w:pPr>
      <w:r>
        <w:rPr>
          <w:rFonts w:ascii="Arial" w:cs="Arial" w:eastAsia="Arial" w:hAnsi="Arial"/>
          <w:sz w:val="18"/>
          <w:szCs w:val="18"/>
          <w:color w:val="auto"/>
        </w:rPr>
        <w:t>The following is the summary of Matson shares that were repurchased under the Company’s share repurchase program during the three months ended September 30, 2021:</w:t>
      </w:r>
    </w:p>
    <w:tbl>
      <w:tblPr>
        <w:tblLayout w:type="fixed"/>
        <w:tblInd w:w="40" w:type="dxa"/>
        <w:tblCellMar>
          <w:top w:w="0" w:type="dxa"/>
          <w:left w:w="0" w:type="dxa"/>
          <w:bottom w:w="0" w:type="dxa"/>
          <w:right w:w="0" w:type="dxa"/>
        </w:tblCellMar>
      </w:tblPr>
      <w:tr>
        <w:trPr>
          <w:trHeight w:val="141"/>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1" w:lineRule="exact"/>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14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August 1 – 31, 2021</w:t>
            </w:r>
          </w:p>
        </w:tc>
        <w:tc>
          <w:tcPr>
            <w:tcW w:w="1040" w:type="dxa"/>
            <w:vAlign w:val="bottom"/>
          </w:tcPr>
          <w:p>
            <w:pPr>
              <w:jc w:val="right"/>
              <w:spacing w:after="0"/>
              <w:rPr>
                <w:sz w:val="20"/>
                <w:szCs w:val="20"/>
                <w:color w:val="auto"/>
              </w:rPr>
            </w:pPr>
            <w:r>
              <w:rPr>
                <w:rFonts w:ascii="Arial" w:cs="Arial" w:eastAsia="Arial" w:hAnsi="Arial"/>
                <w:sz w:val="18"/>
                <w:szCs w:val="18"/>
                <w:color w:val="auto"/>
              </w:rPr>
              <w:t>964,446</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75.08</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964,446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2,035,554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30,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1,520,576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1,479,424</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1,479,424</w:t>
            </w:r>
          </w:p>
        </w:tc>
        <w:tc>
          <w:tcPr>
            <w:tcW w:w="1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19" w:hanging="330"/>
        <w:spacing w:after="0" w:line="238"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June 24, 2021, the Company announced that Matson’s Board of Directors had approved a share repurchase program of up to 3.0 million shares of common stock from August 3, 2021 through August 2, 2024. Shares will be repurchased in the open market from time to time, and may be made pursuant to a trading plan in accordance with Rule 10b5-1 of the Security Exchange Act of 1934.</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880" w:right="8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41">
        <w:r>
          <w:rPr>
            <w:rFonts w:ascii="Arial" w:cs="Arial" w:eastAsia="Arial" w:hAnsi="Arial"/>
            <w:sz w:val="18"/>
            <w:szCs w:val="18"/>
            <w:u w:val="single" w:color="auto"/>
            <w:color w:val="0000EE"/>
          </w:rPr>
          <w:t>Amended and Restated Matson, Inc. 2016 Incentive Compensation Plan (incorporated by reference to</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Exhibit 99.1 of Matson’s Form S-8 dated July 30, 2021).</w:t>
        </w:r>
      </w:hyperlink>
    </w:p>
    <w:p>
      <w:pPr>
        <w:spacing w:after="0" w:line="198" w:lineRule="exact"/>
        <w:rPr>
          <w:sz w:val="20"/>
          <w:szCs w:val="20"/>
          <w:color w:val="auto"/>
        </w:rPr>
      </w:pPr>
    </w:p>
    <w:p>
      <w:pPr>
        <w:ind w:left="880" w:right="35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8"/>
            <w:szCs w:val="18"/>
            <w:u w:val="single" w:color="auto"/>
            <w:color w:val="0000EE"/>
          </w:rPr>
          <w:t>Certification of Chief Executive Officer pursuant to Rule 13a-14(a) or 15d-14(a) of the Securities Exchange</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Act of 1934.</w:t>
        </w:r>
      </w:hyperlink>
    </w:p>
    <w:p>
      <w:pPr>
        <w:spacing w:after="0" w:line="198" w:lineRule="exact"/>
        <w:rPr>
          <w:sz w:val="20"/>
          <w:szCs w:val="20"/>
          <w:color w:val="auto"/>
        </w:rPr>
      </w:pPr>
    </w:p>
    <w:p>
      <w:pPr>
        <w:ind w:left="880" w:right="1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of 1934.</w:t>
        </w:r>
      </w:hyperlink>
    </w:p>
    <w:p>
      <w:pPr>
        <w:spacing w:after="0" w:line="198" w:lineRule="exact"/>
        <w:rPr>
          <w:sz w:val="20"/>
          <w:szCs w:val="20"/>
          <w:color w:val="auto"/>
        </w:rPr>
      </w:pPr>
    </w:p>
    <w:p>
      <w:pPr>
        <w:ind w:left="880" w:hanging="824"/>
        <w:spacing w:after="0"/>
        <w:tabs>
          <w:tab w:leader="none" w:pos="880" w:val="left"/>
        </w:tabs>
        <w:numPr>
          <w:ilvl w:val="0"/>
          <w:numId w:val="27"/>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Certification of Chief Executive Officer and Chief Financial Officer pursuant to 18 U.S.C. Section 1350.</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880" w:hanging="824"/>
        <w:spacing w:after="0"/>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as Exhibit 101).</w:t>
      </w:r>
    </w:p>
    <w:p>
      <w:pPr>
        <w:spacing w:after="0" w:line="198"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-173355</wp:posOffset>
            </wp:positionV>
            <wp:extent cx="141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880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6350</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ind w:left="53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ind w:left="880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6350</wp:posOffset>
            </wp:positionV>
            <wp:extent cx="29146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Executive Vice President and</w:t>
      </w:r>
    </w:p>
    <w:p>
      <w:pPr>
        <w:ind w:left="53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ind w:left="796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02" w:lineRule="exact"/>
        <w:rPr>
          <w:sz w:val="20"/>
          <w:szCs w:val="20"/>
          <w:color w:val="auto"/>
        </w:rPr>
      </w:pPr>
    </w:p>
    <w:p>
      <w:pPr>
        <w:ind w:left="60" w:right="199"/>
        <w:spacing w:after="0" w:line="284"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September 30, 2021,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42" w:lineRule="exact"/>
        <w:rPr>
          <w:sz w:val="20"/>
          <w:szCs w:val="20"/>
          <w:color w:val="auto"/>
        </w:rPr>
      </w:pPr>
    </w:p>
    <w:p>
      <w:pPr>
        <w:ind w:left="60" w:right="519" w:hanging="10"/>
        <w:spacing w:after="0" w:line="261"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0" w:right="99" w:hanging="10"/>
        <w:spacing w:after="0" w:line="261"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4, 2021</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 "/>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decimal"/>
      <w:start w:val="5"/>
    </w:lvl>
  </w:abstractNum>
  <w:abstractNum w:abstractNumId="14">
    <w:nsid w:val="B03E0C6"/>
    <w:multiLevelType w:val="hybridMultilevel"/>
    <w:lvl w:ilvl="0">
      <w:lvlJc w:val="left"/>
      <w:lvlText w:val="%1."/>
      <w:numFmt w:val="decimal"/>
      <w:start w:val="6"/>
    </w:lvl>
  </w:abstractNum>
  <w:abstractNum w:abstractNumId="15">
    <w:nsid w:val="189A769B"/>
    <w:multiLevelType w:val="hybridMultilevel"/>
    <w:lvl w:ilvl="0">
      <w:lvlJc w:val="left"/>
      <w:lvlText w:val="%1."/>
      <w:numFmt w:val="decimal"/>
      <w:start w:val="7"/>
    </w:lvl>
  </w:abstractNum>
  <w:abstractNum w:abstractNumId="16">
    <w:nsid w:val="54E49EB4"/>
    <w:multiLevelType w:val="hybridMultilevel"/>
    <w:lvl w:ilvl="0">
      <w:lvlJc w:val="left"/>
      <w:lvlText w:val="%1."/>
      <w:numFmt w:val="decimal"/>
      <w:start w:val="8"/>
    </w:lvl>
  </w:abstractNum>
  <w:abstractNum w:abstractNumId="17">
    <w:nsid w:val="71F32454"/>
    <w:multiLevelType w:val="hybridMultilevel"/>
    <w:lvl w:ilvl="0">
      <w:lvlJc w:val="left"/>
      <w:lvlText w:val="%1."/>
      <w:numFmt w:val="decimal"/>
      <w:start w:val="9"/>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1."/>
      <w:numFmt w:val="decimal"/>
      <w:start w:val="11"/>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2"/>
    </w:lvl>
  </w:abstractNum>
  <w:abstractNum w:abstractNumId="27">
    <w:nsid w:val="22221A70"/>
    <w:multiLevelType w:val="hybridMultilevel"/>
    <w:lvl w:ilvl="0">
      <w:lvlJc w:val="left"/>
      <w:lvlText w:val="*"/>
      <w:numFmt w:val="bullet"/>
      <w:start w:val="1"/>
    </w:lvl>
    <w:lvl w:ilvl="1">
      <w:lvlJc w:val="left"/>
      <w:lvlText w:val="%2"/>
      <w:numFmt w:val="decimal"/>
      <w:start w:val="104"/>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27" Type="http://schemas.openxmlformats.org/officeDocument/2006/relationships/hyperlink" Target="https://www.sec.gov/ix?doc=/Archives/edgar/data/3453/000155837021001909/matx-20201231x10k.htm" TargetMode="External"/><Relationship Id="rId37" Type="http://schemas.openxmlformats.org/officeDocument/2006/relationships/hyperlink" Target="https://www.sec.gov/ix?doc=/Archives/edgar/data/3453/000155837021004977/matx-20210331x10q.htm" TargetMode="External"/><Relationship Id="rId41" Type="http://schemas.openxmlformats.org/officeDocument/2006/relationships/hyperlink" Target="https://www.sec.gov/Archives/edgar/data/3453/000155837021009648/tmb-20210730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2021-11-04T05:32:24Z</dcterms:created>
  <dcterms:modified xsi:type="dcterms:W3CDTF">2021-11-04T05:32:24Z</dcterms:modified>
</cp:coreProperties>
</file>