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5759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75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33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COX MATTHEW J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Matson,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MATX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Foreign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Chairman &amp; CEO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1411 SAND ISLAND PARKWAY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10/29/2026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HONOLULU   HI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96819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tcBorders>
              <w:top w:val="single" w:sz="8" w:color="EEEEEE"/>
            </w:tcBorders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60" w:type="dxa"/>
            <w:vAlign w:val="bottom"/>
            <w:gridSpan w:val="7"/>
          </w:tcPr>
          <w:p>
            <w:pPr>
              <w:jc w:val="center"/>
              <w:ind w:righ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5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jc w:val="center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10/29/2026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230.6314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219,016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10/29/2026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1,290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226.44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217,726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10/29/2026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1,560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229.93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216,166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10/29/2026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3,320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227.71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(5)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212,846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10/29/2026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3,550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228.87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(6)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209,296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6. Date Exercisable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8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 of shares reported on this Form 4 were effected pursuant to a Rule 10b5-1 trading plan adopted by the reporting person on March 9, 2026.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7"/>
        <w:spacing w:after="0" w:line="253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$230.63 to $230.64. The price reported above reflects the weighted average sale price. The reporting person hereby undertakes to provide upon request to the Securities and Exchange Commission staff, the issuer or a security holder of the issuer full information regarding the number of shares and prices at which the transaction was effected.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7"/>
        <w:spacing w:after="0" w:line="253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$226.06 to $226.92. The price reported above reflects the weighted average sale price. The reporting person hereby undertakes to provide upon request to the Securities and Exchange Commission staff, the issuer or a security holder of the issuer full information regarding the number of shares and prices at which the transaction was effected.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7"/>
        <w:spacing w:after="0" w:line="253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$229.50 to $230.35. The price reported above reflects the weighted average sale price. The reporting person hereby undertakes to provide upon request to the Securities and Exchange Commission staff, the issuer or a security holder of the issuer full information regarding the number of shares and prices at which the transaction was effected.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7"/>
        <w:spacing w:after="0" w:line="253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$227.23 to $228.18. The price reported above reflects the weighted average sale price. The reporting person hereby undertakes to provide upon request to the Securities and Exchange Commission staff, the issuer or a security holder of the issuer full information regarding the number of shares and prices at which the transaction was effected.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7"/>
        <w:spacing w:after="0" w:line="253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$228.44 to $229.43. The price reported above reflects the weighted average sale price. The reporting person hereby undertakes to provide upon request to the Securities and Exchange Commission staff, the issuer or a security holder of the issuer full information regarding the number of shares and prices at which the transaction was effected.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Matthew J. Cox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10/29/2026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3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06911" TargetMode="External"/><Relationship Id="rId14" Type="http://schemas.openxmlformats.org/officeDocument/2006/relationships/hyperlink" Target="http://www.sec.gov/cgi-bin/browse-edgar?action=getcompany&amp;CIK=00000034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2026-10-29T19:16:20Z</dcterms:created>
  <dcterms:modified xsi:type="dcterms:W3CDTF">2026-10-29T19:16:20Z</dcterms:modified>
</cp:coreProperties>
</file>