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40331x10q.htm"/>
        <w:bookmarkStart w:id="1" w:name="ksmatx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rFonts w:ascii="Times New Roman;Times;serif" w:hAnsi="Times New Roman;Times;serif"/>
          <w:i/>
          <w:sz w:val="2"/>
        </w:rPr>
      </w:pPr>
      <w:r>
        <w:rPr>
          <w:rFonts w:ascii="Times New Roman;Times;serif" w:hAnsi="Times New Roman;Times;serif"/>
          <w:i/>
          <w:sz w:val="2"/>
        </w:rPr>
        <w:t>ff</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825ffb71_80e8_414b_a2ce_549ff6b0cf92"/>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2024</w:t>
      </w:r>
    </w:p>
    <w:p>
      <w:pPr>
        <w:pStyle w:val="TextBody"/>
        <w:pBdr/>
        <w:bidi w:val="0"/>
        <w:spacing w:before="0" w:after="0"/>
        <w:ind w:left="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001-34187</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WbN89wCckUeHbDOP00shLA_4_1"/>
      <w:bookmarkStart w:id="4" w:name="Tc_nepDhgt3-0qNm910mSDyHQ_4_0"/>
      <w:bookmarkStart w:id="5" w:name="Tc_FU3QwMJhfk2lWLGQpJJzRg_2_1"/>
      <w:bookmarkStart w:id="6" w:name="Tc_bKq1DehKJEW8eAw9WMJIHg_2_0"/>
      <w:bookmarkStart w:id="7" w:name="_af43c18c_e622_4da7_b8c0_a30e09a9a76f"/>
      <w:bookmarkStart w:id="8" w:name="Tc_WbN89wCckUeHbDOP00shLA_4_1"/>
      <w:bookmarkStart w:id="9" w:name="Tc_nepDhgt3-0qNm910mSDyHQ_4_0"/>
      <w:bookmarkStart w:id="10" w:name="Tc_FU3QwMJhfk2lWLGQpJJzRg_2_1"/>
      <w:bookmarkStart w:id="11" w:name="Tc_bKq1DehKJEW8eAw9WMJIHg_2_0"/>
      <w:bookmarkStart w:id="12" w:name="_af43c18c_e622_4da7_b8c0_a30e09a9a76f"/>
      <w:bookmarkEnd w:id="8"/>
      <w:bookmarkEnd w:id="9"/>
      <w:bookmarkEnd w:id="10"/>
      <w:bookmarkEnd w:id="11"/>
      <w:bookmarkEnd w:id="12"/>
    </w:p>
    <w:tbl>
      <w:tblPr>
        <w:tblW w:w="4952" w:type="dxa"/>
        <w:jc w:val="left"/>
        <w:tblInd w:w="0" w:type="dxa"/>
        <w:tblLayout w:type="fixed"/>
        <w:tblCellMar>
          <w:top w:w="0" w:type="dxa"/>
          <w:left w:w="0" w:type="dxa"/>
          <w:bottom w:w="0" w:type="dxa"/>
          <w:right w:w="0" w:type="dxa"/>
        </w:tblCellMar>
      </w:tblPr>
      <w:tblGrid>
        <w:gridCol w:w="3301"/>
        <w:gridCol w:w="1651"/>
      </w:tblGrid>
      <w:tr>
        <w:trPr/>
        <w:tc>
          <w:tcPr>
            <w:tcW w:w="3301" w:type="dxa"/>
            <w:tcBorders/>
            <w:vAlign w:val="center"/>
          </w:tcPr>
          <w:p>
            <w:pPr>
              <w:pStyle w:val="TableContents"/>
              <w:bidi w:val="0"/>
              <w:spacing w:lineRule="atLeast" w:line="220" w:before="0" w:after="0"/>
              <w:ind w:left="0" w:right="0" w:hanging="0"/>
              <w:jc w:val="left"/>
              <w:rPr/>
            </w:pPr>
            <w:r>
              <w:rPr/>
              <w:t>​</w:t>
            </w:r>
          </w:p>
        </w:tc>
        <w:tc>
          <w:tcPr>
            <w:tcW w:w="1651" w:type="dxa"/>
            <w:tcBorders/>
            <w:vAlign w:val="center"/>
          </w:tcPr>
          <w:p>
            <w:pPr>
              <w:pStyle w:val="TableContents"/>
              <w:bidi w:val="0"/>
              <w:spacing w:lineRule="atLeast" w:line="220" w:before="0" w:after="0"/>
              <w:ind w:left="0" w:right="0" w:hanging="0"/>
              <w:jc w:val="left"/>
              <w:rPr/>
            </w:pPr>
            <w:r>
              <w:rPr/>
              <w:t>​</w:t>
            </w:r>
          </w:p>
        </w:tc>
      </w:tr>
      <w:tr>
        <w:trPr/>
        <w:tc>
          <w:tcPr>
            <w:tcW w:w="3301" w:type="dxa"/>
            <w:tcBorders/>
            <w:vAlign w:val="center"/>
          </w:tcPr>
          <w:p>
            <w:pPr>
              <w:pStyle w:val="TableContents"/>
              <w:pBdr/>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301" w:type="dxa"/>
            <w:tcBorders/>
            <w:vAlign w:val="center"/>
          </w:tcPr>
          <w:p>
            <w:pPr>
              <w:pStyle w:val="TableContents"/>
              <w:bidi w:val="0"/>
              <w:spacing w:lineRule="atLeast" w:line="160" w:before="0" w:after="0"/>
              <w:ind w:left="0" w:right="0" w:hanging="0"/>
              <w:jc w:val="center"/>
              <w:rPr/>
            </w:pPr>
            <w:r>
              <w:rPr/>
              <w:t>​</w:t>
            </w:r>
          </w:p>
        </w:tc>
        <w:tc>
          <w:tcPr>
            <w:tcW w:w="1651" w:type="dxa"/>
            <w:tcBorders/>
            <w:vAlign w:val="center"/>
          </w:tcPr>
          <w:p>
            <w:pPr>
              <w:pStyle w:val="TableContents"/>
              <w:bidi w:val="0"/>
              <w:spacing w:lineRule="atLeast" w:line="160" w:before="0" w:after="0"/>
              <w:ind w:left="0" w:right="0" w:hanging="0"/>
              <w:jc w:val="center"/>
              <w:rPr/>
            </w:pPr>
            <w:r>
              <w:rPr/>
              <w:t>​</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1411 Sand Island Parkway</w:t>
            </w:r>
          </w:p>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Honolulu, HI</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tLeast" w:line="160"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DN0H9HAEd0yVs1lkjsrxRA_1_2"/>
      <w:bookmarkStart w:id="14" w:name="Tc_5Bz23h23gUOgUvvt4S-AFQ_1_1"/>
      <w:bookmarkStart w:id="15" w:name="Tc_6zULG1G16EeDM90HT0Rr6Q_1_0"/>
      <w:bookmarkStart w:id="16" w:name="_9ec5e65e_c459_445f_8eeb_4921fa4e128f"/>
      <w:bookmarkStart w:id="17" w:name="Tc_DN0H9HAEd0yVs1lkjsrxRA_1_2"/>
      <w:bookmarkStart w:id="18" w:name="Tc_5Bz23h23gUOgUvvt4S-AFQ_1_1"/>
      <w:bookmarkStart w:id="19" w:name="Tc_6zULG1G16EeDM90HT0Rr6Q_1_0"/>
      <w:bookmarkStart w:id="20" w:name="_9ec5e65e_c459_445f_8eeb_4921fa4e128f"/>
      <w:bookmarkEnd w:id="17"/>
      <w:bookmarkEnd w:id="18"/>
      <w:bookmarkEnd w:id="19"/>
      <w:bookmarkEnd w:id="20"/>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60"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lineRule="atLeast" w:line="142" w:before="0" w:after="0"/>
              <w:ind w:left="0" w:right="0" w:hanging="0"/>
              <w:jc w:val="left"/>
              <w:rPr/>
            </w:pPr>
            <w:r>
              <w:rPr/>
              <w:t>​</w:t>
            </w:r>
          </w:p>
        </w:tc>
        <w:tc>
          <w:tcPr>
            <w:tcW w:w="2581" w:type="dxa"/>
            <w:tcBorders/>
            <w:vAlign w:val="center"/>
          </w:tcPr>
          <w:p>
            <w:pPr>
              <w:pStyle w:val="TableContents"/>
              <w:bidi w:val="0"/>
              <w:spacing w:lineRule="atLeast" w:line="142"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pPr>
      <w:r>
        <w:rPr/>
        <w:t>​</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Number of shares of common stock outstanding as of March 31, 2024: 34,168,153</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69f00e1a_6e94_4874_87d4_e73441d8196b"/>
      <w:bookmarkEnd w:id="21"/>
      <w:r>
        <w:rPr>
          <w:rFonts w:ascii="Times New Roman;Times;serif" w:hAnsi="Times New Roman;Times;serif"/>
          <w:b/>
          <w:sz w:val="20"/>
        </w:rPr>
        <w:t>MATSON, INC. AND SUBSIDIARIES</w:t>
      </w:r>
    </w:p>
    <w:p>
      <w:pPr>
        <w:pStyle w:val="TextBody"/>
        <w:shd w:fill="FFFFFF" w:val="clear"/>
        <w:bidi w:val="0"/>
        <w:spacing w:before="24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hd w:fill="FFFFFF" w:val="clear"/>
        <w:bidi w:val="0"/>
        <w:spacing w:before="0" w:after="0"/>
        <w:ind w:left="0" w:right="0" w:hanging="0"/>
        <w:jc w:val="center"/>
        <w:rPr/>
      </w:pPr>
      <w:r>
        <w:rPr/>
        <w:t>​</w:t>
      </w:r>
    </w:p>
    <w:tbl>
      <w:tblPr>
        <w:tblW w:w="8924" w:type="dxa"/>
        <w:jc w:val="left"/>
        <w:tblInd w:w="0" w:type="dxa"/>
        <w:shd w:fill="FFFFFF" w:val="clear"/>
        <w:tblLayout w:type="fixed"/>
        <w:tblCellMar>
          <w:top w:w="0" w:type="dxa"/>
          <w:left w:w="0" w:type="dxa"/>
          <w:bottom w:w="0" w:type="dxa"/>
          <w:right w:w="0" w:type="dxa"/>
        </w:tblCellMar>
      </w:tblPr>
      <w:tblGrid>
        <w:gridCol w:w="811"/>
        <w:gridCol w:w="7366"/>
        <w:gridCol w:w="206"/>
        <w:gridCol w:w="541"/>
      </w:tblGrid>
      <w:tr>
        <w:trPr/>
        <w:tc>
          <w:tcPr>
            <w:tcW w:w="811" w:type="dxa"/>
            <w:tcBorders/>
            <w:shd w:fill="FFFFFF" w:val="clear"/>
            <w:vAlign w:val="center"/>
          </w:tcPr>
          <w:p>
            <w:pPr>
              <w:pStyle w:val="TableContents"/>
              <w:bidi w:val="0"/>
              <w:spacing w:lineRule="atLeast" w:line="240" w:before="0" w:after="0"/>
              <w:ind w:left="0" w:right="0" w:hanging="0"/>
              <w:jc w:val="left"/>
              <w:rPr/>
            </w:pPr>
            <w:r>
              <w:rPr/>
              <w:t>​</w:t>
            </w:r>
          </w:p>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06" w:type="dxa"/>
            <w:tcBorders/>
            <w:shd w:fill="FFFFFF" w:val="clear"/>
            <w:vAlign w:val="center"/>
          </w:tcPr>
          <w:p>
            <w:pPr>
              <w:pStyle w:val="TableContents"/>
              <w:bidi w:val="0"/>
              <w:spacing w:lineRule="atLeast" w:line="240"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_I_FINANCIAL_INFORMATION">
              <w:r>
                <w:rPr>
                  <w:rStyle w:val="InternetLink"/>
                  <w:rFonts w:ascii="Times New Roman;Times;serif" w:hAnsi="Times New Roman;Times;serif"/>
                  <w:b w:val="false"/>
                  <w:i w:val="false"/>
                  <w:caps w:val="false"/>
                  <w:smallCaps w:val="false"/>
                  <w:sz w:val="20"/>
                </w:rPr>
                <w:t>Part I—FINANCIAL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top w:val="single" w:sz="2" w:space="0" w:color="000000"/>
            </w:tcBorders>
            <w:shd w:fill="FFFFFF" w:val="clear"/>
            <w:tcMar>
              <w:top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left"/>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Financial Statements (Unaudited)</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_Statements_of_Income">
              <w:r>
                <w:rPr>
                  <w:rStyle w:val="InternetLink"/>
                  <w:rFonts w:ascii="Times New Roman;Times;serif" w:hAnsi="Times New Roman;Times;serif"/>
                  <w:b w:val="false"/>
                  <w:i w:val="false"/>
                  <w:caps w:val="false"/>
                  <w:smallCaps w:val="false"/>
                  <w:sz w:val="20"/>
                </w:rPr>
                <w:t>Condensed Consolidated Statements of Income and Comprehensive Income</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BalanceSheets_846706">
              <w:r>
                <w:rPr>
                  <w:rStyle w:val="InternetLink"/>
                  <w:rFonts w:ascii="Times New Roman;Times;serif" w:hAnsi="Times New Roman;Times;serif"/>
                  <w:b w:val="false"/>
                  <w:i w:val="false"/>
                  <w:caps w:val="false"/>
                  <w:smallCaps w:val="false"/>
                  <w:sz w:val="20"/>
                </w:rPr>
                <w:t>Condensed Consolidated Balance Sheets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CashFlows_473640">
              <w:r>
                <w:rPr>
                  <w:rStyle w:val="InternetLink"/>
                  <w:rFonts w:ascii="Times New Roman;Times;serif" w:hAnsi="Times New Roman;Times;serif"/>
                  <w:b w:val="false"/>
                  <w:i w:val="false"/>
                  <w:caps w:val="false"/>
                  <w:smallCaps w:val="false"/>
                  <w:sz w:val="20"/>
                </w:rPr>
                <w:t>Condensed Consolidated Statements of Cash Flows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ShareholdersEquity">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NOTESTOTHECONDENSEDCONSOLIDATEDFINANIC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Controls and Procedures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7366"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206" w:type="dxa"/>
            <w:tcBorders/>
            <w:shd w:fill="FFFFFF" w:val="clear"/>
            <w:vAlign w:val="center"/>
          </w:tcPr>
          <w:p>
            <w:pPr>
              <w:pStyle w:val="TableContents"/>
              <w:bidi w:val="0"/>
              <w:spacing w:lineRule="atLeast" w:line="240" w:before="0" w:after="0"/>
              <w:ind w:left="0" w:right="0" w:hanging="0"/>
              <w:jc w:val="right"/>
              <w:rPr>
                <w:shd w:fill="FFFF00" w:val="clear"/>
              </w:rPr>
            </w:pPr>
            <w:r>
              <w:rPr>
                <w:shd w:fill="FFFF00" w:val="clear"/>
              </w:rPr>
              <w:t>​</w:t>
            </w:r>
          </w:p>
        </w:tc>
        <w:tc>
          <w:tcPr>
            <w:tcW w:w="541" w:type="dxa"/>
            <w:tcBorders/>
            <w:shd w:fill="FFFFFF" w:val="clear"/>
            <w:vAlign w:val="center"/>
          </w:tcPr>
          <w:p>
            <w:pPr>
              <w:pStyle w:val="TableContents"/>
              <w:bidi w:val="0"/>
              <w:spacing w:lineRule="atLeast" w:line="240" w:before="0" w:after="0"/>
              <w:ind w:left="0" w:right="0" w:hanging="0"/>
              <w:jc w:val="center"/>
              <w:rPr>
                <w:shd w:fill="FFFF00" w:val="clear"/>
              </w:rPr>
            </w:pPr>
            <w:r>
              <w:rPr>
                <w:shd w:fill="FFFF00" w:val="clear"/>
              </w:rPr>
              <w:t>​</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IIOTHERINFORMATION_744928">
              <w:r>
                <w:rPr>
                  <w:rStyle w:val="InternetLink"/>
                  <w:rFonts w:ascii="Times New Roman;Times;serif" w:hAnsi="Times New Roman;Times;serif"/>
                  <w:b w:val="false"/>
                  <w:i w:val="false"/>
                  <w:caps w:val="false"/>
                  <w:smallCaps w:val="false"/>
                  <w:sz w:val="20"/>
                </w:rPr>
                <w:t>Part II—OTHER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Legal Proceedings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Item 1A.</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Risk Factors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Defaults Upon Senior Securities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Mine Safety Disclosures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Item 5.</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Item 6.</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Exhibits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IGNATURES_841218">
              <w:r>
                <w:rPr>
                  <w:rStyle w:val="InternetLink"/>
                  <w:rFonts w:ascii="Times New Roman;Times;serif" w:hAnsi="Times New Roman;Times;serif"/>
                  <w:b w:val="false"/>
                  <w:i w:val="false"/>
                  <w:caps w:val="false"/>
                  <w:smallCaps w:val="false"/>
                  <w:sz w:val="20"/>
                </w:rPr>
                <w:t>Signatures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PART_I_FINANCIAL_INFORMATION"/>
      <w:bookmarkStart w:id="24" w:name="_2fecf42b_7215_4d8f_b966_487b3fac3e66"/>
      <w:bookmarkEnd w:id="23"/>
      <w:bookmarkEnd w:id="24"/>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5" w:name="ITEM_1_FINANCIAL_STATEMENTS"/>
      <w:bookmarkEnd w:id="25"/>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 w:name="Consolidated_Statements_of_Income"/>
      <w:bookmarkEnd w:id="26"/>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Q-Lq6TySEK_1yo-1wUKZQ_36_0"/>
      <w:bookmarkStart w:id="28" w:name="Tc_T_cRP6HNhEmDbxkEKJ8nwA_35_0"/>
      <w:bookmarkStart w:id="29" w:name="Tc_N2B4vX6vT0aPiDMx-NsjBQ_34_0"/>
      <w:bookmarkStart w:id="30" w:name="Tc_f7xtmeKH2ECU_-5zWv68gA_32_5"/>
      <w:bookmarkStart w:id="31" w:name="Tc_zkVquBjGiUChfpkWezrPYA_32_2"/>
      <w:bookmarkStart w:id="32" w:name="Tc_CjqK1O99FEOOPV_JsiFVyQ_32_0"/>
      <w:bookmarkStart w:id="33" w:name="Tc_O3vjkeoVLEmVbaKGI5_blg_31_5"/>
      <w:bookmarkStart w:id="34" w:name="Tc_nQFJKVohXUCzcg8cKwuTJg_31_2"/>
      <w:bookmarkStart w:id="35" w:name="Tc_J2avXc4vXUmOzBWOG0rCJQ_31_0"/>
      <w:bookmarkStart w:id="36" w:name="Tc_jUZ6N0wqf0uJ5GPWIff7GA_29_5"/>
      <w:bookmarkStart w:id="37" w:name="Tc_CYQItrqYNU2xzCxrDkbwKQ_29_2"/>
      <w:bookmarkStart w:id="38" w:name="Tc_rTdql5h7KEOpzwc6CA9G5w_29_0"/>
      <w:bookmarkStart w:id="39" w:name="Tc_9A7u8i-5c0i7itQTSdamkA_28_0"/>
      <w:bookmarkStart w:id="40" w:name="Tc_UuIlfCJ2ZUaq177FjsmQ8w_27_0"/>
      <w:bookmarkStart w:id="41" w:name="Tc_eKGjC79NE0CtSmpxNNZSlw_26_0"/>
      <w:bookmarkStart w:id="42" w:name="Tc_RCrvizOVlEyta-BGXiJpww_25_0"/>
      <w:bookmarkStart w:id="43" w:name="Tc_11cH_l7ZC0uegVuE08OW2Q_24_5"/>
      <w:bookmarkStart w:id="44" w:name="Tc_ttjkF6pEpUCVDA3K9qQo6g_24_2"/>
      <w:bookmarkStart w:id="45" w:name="Tc_3hxkNdT2JkK2LWcuLacOpg_24_0"/>
      <w:bookmarkStart w:id="46" w:name="Tc_C4F5Xlt7pEapRQvr9RdmXw_23_0"/>
      <w:bookmarkStart w:id="47" w:name="Tc_GYnBccu4w0eMNmhEnEsS_w_21_5"/>
      <w:bookmarkStart w:id="48" w:name="Tc_wppQXaopkUWsA66Zn2zY-w_21_2"/>
      <w:bookmarkStart w:id="49" w:name="Tc_LchETbg2UkStuh853nohHQ_21_0"/>
      <w:bookmarkStart w:id="50" w:name="Tc_0Qa-4T4RFEyrpx-HsF1ryg_20_0"/>
      <w:bookmarkStart w:id="51" w:name="Tc_mZqEbA_wIEOVxea8DwsH7Q_19_0"/>
      <w:bookmarkStart w:id="52" w:name="Tc_l4u3nMqMKkmDpFcEctM5jQ_18_0"/>
      <w:bookmarkStart w:id="53" w:name="Tc_dW_Z5Rrf60G3PH6QEvd3xQ_17_0"/>
      <w:bookmarkStart w:id="54" w:name="Tc_NDXQykjZMkqJGF65jvKWyw_16_0"/>
      <w:bookmarkStart w:id="55" w:name="Tc_f59K7W-c_0C0prEGAJ06cw_15_0"/>
      <w:bookmarkStart w:id="56" w:name="Tc_pbn7Qr099E2rnAQpCxZhPg_13_0"/>
      <w:bookmarkStart w:id="57" w:name="Tc_H6tph_HNY02dwGcNsyQXag_12_0"/>
      <w:bookmarkStart w:id="58" w:name="Tc_gzo_ZcViBkWs5bXfKaPAlQ_11_0"/>
      <w:bookmarkStart w:id="59" w:name="Tc_MRCOvzztikOu5g9XXYcfag_10_0"/>
      <w:bookmarkStart w:id="60" w:name="Tc_YGDPH8GBPka3KOjefJF85w_9_0"/>
      <w:bookmarkStart w:id="61" w:name="Tc_KzYD6-t0xE6AYZgyEVLDcg_7_0"/>
      <w:bookmarkStart w:id="62" w:name="Tc_u0ZfK8I9zkiQvY8GUefWSQ_6_0"/>
      <w:bookmarkStart w:id="63" w:name="Tc_IQbdh05Vckqc7DB-tWr9ZQ_5_5"/>
      <w:bookmarkStart w:id="64" w:name="Tc_HhpVjc6q4UOV8gSZcouHjg_5_2"/>
      <w:bookmarkStart w:id="65" w:name="Tc_9gy-W8FeJ0-22kbk_VqtBA_5_0"/>
      <w:bookmarkStart w:id="66" w:name="Tc_ncuS4dd_WUqFTQGhemjy7Q_4_0"/>
      <w:bookmarkStart w:id="67" w:name="Tc_N125ORJwCk6Wl0dsvsdHWQ_3_5"/>
      <w:bookmarkStart w:id="68" w:name="Tc_OQc-b4F9_0yXsuAbiDFxHw_3_2"/>
      <w:bookmarkStart w:id="69" w:name="Tc_eqoYEQYJAUir2UaSFGwSYA_3_0"/>
      <w:bookmarkStart w:id="70" w:name="Tc_nUiGZdFBiECaBNsnRxlrZA_2_2"/>
      <w:bookmarkStart w:id="71" w:name="Tc_tMip1XnxVEaGJTL_UIByOA_1_2"/>
      <w:bookmarkStart w:id="72" w:name="_40632128_9b38_41f2_99c4_634cee63da95"/>
      <w:bookmarkStart w:id="73" w:name="Tc_-Q-Lq6TySEK_1yo-1wUKZQ_36_0"/>
      <w:bookmarkStart w:id="74" w:name="Tc_T_cRP6HNhEmDbxkEKJ8nwA_35_0"/>
      <w:bookmarkStart w:id="75" w:name="Tc_N2B4vX6vT0aPiDMx-NsjBQ_34_0"/>
      <w:bookmarkStart w:id="76" w:name="Tc_f7xtmeKH2ECU_-5zWv68gA_32_5"/>
      <w:bookmarkStart w:id="77" w:name="Tc_zkVquBjGiUChfpkWezrPYA_32_2"/>
      <w:bookmarkStart w:id="78" w:name="Tc_CjqK1O99FEOOPV_JsiFVyQ_32_0"/>
      <w:bookmarkStart w:id="79" w:name="Tc_O3vjkeoVLEmVbaKGI5_blg_31_5"/>
      <w:bookmarkStart w:id="80" w:name="Tc_nQFJKVohXUCzcg8cKwuTJg_31_2"/>
      <w:bookmarkStart w:id="81" w:name="Tc_J2avXc4vXUmOzBWOG0rCJQ_31_0"/>
      <w:bookmarkStart w:id="82" w:name="Tc_jUZ6N0wqf0uJ5GPWIff7GA_29_5"/>
      <w:bookmarkStart w:id="83" w:name="Tc_CYQItrqYNU2xzCxrDkbwKQ_29_2"/>
      <w:bookmarkStart w:id="84" w:name="Tc_rTdql5h7KEOpzwc6CA9G5w_29_0"/>
      <w:bookmarkStart w:id="85" w:name="Tc_9A7u8i-5c0i7itQTSdamkA_28_0"/>
      <w:bookmarkStart w:id="86" w:name="Tc_UuIlfCJ2ZUaq177FjsmQ8w_27_0"/>
      <w:bookmarkStart w:id="87" w:name="Tc_eKGjC79NE0CtSmpxNNZSlw_26_0"/>
      <w:bookmarkStart w:id="88" w:name="Tc_RCrvizOVlEyta-BGXiJpww_25_0"/>
      <w:bookmarkStart w:id="89" w:name="Tc_11cH_l7ZC0uegVuE08OW2Q_24_5"/>
      <w:bookmarkStart w:id="90" w:name="Tc_ttjkF6pEpUCVDA3K9qQo6g_24_2"/>
      <w:bookmarkStart w:id="91" w:name="Tc_3hxkNdT2JkK2LWcuLacOpg_24_0"/>
      <w:bookmarkStart w:id="92" w:name="Tc_C4F5Xlt7pEapRQvr9RdmXw_23_0"/>
      <w:bookmarkStart w:id="93" w:name="Tc_GYnBccu4w0eMNmhEnEsS_w_21_5"/>
      <w:bookmarkStart w:id="94" w:name="Tc_wppQXaopkUWsA66Zn2zY-w_21_2"/>
      <w:bookmarkStart w:id="95" w:name="Tc_LchETbg2UkStuh853nohHQ_21_0"/>
      <w:bookmarkStart w:id="96" w:name="Tc_0Qa-4T4RFEyrpx-HsF1ryg_20_0"/>
      <w:bookmarkStart w:id="97" w:name="Tc_mZqEbA_wIEOVxea8DwsH7Q_19_0"/>
      <w:bookmarkStart w:id="98" w:name="Tc_l4u3nMqMKkmDpFcEctM5jQ_18_0"/>
      <w:bookmarkStart w:id="99" w:name="Tc_dW_Z5Rrf60G3PH6QEvd3xQ_17_0"/>
      <w:bookmarkStart w:id="100" w:name="Tc_NDXQykjZMkqJGF65jvKWyw_16_0"/>
      <w:bookmarkStart w:id="101" w:name="Tc_f59K7W-c_0C0prEGAJ06cw_15_0"/>
      <w:bookmarkStart w:id="102" w:name="Tc_pbn7Qr099E2rnAQpCxZhPg_13_0"/>
      <w:bookmarkStart w:id="103" w:name="Tc_H6tph_HNY02dwGcNsyQXag_12_0"/>
      <w:bookmarkStart w:id="104" w:name="Tc_gzo_ZcViBkWs5bXfKaPAlQ_11_0"/>
      <w:bookmarkStart w:id="105" w:name="Tc_MRCOvzztikOu5g9XXYcfag_10_0"/>
      <w:bookmarkStart w:id="106" w:name="Tc_YGDPH8GBPka3KOjefJF85w_9_0"/>
      <w:bookmarkStart w:id="107" w:name="Tc_KzYD6-t0xE6AYZgyEVLDcg_7_0"/>
      <w:bookmarkStart w:id="108" w:name="Tc_u0ZfK8I9zkiQvY8GUefWSQ_6_0"/>
      <w:bookmarkStart w:id="109" w:name="Tc_IQbdh05Vckqc7DB-tWr9ZQ_5_5"/>
      <w:bookmarkStart w:id="110" w:name="Tc_HhpVjc6q4UOV8gSZcouHjg_5_2"/>
      <w:bookmarkStart w:id="111" w:name="Tc_9gy-W8FeJ0-22kbk_VqtBA_5_0"/>
      <w:bookmarkStart w:id="112" w:name="Tc_ncuS4dd_WUqFTQGhemjy7Q_4_0"/>
      <w:bookmarkStart w:id="113" w:name="Tc_N125ORJwCk6Wl0dsvsdHWQ_3_5"/>
      <w:bookmarkStart w:id="114" w:name="Tc_OQc-b4F9_0yXsuAbiDFxHw_3_2"/>
      <w:bookmarkStart w:id="115" w:name="Tc_eqoYEQYJAUir2UaSFGwSYA_3_0"/>
      <w:bookmarkStart w:id="116" w:name="Tc_nUiGZdFBiECaBNsnRxlrZA_2_2"/>
      <w:bookmarkStart w:id="117" w:name="Tc_tMip1XnxVEaGJTL_UIByOA_1_2"/>
      <w:bookmarkStart w:id="118" w:name="_40632128_9b38_41f2_99c4_634cee63da95"/>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tbl>
      <w:tblPr>
        <w:tblW w:w="7812" w:type="dxa"/>
        <w:jc w:val="left"/>
        <w:tblInd w:w="0" w:type="dxa"/>
        <w:tblLayout w:type="fixed"/>
        <w:tblCellMar>
          <w:top w:w="0" w:type="dxa"/>
          <w:left w:w="0" w:type="dxa"/>
          <w:bottom w:w="0" w:type="dxa"/>
          <w:right w:w="0" w:type="dxa"/>
        </w:tblCellMar>
      </w:tblPr>
      <w:tblGrid>
        <w:gridCol w:w="5311"/>
        <w:gridCol w:w="326"/>
        <w:gridCol w:w="211"/>
        <w:gridCol w:w="691"/>
        <w:gridCol w:w="326"/>
        <w:gridCol w:w="211"/>
        <w:gridCol w:w="736"/>
      </w:tblGrid>
      <w:tr>
        <w:trPr/>
        <w:tc>
          <w:tcPr>
            <w:tcW w:w="5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372485" cy="175260"/>
                      <wp:effectExtent l="0" t="0" r="0" b="0"/>
                      <wp:wrapNone/>
                      <wp:docPr id="1" name="Frame1"/>
                      <a:graphic xmlns:a="http://schemas.openxmlformats.org/drawingml/2006/main">
                        <a:graphicData uri="http://schemas.microsoft.com/office/word/2010/wordprocessingShape">
                          <wps:wsp>
                            <wps:cNvSpPr txBox="1"/>
                            <wps:spPr>
                              <a:xfrm>
                                <a:off x="0" y="0"/>
                                <a:ext cx="3372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8785" cy="175260"/>
                      <wp:effectExtent l="0" t="0" r="0" b="0"/>
                      <wp:wrapNone/>
                      <wp:docPr id="4" name="Frame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67360" cy="175260"/>
                      <wp:effectExtent l="0" t="0" r="0" b="0"/>
                      <wp:wrapNone/>
                      <wp:docPr id="7" name="Frame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3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704.8</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(597.5)</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(666.1)</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pension and post-retirement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r>
      <w:tr>
        <w:trPr/>
        <w:tc>
          <w:tcPr>
            <w:tcW w:w="53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r>
      <w:tr>
        <w:trPr/>
        <w:tc>
          <w:tcPr>
            <w:tcW w:w="5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5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9" w:name="_8e2dc7f0_a6c1_4a5e_846f_fe071c714429"/>
      <w:bookmarkEnd w:id="119"/>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120" w:name="ConsolidatedBalanceSheets_846706"/>
      <w:bookmarkEnd w:id="12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21" w:name="Tc_79Ga0NYztUKBc3EDEhIXag_41_5"/>
      <w:bookmarkStart w:id="122" w:name="Tc_zfnmCJy54E-1pAy1d1FbMA_41_2"/>
      <w:bookmarkStart w:id="123" w:name="Tc_h11_NVZxF06hPK0tDZbPDg_41_0"/>
      <w:bookmarkStart w:id="124" w:name="Tc_zw5TLmrxgEWHvzDcNuUqJw_40_0"/>
      <w:bookmarkStart w:id="125" w:name="Tc_0s_5sRLqoEiAiOYivB_0sQ_39_0"/>
      <w:bookmarkStart w:id="126" w:name="Tc_JB1cOsufxk6sp1rpgyOt-w_38_0"/>
      <w:bookmarkStart w:id="127" w:name="Tc_9B98YYWTsE2Yi7NJMN55YQ_37_0"/>
      <w:bookmarkStart w:id="128" w:name="Tc_9jBPNEEEFEqczhEDdysntA_36_0"/>
      <w:bookmarkStart w:id="129" w:name="Tc_PGFd7qd7_EOau0OR7bhJRg_35_0"/>
      <w:bookmarkStart w:id="130" w:name="Tc_lcX_GgMA0E-3tSlt0v_Vsg_34_0"/>
      <w:bookmarkStart w:id="131" w:name="Tc_2QSZFnBfok-czvt_fFW8Dw_33_0"/>
      <w:bookmarkStart w:id="132" w:name="Tc_c1s81BAujkuy52uv7flWkw_32_0"/>
      <w:bookmarkStart w:id="133" w:name="Tc_dOGmYJ_6DEusfG5ciGVcDA_31_0"/>
      <w:bookmarkStart w:id="134" w:name="Tc_Wsnk12vtckGAbAaaXRWQFw_30_0"/>
      <w:bookmarkStart w:id="135" w:name="Tc_AE-Pmjd_2kGBqGpmVjbdSA_29_0"/>
      <w:bookmarkStart w:id="136" w:name="Tc_so0sOSp3N0igkL_qThkJhw_28_0"/>
      <w:bookmarkStart w:id="137" w:name="Tc_YrwqLV0veEasXVoJIMMHJg_27_0"/>
      <w:bookmarkStart w:id="138" w:name="Tc_XwtLs9IT80Sq2sGJceSCXQ_26_0"/>
      <w:bookmarkStart w:id="139" w:name="Tc_E0TV52chtkiAX6Se8IPaJw_25_0"/>
      <w:bookmarkStart w:id="140" w:name="Tc_ak6RQKPjnk-e6IM3Ac6llg_24_0"/>
      <w:bookmarkStart w:id="141" w:name="Tc_6FMU9Ku6fE6fqcA3_GdPoA_23_5"/>
      <w:bookmarkStart w:id="142" w:name="Tc_hGU6wtwC506SfEibtFYD6Q_23_2"/>
      <w:bookmarkStart w:id="143" w:name="Tc_LBr2qBuDJkGVrzHdwk0Jfg_23_0"/>
      <w:bookmarkStart w:id="144" w:name="Tc_gT-BA3z4fU2KZzx0TuZItw_22_0"/>
      <w:bookmarkStart w:id="145" w:name="Tc_rZ7KhVB76Eum4Z0nRccOSQ_21_0"/>
      <w:bookmarkStart w:id="146" w:name="Tc_jCgWeuewhUe8sg34Fx8dug_19_5"/>
      <w:bookmarkStart w:id="147" w:name="Tc_4m_3jvesrkmj7xLbvDiaDw_19_2"/>
      <w:bookmarkStart w:id="148" w:name="Tc_pJAmphmuSkOl8bweoQKMDg_19_0"/>
      <w:bookmarkStart w:id="149" w:name="Tc_V50Uj1Dl7keuc9h7Rt-prA_18_0"/>
      <w:bookmarkStart w:id="150" w:name="Tc_4VvwL9UTi0KFb42K24BK2A_17_0"/>
      <w:bookmarkStart w:id="151" w:name="Tc_SI5MJyHiLEiJuoq1EkivpQ_16_0"/>
      <w:bookmarkStart w:id="152" w:name="Tc_-pAtQey5NU2Z0T8Horxb3A_15_0"/>
      <w:bookmarkStart w:id="153" w:name="Tc_JLdkLc6OS0O930Jj-wZ4uQ_14_0"/>
      <w:bookmarkStart w:id="154" w:name="Tc_jMdD6ZZgaEKP9NSXSlLM4A_13_0"/>
      <w:bookmarkStart w:id="155" w:name="Tc_PEsI_8KdVkyoMsugjm44CA_12_0"/>
      <w:bookmarkStart w:id="156" w:name="Tc_fHHju2hDAEqTUCumOVkjqg_11_0"/>
      <w:bookmarkStart w:id="157" w:name="Tc_V-bFHRVHOECAG6y5oRhiXQ_10_0"/>
      <w:bookmarkStart w:id="158" w:name="Tc_Su9qgBgtfk-690un_FmCcQ_9_0"/>
      <w:bookmarkStart w:id="159" w:name="Tc_Wb8d1sPTtkazqUb-qWHVMQ_8_0"/>
      <w:bookmarkStart w:id="160" w:name="Tc_0p5UJQi-XUSmXuSq3YejIg_7_0"/>
      <w:bookmarkStart w:id="161" w:name="Tc_TngOBpRRnEipYJ5-kWbb0A_6_0"/>
      <w:bookmarkStart w:id="162" w:name="Tc_AmYkssZq5EqlKey0_Z3Egw_5_5"/>
      <w:bookmarkStart w:id="163" w:name="Tc_0OMENwvMUEKoU5UYwEg9Mw_5_2"/>
      <w:bookmarkStart w:id="164" w:name="Tc_Rlgtm8_dakS87ZhuVTmMPg_5_0"/>
      <w:bookmarkStart w:id="165" w:name="Tc_y0dfsED3NUep90gL2dyQgg_4_0"/>
      <w:bookmarkStart w:id="166" w:name="Tc_fiMm4t1px0-EHMcURxpQiQ_3_0"/>
      <w:bookmarkStart w:id="167" w:name="Tc_OdQi2-f_I0ehck8WKcI46g_2_5"/>
      <w:bookmarkStart w:id="168" w:name="Tc_huWWdwelWE6XsPIRsfZcbw_2_2"/>
      <w:bookmarkStart w:id="169" w:name="Tc_8A2YGYrb-ECMsPm--je-9w_2_0"/>
      <w:bookmarkStart w:id="170" w:name="Tc__mvimMoz6k2tv9QJB7JgHQ_1_5"/>
      <w:bookmarkStart w:id="171" w:name="Tc_G_aR1eIcbUKgZdGVtGypYA_1_2"/>
      <w:bookmarkStart w:id="172" w:name="_4e639415_3bef_4e1f_89c3_54bf7449adc0"/>
      <w:bookmarkStart w:id="173" w:name="Tc_79Ga0NYztUKBc3EDEhIXag_41_5"/>
      <w:bookmarkStart w:id="174" w:name="Tc_zfnmCJy54E-1pAy1d1FbMA_41_2"/>
      <w:bookmarkStart w:id="175" w:name="Tc_h11_NVZxF06hPK0tDZbPDg_41_0"/>
      <w:bookmarkStart w:id="176" w:name="Tc_zw5TLmrxgEWHvzDcNuUqJw_40_0"/>
      <w:bookmarkStart w:id="177" w:name="Tc_0s_5sRLqoEiAiOYivB_0sQ_39_0"/>
      <w:bookmarkStart w:id="178" w:name="Tc_JB1cOsufxk6sp1rpgyOt-w_38_0"/>
      <w:bookmarkStart w:id="179" w:name="Tc_9B98YYWTsE2Yi7NJMN55YQ_37_0"/>
      <w:bookmarkStart w:id="180" w:name="Tc_9jBPNEEEFEqczhEDdysntA_36_0"/>
      <w:bookmarkStart w:id="181" w:name="Tc_PGFd7qd7_EOau0OR7bhJRg_35_0"/>
      <w:bookmarkStart w:id="182" w:name="Tc_lcX_GgMA0E-3tSlt0v_Vsg_34_0"/>
      <w:bookmarkStart w:id="183" w:name="Tc_2QSZFnBfok-czvt_fFW8Dw_33_0"/>
      <w:bookmarkStart w:id="184" w:name="Tc_c1s81BAujkuy52uv7flWkw_32_0"/>
      <w:bookmarkStart w:id="185" w:name="Tc_dOGmYJ_6DEusfG5ciGVcDA_31_0"/>
      <w:bookmarkStart w:id="186" w:name="Tc_Wsnk12vtckGAbAaaXRWQFw_30_0"/>
      <w:bookmarkStart w:id="187" w:name="Tc_AE-Pmjd_2kGBqGpmVjbdSA_29_0"/>
      <w:bookmarkStart w:id="188" w:name="Tc_so0sOSp3N0igkL_qThkJhw_28_0"/>
      <w:bookmarkStart w:id="189" w:name="Tc_YrwqLV0veEasXVoJIMMHJg_27_0"/>
      <w:bookmarkStart w:id="190" w:name="Tc_XwtLs9IT80Sq2sGJceSCXQ_26_0"/>
      <w:bookmarkStart w:id="191" w:name="Tc_E0TV52chtkiAX6Se8IPaJw_25_0"/>
      <w:bookmarkStart w:id="192" w:name="Tc_ak6RQKPjnk-e6IM3Ac6llg_24_0"/>
      <w:bookmarkStart w:id="193" w:name="Tc_6FMU9Ku6fE6fqcA3_GdPoA_23_5"/>
      <w:bookmarkStart w:id="194" w:name="Tc_hGU6wtwC506SfEibtFYD6Q_23_2"/>
      <w:bookmarkStart w:id="195" w:name="Tc_LBr2qBuDJkGVrzHdwk0Jfg_23_0"/>
      <w:bookmarkStart w:id="196" w:name="Tc_gT-BA3z4fU2KZzx0TuZItw_22_0"/>
      <w:bookmarkStart w:id="197" w:name="Tc_rZ7KhVB76Eum4Z0nRccOSQ_21_0"/>
      <w:bookmarkStart w:id="198" w:name="Tc_jCgWeuewhUe8sg34Fx8dug_19_5"/>
      <w:bookmarkStart w:id="199" w:name="Tc_4m_3jvesrkmj7xLbvDiaDw_19_2"/>
      <w:bookmarkStart w:id="200" w:name="Tc_pJAmphmuSkOl8bweoQKMDg_19_0"/>
      <w:bookmarkStart w:id="201" w:name="Tc_V50Uj1Dl7keuc9h7Rt-prA_18_0"/>
      <w:bookmarkStart w:id="202" w:name="Tc_4VvwL9UTi0KFb42K24BK2A_17_0"/>
      <w:bookmarkStart w:id="203" w:name="Tc_SI5MJyHiLEiJuoq1EkivpQ_16_0"/>
      <w:bookmarkStart w:id="204" w:name="Tc_-pAtQey5NU2Z0T8Horxb3A_15_0"/>
      <w:bookmarkStart w:id="205" w:name="Tc_JLdkLc6OS0O930Jj-wZ4uQ_14_0"/>
      <w:bookmarkStart w:id="206" w:name="Tc_jMdD6ZZgaEKP9NSXSlLM4A_13_0"/>
      <w:bookmarkStart w:id="207" w:name="Tc_PEsI_8KdVkyoMsugjm44CA_12_0"/>
      <w:bookmarkStart w:id="208" w:name="Tc_fHHju2hDAEqTUCumOVkjqg_11_0"/>
      <w:bookmarkStart w:id="209" w:name="Tc_V-bFHRVHOECAG6y5oRhiXQ_10_0"/>
      <w:bookmarkStart w:id="210" w:name="Tc_Su9qgBgtfk-690un_FmCcQ_9_0"/>
      <w:bookmarkStart w:id="211" w:name="Tc_Wb8d1sPTtkazqUb-qWHVMQ_8_0"/>
      <w:bookmarkStart w:id="212" w:name="Tc_0p5UJQi-XUSmXuSq3YejIg_7_0"/>
      <w:bookmarkStart w:id="213" w:name="Tc_TngOBpRRnEipYJ5-kWbb0A_6_0"/>
      <w:bookmarkStart w:id="214" w:name="Tc_AmYkssZq5EqlKey0_Z3Egw_5_5"/>
      <w:bookmarkStart w:id="215" w:name="Tc_0OMENwvMUEKoU5UYwEg9Mw_5_2"/>
      <w:bookmarkStart w:id="216" w:name="Tc_Rlgtm8_dakS87ZhuVTmMPg_5_0"/>
      <w:bookmarkStart w:id="217" w:name="Tc_y0dfsED3NUep90gL2dyQgg_4_0"/>
      <w:bookmarkStart w:id="218" w:name="Tc_fiMm4t1px0-EHMcURxpQiQ_3_0"/>
      <w:bookmarkStart w:id="219" w:name="Tc_OdQi2-f_I0ehck8WKcI46g_2_5"/>
      <w:bookmarkStart w:id="220" w:name="Tc_huWWdwelWE6XsPIRsfZcbw_2_2"/>
      <w:bookmarkStart w:id="221" w:name="Tc_8A2YGYrb-ECMsPm--je-9w_2_0"/>
      <w:bookmarkStart w:id="222" w:name="Tc__mvimMoz6k2tv9QJB7JgHQ_1_5"/>
      <w:bookmarkStart w:id="223" w:name="Tc_G_aR1eIcbUKgZdGVtGypYA_1_2"/>
      <w:bookmarkStart w:id="224" w:name="_4e639415_3bef_4e1f_89c3_54bf7449adc0"/>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tbl>
      <w:tblPr>
        <w:tblW w:w="10205" w:type="dxa"/>
        <w:jc w:val="left"/>
        <w:tblInd w:w="0" w:type="dxa"/>
        <w:tblLayout w:type="fixed"/>
        <w:tblCellMar>
          <w:top w:w="0" w:type="dxa"/>
          <w:left w:w="0" w:type="dxa"/>
          <w:bottom w:w="0" w:type="dxa"/>
          <w:right w:w="0" w:type="dxa"/>
        </w:tblCellMar>
      </w:tblPr>
      <w:tblGrid>
        <w:gridCol w:w="7447"/>
        <w:gridCol w:w="326"/>
        <w:gridCol w:w="211"/>
        <w:gridCol w:w="721"/>
        <w:gridCol w:w="326"/>
        <w:gridCol w:w="238"/>
        <w:gridCol w:w="936"/>
      </w:tblGrid>
      <w:tr>
        <w:trPr/>
        <w:tc>
          <w:tcPr>
            <w:tcW w:w="7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728845" cy="175260"/>
                      <wp:effectExtent l="0" t="0" r="0" b="0"/>
                      <wp:wrapNone/>
                      <wp:docPr id="8" name="Frame8"/>
                      <a:graphic xmlns:a="http://schemas.openxmlformats.org/drawingml/2006/main">
                        <a:graphicData uri="http://schemas.microsoft.com/office/word/2010/wordprocessingShape">
                          <wps:wsp>
                            <wps:cNvSpPr txBox="1"/>
                            <wps:spPr>
                              <a:xfrm>
                                <a:off x="0" y="0"/>
                                <a:ext cx="472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57835" cy="175260"/>
                      <wp:effectExtent l="0" t="0" r="0" b="0"/>
                      <wp:wrapNone/>
                      <wp:docPr id="11" name="Frame1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51130" cy="175260"/>
                      <wp:effectExtent l="0" t="0" r="0" b="0"/>
                      <wp:wrapNone/>
                      <wp:docPr id="13" name="Frame13"/>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4360" cy="175260"/>
                      <wp:effectExtent l="0" t="0" r="0" b="0"/>
                      <wp:wrapNone/>
                      <wp:docPr id="14" name="Frame14"/>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4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$10.5 million and $9.9 million,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512.0</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602.3</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2,089.9</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3,707.9</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3,692.3</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4,294.6</w:t>
            </w:r>
          </w:p>
        </w:tc>
      </w:tr>
      <w:tr>
        <w:trPr/>
        <w:tc>
          <w:tcPr>
            <w:tcW w:w="74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530.5</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669.3</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6" w:type="dxa"/>
            <w:tcBorders/>
            <w:shd w:fill="CCEEFF" w:val="clear"/>
            <w:vAlign w:val="center"/>
          </w:tcPr>
          <w:p>
            <w:pPr>
              <w:pStyle w:val="TableContents"/>
              <w:bidi w:val="0"/>
              <w:spacing w:before="0" w:after="0"/>
              <w:ind w:left="0" w:right="0" w:hanging="0"/>
              <w:jc w:val="right"/>
              <w:rPr/>
            </w:pPr>
            <w:r>
              <w:rPr/>
              <w:t>​</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2,089.7</w:t>
            </w:r>
          </w:p>
        </w:tc>
      </w:tr>
      <w:tr>
        <w:trPr/>
        <w:tc>
          <w:tcPr>
            <w:tcW w:w="74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2,373.8</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2,400.7</w:t>
            </w:r>
          </w:p>
        </w:tc>
      </w:tr>
      <w:tr>
        <w:trPr/>
        <w:tc>
          <w:tcPr>
            <w:tcW w:w="74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4,219.9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4,294.6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5" w:name="_cc43644b_2ccc_4e04_8aaf_5f69fd1376ee"/>
      <w:bookmarkEnd w:id="225"/>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26" w:name="StatementsofCashFlows_473640"/>
      <w:bookmarkEnd w:id="22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27" w:name="Tc_9LISUit0dUetSl0imA85qQ_53_5"/>
      <w:bookmarkStart w:id="228" w:name="Tc_Ovh2yaBkhUayfpohV1Rphw_53_3"/>
      <w:bookmarkStart w:id="229" w:name="Tc_I7_vrCF4ukuFAhM68MeXOA_53_2"/>
      <w:bookmarkStart w:id="230" w:name="Tc_vBVOZUWauk6P0gT3lvbWoA_53_0"/>
      <w:bookmarkStart w:id="231" w:name="Tc_xe90vsFeokOcAQKSGikaJQ_52_5"/>
      <w:bookmarkStart w:id="232" w:name="Tc_B3PqSUYpdky7UdY46Bv5RQ_52_2"/>
      <w:bookmarkStart w:id="233" w:name="Tc_dpg6XRaB8U-okbHQ1Sn4AQ_52_0"/>
      <w:bookmarkStart w:id="234" w:name="Tc_FUpfKmMTwEaySMpSoTc8zg_51_0"/>
      <w:bookmarkStart w:id="235" w:name="Tc_8yx8UBPyPUCnfNBduas0cw_49_5"/>
      <w:bookmarkStart w:id="236" w:name="Tc_Wj5BfdW83kiddNx5j5aNNw_49_2"/>
      <w:bookmarkStart w:id="237" w:name="Tc_FsT9SISWAUyHskTpXvKO3Q_49_0"/>
      <w:bookmarkStart w:id="238" w:name="Tc_hTBhNwn5CE-7kpFTFAbkUg_48_5"/>
      <w:bookmarkStart w:id="239" w:name="Tc_Kvza4kxmf02eoOVlAgNgJA_48_2"/>
      <w:bookmarkStart w:id="240" w:name="Tc_1UDaa0mJeUKpVblhq9Qxew_48_0"/>
      <w:bookmarkStart w:id="241" w:name="Tc_zIvlCGTF-kWdtt5GJ2mvQA_47_0"/>
      <w:bookmarkStart w:id="242" w:name="Tc_JNqXCF27s0mK71UmlURySw_45_5"/>
      <w:bookmarkStart w:id="243" w:name="Tc_bM3LnTbpyk6Ufgsu9DDJ7A_45_2"/>
      <w:bookmarkStart w:id="244" w:name="Tc_Ukc2_ujyXkyuE-6_B00rJQ_45_0"/>
      <w:bookmarkStart w:id="245" w:name="Tc_FRvQik9V0UqZZpm51IZ70A_44_0"/>
      <w:bookmarkStart w:id="246" w:name="Tc_F669TYixaUuNEmt4RhR1yw_43_5"/>
      <w:bookmarkStart w:id="247" w:name="Tc_wOkp624tZkWKi0badFuy4w_43_2"/>
      <w:bookmarkStart w:id="248" w:name="Tc_6IOlCq3pQUe-bYAlDjbunA_43_0"/>
      <w:bookmarkStart w:id="249" w:name="Tc_DGzrQQ5VUEOTKVG-7bZwdA_42_0"/>
      <w:bookmarkStart w:id="250" w:name="Tc_cf_9Wtx-8kaCwUc0QYrvPg_40_5"/>
      <w:bookmarkStart w:id="251" w:name="Tc_Ogn89jMwK0qsiQDyq0e7vw_40_2"/>
      <w:bookmarkStart w:id="252" w:name="Tc_yNV-FxZ9M0-hP5HWLQcj6g_40_0"/>
      <w:bookmarkStart w:id="253" w:name="Tc_0v5wSS0mp0C6bDyqF_1RlA_39_0"/>
      <w:bookmarkStart w:id="254" w:name="Tc_S0UC3yLJXU63c5b3hVWH0A_38_0"/>
      <w:bookmarkStart w:id="255" w:name="Tc_VUW1sMGoXUGWpkMyINtCsg_36_0"/>
      <w:bookmarkStart w:id="256" w:name="Tc_J7xSPqZhK0acyD1XXcFDtg_35_0"/>
      <w:bookmarkStart w:id="257" w:name="Tc_TBzP3D40PE-MPq7kfVHsVg_34_0"/>
      <w:bookmarkStart w:id="258" w:name="Tc_VLgKC-WRi0CjiOWreeoGwA_33_0"/>
      <w:bookmarkStart w:id="259" w:name="Tc_b8VWEepKekK60UYqVy70Zg_32_0"/>
      <w:bookmarkStart w:id="260" w:name="Tc_nIS_XZjwYUaVs-Mg3YMKVQ_31_0"/>
      <w:bookmarkStart w:id="261" w:name="Tc_crESHXNn5UyETN8zFkyvHg_29_0"/>
      <w:bookmarkStart w:id="262" w:name="Tc_wksUULrxuE2h28-KDlsAJQ_28_0"/>
      <w:bookmarkStart w:id="263" w:name="Tc_AXYTDeyGGUCND7N2gclnWA_27_3"/>
      <w:bookmarkStart w:id="264" w:name="Tc_eSB2jlTXhEqzOB46xfSQBQ_27_0"/>
      <w:bookmarkStart w:id="265" w:name="Tc_grfzcBnXLUytCq4Q-V1bvQ_26_0"/>
      <w:bookmarkStart w:id="266" w:name="Tc_BBkN41dDa0m1X1HtijCyaA_25_0"/>
      <w:bookmarkStart w:id="267" w:name="Tc_imwo0qioaEa5LFURgjVd4Q_24_0"/>
      <w:bookmarkStart w:id="268" w:name="Tc_TX6smNetuky__VQR0ltwgw_23_0"/>
      <w:bookmarkStart w:id="269" w:name="Tc_GQOe-Wz1Z0qIEu25t5-_xw_21_0"/>
      <w:bookmarkStart w:id="270" w:name="Tc_ZDHD0xvOHECPR7wlEVEDNA_20_0"/>
      <w:bookmarkStart w:id="271" w:name="Tc__S8HnGZ860m42g_n8xojnQ_19_0"/>
      <w:bookmarkStart w:id="272" w:name="Tc_Fra9-lAxpEOUFaqlPppuHg_18_0"/>
      <w:bookmarkStart w:id="273" w:name="Tc_D6z0SmHiIkScf767o9rvuA_17_0"/>
      <w:bookmarkStart w:id="274" w:name="Tc_aLwWyIzUrkqmcH-hq-1F9Q_16_0"/>
      <w:bookmarkStart w:id="275" w:name="Tc_IGAB1ZqAyES0rclpD_6o_w_15_0"/>
      <w:bookmarkStart w:id="276" w:name="Tc_MLW6cl8YzEyO6sDK8hO5Og_14_0"/>
      <w:bookmarkStart w:id="277" w:name="Tc_M4PEJffGL0qsFDsbjQfbgg_13_0"/>
      <w:bookmarkStart w:id="278" w:name="Tc_k40rYmeEWU6q90FGZR0BSQ_12_0"/>
      <w:bookmarkStart w:id="279" w:name="Tc_6sEmtCIo1kG-pzuArcVfmQ_11_6"/>
      <w:bookmarkStart w:id="280" w:name="Tc_kR4mAj7-qkKCdJMYtiVTBw_11_0"/>
      <w:bookmarkStart w:id="281" w:name="Tc_PhPkGOArAE-ewobRdaLqOw_10_0"/>
      <w:bookmarkStart w:id="282" w:name="Tc_zCCYM1cyYUOnwOZCDIWbNw_9_0"/>
      <w:bookmarkStart w:id="283" w:name="Tc_cuCJ3rAG6EitNWTVr4eHTQ_8_0"/>
      <w:bookmarkStart w:id="284" w:name="Tc_l2gx7X7S5kKZ24ARXLA-nw_7_0"/>
      <w:bookmarkStart w:id="285" w:name="Tc_Hhb6NbzXYkGbVtAI-X6Yuw_6_0"/>
      <w:bookmarkStart w:id="286" w:name="Tc_fxEY3Wgy20q0PEkKM2MVIg_5_0"/>
      <w:bookmarkStart w:id="287" w:name="Tc_9MnPl0oy9U6rwfHZC5Lo0g_4_5"/>
      <w:bookmarkStart w:id="288" w:name="Tc_JtICyKBYdkiHHhqCNlG0pA_4_2"/>
      <w:bookmarkStart w:id="289" w:name="Tc_1ykSucUODUeULJQSoUWFsg_4_0"/>
      <w:bookmarkStart w:id="290" w:name="Tc_WQtSUnJ09kWs0chvU_X17A_3_0"/>
      <w:bookmarkStart w:id="291" w:name="Tc_h0Kn78EYZUuSmSU0w1CI0g_2_5"/>
      <w:bookmarkStart w:id="292" w:name="Tc_KXFJFx-L9kavB4h_B9dQ0A_2_2"/>
      <w:bookmarkStart w:id="293" w:name="Tc_hUlx3XEqmEW1IW1zEuwPIQ_2_0"/>
      <w:bookmarkStart w:id="294" w:name="Tc_vwLqKEY28EiVFdpj9I4QZQ_1_2"/>
      <w:bookmarkStart w:id="295" w:name="_dcb652cd_b01d_4c77_8295_5774b4278ea0"/>
      <w:bookmarkStart w:id="296" w:name="Tc_9LISUit0dUetSl0imA85qQ_53_5"/>
      <w:bookmarkStart w:id="297" w:name="Tc_Ovh2yaBkhUayfpohV1Rphw_53_3"/>
      <w:bookmarkStart w:id="298" w:name="Tc_I7_vrCF4ukuFAhM68MeXOA_53_2"/>
      <w:bookmarkStart w:id="299" w:name="Tc_vBVOZUWauk6P0gT3lvbWoA_53_0"/>
      <w:bookmarkStart w:id="300" w:name="Tc_xe90vsFeokOcAQKSGikaJQ_52_5"/>
      <w:bookmarkStart w:id="301" w:name="Tc_B3PqSUYpdky7UdY46Bv5RQ_52_2"/>
      <w:bookmarkStart w:id="302" w:name="Tc_dpg6XRaB8U-okbHQ1Sn4AQ_52_0"/>
      <w:bookmarkStart w:id="303" w:name="Tc_FUpfKmMTwEaySMpSoTc8zg_51_0"/>
      <w:bookmarkStart w:id="304" w:name="Tc_8yx8UBPyPUCnfNBduas0cw_49_5"/>
      <w:bookmarkStart w:id="305" w:name="Tc_Wj5BfdW83kiddNx5j5aNNw_49_2"/>
      <w:bookmarkStart w:id="306" w:name="Tc_FsT9SISWAUyHskTpXvKO3Q_49_0"/>
      <w:bookmarkStart w:id="307" w:name="Tc_hTBhNwn5CE-7kpFTFAbkUg_48_5"/>
      <w:bookmarkStart w:id="308" w:name="Tc_Kvza4kxmf02eoOVlAgNgJA_48_2"/>
      <w:bookmarkStart w:id="309" w:name="Tc_1UDaa0mJeUKpVblhq9Qxew_48_0"/>
      <w:bookmarkStart w:id="310" w:name="Tc_zIvlCGTF-kWdtt5GJ2mvQA_47_0"/>
      <w:bookmarkStart w:id="311" w:name="Tc_JNqXCF27s0mK71UmlURySw_45_5"/>
      <w:bookmarkStart w:id="312" w:name="Tc_bM3LnTbpyk6Ufgsu9DDJ7A_45_2"/>
      <w:bookmarkStart w:id="313" w:name="Tc_Ukc2_ujyXkyuE-6_B00rJQ_45_0"/>
      <w:bookmarkStart w:id="314" w:name="Tc_FRvQik9V0UqZZpm51IZ70A_44_0"/>
      <w:bookmarkStart w:id="315" w:name="Tc_F669TYixaUuNEmt4RhR1yw_43_5"/>
      <w:bookmarkStart w:id="316" w:name="Tc_wOkp624tZkWKi0badFuy4w_43_2"/>
      <w:bookmarkStart w:id="317" w:name="Tc_6IOlCq3pQUe-bYAlDjbunA_43_0"/>
      <w:bookmarkStart w:id="318" w:name="Tc_DGzrQQ5VUEOTKVG-7bZwdA_42_0"/>
      <w:bookmarkStart w:id="319" w:name="Tc_cf_9Wtx-8kaCwUc0QYrvPg_40_5"/>
      <w:bookmarkStart w:id="320" w:name="Tc_Ogn89jMwK0qsiQDyq0e7vw_40_2"/>
      <w:bookmarkStart w:id="321" w:name="Tc_yNV-FxZ9M0-hP5HWLQcj6g_40_0"/>
      <w:bookmarkStart w:id="322" w:name="Tc_0v5wSS0mp0C6bDyqF_1RlA_39_0"/>
      <w:bookmarkStart w:id="323" w:name="Tc_S0UC3yLJXU63c5b3hVWH0A_38_0"/>
      <w:bookmarkStart w:id="324" w:name="Tc_VUW1sMGoXUGWpkMyINtCsg_36_0"/>
      <w:bookmarkStart w:id="325" w:name="Tc_J7xSPqZhK0acyD1XXcFDtg_35_0"/>
      <w:bookmarkStart w:id="326" w:name="Tc_TBzP3D40PE-MPq7kfVHsVg_34_0"/>
      <w:bookmarkStart w:id="327" w:name="Tc_VLgKC-WRi0CjiOWreeoGwA_33_0"/>
      <w:bookmarkStart w:id="328" w:name="Tc_b8VWEepKekK60UYqVy70Zg_32_0"/>
      <w:bookmarkStart w:id="329" w:name="Tc_nIS_XZjwYUaVs-Mg3YMKVQ_31_0"/>
      <w:bookmarkStart w:id="330" w:name="Tc_crESHXNn5UyETN8zFkyvHg_29_0"/>
      <w:bookmarkStart w:id="331" w:name="Tc_wksUULrxuE2h28-KDlsAJQ_28_0"/>
      <w:bookmarkStart w:id="332" w:name="Tc_AXYTDeyGGUCND7N2gclnWA_27_3"/>
      <w:bookmarkStart w:id="333" w:name="Tc_eSB2jlTXhEqzOB46xfSQBQ_27_0"/>
      <w:bookmarkStart w:id="334" w:name="Tc_grfzcBnXLUytCq4Q-V1bvQ_26_0"/>
      <w:bookmarkStart w:id="335" w:name="Tc_BBkN41dDa0m1X1HtijCyaA_25_0"/>
      <w:bookmarkStart w:id="336" w:name="Tc_imwo0qioaEa5LFURgjVd4Q_24_0"/>
      <w:bookmarkStart w:id="337" w:name="Tc_TX6smNetuky__VQR0ltwgw_23_0"/>
      <w:bookmarkStart w:id="338" w:name="Tc_GQOe-Wz1Z0qIEu25t5-_xw_21_0"/>
      <w:bookmarkStart w:id="339" w:name="Tc_ZDHD0xvOHECPR7wlEVEDNA_20_0"/>
      <w:bookmarkStart w:id="340" w:name="Tc__S8HnGZ860m42g_n8xojnQ_19_0"/>
      <w:bookmarkStart w:id="341" w:name="Tc_Fra9-lAxpEOUFaqlPppuHg_18_0"/>
      <w:bookmarkStart w:id="342" w:name="Tc_D6z0SmHiIkScf767o9rvuA_17_0"/>
      <w:bookmarkStart w:id="343" w:name="Tc_aLwWyIzUrkqmcH-hq-1F9Q_16_0"/>
      <w:bookmarkStart w:id="344" w:name="Tc_IGAB1ZqAyES0rclpD_6o_w_15_0"/>
      <w:bookmarkStart w:id="345" w:name="Tc_MLW6cl8YzEyO6sDK8hO5Og_14_0"/>
      <w:bookmarkStart w:id="346" w:name="Tc_M4PEJffGL0qsFDsbjQfbgg_13_0"/>
      <w:bookmarkStart w:id="347" w:name="Tc_k40rYmeEWU6q90FGZR0BSQ_12_0"/>
      <w:bookmarkStart w:id="348" w:name="Tc_6sEmtCIo1kG-pzuArcVfmQ_11_6"/>
      <w:bookmarkStart w:id="349" w:name="Tc_kR4mAj7-qkKCdJMYtiVTBw_11_0"/>
      <w:bookmarkStart w:id="350" w:name="Tc_PhPkGOArAE-ewobRdaLqOw_10_0"/>
      <w:bookmarkStart w:id="351" w:name="Tc_zCCYM1cyYUOnwOZCDIWbNw_9_0"/>
      <w:bookmarkStart w:id="352" w:name="Tc_cuCJ3rAG6EitNWTVr4eHTQ_8_0"/>
      <w:bookmarkStart w:id="353" w:name="Tc_l2gx7X7S5kKZ24ARXLA-nw_7_0"/>
      <w:bookmarkStart w:id="354" w:name="Tc_Hhb6NbzXYkGbVtAI-X6Yuw_6_0"/>
      <w:bookmarkStart w:id="355" w:name="Tc_fxEY3Wgy20q0PEkKM2MVIg_5_0"/>
      <w:bookmarkStart w:id="356" w:name="Tc_9MnPl0oy9U6rwfHZC5Lo0g_4_5"/>
      <w:bookmarkStart w:id="357" w:name="Tc_JtICyKBYdkiHHhqCNlG0pA_4_2"/>
      <w:bookmarkStart w:id="358" w:name="Tc_1ykSucUODUeULJQSoUWFsg_4_0"/>
      <w:bookmarkStart w:id="359" w:name="Tc_WQtSUnJ09kWs0chvU_X17A_3_0"/>
      <w:bookmarkStart w:id="360" w:name="Tc_h0Kn78EYZUuSmSU0w1CI0g_2_5"/>
      <w:bookmarkStart w:id="361" w:name="Tc_KXFJFx-L9kavB4h_B9dQ0A_2_2"/>
      <w:bookmarkStart w:id="362" w:name="Tc_hUlx3XEqmEW1IW1zEuwPIQ_2_0"/>
      <w:bookmarkStart w:id="363" w:name="Tc_vwLqKEY28EiVFdpj9I4QZQ_1_2"/>
      <w:bookmarkStart w:id="364" w:name="_dcb652cd_b01d_4c77_8295_5774b4278ea0"/>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tbl>
      <w:tblPr>
        <w:tblW w:w="9022" w:type="dxa"/>
        <w:jc w:val="left"/>
        <w:tblInd w:w="0" w:type="dxa"/>
        <w:tblLayout w:type="fixed"/>
        <w:tblCellMar>
          <w:top w:w="0" w:type="dxa"/>
          <w:left w:w="0" w:type="dxa"/>
          <w:bottom w:w="0" w:type="dxa"/>
          <w:right w:w="0" w:type="dxa"/>
        </w:tblCellMar>
      </w:tblPr>
      <w:tblGrid>
        <w:gridCol w:w="5881"/>
        <w:gridCol w:w="326"/>
        <w:gridCol w:w="242"/>
        <w:gridCol w:w="779"/>
        <w:gridCol w:w="402"/>
        <w:gridCol w:w="242"/>
        <w:gridCol w:w="779"/>
        <w:gridCol w:w="37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734435" cy="175260"/>
                      <wp:effectExtent l="0" t="0" r="0" b="0"/>
                      <wp:wrapNone/>
                      <wp:docPr id="15" name="Frame15"/>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53670" cy="175260"/>
                      <wp:effectExtent l="0" t="0" r="0" b="0"/>
                      <wp:wrapNone/>
                      <wp:docPr id="17" name="Frame1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94665" cy="175260"/>
                      <wp:effectExtent l="0" t="0" r="0" b="0"/>
                      <wp:wrapNone/>
                      <wp:docPr id="18" name="Frame18"/>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55270" cy="175260"/>
                      <wp:effectExtent l="0" t="0" r="0" b="0"/>
                      <wp:wrapNone/>
                      <wp:docPr id="19" name="Frame1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53670" cy="175260"/>
                      <wp:effectExtent l="0" t="0" r="0" b="0"/>
                      <wp:wrapNone/>
                      <wp:docPr id="20" name="Frame2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4665" cy="175260"/>
                      <wp:effectExtent l="0" t="0" r="0" b="0"/>
                      <wp:wrapNone/>
                      <wp:docPr id="21" name="Frame21"/>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5585" cy="175260"/>
                      <wp:effectExtent l="0" t="0" r="0" b="0"/>
                      <wp:wrapNone/>
                      <wp:docPr id="22" name="Frame2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2"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SSAT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402"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vessel construction expenditures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(excluding vessel construction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deposits and interest into the Capital Construction Fund, net</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402"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left"/>
              <w:rPr/>
            </w:pPr>
            <w:r>
              <w:rPr/>
              <w:t>​</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w:t>
            </w:r>
          </w:p>
        </w:tc>
        <w:tc>
          <w:tcPr>
            <w:tcW w:w="402"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(108.1)</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(161.3)</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w:t>
            </w:r>
          </w:p>
        </w:tc>
        <w:tc>
          <w:tcPr>
            <w:tcW w:w="402"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Reconciliation of Cash,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402"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and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payments (refunds),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pPr>
            <w:r>
              <w:rPr/>
              <w:t>​</w:t>
            </w:r>
          </w:p>
        </w:tc>
        <w:tc>
          <w:tcPr>
            <w:tcW w:w="779"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402"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pPr>
            <w:r>
              <w:rPr/>
              <w:t>—</w:t>
            </w:r>
          </w:p>
        </w:tc>
        <w:tc>
          <w:tcPr>
            <w:tcW w:w="402"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5" w:name="_7386f350_219b_448c_a0ce_48e21ce76203"/>
      <w:bookmarkEnd w:id="365"/>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366" w:name="StatementsofShareholdersEquity"/>
      <w:bookmarkEnd w:id="366"/>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67" w:name="Tc_QuRlpoiGQ02OxhE6LiNW7g_13_16"/>
      <w:bookmarkStart w:id="368" w:name="Tc_wSANG-WXsEOyQ38l0CBCCg_13_13"/>
      <w:bookmarkStart w:id="369" w:name="Tc_vGr967NPEEm7OVFSEg3iGg_13_10"/>
      <w:bookmarkStart w:id="370" w:name="Tc_JexWbgqCZkCTdcjNGOQFKQ_13_7"/>
      <w:bookmarkStart w:id="371" w:name="Tc_7GQYybHuGUuz9RLEcaoMNA_13_4"/>
      <w:bookmarkStart w:id="372" w:name="Tc_bFmJs_19KUipunk6wQA7kQ_13_0"/>
      <w:bookmarkStart w:id="373" w:name="Tc_ivWho-7kdkyujlxZzvYG3w_12_11"/>
      <w:bookmarkStart w:id="374" w:name="Tc_c59ZfwFph0uK3loT8fvLfw_12_8"/>
      <w:bookmarkStart w:id="375" w:name="Tc_yNUMWg9GGkafpM1lyX2buA_12_5"/>
      <w:bookmarkStart w:id="376" w:name="Tc_iW1Ayw_WEUeBTKCei-M4ow_12_2"/>
      <w:bookmarkStart w:id="377" w:name="Tc_zwNby9TS00qLWaoxMWtYRA_12_0"/>
      <w:bookmarkStart w:id="378" w:name="Tc_bOt0Pn732kmqixgyKo54dg_11_11"/>
      <w:bookmarkStart w:id="379" w:name="Tc_kbdpuEaMgU2LN2Uv8lz_aQ_11_8"/>
      <w:bookmarkStart w:id="380" w:name="Tc_sXpiC-g1tEi515L9q27ukQ_11_5"/>
      <w:bookmarkStart w:id="381" w:name="Tc_7Rp7YTTPSUuZSE2og5fvTw_11_2"/>
      <w:bookmarkStart w:id="382" w:name="Tc_H94qc0QoDE-j67Cnq7zlnw_11_0"/>
      <w:bookmarkStart w:id="383" w:name="Tc_3T0a6FwMxE-zMNZ1BV81Fg_10_11"/>
      <w:bookmarkStart w:id="384" w:name="Tc_VrRCaC2MCk-Kiql92YBmCw_10_0"/>
      <w:bookmarkStart w:id="385" w:name="Tc_5eFxW8eY3UWCk93U0NRoDg_9_14"/>
      <w:bookmarkStart w:id="386" w:name="Tc_ebi9MpClx0Os8QKpC298Fg_9_11"/>
      <w:bookmarkStart w:id="387" w:name="Tc_6PfzK0mFrEyjiV6nl0qhbA_9_0"/>
      <w:bookmarkStart w:id="388" w:name="Tc_RlNpBkKEV0GWnQ2m1VldLA_8_14"/>
      <w:bookmarkStart w:id="389" w:name="Tc_yEh7psF990-doxu9deVSvg_8_11"/>
      <w:bookmarkStart w:id="390" w:name="Tc_dXlYzn3XUkmgMj4spGiO1Q_8_5"/>
      <w:bookmarkStart w:id="391" w:name="Tc_o1ytt13sW0ac8-YDkKjcAg_8_2"/>
      <w:bookmarkStart w:id="392" w:name="Tc_5P6ta693HkikTKC5Qilgnw_8_0"/>
      <w:bookmarkStart w:id="393" w:name="Tc_sazTl5RDC0KSTzIRHjrKBg_7_14"/>
      <w:bookmarkStart w:id="394" w:name="Tc_Cq23CRt4DEGa1m8nSrd77Q_7_8"/>
      <w:bookmarkStart w:id="395" w:name="Tc_fX69Hpooq0Cf0dFhNHnt6w_7_5"/>
      <w:bookmarkStart w:id="396" w:name="Tc_LlbMsYwc5U2fFiSafWoV5Q_7_2"/>
      <w:bookmarkStart w:id="397" w:name="Tc_YyFhMnJCCk6WcUNQ42y_rQ_7_0"/>
      <w:bookmarkStart w:id="398" w:name="Tc_hQ06Xvc-OUiOYI6olTu1Yw_6_11"/>
      <w:bookmarkStart w:id="399" w:name="Tc_RrfTxVL9B0ql9wYe_a4Vdg_6_8"/>
      <w:bookmarkStart w:id="400" w:name="Tc_R7IBi-peHkW_CfZFNb6kfg_6_5"/>
      <w:bookmarkStart w:id="401" w:name="Tc_OwScJa3Q_UaebzOnCfzNCQ_6_2"/>
      <w:bookmarkStart w:id="402" w:name="Tc_zOllvdAOvEecs8LY7mDSYQ_6_0"/>
      <w:bookmarkStart w:id="403" w:name="Tc_9dSxnndatEmtlwZdkJGjrg_5_16"/>
      <w:bookmarkStart w:id="404" w:name="Tc_xdtvtimw6EKdNpBZOPcRmg_5_13"/>
      <w:bookmarkStart w:id="405" w:name="Tc_wtNaUxz1sUGXCRuktpr7wQ_5_10"/>
      <w:bookmarkStart w:id="406" w:name="Tc_VMXTR74fIkSCxLZlL-sOPQ_5_7"/>
      <w:bookmarkStart w:id="407" w:name="Tc_U1L036avAUiczbNXhqX1UA_5_4"/>
      <w:bookmarkStart w:id="408" w:name="Tc_dGLaGm47Qkac5gSgEwgyfg_5_0"/>
      <w:bookmarkStart w:id="409" w:name="Tc_fN3KwtZ0PkqH7D-HXeFhzQ_4_16"/>
      <w:bookmarkStart w:id="410" w:name="Tc_mXyT-nZw5USbbVcRlqqjow_4_13"/>
      <w:bookmarkStart w:id="411" w:name="Tc_avNfj-FucEqODEW16Nmyqg_4_10"/>
      <w:bookmarkStart w:id="412" w:name="Tc_D6qcchk6NEGIRGUIxwNkqQ_4_7"/>
      <w:bookmarkStart w:id="413" w:name="Tc_H9ol4nEs4E6Ir6Zb8ZgA4A_4_4"/>
      <w:bookmarkStart w:id="414" w:name="Tc_L2gCHHizMUCtTts1yy5wXg_4_2"/>
      <w:bookmarkStart w:id="415" w:name="Tc_xqqgkv6s-0yhJJwNh8MrjA_4_0"/>
      <w:bookmarkStart w:id="416" w:name="Tc_etkNtMRAW0qwaiqZPEsatA_3_13"/>
      <w:bookmarkStart w:id="417" w:name="Tc_2NdTwONSKUqCadbDVKnlKA_3_10"/>
      <w:bookmarkStart w:id="418" w:name="Tc_h5XNompooUKg6tKUSRyzGQ_3_7"/>
      <w:bookmarkStart w:id="419" w:name="Tc_jGTnA6l7eE69Scxnwtk6-A_3_4"/>
      <w:bookmarkStart w:id="420" w:name="Tc_J4gHT7rCSU6oEQ_-HcS61w_2_10"/>
      <w:bookmarkStart w:id="421" w:name="Tc_T4CPIXwImkizknNuf6uFKA_2_7"/>
      <w:bookmarkStart w:id="422" w:name="Tc_AJ1bvf9_P0OxoXWZ5GtUqw_2_2"/>
      <w:bookmarkStart w:id="423" w:name="Tc_pWp0jO1KxUynz-R1VuH47Q_1_10"/>
      <w:bookmarkStart w:id="424" w:name="_84d7cc09_d41a_43f0_b3da_141481ad90f8"/>
      <w:bookmarkStart w:id="425" w:name="Tc_QuRlpoiGQ02OxhE6LiNW7g_13_16"/>
      <w:bookmarkStart w:id="426" w:name="Tc_wSANG-WXsEOyQ38l0CBCCg_13_13"/>
      <w:bookmarkStart w:id="427" w:name="Tc_vGr967NPEEm7OVFSEg3iGg_13_10"/>
      <w:bookmarkStart w:id="428" w:name="Tc_JexWbgqCZkCTdcjNGOQFKQ_13_7"/>
      <w:bookmarkStart w:id="429" w:name="Tc_7GQYybHuGUuz9RLEcaoMNA_13_4"/>
      <w:bookmarkStart w:id="430" w:name="Tc_bFmJs_19KUipunk6wQA7kQ_13_0"/>
      <w:bookmarkStart w:id="431" w:name="Tc_ivWho-7kdkyujlxZzvYG3w_12_11"/>
      <w:bookmarkStart w:id="432" w:name="Tc_c59ZfwFph0uK3loT8fvLfw_12_8"/>
      <w:bookmarkStart w:id="433" w:name="Tc_yNUMWg9GGkafpM1lyX2buA_12_5"/>
      <w:bookmarkStart w:id="434" w:name="Tc_iW1Ayw_WEUeBTKCei-M4ow_12_2"/>
      <w:bookmarkStart w:id="435" w:name="Tc_zwNby9TS00qLWaoxMWtYRA_12_0"/>
      <w:bookmarkStart w:id="436" w:name="Tc_bOt0Pn732kmqixgyKo54dg_11_11"/>
      <w:bookmarkStart w:id="437" w:name="Tc_kbdpuEaMgU2LN2Uv8lz_aQ_11_8"/>
      <w:bookmarkStart w:id="438" w:name="Tc_sXpiC-g1tEi515L9q27ukQ_11_5"/>
      <w:bookmarkStart w:id="439" w:name="Tc_7Rp7YTTPSUuZSE2og5fvTw_11_2"/>
      <w:bookmarkStart w:id="440" w:name="Tc_H94qc0QoDE-j67Cnq7zlnw_11_0"/>
      <w:bookmarkStart w:id="441" w:name="Tc_3T0a6FwMxE-zMNZ1BV81Fg_10_11"/>
      <w:bookmarkStart w:id="442" w:name="Tc_VrRCaC2MCk-Kiql92YBmCw_10_0"/>
      <w:bookmarkStart w:id="443" w:name="Tc_5eFxW8eY3UWCk93U0NRoDg_9_14"/>
      <w:bookmarkStart w:id="444" w:name="Tc_ebi9MpClx0Os8QKpC298Fg_9_11"/>
      <w:bookmarkStart w:id="445" w:name="Tc_6PfzK0mFrEyjiV6nl0qhbA_9_0"/>
      <w:bookmarkStart w:id="446" w:name="Tc_RlNpBkKEV0GWnQ2m1VldLA_8_14"/>
      <w:bookmarkStart w:id="447" w:name="Tc_yEh7psF990-doxu9deVSvg_8_11"/>
      <w:bookmarkStart w:id="448" w:name="Tc_dXlYzn3XUkmgMj4spGiO1Q_8_5"/>
      <w:bookmarkStart w:id="449" w:name="Tc_o1ytt13sW0ac8-YDkKjcAg_8_2"/>
      <w:bookmarkStart w:id="450" w:name="Tc_5P6ta693HkikTKC5Qilgnw_8_0"/>
      <w:bookmarkStart w:id="451" w:name="Tc_sazTl5RDC0KSTzIRHjrKBg_7_14"/>
      <w:bookmarkStart w:id="452" w:name="Tc_Cq23CRt4DEGa1m8nSrd77Q_7_8"/>
      <w:bookmarkStart w:id="453" w:name="Tc_fX69Hpooq0Cf0dFhNHnt6w_7_5"/>
      <w:bookmarkStart w:id="454" w:name="Tc_LlbMsYwc5U2fFiSafWoV5Q_7_2"/>
      <w:bookmarkStart w:id="455" w:name="Tc_YyFhMnJCCk6WcUNQ42y_rQ_7_0"/>
      <w:bookmarkStart w:id="456" w:name="Tc_hQ06Xvc-OUiOYI6olTu1Yw_6_11"/>
      <w:bookmarkStart w:id="457" w:name="Tc_RrfTxVL9B0ql9wYe_a4Vdg_6_8"/>
      <w:bookmarkStart w:id="458" w:name="Tc_R7IBi-peHkW_CfZFNb6kfg_6_5"/>
      <w:bookmarkStart w:id="459" w:name="Tc_OwScJa3Q_UaebzOnCfzNCQ_6_2"/>
      <w:bookmarkStart w:id="460" w:name="Tc_zOllvdAOvEecs8LY7mDSYQ_6_0"/>
      <w:bookmarkStart w:id="461" w:name="Tc_9dSxnndatEmtlwZdkJGjrg_5_16"/>
      <w:bookmarkStart w:id="462" w:name="Tc_xdtvtimw6EKdNpBZOPcRmg_5_13"/>
      <w:bookmarkStart w:id="463" w:name="Tc_wtNaUxz1sUGXCRuktpr7wQ_5_10"/>
      <w:bookmarkStart w:id="464" w:name="Tc_VMXTR74fIkSCxLZlL-sOPQ_5_7"/>
      <w:bookmarkStart w:id="465" w:name="Tc_U1L036avAUiczbNXhqX1UA_5_4"/>
      <w:bookmarkStart w:id="466" w:name="Tc_dGLaGm47Qkac5gSgEwgyfg_5_0"/>
      <w:bookmarkStart w:id="467" w:name="Tc_fN3KwtZ0PkqH7D-HXeFhzQ_4_16"/>
      <w:bookmarkStart w:id="468" w:name="Tc_mXyT-nZw5USbbVcRlqqjow_4_13"/>
      <w:bookmarkStart w:id="469" w:name="Tc_avNfj-FucEqODEW16Nmyqg_4_10"/>
      <w:bookmarkStart w:id="470" w:name="Tc_D6qcchk6NEGIRGUIxwNkqQ_4_7"/>
      <w:bookmarkStart w:id="471" w:name="Tc_H9ol4nEs4E6Ir6Zb8ZgA4A_4_4"/>
      <w:bookmarkStart w:id="472" w:name="Tc_L2gCHHizMUCtTts1yy5wXg_4_2"/>
      <w:bookmarkStart w:id="473" w:name="Tc_xqqgkv6s-0yhJJwNh8MrjA_4_0"/>
      <w:bookmarkStart w:id="474" w:name="Tc_etkNtMRAW0qwaiqZPEsatA_3_13"/>
      <w:bookmarkStart w:id="475" w:name="Tc_2NdTwONSKUqCadbDVKnlKA_3_10"/>
      <w:bookmarkStart w:id="476" w:name="Tc_h5XNompooUKg6tKUSRyzGQ_3_7"/>
      <w:bookmarkStart w:id="477" w:name="Tc_jGTnA6l7eE69Scxnwtk6-A_3_4"/>
      <w:bookmarkStart w:id="478" w:name="Tc_J4gHT7rCSU6oEQ_-HcS61w_2_10"/>
      <w:bookmarkStart w:id="479" w:name="Tc_T4CPIXwImkizknNuf6uFKA_2_7"/>
      <w:bookmarkStart w:id="480" w:name="Tc_AJ1bvf9_P0OxoXWZ5GtUqw_2_2"/>
      <w:bookmarkStart w:id="481" w:name="Tc_pWp0jO1KxUynz-R1VuH47Q_1_10"/>
      <w:bookmarkStart w:id="482" w:name="_84d7cc09_d41a_43f0_b3da_141481ad90f8"/>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339"/>
        <w:gridCol w:w="682"/>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7720" cy="175260"/>
                      <wp:effectExtent l="0" t="0" r="0" b="0"/>
                      <wp:wrapNone/>
                      <wp:docPr id="23" name="Frame23"/>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4485" cy="175260"/>
                      <wp:effectExtent l="0" t="0" r="0" b="0"/>
                      <wp:wrapNone/>
                      <wp:docPr id="25" name="Frame2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00990" cy="175260"/>
                      <wp:effectExtent l="0" t="0" r="0" b="0"/>
                      <wp:wrapNone/>
                      <wp:docPr id="28" name="Frame28"/>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67665" cy="175260"/>
                      <wp:effectExtent l="0" t="0" r="0" b="0"/>
                      <wp:wrapNone/>
                      <wp:docPr id="31" name="Frame31"/>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5265" cy="175260"/>
                      <wp:effectExtent l="0" t="0" r="0" b="0"/>
                      <wp:wrapNone/>
                      <wp:docPr id="33" name="Frame33"/>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3070" cy="175260"/>
                      <wp:effectExtent l="0" t="0" r="0" b="0"/>
                      <wp:wrapNone/>
                      <wp:docPr id="34" name="Frame34"/>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7835" cy="175260"/>
                      <wp:effectExtent l="0" t="0" r="0" b="0"/>
                      <wp:wrapNone/>
                      <wp:docPr id="37" name="Frame3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25145" cy="175260"/>
                      <wp:effectExtent l="0" t="0" r="0" b="0"/>
                      <wp:wrapNone/>
                      <wp:docPr id="40" name="Frame40"/>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293.4</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2,400.7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(48.9)</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interest in SSAT (See Note 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($0.32</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280.2</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2,373.8</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83" w:name="Tc_T8AvFpkqSEqsz5sTQ2Z9_g_12_16"/>
      <w:bookmarkStart w:id="484" w:name="Tc_11NBzagzH0eT1WHo2s-0Hg_12_13"/>
      <w:bookmarkStart w:id="485" w:name="Tc_Kswrh63JnkixazxFq337Zw_12_10"/>
      <w:bookmarkStart w:id="486" w:name="Tc_SKgGQqqzokKH-xaOJBA_5A_12_7"/>
      <w:bookmarkStart w:id="487" w:name="Tc_4W74IcOHukCn8wvtpoZxMQ_12_4"/>
      <w:bookmarkStart w:id="488" w:name="Tc_RIe-gcA9i020zQ5mUpmo-Q_12_0"/>
      <w:bookmarkStart w:id="489" w:name="Tc_NCwUwNGD8kWK7j9ovLvRPQ_11_11"/>
      <w:bookmarkStart w:id="490" w:name="Tc_aep14iPcfkuhT1rEvUtl9A_11_8"/>
      <w:bookmarkStart w:id="491" w:name="Tc_E4L6sXiOT0qsegHp1BnYLg_11_5"/>
      <w:bookmarkStart w:id="492" w:name="Tc_OkH9gM34jUGUdCGkCxVyzA_11_2"/>
      <w:bookmarkStart w:id="493" w:name="Tc_z3h0fbaARkyGu3ofcnCIrg_11_0"/>
      <w:bookmarkStart w:id="494" w:name="Tc_fUKEJh_8JUSl59_tMAnoIQ_10_11"/>
      <w:bookmarkStart w:id="495" w:name="Tc_APPwmRk8EUujOyuQ2UX64Q_10_0"/>
      <w:bookmarkStart w:id="496" w:name="Tc_lD7kMh9bFEiXFlcsjYr_Zg_9_14"/>
      <w:bookmarkStart w:id="497" w:name="Tc_arhNrqSlvUSixDAoEn7jAg_9_11"/>
      <w:bookmarkStart w:id="498" w:name="Tc_B_c7cEZojk-spt4SIw-gew_9_0"/>
      <w:bookmarkStart w:id="499" w:name="Tc_ufgRvD2YM0qQHyfh83zmZw_8_14"/>
      <w:bookmarkStart w:id="500" w:name="Tc_7evJr-FW0U6yJQnYN9A8wA_8_11"/>
      <w:bookmarkStart w:id="501" w:name="Tc_a3w1FyIF3kSQVzg7-n2qJA_8_5"/>
      <w:bookmarkStart w:id="502" w:name="Tc_A_MyAz44FU-Pm_vFWldoIQ_8_2"/>
      <w:bookmarkStart w:id="503" w:name="Tc_QzbbTmr2-EK8E2IWXuyOzA_8_0"/>
      <w:bookmarkStart w:id="504" w:name="Tc_FdXxNAaHeESqildkfH8Rbw_7_14"/>
      <w:bookmarkStart w:id="505" w:name="Tc_qP9kLZmXT06GXod1POHLPg_7_8"/>
      <w:bookmarkStart w:id="506" w:name="Tc_bnI1a8fxu06jQhIMXhHomA_7_5"/>
      <w:bookmarkStart w:id="507" w:name="Tc_NMxHRCzbQU2cd06Bba-sSg_7_2"/>
      <w:bookmarkStart w:id="508" w:name="Tc_bVLeh-y-5kKKe88AgvaE1A_7_0"/>
      <w:bookmarkStart w:id="509" w:name="Tc_W4DG-Q-yQ0mJBVM0IBsGog_6_11"/>
      <w:bookmarkStart w:id="510" w:name="Tc_Gl1YE50KQEu-7NzP0u8IyQ_6_8"/>
      <w:bookmarkStart w:id="511" w:name="Tc_T4q3U-uVyUKncMg-tA1tVQ_6_5"/>
      <w:bookmarkStart w:id="512" w:name="Tc_JnFlsx3va06Y97ptnpxOWg_6_2"/>
      <w:bookmarkStart w:id="513" w:name="Tc_6icpg0zFAkykd0UgoowSaQ_6_0"/>
      <w:bookmarkStart w:id="514" w:name="Tc_hBr-sETK7UCynN8QxqUl8Q_5_16"/>
      <w:bookmarkStart w:id="515" w:name="Tc_mhqSg3rc30qD9lhyu6Tfpw_5_13"/>
      <w:bookmarkStart w:id="516" w:name="Tc_4v2d69m9LECXbwrms6kBKg_5_10"/>
      <w:bookmarkStart w:id="517" w:name="Tc_aXnSgh4GEkGX4hGgoQKtsQ_5_7"/>
      <w:bookmarkStart w:id="518" w:name="Tc_ZX00JLaU_kaBDh6dXairNA_5_4"/>
      <w:bookmarkStart w:id="519" w:name="Tc_zKZ6p-Gl1UuJCCRP7l78iA_5_0"/>
      <w:bookmarkStart w:id="520" w:name="Tc_nwYo9F9QVUOQu6lYBaCmsQ_4_16"/>
      <w:bookmarkStart w:id="521" w:name="Tc_nFjpYDpWfEWY5ItsYOUWVA_4_13"/>
      <w:bookmarkStart w:id="522" w:name="Tc_PMGamziQbUm5PcQetoheZg_4_10"/>
      <w:bookmarkStart w:id="523" w:name="Tc_j9VXSixgeEyhVrn35BPdFw_4_7"/>
      <w:bookmarkStart w:id="524" w:name="Tc_X4dLeRYrHkuRq4AML4QIww_4_4"/>
      <w:bookmarkStart w:id="525" w:name="Tc_5SSTAXIgX0mkm4lXfqnz_Q_4_2"/>
      <w:bookmarkStart w:id="526" w:name="Tc_9BnopIV7sEuR-crmr79ZXQ_4_0"/>
      <w:bookmarkStart w:id="527" w:name="Tc_SiPZTeHhPE6GocYKinwFxQ_3_13"/>
      <w:bookmarkStart w:id="528" w:name="Tc_jtVmazBZy0Cf9RqDZnCvWg_3_10"/>
      <w:bookmarkStart w:id="529" w:name="Tc_rR9D9PoizUiYTngGbdD48Q_3_7"/>
      <w:bookmarkStart w:id="530" w:name="Tc_NVkYtmWHy0KpLK-PWzvBEA_3_4"/>
      <w:bookmarkStart w:id="531" w:name="Tc_0CrERuxXp0-gwPZxPybhFg_2_10"/>
      <w:bookmarkStart w:id="532" w:name="Tc_v4jp9jainUiCs5QcRLD6SA_2_7"/>
      <w:bookmarkStart w:id="533" w:name="Tc_lx9jqzuvWES-ZGicGf6zXw_2_2"/>
      <w:bookmarkStart w:id="534" w:name="Tc_MTSe4KSQSkOZkOKix7LENA_1_10"/>
      <w:bookmarkStart w:id="535" w:name="_b37e51c8_13fe_428b_9ad1_1dea474ee262"/>
      <w:bookmarkStart w:id="536" w:name="Tc_T8AvFpkqSEqsz5sTQ2Z9_g_12_16"/>
      <w:bookmarkStart w:id="537" w:name="Tc_11NBzagzH0eT1WHo2s-0Hg_12_13"/>
      <w:bookmarkStart w:id="538" w:name="Tc_Kswrh63JnkixazxFq337Zw_12_10"/>
      <w:bookmarkStart w:id="539" w:name="Tc_SKgGQqqzokKH-xaOJBA_5A_12_7"/>
      <w:bookmarkStart w:id="540" w:name="Tc_4W74IcOHukCn8wvtpoZxMQ_12_4"/>
      <w:bookmarkStart w:id="541" w:name="Tc_RIe-gcA9i020zQ5mUpmo-Q_12_0"/>
      <w:bookmarkStart w:id="542" w:name="Tc_NCwUwNGD8kWK7j9ovLvRPQ_11_11"/>
      <w:bookmarkStart w:id="543" w:name="Tc_aep14iPcfkuhT1rEvUtl9A_11_8"/>
      <w:bookmarkStart w:id="544" w:name="Tc_E4L6sXiOT0qsegHp1BnYLg_11_5"/>
      <w:bookmarkStart w:id="545" w:name="Tc_OkH9gM34jUGUdCGkCxVyzA_11_2"/>
      <w:bookmarkStart w:id="546" w:name="Tc_z3h0fbaARkyGu3ofcnCIrg_11_0"/>
      <w:bookmarkStart w:id="547" w:name="Tc_fUKEJh_8JUSl59_tMAnoIQ_10_11"/>
      <w:bookmarkStart w:id="548" w:name="Tc_APPwmRk8EUujOyuQ2UX64Q_10_0"/>
      <w:bookmarkStart w:id="549" w:name="Tc_lD7kMh9bFEiXFlcsjYr_Zg_9_14"/>
      <w:bookmarkStart w:id="550" w:name="Tc_arhNrqSlvUSixDAoEn7jAg_9_11"/>
      <w:bookmarkStart w:id="551" w:name="Tc_B_c7cEZojk-spt4SIw-gew_9_0"/>
      <w:bookmarkStart w:id="552" w:name="Tc_ufgRvD2YM0qQHyfh83zmZw_8_14"/>
      <w:bookmarkStart w:id="553" w:name="Tc_7evJr-FW0U6yJQnYN9A8wA_8_11"/>
      <w:bookmarkStart w:id="554" w:name="Tc_a3w1FyIF3kSQVzg7-n2qJA_8_5"/>
      <w:bookmarkStart w:id="555" w:name="Tc_A_MyAz44FU-Pm_vFWldoIQ_8_2"/>
      <w:bookmarkStart w:id="556" w:name="Tc_QzbbTmr2-EK8E2IWXuyOzA_8_0"/>
      <w:bookmarkStart w:id="557" w:name="Tc_FdXxNAaHeESqildkfH8Rbw_7_14"/>
      <w:bookmarkStart w:id="558" w:name="Tc_qP9kLZmXT06GXod1POHLPg_7_8"/>
      <w:bookmarkStart w:id="559" w:name="Tc_bnI1a8fxu06jQhIMXhHomA_7_5"/>
      <w:bookmarkStart w:id="560" w:name="Tc_NMxHRCzbQU2cd06Bba-sSg_7_2"/>
      <w:bookmarkStart w:id="561" w:name="Tc_bVLeh-y-5kKKe88AgvaE1A_7_0"/>
      <w:bookmarkStart w:id="562" w:name="Tc_W4DG-Q-yQ0mJBVM0IBsGog_6_11"/>
      <w:bookmarkStart w:id="563" w:name="Tc_Gl1YE50KQEu-7NzP0u8IyQ_6_8"/>
      <w:bookmarkStart w:id="564" w:name="Tc_T4q3U-uVyUKncMg-tA1tVQ_6_5"/>
      <w:bookmarkStart w:id="565" w:name="Tc_JnFlsx3va06Y97ptnpxOWg_6_2"/>
      <w:bookmarkStart w:id="566" w:name="Tc_6icpg0zFAkykd0UgoowSaQ_6_0"/>
      <w:bookmarkStart w:id="567" w:name="Tc_hBr-sETK7UCynN8QxqUl8Q_5_16"/>
      <w:bookmarkStart w:id="568" w:name="Tc_mhqSg3rc30qD9lhyu6Tfpw_5_13"/>
      <w:bookmarkStart w:id="569" w:name="Tc_4v2d69m9LECXbwrms6kBKg_5_10"/>
      <w:bookmarkStart w:id="570" w:name="Tc_aXnSgh4GEkGX4hGgoQKtsQ_5_7"/>
      <w:bookmarkStart w:id="571" w:name="Tc_ZX00JLaU_kaBDh6dXairNA_5_4"/>
      <w:bookmarkStart w:id="572" w:name="Tc_zKZ6p-Gl1UuJCCRP7l78iA_5_0"/>
      <w:bookmarkStart w:id="573" w:name="Tc_nwYo9F9QVUOQu6lYBaCmsQ_4_16"/>
      <w:bookmarkStart w:id="574" w:name="Tc_nFjpYDpWfEWY5ItsYOUWVA_4_13"/>
      <w:bookmarkStart w:id="575" w:name="Tc_PMGamziQbUm5PcQetoheZg_4_10"/>
      <w:bookmarkStart w:id="576" w:name="Tc_j9VXSixgeEyhVrn35BPdFw_4_7"/>
      <w:bookmarkStart w:id="577" w:name="Tc_X4dLeRYrHkuRq4AML4QIww_4_4"/>
      <w:bookmarkStart w:id="578" w:name="Tc_5SSTAXIgX0mkm4lXfqnz_Q_4_2"/>
      <w:bookmarkStart w:id="579" w:name="Tc_9BnopIV7sEuR-crmr79ZXQ_4_0"/>
      <w:bookmarkStart w:id="580" w:name="Tc_SiPZTeHhPE6GocYKinwFxQ_3_13"/>
      <w:bookmarkStart w:id="581" w:name="Tc_jtVmazBZy0Cf9RqDZnCvWg_3_10"/>
      <w:bookmarkStart w:id="582" w:name="Tc_rR9D9PoizUiYTngGbdD48Q_3_7"/>
      <w:bookmarkStart w:id="583" w:name="Tc_NVkYtmWHy0KpLK-PWzvBEA_3_4"/>
      <w:bookmarkStart w:id="584" w:name="Tc_0CrERuxXp0-gwPZxPybhFg_2_10"/>
      <w:bookmarkStart w:id="585" w:name="Tc_v4jp9jainUiCs5QcRLD6SA_2_7"/>
      <w:bookmarkStart w:id="586" w:name="Tc_lx9jqzuvWES-ZGicGf6zXw_2_2"/>
      <w:bookmarkStart w:id="587" w:name="Tc_MTSe4KSQSkOZkOKix7LENA_1_10"/>
      <w:bookmarkStart w:id="588" w:name="_b37e51c8_13fe_428b_9ad1_1dea474ee262"/>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339"/>
        <w:gridCol w:w="682"/>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7720" cy="175260"/>
                      <wp:effectExtent l="0" t="0" r="0" b="0"/>
                      <wp:wrapNone/>
                      <wp:docPr id="41" name="Frame41"/>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24485" cy="175260"/>
                      <wp:effectExtent l="0" t="0" r="0" b="0"/>
                      <wp:wrapNone/>
                      <wp:docPr id="43" name="Frame4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00990" cy="175260"/>
                      <wp:effectExtent l="0" t="0" r="0" b="0"/>
                      <wp:wrapNone/>
                      <wp:docPr id="46" name="Frame4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67665" cy="175260"/>
                      <wp:effectExtent l="0" t="0" r="0" b="0"/>
                      <wp:wrapNone/>
                      <wp:docPr id="49" name="Frame4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5265" cy="175260"/>
                      <wp:effectExtent l="0" t="0" r="0" b="0"/>
                      <wp:wrapNone/>
                      <wp:docPr id="51" name="Frame5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33070" cy="175260"/>
                      <wp:effectExtent l="0" t="0" r="0" b="0"/>
                      <wp:wrapNone/>
                      <wp:docPr id="52" name="Frame52"/>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57835" cy="175260"/>
                      <wp:effectExtent l="0" t="0" r="0" b="0"/>
                      <wp:wrapNone/>
                      <wp:docPr id="55" name="Frame5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5145" cy="175260"/>
                      <wp:effectExtent l="0" t="0" r="0" b="0"/>
                      <wp:wrapNone/>
                      <wp:docPr id="58" name="Frame5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290.4</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2,296.9</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($0.31</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2023</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279.7</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2,270.3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89" w:name="_14efc891_a251_4ff9_8379_64161fd6d610"/>
      <w:bookmarkEnd w:id="589"/>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590" w:name="NOTESTOTHECONDENSEDCONSOLIDATEDFINANICAL"/>
      <w:bookmarkEnd w:id="590"/>
      <w:r>
        <w:rPr>
          <w:rFonts w:ascii="Times New Roman;Times;serif" w:hAnsi="Times New Roman;Times;serif"/>
          <w:b/>
          <w:sz w:val="20"/>
        </w:rPr>
        <w:t>NOTES TO THE CONDENSED CONSOLIDATED FINANICAL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DESCRIPTION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Dutch Harbor, Alaska to Asia. In addition, subsidiaries of MatNav provide stevedoring, refrigerated cargo services, inland transportation and other terminal services for MatNav on the Hawaiian islands of Oahu, Hawaii, Maui and Kauai, and for MatNav and an ocean carrier in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GENERAL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Basis of Presentation:</w:t>
      </w:r>
      <w:r>
        <w:rPr>
          <w:rFonts w:ascii="Times New Roman;Times;serif" w:hAnsi="Times New Roman;Times;serif"/>
          <w:sz w:val="20"/>
        </w:rPr>
        <w:t xml:space="preserve"> The Condensed Consolidated Financial Statements are unaudited, and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should be read in conjunction with the Consolidated Financial Statements and notes thereto included in the Company’s Annual Report on Form 10-K for the year ended December 31, 2023, filed with the Securities and Exchange Commission (“SEC”) on February 23, 2024.</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591" w:name="Tc_wSG-FehNukeBVyM-80Or3A_7_5"/>
      <w:bookmarkStart w:id="592" w:name="Tc_EGRxr6QhZkKIgGAFkIeVtw_7_2"/>
      <w:bookmarkStart w:id="593" w:name="Tc_ax06CVON8E2lKzURbcPloA_7_0"/>
      <w:bookmarkStart w:id="594" w:name="Tc_2jkjqrKKVUSNAHo7cD6YiQ_6_0"/>
      <w:bookmarkStart w:id="595" w:name="Tc_JtcTSEhcuEmRoNPZwHvlnQ_5_0"/>
      <w:bookmarkStart w:id="596" w:name="Tc_CFhwQH0m6kuW5OQzfJMb8g_4_0"/>
      <w:bookmarkStart w:id="597" w:name="Tc_EdnRukcbckyx5OFEIxkcJA_3_5"/>
      <w:bookmarkStart w:id="598" w:name="Tc_tU3LwqZj9EyunTzKJa16Ow_3_2"/>
      <w:bookmarkStart w:id="599" w:name="Tc_EtMo6HLJwUm5S2Ka5c_DfQ_3_0"/>
      <w:bookmarkStart w:id="600" w:name="Tc_DA6M1ddQJ0udHtn9KNi5rw_2_5"/>
      <w:bookmarkStart w:id="601" w:name="Tc_0qExZHIdlkCngSV3Thausw_2_2"/>
      <w:bookmarkStart w:id="602" w:name="Tc_JleQSqWMM0GKnZAGXR1ioA_2_0"/>
      <w:bookmarkStart w:id="603" w:name="Tc_ws_bCiXQ90O0zeI9Bof46A_1_2"/>
      <w:bookmarkStart w:id="604" w:name="_9c390c95_6a03_4dd1_88e9_a2cd103bb29e"/>
      <w:bookmarkStart w:id="605" w:name="Tc_DxYyWL4ZSE2on1yrB-KAVQ_8_5"/>
      <w:bookmarkStart w:id="606" w:name="Tc_Rln17JnmQUuOFG0zK7dByA_8_2"/>
      <w:bookmarkStart w:id="607" w:name="Tc_aDM-Act45kGmbyd5Tuco6A_8_0"/>
      <w:bookmarkStart w:id="608" w:name="Tc_u7f_9o95Bki-KuywN-e_DA_7_0"/>
      <w:bookmarkStart w:id="609" w:name="Tc_xqL1-zcr-EyNwQX5vab2xA_6_0"/>
      <w:bookmarkStart w:id="610" w:name="Tc_alfY7LXUfk-HiLfZ2pmelQ_5_0"/>
      <w:bookmarkStart w:id="611" w:name="Tc_bE5cSjKFcE-27d5LUVHTWQ_4_0"/>
      <w:bookmarkStart w:id="612" w:name="Tc_w8MfXR0MvECcpmvRiQVYWw_3_5"/>
      <w:bookmarkStart w:id="613" w:name="Tc_2KY_auK9BkOe479mfNyy7w_3_2"/>
      <w:bookmarkStart w:id="614" w:name="Tc_vmLcZO0qW0KBOR_GN1I7CA_3_0"/>
      <w:bookmarkStart w:id="615" w:name="Tc_FoxVziWM40-qMGqBt-5z_g_2_5"/>
      <w:bookmarkStart w:id="616" w:name="Tc_A1da6kkaLkavvyYOWnMT6A_2_2"/>
      <w:bookmarkStart w:id="617" w:name="Tc_Tpp2Eng0qkiIDDOZaoGuPQ_2_0"/>
      <w:bookmarkStart w:id="618" w:name="Tc_oReIC64IFkaOrKj5Ha_plA_1_5"/>
      <w:bookmarkStart w:id="619" w:name="Tc_ZCtTb__Gdky9opRsfXN9oQ_1_2"/>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ascii="Times New Roman;Times;serif" w:hAnsi="Times New Roman;Times;serif"/>
          <w:b/>
          <w:i/>
          <w:sz w:val="20"/>
        </w:rPr>
        <w:t>Fiscal Period:</w:t>
      </w:r>
      <w:r>
        <w:rPr>
          <w:rFonts w:ascii="Times New Roman;Times;serif" w:hAnsi="Times New Roman;Times;serif"/>
          <w:sz w:val="20"/>
        </w:rPr>
        <w:t xml:space="preserve"> The period end for Matson covered by this report is March 31, 2024. The period end for MatNav and its subsidiaries covered by this report is March 29,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Significant Accounting Policies:</w:t>
      </w:r>
      <w:r>
        <w:rPr>
          <w:rFonts w:ascii="Times New Roman;Times;serif" w:hAnsi="Times New Roman;Times;serif"/>
          <w:sz w:val="20"/>
        </w:rPr>
        <w:t xml:space="preserve"> The Company’s significant accounting policies are described in Note 2 to the Consolidated Financial Statements included in Part II, Item 8 of the Company’s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xml:space="preserve"> The preparation of the interim Condensed Consolidated Financial Statements in conformity with 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contingent acquisition related consideration; accrual estimates; pension and post-retirement estimates; multi-employer withdrawal liabilities; operating lease assets and liabilities; income (loss) from SSAT; and income taxes.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Prepaid Expenses and Other Assets:</w:t>
      </w:r>
      <w:r>
        <w:rPr>
          <w:rFonts w:ascii="Times New Roman;Times;serif" w:hAnsi="Times New Roman;Times;serif"/>
          <w:sz w:val="20"/>
        </w:rPr>
        <w:t xml:space="preserve"> Prepaid expenses and other assets consisted of the following at March 31, 2024 and December 31, 2023:</w:t>
      </w:r>
    </w:p>
    <w:p>
      <w:pPr>
        <w:pStyle w:val="TextBody"/>
        <w:bidi w:val="0"/>
        <w:spacing w:before="0" w:after="0"/>
        <w:ind w:left="0" w:right="0" w:hanging="0"/>
        <w:jc w:val="left"/>
        <w:rPr/>
      </w:pPr>
      <w:r>
        <w:rPr/>
        <w:t>​</w:t>
      </w:r>
    </w:p>
    <w:tbl>
      <w:tblPr>
        <w:tblW w:w="7174" w:type="dxa"/>
        <w:jc w:val="left"/>
        <w:tblInd w:w="0" w:type="dxa"/>
        <w:tblLayout w:type="fixed"/>
        <w:tblCellMar>
          <w:top w:w="0" w:type="dxa"/>
          <w:left w:w="0" w:type="dxa"/>
          <w:bottom w:w="0" w:type="dxa"/>
          <w:right w:w="0" w:type="dxa"/>
        </w:tblCellMar>
      </w:tblPr>
      <w:tblGrid>
        <w:gridCol w:w="4291"/>
        <w:gridCol w:w="326"/>
        <w:gridCol w:w="242"/>
        <w:gridCol w:w="658"/>
        <w:gridCol w:w="326"/>
        <w:gridCol w:w="307"/>
        <w:gridCol w:w="833"/>
        <w:gridCol w:w="19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724785" cy="175260"/>
                      <wp:effectExtent l="0" t="0" r="0" b="0"/>
                      <wp:wrapNone/>
                      <wp:docPr id="59" name="Frame59"/>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53670" cy="175260"/>
                      <wp:effectExtent l="0" t="0" r="0" b="0"/>
                      <wp:wrapNone/>
                      <wp:docPr id="61" name="Frame6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17830" cy="175260"/>
                      <wp:effectExtent l="0" t="0" r="0" b="0"/>
                      <wp:wrapNone/>
                      <wp:docPr id="62" name="Frame6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94945" cy="175260"/>
                      <wp:effectExtent l="0" t="0" r="0" b="0"/>
                      <wp:wrapNone/>
                      <wp:docPr id="64" name="Frame6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28955" cy="175260"/>
                      <wp:effectExtent l="0" t="0" r="0" b="0"/>
                      <wp:wrapNone/>
                      <wp:docPr id="65" name="Frame6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1285" cy="175260"/>
                      <wp:effectExtent l="0" t="0" r="0" b="0"/>
                      <wp:wrapNone/>
                      <wp:docPr id="66" name="Frame6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Prepaid Expenses and Other Assets (in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fuel</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 and insurance related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vessel construction obligations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primarily include a federal income tax refund related to the Company’s 2021 federal tax return of $118.6 million and other income tax receivables. On April 19, 2024, the Company received the federal income tax refund of $118.6 million and interest of $10.2 million earned on the federal income tax refund.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 Investments:</w:t>
      </w:r>
      <w:r>
        <w:rPr>
          <w:rFonts w:ascii="Times New Roman;Times;serif" w:hAnsi="Times New Roman;Times;serif"/>
          <w:sz w:val="20"/>
        </w:rPr>
        <w:t xml:space="preserve"> Capital Construction Fund (“CCF”) investments are held in fixed-rate U.S. Treasuries with various maturity dates of up to three years. These held-to-maturity debt securities are initially recognized at cost and subsequently measured at accreted cost, less any expected credit losses. The accreted cost is adjusted for accretion of discounts to maturity. The Company has classified these securities as held-to-maturity as the Company has the intent and ability to hold such securities until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Recognition of Revenues and Expenses:</w:t>
      </w:r>
      <w:r>
        <w:rPr>
          <w:rFonts w:ascii="Times New Roman;Times;serif" w:hAnsi="Times New Roman;Times;serif"/>
          <w:sz w:val="20"/>
        </w:rPr>
        <w:t xml:space="preserve"> Revenue in the Company’s Condensed Consolidated Financial Statements is presented net of elimination of intercompany transactions. The following is a description of the Company’s principal revenue generating activities by segment, and the Company’s revenue recognition policy for each activity for the periods presented:</w:t>
      </w:r>
    </w:p>
    <w:p>
      <w:pPr>
        <w:pStyle w:val="TextBody"/>
        <w:bidi w:val="0"/>
        <w:spacing w:before="0" w:after="0"/>
        <w:ind w:left="0" w:right="0" w:hanging="0"/>
        <w:jc w:val="left"/>
        <w:rPr/>
      </w:pPr>
      <w:r>
        <w:rPr/>
        <w:t>​</w:t>
      </w:r>
    </w:p>
    <w:tbl>
      <w:tblPr>
        <w:tblW w:w="5465" w:type="dxa"/>
        <w:jc w:val="left"/>
        <w:tblInd w:w="0" w:type="dxa"/>
        <w:tblLayout w:type="fixed"/>
        <w:tblCellMar>
          <w:top w:w="0" w:type="dxa"/>
          <w:left w:w="0" w:type="dxa"/>
          <w:bottom w:w="0" w:type="dxa"/>
          <w:right w:w="0" w:type="dxa"/>
        </w:tblCellMar>
      </w:tblPr>
      <w:tblGrid>
        <w:gridCol w:w="3361"/>
        <w:gridCol w:w="109"/>
        <w:gridCol w:w="211"/>
        <w:gridCol w:w="571"/>
        <w:gridCol w:w="326"/>
        <w:gridCol w:w="211"/>
        <w:gridCol w:w="67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34235" cy="175260"/>
                      <wp:effectExtent l="0" t="0" r="0" b="0"/>
                      <wp:wrapNone/>
                      <wp:docPr id="67" name="Frame67"/>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62585" cy="175260"/>
                      <wp:effectExtent l="0" t="0" r="0" b="0"/>
                      <wp:wrapNone/>
                      <wp:docPr id="70" name="Frame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73" name="Frame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539.5</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management and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551.0</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services revenues and fuel sales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Related costs are recognized as incurred.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620" w:name="Tc_MKHSmt5lLkWVfNL9Okog2g_6_5"/>
      <w:bookmarkStart w:id="621" w:name="Tc_8nmst738skiTaVPyNT3Hfw_6_2"/>
      <w:bookmarkStart w:id="622" w:name="Tc_Oc7zZxer_0y-C35zUYQXSw_6_0"/>
      <w:bookmarkStart w:id="623" w:name="Tc_0Sjll3hZ20iPXS31Zyh5oA_5_0"/>
      <w:bookmarkStart w:id="624" w:name="Tc_7Idy-HPopUWmfX7iwsJZ5w_4_0"/>
      <w:bookmarkStart w:id="625" w:name="Tc_TJqEihecCUOMKgMwRW34wQ_3_5"/>
      <w:bookmarkStart w:id="626" w:name="Tc_D8lO7WzeF0uO803JLFlccw_3_2"/>
      <w:bookmarkStart w:id="627" w:name="Tc_0KabiH1-ykWkiW2qvOIeMg_3_0"/>
      <w:bookmarkStart w:id="628" w:name="Tc_gNaoYBukvEappzm3BjyRYg_2_5"/>
      <w:bookmarkStart w:id="629" w:name="Tc_cCfApP3RXUarRhH78CPA9w_2_2"/>
      <w:bookmarkStart w:id="630" w:name="Tc_I2gDSKaKQEOoCTAL4kWWpQ_2_0"/>
      <w:bookmarkStart w:id="631" w:name="Tc_L4ngF-3GIkOZ8qg9l3FS4A_1_2"/>
      <w:bookmarkStart w:id="632" w:name="_76ce7040_9d75_4809_bd50_999968a13d07"/>
      <w:bookmarkStart w:id="633" w:name="Tc_MKHSmt5lLkWVfNL9Okog2g_6_5"/>
      <w:bookmarkStart w:id="634" w:name="Tc_8nmst738skiTaVPyNT3Hfw_6_2"/>
      <w:bookmarkStart w:id="635" w:name="Tc_Oc7zZxer_0y-C35zUYQXSw_6_0"/>
      <w:bookmarkStart w:id="636" w:name="Tc_0Sjll3hZ20iPXS31Zyh5oA_5_0"/>
      <w:bookmarkStart w:id="637" w:name="Tc_7Idy-HPopUWmfX7iwsJZ5w_4_0"/>
      <w:bookmarkStart w:id="638" w:name="Tc_TJqEihecCUOMKgMwRW34wQ_3_5"/>
      <w:bookmarkStart w:id="639" w:name="Tc_D8lO7WzeF0uO803JLFlccw_3_2"/>
      <w:bookmarkStart w:id="640" w:name="Tc_0KabiH1-ykWkiW2qvOIeMg_3_0"/>
      <w:bookmarkStart w:id="641" w:name="Tc_gNaoYBukvEappzm3BjyRYg_2_5"/>
      <w:bookmarkStart w:id="642" w:name="Tc_cCfApP3RXUarRhH78CPA9w_2_2"/>
      <w:bookmarkStart w:id="643" w:name="Tc_I2gDSKaKQEOoCTAL4kWWpQ_2_0"/>
      <w:bookmarkStart w:id="644" w:name="Tc_L4ngF-3GIkOZ8qg9l3FS4A_1_2"/>
      <w:bookmarkStart w:id="645" w:name="_76ce7040_9d75_4809_bd50_999968a13d07"/>
      <w:bookmarkEnd w:id="633"/>
      <w:bookmarkEnd w:id="634"/>
      <w:bookmarkEnd w:id="635"/>
      <w:bookmarkEnd w:id="636"/>
      <w:bookmarkEnd w:id="637"/>
      <w:bookmarkEnd w:id="638"/>
      <w:bookmarkEnd w:id="639"/>
      <w:bookmarkEnd w:id="640"/>
      <w:bookmarkEnd w:id="641"/>
      <w:bookmarkEnd w:id="642"/>
      <w:bookmarkEnd w:id="643"/>
      <w:bookmarkEnd w:id="644"/>
      <w:bookmarkEnd w:id="645"/>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management and related services revenue is recognized in proportion to the services completed. Related costs are recognized as incurred.</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tbl>
      <w:tblPr>
        <w:tblW w:w="6733"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077210" cy="175260"/>
                      <wp:effectExtent l="0" t="0" r="0" b="0"/>
                      <wp:wrapNone/>
                      <wp:docPr id="74" name="Frame74"/>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7" name="Frame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29260" cy="175260"/>
                      <wp:effectExtent l="0" t="0" r="0" b="0"/>
                      <wp:wrapNone/>
                      <wp:docPr id="80" name="Frame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and distribution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and other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153.8</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transportation brokerage and freight forwarding services revenue and supply chain management and other services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and other services revenue, and related costs are recognized in proportion to the services performed.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Capitalized Interest:</w:t>
      </w:r>
      <w:r>
        <w:rPr>
          <w:rFonts w:ascii="Times New Roman;Times;serif" w:hAnsi="Times New Roman;Times;serif"/>
          <w:sz w:val="20"/>
        </w:rPr>
        <w:t xml:space="preserve"> The Company capitalizes interest costs during the period the qualified assets are being readied for their intended use. The Company determined that the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During the three months ended March 31, 2024 and 2023, the Company capitalized $0.8 million and $0.4 million of interest related to the construction of new vessels,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xml:space="preserve"> The Company’s first quarter 2024 cash dividend of $0.32 per share was paid on March 7, 2024. On April 25, 2024, the Company’s Board of Directors declared a cash dividend of $0.32 per share payable on June 6, 2024 to shareholders of record on May 9,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March 31, 2024, the Company repurchased approximately 0.4 million shares for a total cost of $48.9 million. As of March 31, 2024, the maximum number of remaining shares that may be repurchased under the Company’s share repurchase program was approximately 2.0 million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New Accounting Pronouncements:</w:t>
      </w:r>
      <w:r>
        <w:rPr>
          <w:rFonts w:ascii="Times New Roman;Times;serif" w:hAnsi="Times New Roman;Times;serif"/>
          <w:sz w:val="20"/>
        </w:rPr>
        <w:t xml:space="preserve"> In November 2023, the Financial Accounting Standards Board (“FASB”) issued Accounting Standard Update (“ASU”) 2023-07, Segment Reporting (Topic 280): Improvements to Reportable Segment Disclosures (“ASU 2023-07”). ASU 2023-07 requires disclosure of incremental segment information on an annual and interim basis. The ASU is effective for fiscal years beginning after December 15, 2023, and interim periods within fiscal years beginning after December 15, 2024, and requires retrospective application to all prior periods presented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 Early adoption is permitted. The Company is currently evaluating the effects of adopting ASU 2023-07 but does not expect it will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2023, the FASB issued ASU 2023-09, Improvements to Income Tax Disclosures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 of adoption ASU 2023-09 but does not expect it to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646" w:name="Tc__hBsT14Udk2CsZc6Xprxhw_17_5"/>
      <w:bookmarkStart w:id="647" w:name="Tc_MaTpUt5ZgU-LUs0aOb7WNg_17_2"/>
      <w:bookmarkStart w:id="648" w:name="Tc_T1DC9HSnrEOYO8xbTg0Dxg_17_0"/>
      <w:bookmarkStart w:id="649" w:name="Tc_89js1_xIb0-dwBuU-hTdVw_16_0"/>
      <w:bookmarkStart w:id="650" w:name="Tc_bMc6y_5o7U-LjWIsNx2hiA_15_0"/>
      <w:bookmarkStart w:id="651" w:name="Tc_z-Fom0xaPE2699tunK6ncQ_14_0"/>
      <w:bookmarkStart w:id="652" w:name="Tc_nHtj1Z21Kke9bw14q1TcnA_13_0"/>
      <w:bookmarkStart w:id="653" w:name="Tc_FrXuAtbzrUG784xnvN8a-w_12_0"/>
      <w:bookmarkStart w:id="654" w:name="Tc_q8r7Ioc_FE-2Yu7tH5L6Mw_11_0"/>
      <w:bookmarkStart w:id="655" w:name="Tc_1_5WgI7R0UCHHqootRddoQ_10_0"/>
      <w:bookmarkStart w:id="656" w:name="Tc_zFV4lJDtU0aeobvyxSuVWw_9_5"/>
      <w:bookmarkStart w:id="657" w:name="Tc_Hylf27Pq302rMGJx52STdA_9_2"/>
      <w:bookmarkStart w:id="658" w:name="Tc_ldk94yfsYEyGsZhZcmjSdw_9_0"/>
      <w:bookmarkStart w:id="659" w:name="Tc_9CYFSYvB8Eyips63sZFzVQ_8_0"/>
      <w:bookmarkStart w:id="660" w:name="Tc_Mfnjxl7ZkUiuc1M7vf4wlQ_7_5"/>
      <w:bookmarkStart w:id="661" w:name="Tc_t0EJX7FWVEmFXKNBqkWALA_7_2"/>
      <w:bookmarkStart w:id="662" w:name="Tc_jvm1i65-V0GnrkqSQo7tkw_7_0"/>
      <w:bookmarkStart w:id="663" w:name="Tc_MHybA_tEYkSZrwftb10HTw_6_0"/>
      <w:bookmarkStart w:id="664" w:name="Tc_NTH-6LMPlEiQDhOZ0B7qcg_5_5"/>
      <w:bookmarkStart w:id="665" w:name="Tc_aYQ0pFdnxUKNno4TdGCSDQ_5_2"/>
      <w:bookmarkStart w:id="666" w:name="Tc_xS69TWfDs0OvTxNfFFTVZQ_5_0"/>
      <w:bookmarkStart w:id="667" w:name="Tc_fvSaZmWsHE2uYZevpqLRXw_4_0"/>
      <w:bookmarkStart w:id="668" w:name="Tc_fbYExBmMrE6dyrpqoG2BRg_3_5"/>
      <w:bookmarkStart w:id="669" w:name="Tc_6QmfL_AS_EO2e5wbBw9O0A_3_2"/>
      <w:bookmarkStart w:id="670" w:name="Tc_7lvm9TTTBUmpRqPbt25LQQ_3_0"/>
      <w:bookmarkStart w:id="671" w:name="Tc_V8_2k81kl0WBfedHklKHZA_2_2"/>
      <w:bookmarkStart w:id="672" w:name="Tc_gGA0x7hadE6s1V_NKiZV0g_1_2"/>
      <w:bookmarkStart w:id="673" w:name="_0d7445f0_de78_4027_9356_82ced491309f"/>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Company’s Ocean Transportation segment provides ocean transportation services to the Logistics segment, and the Logistics segment provides logistics services to the Ocean Transportation segment in certain transactions. Accordingly, inter-segment revenue of $46.6 million and $40.1 million for the three months ended March 31, 2024 and 2023, respectively, have been eliminated from operating revenues in the table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financial information for the three months ended March 31, 2024 and 2023 are as follows:</w:t>
      </w:r>
    </w:p>
    <w:p>
      <w:pPr>
        <w:pStyle w:val="TextBody"/>
        <w:bidi w:val="0"/>
        <w:spacing w:before="0" w:after="0"/>
        <w:ind w:left="0" w:right="0" w:hanging="0"/>
        <w:jc w:val="left"/>
        <w:rPr/>
      </w:pPr>
      <w:r>
        <w:rPr/>
        <w:t>​</w:t>
      </w:r>
    </w:p>
    <w:tbl>
      <w:tblPr>
        <w:tblW w:w="4662" w:type="dxa"/>
        <w:jc w:val="left"/>
        <w:tblInd w:w="0" w:type="dxa"/>
        <w:tblLayout w:type="fixed"/>
        <w:tblCellMar>
          <w:top w:w="0" w:type="dxa"/>
          <w:left w:w="0" w:type="dxa"/>
          <w:bottom w:w="0" w:type="dxa"/>
          <w:right w:w="0" w:type="dxa"/>
        </w:tblCellMar>
      </w:tblPr>
      <w:tblGrid>
        <w:gridCol w:w="2386"/>
        <w:gridCol w:w="326"/>
        <w:gridCol w:w="211"/>
        <w:gridCol w:w="571"/>
        <w:gridCol w:w="326"/>
        <w:gridCol w:w="211"/>
        <w:gridCol w:w="63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15110" cy="175260"/>
                      <wp:effectExtent l="0" t="0" r="0" b="0"/>
                      <wp:wrapNone/>
                      <wp:docPr id="81" name="Frame8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2585" cy="175260"/>
                      <wp:effectExtent l="0" t="0" r="0" b="0"/>
                      <wp:wrapNone/>
                      <wp:docPr id="84" name="Frame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00685" cy="175260"/>
                      <wp:effectExtent l="0" t="0" r="0" b="0"/>
                      <wp:wrapNone/>
                      <wp:docPr id="87" name="Frame8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704.8</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34.0</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$19.7</w:t>
            </w:r>
            <w:r>
              <w:rPr>
                <w:caps w:val="false"/>
                <w:smallCaps w:val="false"/>
              </w:rPr>
              <w:t> </w:t>
            </w:r>
            <w:r>
              <w:rPr>
                <w:rFonts w:ascii="Times New Roman;Times;serif" w:hAnsi="Times New Roman;Times;serif"/>
                <w:b w:val="false"/>
                <w:i w:val="false"/>
                <w:caps w:val="false"/>
                <w:smallCaps w:val="false"/>
                <w:sz w:val="16"/>
              </w:rPr>
              <w:t>million and $16.1</w:t>
            </w:r>
            <w:r>
              <w:rPr>
                <w:caps w:val="false"/>
                <w:smallCaps w:val="false"/>
              </w:rPr>
              <w:t> </w:t>
            </w:r>
            <w:r>
              <w:rPr>
                <w:rFonts w:ascii="Times New Roman;Times;serif" w:hAnsi="Times New Roman;Times;serif"/>
                <w:b w:val="false"/>
                <w:i w:val="false"/>
                <w:caps w:val="false"/>
                <w:smallCaps w:val="false"/>
                <w:sz w:val="16"/>
              </w:rPr>
              <w:t>million for the three months ended March 31, 2024 and 2023, respectively.</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$26.9</w:t>
            </w:r>
            <w:r>
              <w:rPr>
                <w:caps w:val="false"/>
                <w:smallCaps w:val="false"/>
              </w:rPr>
              <w:t> </w:t>
            </w:r>
            <w:r>
              <w:rPr>
                <w:rFonts w:ascii="Times New Roman;Times;serif" w:hAnsi="Times New Roman;Times;serif"/>
                <w:b w:val="false"/>
                <w:i w:val="false"/>
                <w:caps w:val="false"/>
                <w:smallCaps w:val="false"/>
                <w:sz w:val="16"/>
              </w:rPr>
              <w:t>million and $24.0</w:t>
            </w:r>
            <w:r>
              <w:rPr>
                <w:caps w:val="false"/>
                <w:smallCaps w:val="false"/>
              </w:rPr>
              <w:t> </w:t>
            </w:r>
            <w:r>
              <w:rPr>
                <w:rFonts w:ascii="Times New Roman;Times;serif" w:hAnsi="Times New Roman;Times;serif"/>
                <w:b w:val="false"/>
                <w:i w:val="false"/>
                <w:caps w:val="false"/>
                <w:smallCaps w:val="false"/>
                <w:sz w:val="16"/>
              </w:rPr>
              <w:t xml:space="preserve">million for the three months ended March 31, 2024 and 2023, respectively.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8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segment information includes $0.4</w:t>
            </w:r>
            <w:r>
              <w:rPr>
                <w:caps w:val="false"/>
                <w:smallCaps w:val="false"/>
              </w:rPr>
              <w:t> </w:t>
            </w:r>
            <w:r>
              <w:rPr>
                <w:rFonts w:ascii="Times New Roman;Times;serif" w:hAnsi="Times New Roman;Times;serif"/>
                <w:b w:val="false"/>
                <w:i w:val="false"/>
                <w:caps w:val="false"/>
                <w:smallCaps w:val="false"/>
                <w:sz w:val="16"/>
              </w:rPr>
              <w:t>million and $(1.8)</w:t>
            </w:r>
            <w:r>
              <w:rPr>
                <w:caps w:val="false"/>
                <w:smallCaps w:val="false"/>
              </w:rPr>
              <w:t> </w:t>
            </w:r>
            <w:r>
              <w:rPr>
                <w:rFonts w:ascii="Times New Roman;Times;serif" w:hAnsi="Times New Roman;Times;serif"/>
                <w:b w:val="false"/>
                <w:i w:val="false"/>
                <w:caps w:val="false"/>
                <w:smallCaps w:val="false"/>
                <w:sz w:val="16"/>
              </w:rPr>
              <w:t>million of net income (loss) from the Company’s equity investment in SSAT for the three months ended March 31, 2024 and 2023,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74" w:name="Tc_8MnwRhAMfEmja1aTIZ3rlg_8_5"/>
      <w:bookmarkStart w:id="675" w:name="Tc_gavWkL-IVUKCry76YYD35g_8_2"/>
      <w:bookmarkStart w:id="676" w:name="Tc_nkLsde3meU28rMCZ2DR7IA_8_0"/>
      <w:bookmarkStart w:id="677" w:name="Tc_fcoQJV4Q406dSye1A8Bw1g_7_5"/>
      <w:bookmarkStart w:id="678" w:name="Tc_0ECd9JSm1Eip-9AH7gxOsw_7_2"/>
      <w:bookmarkStart w:id="679" w:name="Tc_LhA8QliKb0WEP1W1f9uX6A_7_0"/>
      <w:bookmarkStart w:id="680" w:name="Tc_ersStR91Q0qqV2D9q5zdGw_6_0"/>
      <w:bookmarkStart w:id="681" w:name="Tc_RzRnHRxFikugD_8ox-92nw_5_0"/>
      <w:bookmarkStart w:id="682" w:name="Tc_S0jDtpnzx0y6sgUmQC6Lbg_4_5"/>
      <w:bookmarkStart w:id="683" w:name="Tc_5Jo7_pTVoE-52xer7sZ5jQ_4_2"/>
      <w:bookmarkStart w:id="684" w:name="Tc_hbVv3OZvQkSYERbaWmRb6w_4_0"/>
      <w:bookmarkStart w:id="685" w:name="Tc_EvbRW_AC-0iQ8NntqeIKHw_3_5"/>
      <w:bookmarkStart w:id="686" w:name="Tc_to2wcNm-QkiWjzsdCi6LUw_3_2"/>
      <w:bookmarkStart w:id="687" w:name="Tc_xpr5OyI2Ok69ciPHIAwpbw_3_0"/>
      <w:bookmarkStart w:id="688" w:name="Tc_A8x2domzEkSLYW1S090TXw_2_2"/>
      <w:bookmarkStart w:id="689" w:name="Tc_SalkpLG4eUmxS2KEPhfXMg_1_2"/>
      <w:bookmarkStart w:id="690" w:name="_6be2f3e3_8a73_4a6a_b649_0cc3ac0f7e09"/>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Pr>
          <w:rFonts w:ascii="Times New Roman;Times;serif" w:hAnsi="Times New Roman;Times;serif"/>
          <w:b/>
          <w:sz w:val="20"/>
        </w:rPr>
        <w:t>4.          INVESTMENT IN SSAT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is described in Note 4 to the Consolidated Financial Statements included in the Company’s Annual Report on Form 10-K for the year ended December 31, 2023. Condensed income statement information for SSAT for the three months ended March 31, 2024 and 2023 consisted of the following:</w:t>
      </w:r>
    </w:p>
    <w:p>
      <w:pPr>
        <w:pStyle w:val="TextBody"/>
        <w:bidi w:val="0"/>
        <w:spacing w:before="0" w:after="0"/>
        <w:ind w:left="0" w:right="0" w:hanging="0"/>
        <w:jc w:val="left"/>
        <w:rPr/>
      </w:pPr>
      <w:r>
        <w:rPr/>
        <w:t>​</w:t>
      </w:r>
    </w:p>
    <w:tbl>
      <w:tblPr>
        <w:tblW w:w="6335" w:type="dxa"/>
        <w:jc w:val="left"/>
        <w:tblInd w:w="0" w:type="dxa"/>
        <w:tblLayout w:type="fixed"/>
        <w:tblCellMar>
          <w:top w:w="0" w:type="dxa"/>
          <w:left w:w="0" w:type="dxa"/>
          <w:bottom w:w="0" w:type="dxa"/>
          <w:right w:w="0" w:type="dxa"/>
        </w:tblCellMar>
      </w:tblPr>
      <w:tblGrid>
        <w:gridCol w:w="4051"/>
        <w:gridCol w:w="109"/>
        <w:gridCol w:w="211"/>
        <w:gridCol w:w="691"/>
        <w:gridCol w:w="326"/>
        <w:gridCol w:w="211"/>
        <w:gridCol w:w="736"/>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572385" cy="175260"/>
                      <wp:effectExtent l="0" t="0" r="0" b="0"/>
                      <wp:wrapNone/>
                      <wp:docPr id="88" name="Frame8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38785" cy="175260"/>
                      <wp:effectExtent l="0" t="0" r="0" b="0"/>
                      <wp:wrapNone/>
                      <wp:docPr id="91" name="Frame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67360" cy="175260"/>
                      <wp:effectExtent l="0" t="0" r="0" b="0"/>
                      <wp:wrapNone/>
                      <wp:docPr id="94" name="Frame9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Share of SSAT’s Net Income (Loss)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bl>
    <w:tbl>
      <w:tblPr>
        <w:tblW w:w="10007" w:type="dxa"/>
        <w:jc w:val="left"/>
        <w:tblInd w:w="0" w:type="dxa"/>
        <w:tblLayout w:type="fixed"/>
        <w:tblCellMar>
          <w:top w:w="0" w:type="dxa"/>
          <w:left w:w="0" w:type="dxa"/>
          <w:bottom w:w="0" w:type="dxa"/>
          <w:right w:w="0" w:type="dxa"/>
        </w:tblCellMar>
      </w:tblPr>
      <w:tblGrid>
        <w:gridCol w:w="331"/>
        <w:gridCol w:w="96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earnings and losses from equity method investment held by SSAT less earnings and losses allocated to non-controlling interests.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records its share of net income (loss) from SSAT in costs and expenses in the Condensed Consolidated Statement of Income and Comprehensive Income due to the nature of SSAT’s operations.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was $85.2 million and $85.5 million at March 31, 2024 and December 31,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 2024, SSAT completed the sale of 25 percent of its equity interest in SSA Terminals (Seattle Terminals), LLC (“SSAT ST”) to a third-party company. After the completion of this transaction, SSAT retains a 50 percent controlling interest in SSAT ST, while the third-party company increased its non-controlling interest to 50 percent in SSAT ST. As a result of this transaction, the Company recorded an increase in its investment in SSAT of approximately $13.2 million and increase in deferred income taxes of $3.1 million, and a corresponding increase in retained earnings of $10.1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91" w:name="Tc_gJ1YZSB_gkyjXDUJ3RGq-w_11_5"/>
      <w:bookmarkStart w:id="692" w:name="Tc_zq9oxHp9sE-g43ISRC0K3g_11_2"/>
      <w:bookmarkStart w:id="693" w:name="Tc_gqchdQArokWl76AwggGRbQ_11_0"/>
      <w:bookmarkStart w:id="694" w:name="Tc_a8f0OoySu0WK06CvcqMLOA_10_0"/>
      <w:bookmarkStart w:id="695" w:name="Tc_pD2qHXTVs0i0jpZHQrVUZA_9_0"/>
      <w:bookmarkStart w:id="696" w:name="Tc_2GSyZQFHuESDT2BzWyDeTA_8_0"/>
      <w:bookmarkStart w:id="697" w:name="Tc_8Blz1VA3zUKDilXolH7DvA_7_0"/>
      <w:bookmarkStart w:id="698" w:name="Tc_DbWk_5t2GkGzmaQ9Kr9yYg_6_0"/>
      <w:bookmarkStart w:id="699" w:name="Tc_AiMeOX81ek-v5EIEA4aVGg_5_0"/>
      <w:bookmarkStart w:id="700" w:name="Tc_lajEPaO_o0-COUs_K4Z1DQ_4_5"/>
      <w:bookmarkStart w:id="701" w:name="Tc_TMGgaVoul0Og5mmTmOt-zg_4_2"/>
      <w:bookmarkStart w:id="702" w:name="Tc_bFkPhg9A8kWevwGUsVpXkQ_4_0"/>
      <w:bookmarkStart w:id="703" w:name="Tc_tKRat14arkugz30nNpsdfQ_3_0"/>
      <w:bookmarkStart w:id="704" w:name="Tc_dN2KzubzN0Se5SUwrC_XJA_2_5"/>
      <w:bookmarkStart w:id="705" w:name="Tc_mlG6kouA70yEClVh0-NIpQ_2_2"/>
      <w:bookmarkStart w:id="706" w:name="Tc_rgTT1WrSFkae-3F7cqE2iw_2_0"/>
      <w:bookmarkStart w:id="707" w:name="Tc_ZkkIbTqdFUG7dQXPmReIvw_1_5"/>
      <w:bookmarkStart w:id="708" w:name="Tc_gZGc0jpLGUORCJkcU5yqeQ_1_2"/>
      <w:bookmarkStart w:id="709" w:name="_contentSection_391a0d21_2631_4624_b9dc_"/>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Fonts w:ascii="Times New Roman;Times;serif" w:hAnsi="Times New Roman;Times;serif"/>
          <w:b/>
          <w:sz w:val="20"/>
        </w:rPr>
        <w:t>5.          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March 31, 2024 and December 31, 2023 consisted of the following:</w:t>
      </w:r>
    </w:p>
    <w:p>
      <w:pPr>
        <w:pStyle w:val="TextBody"/>
        <w:bidi w:val="0"/>
        <w:spacing w:before="0" w:after="0"/>
        <w:ind w:left="0" w:right="0" w:hanging="0"/>
        <w:jc w:val="left"/>
        <w:rPr/>
      </w:pPr>
      <w:r>
        <w:rPr/>
        <w:t>​</w:t>
      </w:r>
    </w:p>
    <w:tbl>
      <w:tblPr>
        <w:tblW w:w="6040" w:type="dxa"/>
        <w:jc w:val="left"/>
        <w:tblInd w:w="0" w:type="dxa"/>
        <w:tblLayout w:type="fixed"/>
        <w:tblCellMar>
          <w:top w:w="0" w:type="dxa"/>
          <w:left w:w="0" w:type="dxa"/>
          <w:bottom w:w="0" w:type="dxa"/>
          <w:right w:w="0" w:type="dxa"/>
        </w:tblCellMar>
      </w:tblPr>
      <w:tblGrid>
        <w:gridCol w:w="3151"/>
        <w:gridCol w:w="326"/>
        <w:gridCol w:w="211"/>
        <w:gridCol w:w="841"/>
        <w:gridCol w:w="326"/>
        <w:gridCol w:w="228"/>
        <w:gridCol w:w="957"/>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00885" cy="175260"/>
                      <wp:effectExtent l="0" t="0" r="0" b="0"/>
                      <wp:wrapNone/>
                      <wp:docPr id="95" name="Frame9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34035" cy="175260"/>
                      <wp:effectExtent l="0" t="0" r="0" b="0"/>
                      <wp:wrapNone/>
                      <wp:docPr id="98" name="Frame9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4780" cy="175260"/>
                      <wp:effectExtent l="0" t="0" r="0" b="0"/>
                      <wp:wrapNone/>
                      <wp:docPr id="100" name="Frame10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7695" cy="175260"/>
                      <wp:effectExtent l="0" t="0" r="0" b="0"/>
                      <wp:wrapNone/>
                      <wp:docPr id="101" name="Frame10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2,329.3</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facilities and other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construction in progress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(1,420.2)</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2,089.9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 at March 31, 2024 and December 31, 2023 includes milestone progress payments, capitalized interest and other costs related to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10" w:name="Tc_Tl8pi8vgS0i7MOQWXEjSig_3_8"/>
      <w:bookmarkStart w:id="711" w:name="Tc_mJpLrkZE_keR1kfYJ_lz2Q_3_5"/>
      <w:bookmarkStart w:id="712" w:name="Tc_XdLXaMh8L0OMykcPD2EvMA_3_2"/>
      <w:bookmarkStart w:id="713" w:name="Tc_MY7UhG1oAkKOcGHVFEHKUg_3_0"/>
      <w:bookmarkStart w:id="714" w:name="Tc_wascDHl1U0aJ_4K9tfEbgg_2_8"/>
      <w:bookmarkStart w:id="715" w:name="Tc_KDq2sHSd90CYbam9XtzKsQ_2_5"/>
      <w:bookmarkStart w:id="716" w:name="Tc_oiwqoi4GGUel6Ia0OAQQqg_2_2"/>
      <w:bookmarkStart w:id="717" w:name="Tc_rNDf_fK2d0yUeLJf833YiQ_2_0"/>
      <w:bookmarkStart w:id="718" w:name="Tc_dbnAdlFfNUKlYUtWr2isPw_1_2"/>
      <w:bookmarkEnd w:id="710"/>
      <w:bookmarkEnd w:id="711"/>
      <w:bookmarkEnd w:id="712"/>
      <w:bookmarkEnd w:id="713"/>
      <w:bookmarkEnd w:id="714"/>
      <w:bookmarkEnd w:id="715"/>
      <w:bookmarkEnd w:id="716"/>
      <w:bookmarkEnd w:id="717"/>
      <w:bookmarkEnd w:id="718"/>
      <w:r>
        <w:rPr>
          <w:rFonts w:ascii="Times New Roman;Times;serif" w:hAnsi="Times New Roman;Times;serif"/>
          <w:b/>
          <w:sz w:val="20"/>
        </w:rPr>
        <w:t>6.          GOODWILL AND INTANGIBLES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by segment as of March 31, 2024 and December 31, 2023 consisted of the following:</w:t>
      </w:r>
    </w:p>
    <w:p>
      <w:pPr>
        <w:pStyle w:val="TextBody"/>
        <w:bidi w:val="0"/>
        <w:spacing w:before="0" w:after="0"/>
        <w:ind w:left="0" w:right="0" w:hanging="0"/>
        <w:jc w:val="left"/>
        <w:rPr/>
      </w:pPr>
      <w:r>
        <w:rPr/>
        <w:t>​</w:t>
      </w:r>
    </w:p>
    <w:tbl>
      <w:tblPr>
        <w:tblW w:w="4940" w:type="dxa"/>
        <w:jc w:val="left"/>
        <w:tblInd w:w="0" w:type="dxa"/>
        <w:tblLayout w:type="fixed"/>
        <w:tblCellMar>
          <w:top w:w="0" w:type="dxa"/>
          <w:left w:w="0" w:type="dxa"/>
          <w:bottom w:w="0" w:type="dxa"/>
          <w:right w:w="0" w:type="dxa"/>
        </w:tblCellMar>
      </w:tblPr>
      <w:tblGrid>
        <w:gridCol w:w="991"/>
        <w:gridCol w:w="326"/>
        <w:gridCol w:w="328"/>
        <w:gridCol w:w="888"/>
        <w:gridCol w:w="326"/>
        <w:gridCol w:w="211"/>
        <w:gridCol w:w="571"/>
        <w:gridCol w:w="326"/>
        <w:gridCol w:w="211"/>
        <w:gridCol w:w="571"/>
        <w:gridCol w:w="1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29285" cy="175260"/>
                      <wp:effectExtent l="0" t="0" r="0" b="0"/>
                      <wp:wrapNone/>
                      <wp:docPr id="102" name="Frame10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8280" cy="175260"/>
                      <wp:effectExtent l="0" t="0" r="0" b="0"/>
                      <wp:wrapNone/>
                      <wp:docPr id="104" name="Frame10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63880" cy="175260"/>
                      <wp:effectExtent l="0" t="0" r="0" b="0"/>
                      <wp:wrapNone/>
                      <wp:docPr id="105" name="Frame10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62585" cy="175260"/>
                      <wp:effectExtent l="0" t="0" r="0" b="0"/>
                      <wp:wrapNone/>
                      <wp:docPr id="108" name="Frame10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62585" cy="175260"/>
                      <wp:effectExtent l="0" t="0" r="0" b="0"/>
                      <wp:wrapNone/>
                      <wp:docPr id="111" name="Frame1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1285" cy="175260"/>
                      <wp:effectExtent l="0" t="0" r="0" b="0"/>
                      <wp:wrapNone/>
                      <wp:docPr id="112" name="Frame11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19" w:name="Tc_Irn0FT4Okke5RbHKZxvquw_10_5"/>
      <w:bookmarkStart w:id="720" w:name="Tc_NPuWE5cDkk2cOXtYa0JW9Q_10_2"/>
      <w:bookmarkStart w:id="721" w:name="Tc_0eV-CD_1ZUGtbV2HgulvoQ_10_0"/>
      <w:bookmarkStart w:id="722" w:name="Tc_oFWhDCQiTU-B8Y3y5yfaDQ_9_0"/>
      <w:bookmarkStart w:id="723" w:name="Tc_hancSdFjQk6Nf2SwDxSDnw_8_0"/>
      <w:bookmarkStart w:id="724" w:name="Tc_Hav5AaBwjkOAUXT0JDA1Gw_7_0"/>
      <w:bookmarkStart w:id="725" w:name="Tc_QMxe4N3xHUyKiuGCxasq_w_6_0"/>
      <w:bookmarkStart w:id="726" w:name="Tc_IMKD6Akg5E2s4UqCfv1fOw_5_0"/>
      <w:bookmarkStart w:id="727" w:name="Tc_hQ_HQgc44Eq2PgWO4-gp4w_4_5"/>
      <w:bookmarkStart w:id="728" w:name="Tc_3HIYtZFhrEWF55XDZeAVrw_4_2"/>
      <w:bookmarkStart w:id="729" w:name="Tc_v1d8LfpcF06FDOAL4ESS2w_4_0"/>
      <w:bookmarkStart w:id="730" w:name="Tc_aLhRosd2E0CptdUUKxQ2vQ_3_0"/>
      <w:bookmarkStart w:id="731" w:name="Tc_8a76UoVo70Woy1lBPQ58-g_2_5"/>
      <w:bookmarkStart w:id="732" w:name="Tc_sT2WO6z37kCUz0PatTysuw_2_2"/>
      <w:bookmarkStart w:id="733" w:name="Tc__8ZFzrwf0UmAvR0iguKo5Q_2_0"/>
      <w:bookmarkStart w:id="734" w:name="Tc_ERBR8DaxFEutDky_BNtcyg_1_5"/>
      <w:bookmarkStart w:id="735" w:name="Tc_iolBZWQ4fk67DdqDs4EL-w_1_2"/>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r>
        <w:rPr>
          <w:rFonts w:ascii="Times New Roman;Times;serif" w:hAnsi="Times New Roman;Times;serif"/>
          <w:sz w:val="20"/>
        </w:rPr>
        <w:t xml:space="preserve">Intangible assets as of March 31, 2024 and December 31, 2023 consisted of the following: </w:t>
      </w:r>
    </w:p>
    <w:p>
      <w:pPr>
        <w:pStyle w:val="TextBody"/>
        <w:bidi w:val="0"/>
        <w:spacing w:lineRule="atLeast" w:line="200" w:before="0" w:after="0"/>
        <w:ind w:left="0" w:right="0" w:hanging="0"/>
        <w:jc w:val="left"/>
        <w:rPr/>
      </w:pPr>
      <w:r>
        <w:rPr/>
        <w:t>​</w:t>
      </w:r>
    </w:p>
    <w:tbl>
      <w:tblPr>
        <w:tblW w:w="5744" w:type="dxa"/>
        <w:jc w:val="left"/>
        <w:tblInd w:w="0" w:type="dxa"/>
        <w:tblLayout w:type="fixed"/>
        <w:tblCellMar>
          <w:top w:w="0" w:type="dxa"/>
          <w:left w:w="0" w:type="dxa"/>
          <w:bottom w:w="0" w:type="dxa"/>
          <w:right w:w="0" w:type="dxa"/>
        </w:tblCellMar>
      </w:tblPr>
      <w:tblGrid>
        <w:gridCol w:w="2896"/>
        <w:gridCol w:w="326"/>
        <w:gridCol w:w="211"/>
        <w:gridCol w:w="691"/>
        <w:gridCol w:w="326"/>
        <w:gridCol w:w="285"/>
        <w:gridCol w:w="855"/>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38960" cy="175260"/>
                      <wp:effectExtent l="0" t="0" r="0" b="0"/>
                      <wp:wrapNone/>
                      <wp:docPr id="113" name="Frame11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38785" cy="175260"/>
                      <wp:effectExtent l="0" t="0" r="0" b="0"/>
                      <wp:wrapNone/>
                      <wp:docPr id="116" name="Frame1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80975" cy="175260"/>
                      <wp:effectExtent l="0" t="0" r="0" b="0"/>
                      <wp:wrapNone/>
                      <wp:docPr id="118" name="Frame11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42925" cy="175260"/>
                      <wp:effectExtent l="0" t="0" r="0" b="0"/>
                      <wp:wrapNone/>
                      <wp:docPr id="119" name="Frame119"/>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97790" cy="175260"/>
                      <wp:effectExtent l="0" t="0" r="0" b="0"/>
                      <wp:wrapNone/>
                      <wp:docPr id="120" name="Frame12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250.3</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Customer Relationships,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 – 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On February 27, 2023, the Company completed an asset acquisition consisting of Logistics customer relationship intangible assets for $16.5 million, which are being amortized over seven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2023 annual impairment tests, the Company concluded that an impairment triggering event did not occur during the three months ended March 31,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36" w:name="Tc_CKDe0xEvbEe0tgMf8-XBPg_16_5"/>
      <w:bookmarkStart w:id="737" w:name="Tc_ygZxqz9SiU66b9-eLhujtw_16_2"/>
      <w:bookmarkStart w:id="738" w:name="Tc_ZCpAmCdpc02RG8RKjNzjIA_16_0"/>
      <w:bookmarkStart w:id="739" w:name="Tc_1hAIOCNCFkG_7j6n4QEC9g_15_6"/>
      <w:bookmarkStart w:id="740" w:name="Tc_FbWFBh9iNEa1VEwPyCsubQ_15_0"/>
      <w:bookmarkStart w:id="741" w:name="Tc_62VlFmUy1UyC2poKz0Fhxg_14_6"/>
      <w:bookmarkStart w:id="742" w:name="Tc_tdtslhYRUEiDskp45V6dgA_14_0"/>
      <w:bookmarkStart w:id="743" w:name="Tc_AEBypQ025EGXVeBN4cCdig_13_6"/>
      <w:bookmarkStart w:id="744" w:name="Tc_0gYK5bcx7kyQtIzmrYQ_6A_13_0"/>
      <w:bookmarkStart w:id="745" w:name="Tc_o-u-xt3ry0aeO956R7AysA_12_6"/>
      <w:bookmarkStart w:id="746" w:name="Tc_1XevQdM1nEmd8ZeQmZBNvw_12_0"/>
      <w:bookmarkStart w:id="747" w:name="Tc_dGzMh4TOEUmmY-m3IhRU6Q_11_6"/>
      <w:bookmarkStart w:id="748" w:name="Tc_Lpux1wbBzE-g1jAWxRW_fA_11_3"/>
      <w:bookmarkStart w:id="749" w:name="Tc_kzFT_XChcUKz4mJ3J2pNlQ_11_0"/>
      <w:bookmarkStart w:id="750" w:name="Tc_R_SoxDpBm0u7dpt16vBxGQ_10_0"/>
      <w:bookmarkStart w:id="751" w:name="Tc_KPSrdqWVY0GKUV3qS_x2eA_9_0"/>
      <w:bookmarkStart w:id="752" w:name="Tc_fXWGMcT4_0Slj4dnxFMM3g_8_0"/>
      <w:bookmarkStart w:id="753" w:name="Tc_uDZoComO40KNI-r2EDlbiA_7_6"/>
      <w:bookmarkStart w:id="754" w:name="Tc_YI9Fgd-4t0G8d80xuFZf0A_7_0"/>
      <w:bookmarkStart w:id="755" w:name="Tc_lFPg4e9kjEO7Mpmv1wlV3Q_6_3"/>
      <w:bookmarkStart w:id="756" w:name="Tc_jCHslCDc7E2bza-Q4DXsDQ_6_0"/>
      <w:bookmarkStart w:id="757" w:name="Tc_LTp2aA_xZEK0YtZJb9Qm5Q_5_5"/>
      <w:bookmarkStart w:id="758" w:name="Tc_DVs0dG3hEUmEk41igy1LWw_5_2"/>
      <w:bookmarkStart w:id="759" w:name="Tc__5Ia2RcsIkeSt0-ZxvbZoQ_5_0"/>
      <w:bookmarkStart w:id="760" w:name="Tc_aWYO2u0Vn0K2b0wOND0t9w_4_0"/>
      <w:bookmarkStart w:id="761" w:name="Tc_GElLoreqT0O7Tz7QfJpvUw_3_5"/>
      <w:bookmarkStart w:id="762" w:name="Tc_cuAQZgSgnUq4e_OnRCglNg_3_2"/>
      <w:bookmarkStart w:id="763" w:name="Tc_TKovygz1hkymsPpJMTaPog_3_0"/>
      <w:bookmarkStart w:id="764" w:name="Tc_hZ-dIXF8QkixFOtuiTFKZg_2_2"/>
      <w:bookmarkStart w:id="765" w:name="Tc_pHkGMqtHjESFbl9T1Hc3aw_1_2"/>
      <w:bookmarkStart w:id="766" w:name="_Hlk164156128"/>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b/>
          <w:sz w:val="20"/>
        </w:rPr>
        <w:t>7.</w:t>
      </w:r>
      <w:r>
        <w:rPr>
          <w:rFonts w:ascii="Times New Roman;Times;serif" w:hAnsi="Times New Roman;Times;serif"/>
          <w:sz w:val="20"/>
        </w:rPr>
        <w:t>          </w:t>
      </w:r>
      <w:r>
        <w:rPr>
          <w:rFonts w:ascii="Times New Roman;Times;serif" w:hAnsi="Times New Roman;Times;serif"/>
          <w:b/>
          <w:sz w:val="20"/>
        </w:rPr>
        <w:t>CAPITAL CONSTRUCTION 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CCF is described in Note 7 to the Consolidated Financial Statements included in Part II, Item 8 of the Company’s Annual Report on Form 10-K for the year ended December 31, 2023. A summary of the activities within the CCF cash and cash equivalents, and investments account for the three months ended March 31, 2024 and 2023 consisted of the following:</w:t>
      </w:r>
    </w:p>
    <w:p>
      <w:pPr>
        <w:pStyle w:val="TextBody"/>
        <w:bidi w:val="0"/>
        <w:spacing w:before="0" w:after="0"/>
        <w:ind w:left="0" w:right="0" w:hanging="0"/>
        <w:jc w:val="left"/>
        <w:rPr/>
      </w:pPr>
      <w:r>
        <w:rPr/>
        <w:t>​</w:t>
      </w:r>
    </w:p>
    <w:tbl>
      <w:tblPr>
        <w:tblW w:w="8727" w:type="dxa"/>
        <w:jc w:val="left"/>
        <w:tblInd w:w="0" w:type="dxa"/>
        <w:tblLayout w:type="fixed"/>
        <w:tblCellMar>
          <w:top w:w="0" w:type="dxa"/>
          <w:left w:w="0" w:type="dxa"/>
          <w:bottom w:w="0" w:type="dxa"/>
          <w:right w:w="0" w:type="dxa"/>
        </w:tblCellMar>
      </w:tblPr>
      <w:tblGrid>
        <w:gridCol w:w="6436"/>
        <w:gridCol w:w="326"/>
        <w:gridCol w:w="196"/>
        <w:gridCol w:w="631"/>
        <w:gridCol w:w="326"/>
        <w:gridCol w:w="196"/>
        <w:gridCol w:w="616"/>
      </w:tblGrid>
      <w:tr>
        <w:trPr/>
        <w:tc>
          <w:tcPr>
            <w:tcW w:w="6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086860" cy="175260"/>
                      <wp:effectExtent l="0" t="0" r="0" b="0"/>
                      <wp:wrapNone/>
                      <wp:docPr id="121" name="Frame121"/>
                      <a:graphic xmlns:a="http://schemas.openxmlformats.org/drawingml/2006/main">
                        <a:graphicData uri="http://schemas.microsoft.com/office/word/2010/wordprocessingShape">
                          <wps:wsp>
                            <wps:cNvSpPr txBox="1"/>
                            <wps:spPr>
                              <a:xfrm>
                                <a:off x="0" y="0"/>
                                <a:ext cx="408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24460" cy="175260"/>
                      <wp:effectExtent l="0" t="0" r="0" b="0"/>
                      <wp:wrapNone/>
                      <wp:docPr id="123" name="Frame1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00685" cy="175260"/>
                      <wp:effectExtent l="0" t="0" r="0" b="0"/>
                      <wp:wrapNone/>
                      <wp:docPr id="124" name="Frame12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24460" cy="175260"/>
                      <wp:effectExtent l="0" t="0" r="0" b="0"/>
                      <wp:wrapNone/>
                      <wp:docPr id="126"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91160" cy="175260"/>
                      <wp:effectExtent l="0" t="0" r="0" b="0"/>
                      <wp:wrapNone/>
                      <wp:docPr id="127" name="Frame12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center"/>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 balance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599.4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518.2</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deposits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purchase of U.S. Treasury debt securities and accrued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earned on deposits and investments,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balance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623.7</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 balance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U.S. Treasury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investments 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4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earned on Cash and Cash Equivalents, and Investments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4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and investments 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623.7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Cash and Cash Equivalents:</w:t>
      </w:r>
      <w:r>
        <w:rPr>
          <w:rFonts w:ascii="Times New Roman;Times;serif" w:hAnsi="Times New Roman;Times;serif"/>
          <w:sz w:val="20"/>
        </w:rPr>
        <w:t xml:space="preserve"> Cash on deposit in the CCF cash and cash equivalents account is invested in a short-term U.S. Treasury obligations fund with daily liquidity. At March 31, 2024, short-term securities held within this account had a weighted average life of </w:t>
      </w:r>
      <w:r>
        <w:rPr>
          <w:rFonts w:ascii="Times New Roman;Times;serif" w:hAnsi="Times New Roman;Times;serif"/>
          <w:b w:val="false"/>
          <w:i w:val="false"/>
          <w:caps w:val="false"/>
          <w:smallCaps w:val="false"/>
          <w:sz w:val="20"/>
        </w:rPr>
        <w:t>77 days</w:t>
      </w:r>
      <w:r>
        <w:rPr>
          <w:rFonts w:ascii="Times New Roman;Times;serif" w:hAnsi="Times New Roman;Times;serif"/>
          <w:sz w:val="20"/>
        </w:rPr>
        <w:t>. The Company had $154.7 million and $599.4 million on deposit in the CCF cash and cash equivalents account as of March 31, 2024 and December 31, 2023,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67" w:name="Tc_z-UcZT7yf026AQkIVnaBGQ_7_5"/>
      <w:bookmarkStart w:id="768" w:name="Tc_EpuwemQmJUOpIfHcFBt60Q_7_2"/>
      <w:bookmarkStart w:id="769" w:name="Tc_4ib7opanpEi3Y_CxFbGXqw_7_0"/>
      <w:bookmarkStart w:id="770" w:name="Tc_YdFImuq88UuDxX6iW1GfcA_6_6"/>
      <w:bookmarkStart w:id="771" w:name="Tc_aASaJMndYUaCBUQy2fXeGg_6_0"/>
      <w:bookmarkStart w:id="772" w:name="Tc_jdpb6ubm6EWyxh_RVHwLoQ_5_3"/>
      <w:bookmarkStart w:id="773" w:name="Tc_H6EPhn8gMk6xwOp6URUxWA_5_0"/>
      <w:bookmarkStart w:id="774" w:name="Tc_FHNJwrxtvUGZrwUsUhd2Og_4_5"/>
      <w:bookmarkStart w:id="775" w:name="Tc_4QMYh6JuX0S3E7HZ5JviKg_4_2"/>
      <w:bookmarkStart w:id="776" w:name="Tc_q_SUp2ProUKi2xJc4Y_Ycw_4_0"/>
      <w:bookmarkStart w:id="777" w:name="Tc_gMPBDlCDQEax91qCMCmr-Q_3_5"/>
      <w:bookmarkStart w:id="778" w:name="Tc_C4X0mMCemUuzxCBFBOCmPw_3_2"/>
      <w:bookmarkStart w:id="779" w:name="Tc_onOHWyvcOEaxNuSo2J7afg_3_0"/>
      <w:bookmarkStart w:id="780" w:name="Tc_FGUonEHC1EG6Ecc80CWUgw_2_2"/>
      <w:bookmarkStart w:id="781" w:name="Tc_MkOfDDQo1EyyqDmmNtOQ9Q_1_2"/>
      <w:bookmarkStart w:id="782" w:name="Tc_NiopG3ZDzkS7RcmAJBs_DA_8_5"/>
      <w:bookmarkStart w:id="783" w:name="Tc_3ce9d-RAe06dm_8gU8_fog_8_2"/>
      <w:bookmarkStart w:id="784" w:name="Tc_AEbwHfNppUmXauN3OZK6pQ_8_0"/>
      <w:bookmarkStart w:id="785" w:name="Tc_iJvHMl72HEOQt1S0MKck3A_7_0"/>
      <w:bookmarkStart w:id="786" w:name="Tc_GrG6uPxx30WSuAnSRcIEfg_6_0"/>
      <w:bookmarkStart w:id="787" w:name="Tc_CIo1s-O6U0qrGICk5lWbfA_5_0"/>
      <w:bookmarkStart w:id="788" w:name="Tc_p4G_j-DDgk2r1GlHlGrYLw_4_5"/>
      <w:bookmarkStart w:id="789" w:name="Tc_e3hWI13-ME26qJ0O4gGEXA_4_2"/>
      <w:bookmarkStart w:id="790" w:name="Tc_Nv1kLxYYaEGXk5XUR815bg_4_0"/>
      <w:bookmarkStart w:id="791" w:name="Tc_qqifheOx3kq96zHrxQSv_A_3_5"/>
      <w:bookmarkStart w:id="792" w:name="Tc_HbBg67yWckqPEKLolE2Jzw_3_2"/>
      <w:bookmarkStart w:id="793" w:name="Tc_dpR6wlVzaEiuoZUWiAkWYw_3_0"/>
      <w:bookmarkStart w:id="794" w:name="Tc_ZEh5bH1puEGq4jyR-dWPIw_2_2"/>
      <w:bookmarkStart w:id="795" w:name="Tc_1XRlh84Q6EaGCB4-lQqPNA_1_2"/>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rPr>
          <w:rFonts w:ascii="Times New Roman;Times;serif" w:hAnsi="Times New Roman;Times;serif"/>
          <w:b/>
          <w:i/>
          <w:sz w:val="20"/>
        </w:rPr>
        <w:t>CCF Investments:</w:t>
      </w:r>
      <w:r>
        <w:rPr>
          <w:rFonts w:ascii="Times New Roman;Times;serif" w:hAnsi="Times New Roman;Times;serif"/>
          <w:sz w:val="20"/>
        </w:rPr>
        <w:t xml:space="preserve"> In February 2024, the Company purchased approximately $448.1 million of fixed-rate U.S. Treasuries with accrued interest of $1.7 million using CCF cash. The fixed-rate debt securities were purchased at a discount and have various maturity dates of up to </w:t>
      </w:r>
      <w:r>
        <w:rPr>
          <w:rFonts w:ascii="Times New Roman;Times;serif" w:hAnsi="Times New Roman;Times;serif"/>
          <w:b w:val="false"/>
          <w:i w:val="false"/>
          <w:caps w:val="false"/>
          <w:smallCaps w:val="false"/>
          <w:sz w:val="20"/>
        </w:rPr>
        <w:t>3 years</w:t>
      </w:r>
      <w:r>
        <w:rPr>
          <w:rFonts w:ascii="Times New Roman;Times;serif" w:hAnsi="Times New Roman;Times;serif"/>
          <w:sz w:val="20"/>
        </w:rPr>
        <w:t>. The cost of investments is adjusted for accretion of the discount until the securities mature. Such accretion is included in interest income in the Condensed Consolidated Statements of Income and Comprehensive Income. As of March 31, 2024, the Company had $450.0 million in held-to-maturity debt securities in the CCF investments account.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2024, CCF investments maturities are as follows:</w:t>
      </w:r>
    </w:p>
    <w:p>
      <w:pPr>
        <w:pStyle w:val="TextBody"/>
        <w:bidi w:val="0"/>
        <w:spacing w:before="0" w:after="0"/>
        <w:ind w:left="0" w:right="0" w:hanging="0"/>
        <w:jc w:val="left"/>
        <w:rPr/>
      </w:pPr>
      <w:r>
        <w:rPr/>
        <w:t>​</w:t>
      </w:r>
    </w:p>
    <w:tbl>
      <w:tblPr>
        <w:tblW w:w="4143" w:type="dxa"/>
        <w:jc w:val="left"/>
        <w:tblInd w:w="0" w:type="dxa"/>
        <w:tblLayout w:type="fixed"/>
        <w:tblCellMar>
          <w:top w:w="0" w:type="dxa"/>
          <w:left w:w="0" w:type="dxa"/>
          <w:bottom w:w="0" w:type="dxa"/>
          <w:right w:w="0" w:type="dxa"/>
        </w:tblCellMar>
      </w:tblPr>
      <w:tblGrid>
        <w:gridCol w:w="1996"/>
        <w:gridCol w:w="326"/>
        <w:gridCol w:w="211"/>
        <w:gridCol w:w="571"/>
        <w:gridCol w:w="109"/>
        <w:gridCol w:w="221"/>
        <w:gridCol w:w="70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67460" cy="175260"/>
                      <wp:effectExtent l="0" t="0" r="0" b="0"/>
                      <wp:wrapNone/>
                      <wp:docPr id="128" name="Frame128"/>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62585" cy="175260"/>
                      <wp:effectExtent l="0" t="0" r="0" b="0"/>
                      <wp:wrapNone/>
                      <wp:docPr id="131" name="Frame1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0335" cy="175260"/>
                      <wp:effectExtent l="0" t="0" r="0" b="0"/>
                      <wp:wrapNone/>
                      <wp:docPr id="133" name="Frame13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50215" cy="175260"/>
                      <wp:effectExtent l="0" t="0" r="0" b="0"/>
                      <wp:wrapNone/>
                      <wp:docPr id="134" name="Frame134"/>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8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CCF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448.1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 and investments are classified as a long-term asset on the Company’s Condensed Consolidated Balance Sheets as the Company intends to use withdrawals to fund qualified milestone progress payments for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Assigned Accounts Receivable:</w:t>
      </w:r>
      <w:r>
        <w:rPr>
          <w:rFonts w:ascii="Times New Roman;Times;serif" w:hAnsi="Times New Roman;Times;serif"/>
          <w:sz w:val="20"/>
        </w:rPr>
        <w:t xml:space="preserve"> Activities within the CCF assigned accounts receivable account for the three months ended March 31, 2024 and 2023 consisted of the following:</w:t>
      </w:r>
    </w:p>
    <w:p>
      <w:pPr>
        <w:pStyle w:val="TextBody"/>
        <w:bidi w:val="0"/>
        <w:spacing w:before="0" w:after="0"/>
        <w:ind w:left="0" w:right="0" w:hanging="0"/>
        <w:jc w:val="left"/>
        <w:rPr/>
      </w:pPr>
      <w:r>
        <w:rPr/>
        <w:t>​</w:t>
      </w:r>
    </w:p>
    <w:tbl>
      <w:tblPr>
        <w:tblW w:w="7752" w:type="dxa"/>
        <w:jc w:val="left"/>
        <w:tblInd w:w="0" w:type="dxa"/>
        <w:tblLayout w:type="fixed"/>
        <w:tblCellMar>
          <w:top w:w="0" w:type="dxa"/>
          <w:left w:w="0" w:type="dxa"/>
          <w:bottom w:w="0" w:type="dxa"/>
          <w:right w:w="0" w:type="dxa"/>
        </w:tblCellMar>
      </w:tblPr>
      <w:tblGrid>
        <w:gridCol w:w="5431"/>
        <w:gridCol w:w="326"/>
        <w:gridCol w:w="211"/>
        <w:gridCol w:w="571"/>
        <w:gridCol w:w="326"/>
        <w:gridCol w:w="211"/>
        <w:gridCol w:w="676"/>
      </w:tblGrid>
      <w:tr>
        <w:trPr/>
        <w:tc>
          <w:tcPr>
            <w:tcW w:w="5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448685" cy="175260"/>
                      <wp:effectExtent l="0" t="0" r="0" b="0"/>
                      <wp:wrapNone/>
                      <wp:docPr id="135" name="Frame135"/>
                      <a:graphic xmlns:a="http://schemas.openxmlformats.org/drawingml/2006/main">
                        <a:graphicData uri="http://schemas.microsoft.com/office/word/2010/wordprocessingShape">
                          <wps:wsp>
                            <wps:cNvSpPr txBox="1"/>
                            <wps:spPr>
                              <a:xfrm>
                                <a:off x="0" y="0"/>
                                <a:ext cx="3448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29260" cy="175260"/>
                      <wp:effectExtent l="0" t="0" r="0" b="0"/>
                      <wp:wrapNone/>
                      <wp:docPr id="141" name="Frame1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assigned accounts receivable 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Assigned 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assigned 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assigned accounts receivable balance at end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209.9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2023, the Company pledged $200.0 million of accounts receivable into the CCF. The Company did not pledge any accounts receivable into the CCF during the three months ended March 31, 2024. As of March 31, 2024 and December 31, 2023, eligible accounts receivable of $221.3 million and $218.1 million were assigned to the CCF, respectively. Due to the nature of the assignment of eligible accounts receivable into the CCF, such assigned amounts are classified as part of accounts receivable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96" w:name="Tc_PZqur8U3FEm1UoywuM2vBA_13_5"/>
      <w:bookmarkStart w:id="797" w:name="Tc_T4h3V5Bf1UqxfV1HXu1BTw_13_2"/>
      <w:bookmarkStart w:id="798" w:name="Tc_VotES_F_9ky_cOrVwqlSNA_13_0"/>
      <w:bookmarkStart w:id="799" w:name="Tc_mMqRzmBj-k-Rv12mGnQpCw_12_0"/>
      <w:bookmarkStart w:id="800" w:name="Tc_mBNRTxR-yEeopeuffcvzjQ_11_0"/>
      <w:bookmarkStart w:id="801" w:name="Tc_Kz6RKSJ_PEujyyqxsTtLcw_10_0"/>
      <w:bookmarkStart w:id="802" w:name="Tc_FHvewdgJikSq6Da74MxyLA_9_0"/>
      <w:bookmarkStart w:id="803" w:name="Tc_x5UD_G8tnka6_n26ql9fpQ_8_0"/>
      <w:bookmarkStart w:id="804" w:name="Tc_CipKwwzAP06WUiPPRW5RRg_7_0"/>
      <w:bookmarkStart w:id="805" w:name="Tc_X418-rFfbkGjEDcHn3eexw_6_0"/>
      <w:bookmarkStart w:id="806" w:name="Tc_YSki_DNXe0OW6VPjCepMdw_5_0"/>
      <w:bookmarkStart w:id="807" w:name="Tc_ZNhGQkCwRk2hMAEO4Vp-uQ_4_5"/>
      <w:bookmarkStart w:id="808" w:name="Tc_yo2l5kuIUEm1NknwQWXZjA_4_2"/>
      <w:bookmarkStart w:id="809" w:name="Tc_unOR3S_Wqke6B7twlTS9uA_4_0"/>
      <w:bookmarkStart w:id="810" w:name="Tc_uEzcNNheUku5O9If7VplIA_3_0"/>
      <w:bookmarkStart w:id="811" w:name="Tc_KF6Jf5i4fkOrQyBKLvVpPA_2_5"/>
      <w:bookmarkStart w:id="812" w:name="Tc_eICG8pnpWEOJkMRW5Nsx0w_2_2"/>
      <w:bookmarkStart w:id="813" w:name="Tc_WhcfwY969UqCOszh9Q05yw_2_0"/>
      <w:bookmarkStart w:id="814" w:name="Tc_0FPN5TtUaEyDaf21a_KMUA_1_5"/>
      <w:bookmarkStart w:id="815" w:name="Tc_QfIILkIn10q4EU1KHPODeg_1_2"/>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b/>
          <w:sz w:val="20"/>
        </w:rPr>
        <w:t>8.</w:t>
      </w:r>
      <w:r>
        <w:rPr>
          <w:rFonts w:ascii="Times New Roman;Times;serif" w:hAnsi="Times New Roman;Times;serif"/>
          <w:sz w:val="20"/>
        </w:rPr>
        <w:t>          </w:t>
      </w:r>
      <w:r>
        <w:rPr>
          <w:rFonts w:ascii="Times New Roman;Times;serif" w:hAnsi="Times New Roman;Times;serif"/>
          <w:b/>
          <w:sz w:val="20"/>
        </w:rPr>
        <w:t>DEBT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2024 and December 31, 2023, the Company’s debt consisted of the following:</w:t>
      </w:r>
    </w:p>
    <w:p>
      <w:pPr>
        <w:pStyle w:val="TextBody"/>
        <w:bidi w:val="0"/>
        <w:spacing w:lineRule="atLeast" w:line="200" w:before="0" w:after="0"/>
        <w:ind w:left="0" w:right="0" w:hanging="0"/>
        <w:jc w:val="left"/>
        <w:rPr/>
      </w:pPr>
      <w:r>
        <w:rPr/>
        <w:t>​</w:t>
      </w:r>
    </w:p>
    <w:tbl>
      <w:tblPr>
        <w:tblW w:w="6653" w:type="dxa"/>
        <w:jc w:val="left"/>
        <w:tblInd w:w="0" w:type="dxa"/>
        <w:tblLayout w:type="fixed"/>
        <w:tblCellMar>
          <w:top w:w="0" w:type="dxa"/>
          <w:left w:w="0" w:type="dxa"/>
          <w:bottom w:w="0" w:type="dxa"/>
          <w:right w:w="0" w:type="dxa"/>
        </w:tblCellMar>
      </w:tblPr>
      <w:tblGrid>
        <w:gridCol w:w="3916"/>
        <w:gridCol w:w="326"/>
        <w:gridCol w:w="229"/>
        <w:gridCol w:w="671"/>
        <w:gridCol w:w="326"/>
        <w:gridCol w:w="281"/>
        <w:gridCol w:w="904"/>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486660" cy="175260"/>
                      <wp:effectExtent l="0" t="0" r="0" b="0"/>
                      <wp:wrapNone/>
                      <wp:docPr id="142" name="Frame142"/>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45415" cy="175260"/>
                      <wp:effectExtent l="0" t="0" r="0" b="0"/>
                      <wp:wrapNone/>
                      <wp:docPr id="144" name="Frame14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6085" cy="175260"/>
                      <wp:effectExtent l="0" t="0" r="0" b="0"/>
                      <wp:wrapNone/>
                      <wp:docPr id="145" name="Frame145"/>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8435" cy="175260"/>
                      <wp:effectExtent l="0" t="0" r="0" b="0"/>
                      <wp:wrapNone/>
                      <wp:docPr id="147" name="Frame14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74040" cy="175260"/>
                      <wp:effectExtent l="0" t="0" r="0" b="0"/>
                      <wp:wrapNone/>
                      <wp:docPr id="148" name="Frame14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107.3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114.4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158.2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158.2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118.8 </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121.8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 </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390.8</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389.3</w:t>
            </w:r>
          </w:p>
        </w:tc>
      </w:tr>
    </w:tbl>
    <w:p>
      <w:pPr>
        <w:pStyle w:val="TextBody"/>
        <w:bidi w:val="0"/>
        <w:spacing w:lineRule="atLeast" w:line="200"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16" w:name="Tc_FLeu-vOvoESC89orpwbrDQ_9_2"/>
      <w:bookmarkStart w:id="817" w:name="Tc_pUWCGBkaYU2xOmpCI54ulw_9_0"/>
      <w:bookmarkStart w:id="818" w:name="Tc_YE7Kew65102QczNt-oIbxA_8_0"/>
      <w:bookmarkStart w:id="819" w:name="Tc_nV_L0ctuZEqmV1Zy6f7MOA_7_0"/>
      <w:bookmarkStart w:id="820" w:name="Tc_xZv7otnQREuLN8nnvshaSQ_6_0"/>
      <w:bookmarkStart w:id="821" w:name="Tc_t4bnAsUVPUKdedoq7uz-kw_5_0"/>
      <w:bookmarkStart w:id="822" w:name="Tc_EflK_pKhN02D8OaTvoPlQQ_4_0"/>
      <w:bookmarkStart w:id="823" w:name="Tc_sZgUz3ozIUqcQ3ml67cGJQ_3_2"/>
      <w:bookmarkStart w:id="824" w:name="Tc_rbAIK3rdwkON3EXkVpdO2A_3_0"/>
      <w:bookmarkStart w:id="825" w:name="Tc_l_ULZ8wV5UGjz8tttj4CUw_2_2"/>
      <w:bookmarkStart w:id="826" w:name="Tc_8ycWWKMTWkuPu1rVnHLp2Q_2_0"/>
      <w:bookmarkStart w:id="827" w:name="Tc_Ei3ZlzqGLkyxJ1k-hrqbHw_1_2"/>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sz w:val="20"/>
        </w:rPr>
        <w:t>Except as described below, the Company’s debt is described in Note 8 to the Consolidated Financial Statements included in the Company’s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The Company’s revolving credit facility has committed available borrowing of up to $650 million and matures on March 31, 2026. As of March 31, 2024, the Company had $644.2 million of remaining borrowing availability under the revolving credit facility. The Company used $5.8 million of the revolving credit facility for letters of credit outstanding as of March 31, 2024. There were no outstanding borrowings under the revolving credit facility as of March 31, 2024 and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Title XI Bonds:</w:t>
      </w:r>
      <w:r>
        <w:rPr>
          <w:rFonts w:ascii="Times New Roman;Times;serif" w:hAnsi="Times New Roman;Times;serif"/>
          <w:sz w:val="20"/>
        </w:rPr>
        <w:t xml:space="preserve"> On January 27, 2023, the Company prepaid $14.3 million of outstanding principal on the 5.27 percent Title XI Bond representing all of the remaining outstanding principal for this bond. On March 3, 2023, the Company also prepaid $12.1 million of outstanding principal on the 5.34 percent Title XI Bond representing all of the outstanding principal for this bond.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Security and Guarantees:</w:t>
      </w:r>
      <w:r>
        <w:rPr>
          <w:rFonts w:ascii="Times New Roman;Times;serif" w:hAnsi="Times New Roman;Times;serif"/>
          <w:sz w:val="20"/>
        </w:rPr>
        <w:t xml:space="preserve"> All of the debt of the Company and MatNav, including related guarantees, as of March 31, 2024 was unsecured, except for the Title XI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Maturities:</w:t>
      </w:r>
      <w:r>
        <w:rPr>
          <w:rFonts w:ascii="Times New Roman;Times;serif" w:hAnsi="Times New Roman;Times;serif"/>
          <w:sz w:val="20"/>
        </w:rPr>
        <w:t xml:space="preserve"> As of March 31, 2024, debt maturities during the next five years and thereafter are as follows:</w:t>
      </w:r>
    </w:p>
    <w:p>
      <w:pPr>
        <w:pStyle w:val="TextBody"/>
        <w:bidi w:val="0"/>
        <w:spacing w:before="0" w:after="0"/>
        <w:ind w:left="0" w:right="0" w:hanging="0"/>
        <w:jc w:val="left"/>
        <w:rPr/>
      </w:pPr>
      <w:r>
        <w:rPr/>
        <w:t>​</w:t>
      </w:r>
    </w:p>
    <w:tbl>
      <w:tblPr>
        <w:tblW w:w="3313" w:type="dxa"/>
        <w:jc w:val="left"/>
        <w:tblInd w:w="0" w:type="dxa"/>
        <w:tblLayout w:type="fixed"/>
        <w:tblCellMar>
          <w:top w:w="0" w:type="dxa"/>
          <w:left w:w="0" w:type="dxa"/>
          <w:bottom w:w="0" w:type="dxa"/>
          <w:right w:w="0" w:type="dxa"/>
        </w:tblCellMar>
      </w:tblPr>
      <w:tblGrid>
        <w:gridCol w:w="1681"/>
        <w:gridCol w:w="326"/>
        <w:gridCol w:w="310"/>
        <w:gridCol w:w="99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67435" cy="175260"/>
                      <wp:effectExtent l="0" t="0" r="0" b="0"/>
                      <wp:wrapNone/>
                      <wp:docPr id="149" name="Frame149"/>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6850" cy="175260"/>
                      <wp:effectExtent l="0" t="0" r="0" b="0"/>
                      <wp:wrapNone/>
                      <wp:docPr id="151" name="Frame15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32460" cy="175260"/>
                      <wp:effectExtent l="0" t="0" r="0" b="0"/>
                      <wp:wrapNone/>
                      <wp:docPr id="152" name="Frame152"/>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28" w:name="Tc_-9gnqEfCP0-ejBMPE8H3lg_7_5"/>
      <w:bookmarkStart w:id="829" w:name="Tc_zigMngMLNE-2TKoKl37Z2Q_7_2"/>
      <w:bookmarkStart w:id="830" w:name="Tc_JkPZt31-kkuYcuvfvzomyg_7_0"/>
      <w:bookmarkStart w:id="831" w:name="Tc_iX8ohgDKj02qpZlzTFs-eQ_6_0"/>
      <w:bookmarkStart w:id="832" w:name="Tc_f1LE-vnMeEKVRzADeTdPrw_5_0"/>
      <w:bookmarkStart w:id="833" w:name="Tc_zfpDoJyNjky7efa3yNSrJA_4_5"/>
      <w:bookmarkStart w:id="834" w:name="Tc_piicG2sLs0ui72F96x7wfw_4_2"/>
      <w:bookmarkStart w:id="835" w:name="Tc_ZR8PclXbOkSzAA13VZNwvQ_4_0"/>
      <w:bookmarkStart w:id="836" w:name="Tc_ZLaocUU7AUWpsGAZrZ2pGQ_3_5"/>
      <w:bookmarkStart w:id="837" w:name="Tc_DfxUhE7-_k6XBXwMkSVGCw_3_2"/>
      <w:bookmarkStart w:id="838" w:name="Tc_f9QagZvKDUaL5R2jWBgRRg_3_0"/>
      <w:bookmarkStart w:id="839" w:name="Tc_ysbWKIEdOUupBJPtCqEC_g_2_2"/>
      <w:bookmarkStart w:id="840" w:name="Tc_UPPr7Ua_60OdocQWRmt9lQ_1_2"/>
      <w:bookmarkEnd w:id="828"/>
      <w:bookmarkEnd w:id="829"/>
      <w:bookmarkEnd w:id="830"/>
      <w:bookmarkEnd w:id="831"/>
      <w:bookmarkEnd w:id="832"/>
      <w:bookmarkEnd w:id="833"/>
      <w:bookmarkEnd w:id="834"/>
      <w:bookmarkEnd w:id="835"/>
      <w:bookmarkEnd w:id="836"/>
      <w:bookmarkEnd w:id="837"/>
      <w:bookmarkEnd w:id="838"/>
      <w:bookmarkEnd w:id="839"/>
      <w:bookmarkEnd w:id="840"/>
      <w:r>
        <w:rPr>
          <w:rFonts w:ascii="Times New Roman;Times;serif" w:hAnsi="Times New Roman;Times;serif"/>
          <w:b/>
          <w:sz w:val="20"/>
        </w:rPr>
        <w:t>9.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leases are described in Note 9 to the Consolidated Financial Statements included in Part II, Item 8 of the Company’s Annual Report on Form 10-K for the year ended December 31,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Components of Lease Cost:</w:t>
      </w:r>
      <w:r>
        <w:rPr>
          <w:rFonts w:ascii="Times New Roman;Times;serif" w:hAnsi="Times New Roman;Times;serif"/>
          <w:sz w:val="20"/>
        </w:rPr>
        <w:t xml:space="preserve"> Components of lease cost recorded in the Company’s Condensed Consolidated Statement of Income and Comprehensive Income for the three months ended March 31, 2024 and 2023 consisted of the following: </w:t>
      </w:r>
    </w:p>
    <w:p>
      <w:pPr>
        <w:pStyle w:val="TextBody"/>
        <w:bidi w:val="0"/>
        <w:spacing w:before="0" w:after="0"/>
        <w:ind w:left="0" w:right="0" w:hanging="0"/>
        <w:jc w:val="left"/>
        <w:rPr/>
      </w:pPr>
      <w:r>
        <w:rPr/>
        <w:t>​</w:t>
      </w:r>
    </w:p>
    <w:tbl>
      <w:tblPr>
        <w:tblW w:w="3821" w:type="dxa"/>
        <w:jc w:val="left"/>
        <w:tblInd w:w="0" w:type="dxa"/>
        <w:tblLayout w:type="fixed"/>
        <w:tblCellMar>
          <w:top w:w="0" w:type="dxa"/>
          <w:left w:w="0" w:type="dxa"/>
          <w:bottom w:w="0" w:type="dxa"/>
          <w:right w:w="0" w:type="dxa"/>
        </w:tblCellMar>
      </w:tblPr>
      <w:tblGrid>
        <w:gridCol w:w="1801"/>
        <w:gridCol w:w="326"/>
        <w:gridCol w:w="228"/>
        <w:gridCol w:w="504"/>
        <w:gridCol w:w="117"/>
        <w:gridCol w:w="228"/>
        <w:gridCol w:w="617"/>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143635" cy="175260"/>
                      <wp:effectExtent l="0" t="0" r="0" b="0"/>
                      <wp:wrapNone/>
                      <wp:docPr id="153" name="Frame153"/>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4780" cy="175260"/>
                      <wp:effectExtent l="0" t="0" r="0" b="0"/>
                      <wp:wrapNone/>
                      <wp:docPr id="155" name="Frame15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20040" cy="175260"/>
                      <wp:effectExtent l="0" t="0" r="0" b="0"/>
                      <wp:wrapNone/>
                      <wp:docPr id="156" name="Frame156"/>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4295" cy="175260"/>
                      <wp:effectExtent l="0" t="0" r="0" b="0"/>
                      <wp:wrapNone/>
                      <wp:docPr id="157" name="Frame157"/>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4780" cy="175260"/>
                      <wp:effectExtent l="0" t="0" r="0" b="0"/>
                      <wp:wrapNone/>
                      <wp:docPr id="158" name="Frame15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91795" cy="175260"/>
                      <wp:effectExtent l="0" t="0" r="0" b="0"/>
                      <wp:wrapNone/>
                      <wp:docPr id="159" name="Frame159"/>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9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7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7"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117"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center"/>
              <w:rPr/>
            </w:pPr>
            <w:r>
              <w:rPr/>
              <w:t>​</w:t>
            </w:r>
          </w:p>
        </w:tc>
        <w:tc>
          <w:tcPr>
            <w:tcW w:w="228" w:type="dxa"/>
            <w:tcBorders/>
            <w:vAlign w:val="center"/>
          </w:tcPr>
          <w:p>
            <w:pPr>
              <w:pStyle w:val="TableContents"/>
              <w:bidi w:val="0"/>
              <w:spacing w:before="0" w:after="0"/>
              <w:ind w:left="0" w:right="0" w:hanging="0"/>
              <w:jc w:val="left"/>
              <w:rPr/>
            </w:pPr>
            <w:r>
              <w:rPr/>
              <w:t> </w:t>
            </w:r>
          </w:p>
        </w:tc>
        <w:tc>
          <w:tcPr>
            <w:tcW w:w="5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17"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17"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center"/>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117"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41" w:name="Tc_kxsKWxV6dk61xgTz_qQN2g_13_2"/>
      <w:bookmarkStart w:id="842" w:name="Tc_tUCNgMWJZUys52UVD_BSbg_13_0"/>
      <w:bookmarkStart w:id="843" w:name="Tc_kL1RcvXjk0aCi6hQbFoPBQ_12_0"/>
      <w:bookmarkStart w:id="844" w:name="Tc_H3kaxyIFYU24ThR4q7yy0g_11_0"/>
      <w:bookmarkStart w:id="845" w:name="Tc_U0PprSl2S0aY1p6kzPTGEA_10_0"/>
      <w:bookmarkStart w:id="846" w:name="Tc_RxyEXkOhTkm9kQc8-h1CLQ_9_0"/>
      <w:bookmarkStart w:id="847" w:name="Tc_In5uHr5egkmTuRWRJYlxJA_8_0"/>
      <w:bookmarkStart w:id="848" w:name="Tc_r_wxA_WLmkGgRGCKS3y60g_7_0"/>
      <w:bookmarkStart w:id="849" w:name="Tc_-L4DTM68GkC32OzWcHx-lA_6_0"/>
      <w:bookmarkStart w:id="850" w:name="Tc_Gi8Rx4rvMEm4SL1gEiAJhw_5_0"/>
      <w:bookmarkStart w:id="851" w:name="Tc_s-1ga8FYgU-duMp4S4A9Pg_4_0"/>
      <w:bookmarkStart w:id="852" w:name="Tc_dLUp6_d16U2Qj4fuAbaQOA_3_2"/>
      <w:bookmarkStart w:id="853" w:name="Tc_dotQl0gnREK9EYFCJT_6zA_3_0"/>
      <w:bookmarkStart w:id="854" w:name="Tc_0Z5StSc1FEKQON-kyyP9QQ_2_2"/>
      <w:bookmarkStart w:id="855" w:name="Tc_gmarleZllEqlTyIVF6Zsew_2_0"/>
      <w:bookmarkStart w:id="856" w:name="Tc_CtpBYZ8fQECQtZG4h7zJvA_1_2"/>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Times New Roman;Times;serif" w:hAnsi="Times New Roman;Times;serif"/>
          <w:sz w:val="20"/>
        </w:rPr>
        <w:t>Maturities of operating lease liabilities at March 31, 2024 are as follows:</w:t>
      </w:r>
    </w:p>
    <w:p>
      <w:pPr>
        <w:pStyle w:val="TextBody"/>
        <w:bidi w:val="0"/>
        <w:spacing w:before="0" w:after="0"/>
        <w:ind w:left="0" w:right="0" w:hanging="0"/>
        <w:jc w:val="left"/>
        <w:rPr/>
      </w:pPr>
      <w:r>
        <w:rPr/>
        <w:t>​</w:t>
      </w:r>
    </w:p>
    <w:tbl>
      <w:tblPr>
        <w:tblW w:w="5143" w:type="dxa"/>
        <w:jc w:val="left"/>
        <w:tblInd w:w="0" w:type="dxa"/>
        <w:tblLayout w:type="fixed"/>
        <w:tblCellMar>
          <w:top w:w="0" w:type="dxa"/>
          <w:left w:w="0" w:type="dxa"/>
          <w:bottom w:w="0" w:type="dxa"/>
          <w:right w:w="0" w:type="dxa"/>
        </w:tblCellMar>
      </w:tblPr>
      <w:tblGrid>
        <w:gridCol w:w="3511"/>
        <w:gridCol w:w="326"/>
        <w:gridCol w:w="310"/>
        <w:gridCol w:w="996"/>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229485" cy="175260"/>
                      <wp:effectExtent l="0" t="0" r="0" b="0"/>
                      <wp:wrapNone/>
                      <wp:docPr id="160" name="Frame160"/>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96850" cy="175260"/>
                      <wp:effectExtent l="0" t="0" r="0" b="0"/>
                      <wp:wrapNone/>
                      <wp:docPr id="162" name="Frame16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32460" cy="175260"/>
                      <wp:effectExtent l="0" t="0" r="0" b="0"/>
                      <wp:wrapNone/>
                      <wp:docPr id="163" name="Frame163"/>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center"/>
              <w:rPr/>
            </w:pPr>
            <w:r>
              <w:rPr/>
              <w:t>​</w:t>
            </w:r>
          </w:p>
        </w:tc>
        <w:tc>
          <w:tcPr>
            <w:tcW w:w="31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Short-term portion</w:t>
            </w:r>
          </w:p>
        </w:tc>
        <w:tc>
          <w:tcPr>
            <w:tcW w:w="326" w:type="dxa"/>
            <w:tcBorders/>
            <w:vAlign w:val="center"/>
          </w:tcPr>
          <w:p>
            <w:pPr>
              <w:pStyle w:val="TableContents"/>
              <w:bidi w:val="0"/>
              <w:spacing w:before="0" w:after="0"/>
              <w:ind w:left="0" w:right="0" w:hanging="0"/>
              <w:jc w:val="center"/>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57" w:name="Tc_47HoXzEmjEeKAZh0JJQTNg_10_14"/>
      <w:bookmarkStart w:id="858" w:name="Tc_uXJgTnQb3UmZNARV_IcslA_10_11"/>
      <w:bookmarkStart w:id="859" w:name="Tc_2AhFn-kiqEyBFmHE2XHpTQ_10_8"/>
      <w:bookmarkStart w:id="860" w:name="Tc_dxqWEatWsUSmX5YQRqkB3g_10_5"/>
      <w:bookmarkStart w:id="861" w:name="Tc_LVVyipPrAkWYtLLtGMLo9Q_10_2"/>
      <w:bookmarkStart w:id="862" w:name="Tc_LIi8BBjEF0GxLJVOK1Y9Ww_10_0"/>
      <w:bookmarkStart w:id="863" w:name="Tc_vOtLhWVuvUyG-LfY7e8eyg_9_9"/>
      <w:bookmarkStart w:id="864" w:name="Tc_Z8-Ui7NXRUqber3Dm0ShZg_9_6"/>
      <w:bookmarkStart w:id="865" w:name="Tc_A5G4RjlhW0K2PHlMTx4jEA_9_3"/>
      <w:bookmarkStart w:id="866" w:name="Tc_1nH4eBcH-kmXtR9zpBMxYQ_9_0"/>
      <w:bookmarkStart w:id="867" w:name="Tc_bxvVXHnx20KTwcudxmiboQ_8_9"/>
      <w:bookmarkStart w:id="868" w:name="Tc_THKZ4TYpLEWKWhzOp7UQYw_8_6"/>
      <w:bookmarkStart w:id="869" w:name="Tc_UH9k4FjGE0eXf3RWw7MExw_8_3"/>
      <w:bookmarkStart w:id="870" w:name="Tc_mHI2eWUGBU-eqi5unPt5fA_8_0"/>
      <w:bookmarkStart w:id="871" w:name="Tc_7MdbtIL3106y5nzW7iqgvA_7_12"/>
      <w:bookmarkStart w:id="872" w:name="Tc_Di-BhhUixU2FEKXHmHwtRw_7_9"/>
      <w:bookmarkStart w:id="873" w:name="Tc_mNk69JzZ7U-2sMvkxNa57g_7_0"/>
      <w:bookmarkStart w:id="874" w:name="Tc_QDNTC1NURUmSV4HDyFGdOw_6_12"/>
      <w:bookmarkStart w:id="875" w:name="Tc__MDmwlSiVUm2FjqdFSwgGA_6_9"/>
      <w:bookmarkStart w:id="876" w:name="Tc_59gJeWGfhEmkvlBdF_RNLA_6_3"/>
      <w:bookmarkStart w:id="877" w:name="Tc_bdU8I0YRu0GM9CxuoRWRuQ_6_0"/>
      <w:bookmarkStart w:id="878" w:name="Tc_dLkGR9SdLEa9rNRzYgl5Ew_5_14"/>
      <w:bookmarkStart w:id="879" w:name="Tc_DMYOVDSSYEietL34WfgEyQ_5_11"/>
      <w:bookmarkStart w:id="880" w:name="Tc_946CyuvIrk2bT4EsX64llw_5_8"/>
      <w:bookmarkStart w:id="881" w:name="Tc_xMZlVN-Fsk28wEq30T0VVg_5_5"/>
      <w:bookmarkStart w:id="882" w:name="Tc_Me1txf8eZE2UCCUewC3xPQ_5_2"/>
      <w:bookmarkStart w:id="883" w:name="Tc_7vjQN8L1xkqBvUwIZ5A5Yw_5_0"/>
      <w:bookmarkStart w:id="884" w:name="Tc_bWJB4qaNek2jNMMceFCaAA_4_14"/>
      <w:bookmarkStart w:id="885" w:name="Tc_R48r-gg7Kkyro6XfMY1_gA_4_11"/>
      <w:bookmarkStart w:id="886" w:name="Tc_6NrgZ2Z70E6s1QigPWJ4eg_4_8"/>
      <w:bookmarkStart w:id="887" w:name="Tc_4y0rmwU67EmKZVnZriJMLg_4_5"/>
      <w:bookmarkStart w:id="888" w:name="Tc_wJfkfJe77kef-kUtJb7WCw_4_2"/>
      <w:bookmarkStart w:id="889" w:name="Tc_J0TXsw1m0kCzpY_4cq0xHw_4_0"/>
      <w:bookmarkStart w:id="890" w:name="Tc_QsCkEedWDk6MQxlvNngyrQ_3_14"/>
      <w:bookmarkStart w:id="891" w:name="Tc_JY33oiE6HUCVnEDLT0hWoQ_3_8"/>
      <w:bookmarkStart w:id="892" w:name="Tc_ZsfXMwIVUk2cDtxUI-6kRg_3_5"/>
      <w:bookmarkStart w:id="893" w:name="Tc_H5PldZulAEWt3E3H5Yj83Q_3_2"/>
      <w:bookmarkStart w:id="894" w:name="Tc_wjU0n504oEmrC1oJErv3og_2_14"/>
      <w:bookmarkStart w:id="895" w:name="Tc_ZGOusyV6vEqh_f1BAl2tTA_2_8"/>
      <w:bookmarkStart w:id="896" w:name="Tc_ei-rSR1U1kS8-qiVw522Tg_2_5"/>
      <w:bookmarkStart w:id="897" w:name="Tc_mR2Oci7DckyabqItVq5cEg_1_14"/>
      <w:bookmarkStart w:id="898" w:name="_24824587_02f3_40af_a17f_16138927bde4"/>
      <w:bookmarkStart w:id="899" w:name="Tc_8-eRWlih_0W7ybeI7fT8OA_10_14"/>
      <w:bookmarkStart w:id="900" w:name="Tc_WpC4clI4O0uAixHxjh9YMA_10_11"/>
      <w:bookmarkStart w:id="901" w:name="Tc_tu-XrSFatESrcq4ZI9CM5w_10_8"/>
      <w:bookmarkStart w:id="902" w:name="Tc_rxGX8K8aqEucFv4JnBSEGw_10_5"/>
      <w:bookmarkStart w:id="903" w:name="Tc_p9rEACB0X0SPRrbEdQP6lw_10_2"/>
      <w:bookmarkStart w:id="904" w:name="Tc_MtVo1yi-FUCQ0Je1-K4d-A_10_0"/>
      <w:bookmarkStart w:id="905" w:name="Tc_JPPmd2GOwEaSdBM43ZygzA_9_9"/>
      <w:bookmarkStart w:id="906" w:name="Tc_aYbYZvWs-kynRualA8nfmQ_9_6"/>
      <w:bookmarkStart w:id="907" w:name="Tc_izQXJSOVokGLfhsxC_ebkg_9_3"/>
      <w:bookmarkStart w:id="908" w:name="Tc_mH8DZe0hJkShKJp2kzhzfA_9_0"/>
      <w:bookmarkStart w:id="909" w:name="Tc_61VGgvXAbEqMnhsIOlPYxw_8_9"/>
      <w:bookmarkStart w:id="910" w:name="Tc_ZpbFHFW3Zk6H8Vi90vedUg_8_6"/>
      <w:bookmarkStart w:id="911" w:name="Tc_8WPBjgLJvUmqz8Ae8NZh2w_8_3"/>
      <w:bookmarkStart w:id="912" w:name="Tc_DpFP8v5o4UOvR_Nnx6mVgQ_8_0"/>
      <w:bookmarkStart w:id="913" w:name="Tc_nWqmg1DB4ECYJCMD-mGgSw_7_12"/>
      <w:bookmarkStart w:id="914" w:name="Tc_YvfB_VX1U0uDJm4ITdKLYA_7_9"/>
      <w:bookmarkStart w:id="915" w:name="Tc_aENz408Aok-p8MnZH5WtDw_7_0"/>
      <w:bookmarkStart w:id="916" w:name="Tc_nwdXgNpTCEqkDPdYXSes5g_6_12"/>
      <w:bookmarkStart w:id="917" w:name="Tc_O749nKULEUaWou8dLw6vgg_6_9"/>
      <w:bookmarkStart w:id="918" w:name="Tc_bQnjTHaah0iJqJlXnCuHCA_6_3"/>
      <w:bookmarkStart w:id="919" w:name="Tc_lXoOPt0nDUWQCuILqV0IyQ_6_0"/>
      <w:bookmarkStart w:id="920" w:name="Tc_ZjwCwzqVrEuZrVm5qkcQKA_5_14"/>
      <w:bookmarkStart w:id="921" w:name="Tc_mMxuAmGitEaCLWDODntZ0Q_5_11"/>
      <w:bookmarkStart w:id="922" w:name="Tc_oq5pTnmHRU2V0HZknw-pvQ_5_8"/>
      <w:bookmarkStart w:id="923" w:name="Tc_ucVxZDBIEUq-WXR42HH8Bg_5_5"/>
      <w:bookmarkStart w:id="924" w:name="Tc_e730c6PypE23mA1cpS8Tkg_5_2"/>
      <w:bookmarkStart w:id="925" w:name="Tc_P11ZDbUyGUuMM6TvTNSzYw_5_0"/>
      <w:bookmarkStart w:id="926" w:name="Tc_f0tjxA5RskyxjPFu-7IWeA_4_14"/>
      <w:bookmarkStart w:id="927" w:name="Tc_ME9FDRe7DEOUwkmnIpzBSw_4_11"/>
      <w:bookmarkStart w:id="928" w:name="Tc_7xrBHGa8zEqkQI4cFFjc1w_4_8"/>
      <w:bookmarkStart w:id="929" w:name="Tc_-pnSQfSGJ0WazozjnRsa0g_4_5"/>
      <w:bookmarkStart w:id="930" w:name="Tc_-ZFTrUUF6kyAyLOjSLb8Hg_4_2"/>
      <w:bookmarkStart w:id="931" w:name="Tc_LI0pwuEHQE67CL-0hP4K3g_4_0"/>
      <w:bookmarkStart w:id="932" w:name="Tc_veobxiHtC0mpByqHXPk6LQ_3_14"/>
      <w:bookmarkStart w:id="933" w:name="Tc_m8Txa7wWikKW_6DYBz6q3w_3_8"/>
      <w:bookmarkStart w:id="934" w:name="Tc_B6Y1s2FkP0yjLDjsLWcK1A_3_5"/>
      <w:bookmarkStart w:id="935" w:name="Tc_XurgKpeZOUiuIQmG9z54hw_3_2"/>
      <w:bookmarkStart w:id="936" w:name="Tc_dHD9EvNtDEqtSuxa4s-1wg_2_14"/>
      <w:bookmarkStart w:id="937" w:name="Tc_AqxP0m-J7kiAMKxwLjSWqw_2_8"/>
      <w:bookmarkStart w:id="938" w:name="Tc_T0fimFlsmk-OKdt6WpB5Uw_2_5"/>
      <w:bookmarkStart w:id="939" w:name="Tc_8eKyplTQz0qHZFDB-e2URg_1_14"/>
      <w:bookmarkStart w:id="940" w:name="_e1001717_62d6_4e4c_82f1_b7415064dd1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b/>
          <w:sz w:val="20"/>
        </w:rPr>
        <w:t>10.          ACCUMULATED OTHER COMPREHENSIVE INCOME (LOSS)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three months ended March 31, 2024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60"/>
        <w:gridCol w:w="521"/>
        <w:gridCol w:w="326"/>
        <w:gridCol w:w="211"/>
        <w:gridCol w:w="481"/>
        <w:gridCol w:w="326"/>
        <w:gridCol w:w="404"/>
        <w:gridCol w:w="812"/>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829435" cy="175895"/>
                      <wp:effectExtent l="0" t="0" r="0" b="0"/>
                      <wp:wrapNone/>
                      <wp:docPr id="164" name="Frame164"/>
                      <a:graphic xmlns:a="http://schemas.openxmlformats.org/drawingml/2006/main">
                        <a:graphicData uri="http://schemas.microsoft.com/office/word/2010/wordprocessingShape">
                          <wps:wsp>
                            <wps:cNvSpPr txBox="1"/>
                            <wps:spPr>
                              <a:xfrm>
                                <a:off x="0" y="0"/>
                                <a:ext cx="182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895"/>
                      <wp:effectExtent l="0" t="0" r="0" b="0"/>
                      <wp:wrapNone/>
                      <wp:docPr id="165" name="Frame16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895"/>
                      <wp:effectExtent l="0" t="0" r="0" b="0"/>
                      <wp:wrapNone/>
                      <wp:docPr id="166" name="Frame16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72110" cy="175895"/>
                      <wp:effectExtent l="0" t="0" r="0" b="0"/>
                      <wp:wrapNone/>
                      <wp:docPr id="167" name="Frame167"/>
                      <a:graphic xmlns:a="http://schemas.openxmlformats.org/drawingml/2006/main">
                        <a:graphicData uri="http://schemas.microsoft.com/office/word/2010/wordprocessingShape">
                          <wps:wsp>
                            <wps:cNvSpPr txBox="1"/>
                            <wps:spPr>
                              <a:xfrm>
                                <a:off x="0" y="0"/>
                                <a:ext cx="372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895"/>
                      <wp:effectExtent l="0" t="0" r="0" b="0"/>
                      <wp:wrapNone/>
                      <wp:docPr id="168" name="Frame16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0975" cy="175895"/>
                      <wp:effectExtent l="0" t="0" r="0" b="0"/>
                      <wp:wrapNone/>
                      <wp:docPr id="169" name="Frame169"/>
                      <a:graphic xmlns:a="http://schemas.openxmlformats.org/drawingml/2006/main">
                        <a:graphicData uri="http://schemas.microsoft.com/office/word/2010/wordprocessingShape">
                          <wps:wsp>
                            <wps:cNvSpPr txBox="1"/>
                            <wps:spPr>
                              <a:xfrm>
                                <a:off x="0" y="0"/>
                                <a:ext cx="180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00685" cy="175895"/>
                      <wp:effectExtent l="0" t="0" r="0" b="0"/>
                      <wp:wrapNone/>
                      <wp:docPr id="170" name="Frame170"/>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895"/>
                      <wp:effectExtent l="0" t="0" r="0" b="0"/>
                      <wp:wrapNone/>
                      <wp:docPr id="171" name="Frame17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65100" cy="175895"/>
                      <wp:effectExtent l="0" t="0" r="0" b="0"/>
                      <wp:wrapNone/>
                      <wp:docPr id="172" name="Frame172"/>
                      <a:graphic xmlns:a="http://schemas.openxmlformats.org/drawingml/2006/main">
                        <a:graphicData uri="http://schemas.microsoft.com/office/word/2010/wordprocessingShape">
                          <wps:wsp>
                            <wps:cNvSpPr txBox="1"/>
                            <wps:spPr>
                              <a:xfrm>
                                <a:off x="0" y="0"/>
                                <a:ext cx="165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30835" cy="175895"/>
                      <wp:effectExtent l="0" t="0" r="0" b="0"/>
                      <wp:wrapNone/>
                      <wp:docPr id="173" name="Frame173"/>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895"/>
                      <wp:effectExtent l="0" t="0" r="0" b="0"/>
                      <wp:wrapNone/>
                      <wp:docPr id="174" name="Frame17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895"/>
                      <wp:effectExtent l="0" t="0" r="0" b="0"/>
                      <wp:wrapNone/>
                      <wp:docPr id="175" name="Frame17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05435" cy="175895"/>
                      <wp:effectExtent l="0" t="0" r="0" b="0"/>
                      <wp:wrapNone/>
                      <wp:docPr id="176" name="Frame176"/>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895"/>
                      <wp:effectExtent l="0" t="0" r="0" b="0"/>
                      <wp:wrapNone/>
                      <wp:docPr id="177" name="Frame17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6540" cy="175895"/>
                      <wp:effectExtent l="0" t="0" r="0" b="0"/>
                      <wp:wrapNone/>
                      <wp:docPr id="178" name="Frame178"/>
                      <a:graphic xmlns:a="http://schemas.openxmlformats.org/drawingml/2006/main">
                        <a:graphicData uri="http://schemas.microsoft.com/office/word/2010/wordprocessingShape">
                          <wps:wsp>
                            <wps:cNvSpPr txBox="1"/>
                            <wps:spPr>
                              <a:xfrm>
                                <a:off x="0" y="0"/>
                                <a:ext cx="2565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15620" cy="175895"/>
                      <wp:effectExtent l="0" t="0" r="0" b="0"/>
                      <wp:wrapNone/>
                      <wp:docPr id="179" name="Frame179"/>
                      <a:graphic xmlns:a="http://schemas.openxmlformats.org/drawingml/2006/main">
                        <a:graphicData uri="http://schemas.microsoft.com/office/word/2010/wordprocessingShape">
                          <wps:wsp>
                            <wps:cNvSpPr txBox="1"/>
                            <wps:spPr>
                              <a:xfrm>
                                <a:off x="0" y="0"/>
                                <a:ext cx="515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21285" cy="175895"/>
                      <wp:effectExtent l="0" t="0" r="0" b="0"/>
                      <wp:wrapNone/>
                      <wp:docPr id="180" name="Frame180"/>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9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1"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1"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1"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1" w:after="1"/>
              <w:ind w:left="0" w:right="0" w:hanging="0"/>
              <w:jc w:val="left"/>
              <w:rPr/>
            </w:pPr>
            <w:r>
              <w:rPr/>
              <w:t>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1"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1"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1"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three months ended March 31, 2023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88"/>
        <w:gridCol w:w="493"/>
        <w:gridCol w:w="326"/>
        <w:gridCol w:w="211"/>
        <w:gridCol w:w="481"/>
        <w:gridCol w:w="326"/>
        <w:gridCol w:w="404"/>
        <w:gridCol w:w="812"/>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29435" cy="175260"/>
                      <wp:effectExtent l="0" t="0" r="0" b="0"/>
                      <wp:wrapNone/>
                      <wp:docPr id="181" name="Frame181"/>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72110" cy="175260"/>
                      <wp:effectExtent l="0" t="0" r="0" b="0"/>
                      <wp:wrapNone/>
                      <wp:docPr id="184" name="Frame18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80975" cy="175260"/>
                      <wp:effectExtent l="0" t="0" r="0" b="0"/>
                      <wp:wrapNone/>
                      <wp:docPr id="186" name="Frame18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00685" cy="175260"/>
                      <wp:effectExtent l="0" t="0" r="0" b="0"/>
                      <wp:wrapNone/>
                      <wp:docPr id="187" name="Frame187"/>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2880" cy="175260"/>
                      <wp:effectExtent l="0" t="0" r="0" b="0"/>
                      <wp:wrapNone/>
                      <wp:docPr id="189" name="Frame189"/>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13055" cy="175260"/>
                      <wp:effectExtent l="0" t="0" r="0" b="0"/>
                      <wp:wrapNone/>
                      <wp:docPr id="190" name="Frame190"/>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05435" cy="175260"/>
                      <wp:effectExtent l="0" t="0" r="0" b="0"/>
                      <wp:wrapNone/>
                      <wp:docPr id="193" name="Frame19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56540" cy="175260"/>
                      <wp:effectExtent l="0" t="0" r="0" b="0"/>
                      <wp:wrapNone/>
                      <wp:docPr id="195" name="Frame195"/>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15620" cy="175260"/>
                      <wp:effectExtent l="0" t="0" r="0" b="0"/>
                      <wp:wrapNone/>
                      <wp:docPr id="196" name="Frame19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1285" cy="175260"/>
                      <wp:effectExtent l="0" t="0" r="0" b="0"/>
                      <wp:wrapNone/>
                      <wp:docPr id="197" name="Frame19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41" w:name="Tc_aNydQyCxhEKMHjnjJHRIYg_15_15"/>
      <w:bookmarkStart w:id="942" w:name="Tc_ZJHV7JXMakW3y8OK_Sog-Q_15_14"/>
      <w:bookmarkStart w:id="943" w:name="Tc_0EitCd6qXUC6gQ-YjnaqCw_15_11"/>
      <w:bookmarkStart w:id="944" w:name="Tc_jVZLLVLPtU27VMLfTlUDtQ_15_9"/>
      <w:bookmarkStart w:id="945" w:name="Tc_WaDoCPPheUmfBEn4Tu3d5A_15_8"/>
      <w:bookmarkStart w:id="946" w:name="Tc_1SICY3iHFUKPf9QFM9IrpQ_15_5"/>
      <w:bookmarkStart w:id="947" w:name="Tc_I6TvxIsPsk-yquzGmiY1Yw_15_2"/>
      <w:bookmarkStart w:id="948" w:name="Tc_y01V6vCCU0iQ5UJM5UaGsA_15_0"/>
      <w:bookmarkStart w:id="949" w:name="Tc_F-dhMOkUrkKVr7wLRH8jvQ_14_15"/>
      <w:bookmarkStart w:id="950" w:name="Tc_Yk2kksXKAEadqUnV9rt_cA_14_14"/>
      <w:bookmarkStart w:id="951" w:name="Tc_11UyJjxtLkOc3JtomH8CGA_14_12"/>
      <w:bookmarkStart w:id="952" w:name="Tc_sWefD8uBp0ONa48BQQVVAA_14_11"/>
      <w:bookmarkStart w:id="953" w:name="Tc_kxUFKAEFjk2sKObTVzrSIw_14_8"/>
      <w:bookmarkStart w:id="954" w:name="Tc_T2ro54Ksx0qC9GEcbQX0qA_14_5"/>
      <w:bookmarkStart w:id="955" w:name="Tc_QwSLAdprSESehSBXu_W8rw_14_2"/>
      <w:bookmarkStart w:id="956" w:name="Tc_QXNGKzk0EUW7afRrdnA9qA_14_0"/>
      <w:bookmarkStart w:id="957" w:name="Tc_V2Lr9d1vTkyj1h0Q2XQYkw_13_15"/>
      <w:bookmarkStart w:id="958" w:name="Tc_MhScWB5DcUqkOo7XgQCeOg_13_14"/>
      <w:bookmarkStart w:id="959" w:name="Tc_373XfIrTGUKP3pwo3X-iIQ_13_12"/>
      <w:bookmarkStart w:id="960" w:name="Tc_q0T3H8u6BEu2zQnQqc1Mxg_13_11"/>
      <w:bookmarkStart w:id="961" w:name="Tc_6Dh28jO1uEyQTEuJLG7NYg_13_8"/>
      <w:bookmarkStart w:id="962" w:name="Tc_U72Xx4K2MU6Ij7Hj1MzAdg_13_5"/>
      <w:bookmarkStart w:id="963" w:name="Tc_jnuVan3rykGC2Q7KaQLNlw_13_2"/>
      <w:bookmarkStart w:id="964" w:name="Tc_EgVWuiYP8ECCW5y0z4lUNQ_13_0"/>
      <w:bookmarkStart w:id="965" w:name="Tc_PR9U-ClVaEmxYPgbeGrXvg_12_15"/>
      <w:bookmarkStart w:id="966" w:name="Tc_C-_ue2dXvU6zA-UbuUiQMQ_12_14"/>
      <w:bookmarkStart w:id="967" w:name="Tc_sC5VpoKXQUm7612fD37-UA_12_12"/>
      <w:bookmarkStart w:id="968" w:name="Tc_RiFxKjH8jkiZc74qikfXSA_12_11"/>
      <w:bookmarkStart w:id="969" w:name="Tc_ZftSpqP9ok6Nt_c2q9g3HA_12_8"/>
      <w:bookmarkStart w:id="970" w:name="Tc_byWK5LuJ8kmh4mqBfXXPDw_12_5"/>
      <w:bookmarkStart w:id="971" w:name="Tc__Vq_g7ylLEejZc0PFo-Xzw_12_2"/>
      <w:bookmarkStart w:id="972" w:name="Tc_X4cpprDgQESiv8YEgLFx-A_12_0"/>
      <w:bookmarkStart w:id="973" w:name="Tc_KzspYT1DMEejXrx5iSLI8g_11_5"/>
      <w:bookmarkStart w:id="974" w:name="Tc_kOkvvcJM-USM6HYMFF3K5g_11_2"/>
      <w:bookmarkStart w:id="975" w:name="Tc_BYkFEYhP80ak75_QAI_Bpg_11_0"/>
      <w:bookmarkStart w:id="976" w:name="Tc_jxyvHUObjkeYt2v7MDhTew_9_15"/>
      <w:bookmarkStart w:id="977" w:name="Tc_Stf_4OxcGEWqkzdYE62hzw_9_14"/>
      <w:bookmarkStart w:id="978" w:name="Tc_qtRUlQXNFUia9cZSTsi33A_9_11"/>
      <w:bookmarkStart w:id="979" w:name="Tc_XJyTDuyxxESwvAIm5yhlMQ_9_9"/>
      <w:bookmarkStart w:id="980" w:name="Tc_ZaQZzjIo0Ui6jjY-U43atg_9_8"/>
      <w:bookmarkStart w:id="981" w:name="Tc_fQATrOHHXUGHhiwcrjL5Yg_9_5"/>
      <w:bookmarkStart w:id="982" w:name="Tc_kKFPMqDlv0KN3zaB7-FEfw_9_2"/>
      <w:bookmarkStart w:id="983" w:name="Tc_8FJP4Y-77Eu5FBfnexNpmQ_9_0"/>
      <w:bookmarkStart w:id="984" w:name="Tc_3yGN36MdSUaydvbvMPzBTg_8_15"/>
      <w:bookmarkStart w:id="985" w:name="Tc_X_UU9iJ2h06bdz_UHNcLYg_8_14"/>
      <w:bookmarkStart w:id="986" w:name="Tc_cAQPOngr10eTTRjHKC3C0g_8_12"/>
      <w:bookmarkStart w:id="987" w:name="Tc_ComtQsYsDU6MVuc3BLGS9A_8_11"/>
      <w:bookmarkStart w:id="988" w:name="Tc_uZqixJyLskGpSn8jZRWwmA_8_8"/>
      <w:bookmarkStart w:id="989" w:name="Tc_sypiX8deQkiSXRD-XdDeqg_8_5"/>
      <w:bookmarkStart w:id="990" w:name="Tc_aviHBn3yykGlXAyWpLY6MQ_8_2"/>
      <w:bookmarkStart w:id="991" w:name="Tc_9vV7tHd_n0av04WLOqjk2w_8_0"/>
      <w:bookmarkStart w:id="992" w:name="Tc_QJFI8LrHd0W9bvN3ceuQEQ_7_15"/>
      <w:bookmarkStart w:id="993" w:name="Tc_jR9ndl0zxkqhP4HGMLXG1Q_7_14"/>
      <w:bookmarkStart w:id="994" w:name="Tc__sYOoR8JBUadJnWgrLGM6A_7_12"/>
      <w:bookmarkStart w:id="995" w:name="Tc_VyK3kzSKYEK-Dk1MPXv7gQ_7_11"/>
      <w:bookmarkStart w:id="996" w:name="Tc_TGmevHknWEi9teja7X2Lpg_7_8"/>
      <w:bookmarkStart w:id="997" w:name="Tc_hIaMjeRBL0GL-z3z5pTguw_7_5"/>
      <w:bookmarkStart w:id="998" w:name="Tc_ig1ErnOnUk6q9HjYEE4VYg_7_2"/>
      <w:bookmarkStart w:id="999" w:name="Tc_M9Ey2xe70kqbw89wginXeg_7_0"/>
      <w:bookmarkStart w:id="1000" w:name="Tc_DU49nvAHikenoMACWigLgw_6_15"/>
      <w:bookmarkStart w:id="1001" w:name="Tc_aG4zKy6by0-F2NQCmLg2_w_6_14"/>
      <w:bookmarkStart w:id="1002" w:name="Tc_Nz2ooNvZdEWTzjsQTu5k_w_6_12"/>
      <w:bookmarkStart w:id="1003" w:name="Tc_pB9f7YZrOkK2nNGhxDYJMA_6_11"/>
      <w:bookmarkStart w:id="1004" w:name="Tc_LRvjs3-KZUuVKE87m5Y6UQ_6_8"/>
      <w:bookmarkStart w:id="1005" w:name="Tc_ILEWBv24wUq6lyiyzABKEg_6_5"/>
      <w:bookmarkStart w:id="1006" w:name="Tc_ysGJvYTBPEG091JDvKvq-A_6_2"/>
      <w:bookmarkStart w:id="1007" w:name="Tc_ex2ltFC6VEmtQRihoXw_rQ_6_0"/>
      <w:bookmarkStart w:id="1008" w:name="Tc_wH4vIBgYSU2VozkLn_HWHQ_5_15"/>
      <w:bookmarkStart w:id="1009" w:name="Tc_yipsclgf2E6fLWpGRyR3nQ_5_14"/>
      <w:bookmarkStart w:id="1010" w:name="Tc_vUaN5tB-qU6bHZ4YD4XJrw_5_12"/>
      <w:bookmarkStart w:id="1011" w:name="Tc_Qj29GyWVE0iEWMEvn0vIrQ_5_11"/>
      <w:bookmarkStart w:id="1012" w:name="Tc_m_GbfpgGnkOeFXXWAcEqVg_5_8"/>
      <w:bookmarkStart w:id="1013" w:name="Tc_eVwMtpC7BE-Q3VrEKEK4IQ_5_5"/>
      <w:bookmarkStart w:id="1014" w:name="Tc_YhhSV7KKhkeeaMcVKZ-NkA_5_2"/>
      <w:bookmarkStart w:id="1015" w:name="Tc_G2EiKdZ27kSt4MJGjwuLJg_5_0"/>
      <w:bookmarkStart w:id="1016" w:name="Tc_tT1te6w0gkKZ1oacYxlK8Q_4_5"/>
      <w:bookmarkStart w:id="1017" w:name="Tc_XXJMHXf700K7vAc0vLqnJA_4_2"/>
      <w:bookmarkStart w:id="1018" w:name="Tc_lSYdc4WwdUmXpwxD5kWzTg_4_0"/>
      <w:bookmarkStart w:id="1019" w:name="Tc_ujaCGAH85Ee7GNGtW6TNFg_3_14"/>
      <w:bookmarkStart w:id="1020" w:name="Tc_s-HbF221VkKWiaQx4GCehQ_3_11"/>
      <w:bookmarkStart w:id="1021" w:name="Tc_MOpeLYrMV0ShN8yMJWyC7w_3_8"/>
      <w:bookmarkStart w:id="1022" w:name="Tc_RoDrozroS0CUyE4eGtbDQw_3_5"/>
      <w:bookmarkStart w:id="1023" w:name="Tc_bA_zpT8ceEeeTIAM_rknTQ_3_2"/>
      <w:bookmarkStart w:id="1024" w:name="Tc_b3tNBVIPPkesuSNlFQA4KQ_2_14"/>
      <w:bookmarkStart w:id="1025" w:name="Tc_1V0S1Pa_nkOGhP4xbB7vPA_2_11"/>
      <w:bookmarkStart w:id="1026" w:name="Tc_DiCFlyReokWwabq8E8krnQ_2_8"/>
      <w:bookmarkStart w:id="1027" w:name="Tc_qRmW5UFW4keGS7J8X_zKPA_2_2"/>
      <w:bookmarkStart w:id="1028" w:name="Tc_cQLKVfFR9kq9m76vFs35LQ_1_14"/>
      <w:bookmarkStart w:id="1029" w:name="Tc_l-7HBBQvOUaOE47xXgq1dA_1_11"/>
      <w:bookmarkStart w:id="1030" w:name="Tc_aU4pMKBLFkuQiHvKyIXx-w_1_8"/>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r>
        <w:rPr>
          <w:rFonts w:ascii="Times New Roman;Times;serif" w:hAnsi="Times New Roman;Times;serif"/>
          <w:b/>
          <w:sz w:val="20"/>
        </w:rPr>
        <w:t>11.</w:t>
      </w:r>
      <w:r>
        <w:rPr>
          <w:rFonts w:ascii="Times New Roman;Times;serif" w:hAnsi="Times New Roman;Times;serif"/>
          <w:sz w:val="20"/>
        </w:rPr>
        <w:t>          </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carrying value and fair value of the Company’s financial instruments as of March 31, 2024 and December 31, 2023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02"/>
        <w:gridCol w:w="326"/>
        <w:gridCol w:w="449"/>
        <w:gridCol w:w="1217"/>
        <w:gridCol w:w="326"/>
        <w:gridCol w:w="372"/>
        <w:gridCol w:w="1009"/>
        <w:gridCol w:w="326"/>
        <w:gridCol w:w="352"/>
        <w:gridCol w:w="954"/>
        <w:gridCol w:w="326"/>
        <w:gridCol w:w="291"/>
        <w:gridCol w:w="791"/>
        <w:gridCol w:w="326"/>
        <w:gridCol w:w="446"/>
        <w:gridCol w:w="735"/>
        <w:gridCol w:w="157"/>
      </w:tblGrid>
      <w:tr>
        <w:trPr/>
        <w:tc>
          <w:tcPr>
            <w:tcW w:w="1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144270" cy="175260"/>
                      <wp:effectExtent l="0" t="0" r="0" b="0"/>
                      <wp:wrapNone/>
                      <wp:docPr id="198" name="Frame198"/>
                      <a:graphic xmlns:a="http://schemas.openxmlformats.org/drawingml/2006/main">
                        <a:graphicData uri="http://schemas.microsoft.com/office/word/2010/wordprocessingShape">
                          <wps:wsp>
                            <wps:cNvSpPr txBox="1"/>
                            <wps:spPr>
                              <a:xfrm>
                                <a:off x="0" y="0"/>
                                <a:ext cx="1144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85115" cy="175260"/>
                      <wp:effectExtent l="0" t="0" r="0" b="0"/>
                      <wp:wrapNone/>
                      <wp:docPr id="200" name="Frame200"/>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72795" cy="175260"/>
                      <wp:effectExtent l="0" t="0" r="0" b="0"/>
                      <wp:wrapNone/>
                      <wp:docPr id="201" name="Frame201"/>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36220" cy="175260"/>
                      <wp:effectExtent l="0" t="0" r="0" b="0"/>
                      <wp:wrapNone/>
                      <wp:docPr id="203" name="Frame203"/>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0715" cy="175260"/>
                      <wp:effectExtent l="0" t="0" r="0" b="0"/>
                      <wp:wrapNone/>
                      <wp:docPr id="204" name="Frame204"/>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3520" cy="175260"/>
                      <wp:effectExtent l="0" t="0" r="0" b="0"/>
                      <wp:wrapNone/>
                      <wp:docPr id="206" name="Frame20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05790" cy="175260"/>
                      <wp:effectExtent l="0" t="0" r="0" b="0"/>
                      <wp:wrapNone/>
                      <wp:docPr id="207" name="Frame207"/>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4785" cy="175260"/>
                      <wp:effectExtent l="0" t="0" r="0" b="0"/>
                      <wp:wrapNone/>
                      <wp:docPr id="209" name="Frame20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2285" cy="175260"/>
                      <wp:effectExtent l="0" t="0" r="0" b="0"/>
                      <wp:wrapNone/>
                      <wp:docPr id="210" name="Frame21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83210" cy="175260"/>
                      <wp:effectExtent l="0" t="0" r="0" b="0"/>
                      <wp:wrapNone/>
                      <wp:docPr id="212" name="Frame212"/>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66725" cy="175260"/>
                      <wp:effectExtent l="0" t="0" r="0" b="0"/>
                      <wp:wrapNone/>
                      <wp:docPr id="213" name="Frame213"/>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9695" cy="175260"/>
                      <wp:effectExtent l="0" t="0" r="0" b="0"/>
                      <wp:wrapNone/>
                      <wp:docPr id="214" name="Frame214"/>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2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Carrying Value    </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         </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26" w:type="dxa"/>
            <w:tcBorders/>
            <w:vAlign w:val="center"/>
          </w:tcPr>
          <w:p>
            <w:pPr>
              <w:pStyle w:val="TableContents"/>
              <w:bidi w:val="0"/>
              <w:spacing w:before="0" w:after="0"/>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7"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w:t>
            </w:r>
          </w:p>
        </w:tc>
        <w:tc>
          <w:tcPr>
            <w:tcW w:w="59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March 31, 2024</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w:t>
            </w:r>
          </w:p>
        </w:tc>
        <w:tc>
          <w:tcPr>
            <w:tcW w:w="59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Fair Value Measurements at December 31, 2023           </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uses Level 1 inputs for the fair values of its cash and cash equivalents, restricted cash, and CCF cash and cash equivalents and investments, and Level 2 inputs for fixed rate debt. The fair values of cash and cash equivalents, restricted cash, and cash and cash equivalents in the CCF approximate their carrying values due to the nature of the instruments. The fair value of investments in the CCF is calculated based upon quoted prices available in active market. The fair value of fixed rate debt is calculated based upon interest rates available for debt with terms and maturities similar to the Company’s existing debt arrangements.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31" w:name="Tc_9EFRh23tfkSzMk_uP0LrUw_8_15"/>
      <w:bookmarkStart w:id="1032" w:name="Tc_PPai-Zb2AkCS-c4r_h2IMw_8_10"/>
      <w:bookmarkStart w:id="1033" w:name="Tc_Utr0w5ucjU-BgwQdwNtkdg_8_7"/>
      <w:bookmarkStart w:id="1034" w:name="Tc_2eDGBQu2EEqq_4nsObbwLA_8_2"/>
      <w:bookmarkStart w:id="1035" w:name="Tc_9ezezrJTXkOYOpdEMz0w3A_8_0"/>
      <w:bookmarkStart w:id="1036" w:name="Tc_TZRfq5lGpUqiBbflB5HpHw_7_16"/>
      <w:bookmarkStart w:id="1037" w:name="Tc_APHFhk2riUS0AXVMjafa3g_7_11"/>
      <w:bookmarkStart w:id="1038" w:name="Tc_1WVzsSqOxEaAIysxShlC-Q_7_3"/>
      <w:bookmarkStart w:id="1039" w:name="Tc_bNeRDbV71kOnDiMynyprxw_7_0"/>
      <w:bookmarkStart w:id="1040" w:name="Tc_b1oHnIJvtEK4QKLVAROrBg_6_15"/>
      <w:bookmarkStart w:id="1041" w:name="Tc_FLBrn7S-fkGasxK66VcpuQ_6_10"/>
      <w:bookmarkStart w:id="1042" w:name="Tc_AS6KgK28zEGruglIavjmzA_6_7"/>
      <w:bookmarkStart w:id="1043" w:name="Tc_blWAKviZkUOgURs0ujAyEg_6_2"/>
      <w:bookmarkStart w:id="1044" w:name="Tc_7dD7SiY0AEGvTvS_7-BImg_6_0"/>
      <w:bookmarkStart w:id="1045" w:name="Tc_BMdkoDgcmkuqHnnN8X9ukQ_5_15"/>
      <w:bookmarkStart w:id="1046" w:name="Tc_aVjRxHt-lkev8EPBcugwnA_5_13"/>
      <w:bookmarkStart w:id="1047" w:name="Tc_wNeokWGgJEmig6uEgSwqPw_5_10"/>
      <w:bookmarkStart w:id="1048" w:name="Tc_aLrvronNSU2kObT-OM_VkA_5_7"/>
      <w:bookmarkStart w:id="1049" w:name="Tc_PlLyp27UM0mmp5FITBsFmw_5_5"/>
      <w:bookmarkStart w:id="1050" w:name="Tc_4zGJzhH3B0ephnl8ZpwL6A_5_2"/>
      <w:bookmarkStart w:id="1051" w:name="Tc_alBGZKo61UGnGoG_8v2z1w_5_0"/>
      <w:bookmarkStart w:id="1052" w:name="Tc_M78WFggZ-UC8cG4_cJkgaw_4_15"/>
      <w:bookmarkStart w:id="1053" w:name="Tc_DQoCxmk56k-K6zLN-TdFoA_4_13"/>
      <w:bookmarkStart w:id="1054" w:name="Tc_GI01cMudsEmm23QXX0DthA_4_10"/>
      <w:bookmarkStart w:id="1055" w:name="Tc_9NX_KKHzzk-rJataFvIHOg_4_7"/>
      <w:bookmarkStart w:id="1056" w:name="Tc__ZCefG-xqUe9M11KYvFv-Q_4_5"/>
      <w:bookmarkStart w:id="1057" w:name="Tc_XkYZb1faHk2ux0-_uv5hvw_4_2"/>
      <w:bookmarkStart w:id="1058" w:name="Tc_mRam2rNRNk-lwETkIaGnIg_3_15"/>
      <w:bookmarkStart w:id="1059" w:name="Tc_T7CG0_U3kk6MTa1s1lrK-A_3_13"/>
      <w:bookmarkStart w:id="1060" w:name="Tc_1NaFQgIaqkWl3Wj7GjJOGw_3_7"/>
      <w:bookmarkStart w:id="1061" w:name="Tc_RgCK3w6SpUmkBMwnvbwV3w_3_5"/>
      <w:bookmarkStart w:id="1062" w:name="Tc_37QilKsNBkeX_OehIBS4KQ_2_15"/>
      <w:bookmarkStart w:id="1063" w:name="Tc_jvtVcwHOFEq7gIEduvIvCQ_2_13"/>
      <w:bookmarkStart w:id="1064" w:name="Tc_iQAtR78m7k63bi54gM1spw_2_7"/>
      <w:bookmarkStart w:id="1065" w:name="Tc_9uzvcrXK8kWaP5xdmq9aWQ_2_5"/>
      <w:bookmarkStart w:id="1066" w:name="Tc_TOp4UcC-mkyPqvzguJrZTw_1_10"/>
      <w:bookmarkStart w:id="1067" w:name="Tc_Re5oZeOWfkKdPeveBOeUuA_1_2"/>
      <w:bookmarkStart w:id="1068" w:name="_c25ad253_f78a_47ea_b9c2_dc9857e57b4a"/>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March 31, 2024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three months ended March 31, 2024 and 2023 are as follows:</w:t>
      </w:r>
    </w:p>
    <w:tbl>
      <w:tblPr>
        <w:tblW w:w="8532" w:type="dxa"/>
        <w:jc w:val="left"/>
        <w:tblInd w:w="0" w:type="dxa"/>
        <w:tblLayout w:type="fixed"/>
        <w:tblCellMar>
          <w:top w:w="0" w:type="dxa"/>
          <w:left w:w="0" w:type="dxa"/>
          <w:bottom w:w="0" w:type="dxa"/>
          <w:right w:w="0" w:type="dxa"/>
        </w:tblCellMar>
      </w:tblPr>
      <w:tblGrid>
        <w:gridCol w:w="2431"/>
        <w:gridCol w:w="326"/>
        <w:gridCol w:w="196"/>
        <w:gridCol w:w="421"/>
        <w:gridCol w:w="326"/>
        <w:gridCol w:w="676"/>
        <w:gridCol w:w="326"/>
        <w:gridCol w:w="196"/>
        <w:gridCol w:w="541"/>
        <w:gridCol w:w="326"/>
        <w:gridCol w:w="196"/>
        <w:gridCol w:w="421"/>
        <w:gridCol w:w="326"/>
        <w:gridCol w:w="676"/>
        <w:gridCol w:w="326"/>
        <w:gridCol w:w="200"/>
        <w:gridCol w:w="431"/>
        <w:gridCol w:w="19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43685" cy="175260"/>
                      <wp:effectExtent l="0" t="0" r="0" b="0"/>
                      <wp:wrapNone/>
                      <wp:docPr id="215" name="Frame215"/>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4460" cy="175260"/>
                      <wp:effectExtent l="0" t="0" r="0" b="0"/>
                      <wp:wrapNone/>
                      <wp:docPr id="217" name="Frame2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67335" cy="175260"/>
                      <wp:effectExtent l="0" t="0" r="0" b="0"/>
                      <wp:wrapNone/>
                      <wp:docPr id="218" name="Frame21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29260" cy="175260"/>
                      <wp:effectExtent l="0" t="0" r="0" b="0"/>
                      <wp:wrapNone/>
                      <wp:docPr id="220" name="Frame22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4460" cy="175260"/>
                      <wp:effectExtent l="0" t="0" r="0" b="0"/>
                      <wp:wrapNone/>
                      <wp:docPr id="222" name="Frame2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43535" cy="175260"/>
                      <wp:effectExtent l="0" t="0" r="0" b="0"/>
                      <wp:wrapNone/>
                      <wp:docPr id="223" name="Frame22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4460" cy="175260"/>
                      <wp:effectExtent l="0" t="0" r="0" b="0"/>
                      <wp:wrapNone/>
                      <wp:docPr id="225" name="Frame2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67335" cy="175260"/>
                      <wp:effectExtent l="0" t="0" r="0" b="0"/>
                      <wp:wrapNone/>
                      <wp:docPr id="226" name="Frame22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29260" cy="175260"/>
                      <wp:effectExtent l="0" t="0" r="0" b="0"/>
                      <wp:wrapNone/>
                      <wp:docPr id="228" name="Frame2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7000" cy="175260"/>
                      <wp:effectExtent l="0" t="0" r="0" b="0"/>
                      <wp:wrapNone/>
                      <wp:docPr id="230" name="Frame230"/>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73685" cy="175260"/>
                      <wp:effectExtent l="0" t="0" r="0" b="0"/>
                      <wp:wrapNone/>
                      <wp:docPr id="231" name="Frame231"/>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1285" cy="175260"/>
                      <wp:effectExtent l="0" t="0" r="0" b="0"/>
                      <wp:wrapNone/>
                      <wp:docPr id="232" name="Frame23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2024</w:t>
            </w:r>
          </w:p>
        </w:tc>
        <w:tc>
          <w:tcPr>
            <w:tcW w:w="326" w:type="dxa"/>
            <w:tcBorders/>
            <w:vAlign w:val="center"/>
          </w:tcPr>
          <w:p>
            <w:pPr>
              <w:pStyle w:val="TableContents"/>
              <w:bidi w:val="0"/>
              <w:spacing w:before="0" w:after="0"/>
              <w:ind w:left="0" w:right="0" w:hanging="0"/>
              <w:jc w:val="left"/>
              <w:rPr/>
            </w:pPr>
            <w:r>
              <w:rPr/>
              <w:t>​</w:t>
            </w:r>
          </w:p>
        </w:tc>
        <w:tc>
          <w:tcPr>
            <w:tcW w:w="257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March 31, 2023</w:t>
            </w:r>
          </w:p>
        </w:tc>
        <w:tc>
          <w:tcPr>
            <w:tcW w:w="191" w:type="dxa"/>
            <w:tcBorders/>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Weighted</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Per</w:t>
            </w:r>
          </w:p>
        </w:tc>
        <w:tc>
          <w:tcPr>
            <w:tcW w:w="19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Average</w:t>
            </w:r>
          </w:p>
        </w:tc>
        <w:tc>
          <w:tcPr>
            <w:tcW w:w="326" w:type="dxa"/>
            <w:tcBorders/>
            <w:vAlign w:val="center"/>
          </w:tcPr>
          <w:p>
            <w:pPr>
              <w:pStyle w:val="TableContents"/>
              <w:bidi w:val="0"/>
              <w:spacing w:before="0" w:after="0"/>
              <w:ind w:left="0" w:right="0" w:hanging="0"/>
              <w:jc w:val="left"/>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19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Net</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326" w:type="dxa"/>
            <w:tcBorders/>
            <w:vAlign w:val="center"/>
          </w:tcPr>
          <w:p>
            <w:pPr>
              <w:pStyle w:val="TableContents"/>
              <w:bidi w:val="0"/>
              <w:spacing w:before="0" w:after="0"/>
              <w:ind w:left="0" w:right="0" w:hanging="0"/>
              <w:jc w:val="left"/>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w:t>
            </w:r>
          </w:p>
        </w:tc>
        <w:tc>
          <w:tcPr>
            <w:tcW w:w="191" w:type="dxa"/>
            <w:tcBorders/>
            <w:vAlign w:val="center"/>
          </w:tcPr>
          <w:p>
            <w:pPr>
              <w:pStyle w:val="TableContents"/>
              <w:bidi w:val="0"/>
              <w:spacing w:before="0" w:after="0"/>
              <w:ind w:left="0" w:right="0" w:hanging="0"/>
              <w:jc w:val="left"/>
              <w:rPr/>
            </w:pPr>
            <w:r>
              <w:rPr/>
              <w:t> </w:t>
            </w:r>
          </w:p>
        </w:tc>
      </w:tr>
      <w:tr>
        <w:trPr/>
        <w:tc>
          <w:tcPr>
            <w:tcW w:w="2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91" w:type="dxa"/>
            <w:tcBorders/>
            <w:vAlign w:val="center"/>
          </w:tcPr>
          <w:p>
            <w:pPr>
              <w:pStyle w:val="TableContents"/>
              <w:bidi w:val="0"/>
              <w:spacing w:before="0" w:after="0"/>
              <w:ind w:left="0" w:right="0" w:hanging="0"/>
              <w:jc w:val="left"/>
              <w:rPr/>
            </w:pPr>
            <w:r>
              <w:rPr/>
              <w:t> </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0.94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69" w:name="_Hlk164155045"/>
      <w:bookmarkEnd w:id="1069"/>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granted time-based restricted stock units and performance-based shares to certain of its employees totaling approximately 144,700 shares with a weighted average grant date fair value of $122.79 per share during the three months ended March 31,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cost recognized in the Condensed Consolidated Statements of Income and Comprehensive Income as a component of selling, general and administrative expenses was $5.7 million and $4.6 million for the three months ended March 31, 2024 and 2023, respectively. Total unrecognized compensation cost related to unvested share-based compensation arrangements was $37.4 million at March 31, 2024, and is expected to be recognized over a weighted average period of approximately 2.2 years. Total unrecognized compensation cost may be adjusted for any unearned performance shares or forfeited shares.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70" w:name="Tc_dqStkmnZgEy15opmat0J_A_10_11"/>
      <w:bookmarkStart w:id="1071" w:name="Tc_Vm5ab0uAMkeBCJenRruEjw_10_8"/>
      <w:bookmarkStart w:id="1072" w:name="Tc_Lyfk2nR_40qkUhGyndLvSw_10_5"/>
      <w:bookmarkStart w:id="1073" w:name="Tc_sUh0I0dETU-prI22S_FEAg_10_2"/>
      <w:bookmarkStart w:id="1074" w:name="Tc_JX38vo0F9Ueq6ddf3wuieg_10_0"/>
      <w:bookmarkStart w:id="1075" w:name="Tc_liVIm9HSUE--feWYCtBFyg_9_6"/>
      <w:bookmarkStart w:id="1076" w:name="Tc_xX8Q0SmF1UqhRsR7MjVdgw_9_3"/>
      <w:bookmarkStart w:id="1077" w:name="Tc_Ne27eW0EX0K1V-PmMDGb4Q_9_0"/>
      <w:bookmarkStart w:id="1078" w:name="Tc_gtHe0GjAmE2Cui73vNEg8Q_8_0"/>
      <w:bookmarkStart w:id="1079" w:name="Tc_sSAVNn7RwkeqNHvZ86BxRg_7_12"/>
      <w:bookmarkStart w:id="1080" w:name="Tc_pi12gJo_FE-Z0m-w82KrdQ_7_9"/>
      <w:bookmarkStart w:id="1081" w:name="Tc_UQICifalKkaLUrcZzq11Mg_7_0"/>
      <w:bookmarkStart w:id="1082" w:name="Tc_uENoYeiTHE6M7ElB1GXm8g_6_0"/>
      <w:bookmarkStart w:id="1083" w:name="Tc_gw5uUzCiXUOjQETUyxo9Wg_5_11"/>
      <w:bookmarkStart w:id="1084" w:name="Tc_EfmV8f8PlE-rL_6lUJYtSA_5_8"/>
      <w:bookmarkStart w:id="1085" w:name="Tc_yWRzIYiLlEuuxP-6A6VN5A_5_5"/>
      <w:bookmarkStart w:id="1086" w:name="Tc_46lumUX4SEWXNXkP24Aktg_5_2"/>
      <w:bookmarkStart w:id="1087" w:name="Tc_A8NnAoW-PEO9pYNCSdUPLw_5_0"/>
      <w:bookmarkStart w:id="1088" w:name="Tc_eC3gTtgv90elBMzq2g7O0w_4_0"/>
      <w:bookmarkStart w:id="1089" w:name="Tc_TBQ7NTCgK0uzcObukMWDBQ_3_11"/>
      <w:bookmarkStart w:id="1090" w:name="Tc_QdT2dkXSWEuB60SpAO9pUQ_3_8"/>
      <w:bookmarkStart w:id="1091" w:name="Tc_yjMOZoocHUOsOKQy3VcRsg_3_5"/>
      <w:bookmarkStart w:id="1092" w:name="Tc_xFnb2Hez6kyX315AdoY0gA_3_2"/>
      <w:bookmarkStart w:id="1093" w:name="Tc_L-cu9WuwoUGAqKYFnCGoyw_3_0"/>
      <w:bookmarkStart w:id="1094" w:name="Tc__DgGw8EZLEOcawatv45w6w_2_8"/>
      <w:bookmarkStart w:id="1095" w:name="Tc_AwtqdNmvMkmC0D9Sqs1kBA_2_2"/>
      <w:bookmarkStart w:id="1096" w:name="Tc_ezxkz1ZThE2rKjmqMOHR1Q_1_8"/>
      <w:bookmarkStart w:id="1097" w:name="Tc_pqBiR8pJ-0GR6JtXoo8aPg_1_2"/>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rFonts w:ascii="Times New Roman;Times;serif" w:hAnsi="Times New Roman;Times;serif"/>
          <w:b/>
          <w:sz w:val="20"/>
        </w:rPr>
        <w:t>14.</w:t>
      </w:r>
      <w:r>
        <w:rPr>
          <w:rFonts w:ascii="Times New Roman;Times;serif" w:hAnsi="Times New Roman;Times;serif"/>
          <w:sz w:val="20"/>
        </w:rPr>
        <w:t>          </w:t>
      </w:r>
      <w:r>
        <w:rPr>
          <w:rFonts w:ascii="Times New Roman;Times;serif" w:hAnsi="Times New Roman;Times;serif"/>
          <w:b/>
          <w:sz w:val="20"/>
        </w:rPr>
        <w:t>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and post-retirement plans are described in Note 11 to the Consolidated Financial Statements included in Part II, Item 8 of the Company’s Annual Report on Form 10-K for the year ended December 31, 2023. Components of net periodic benefit cost and other amounts recognized in Other Comprehensive Income (Loss) for the qualified pension plans and the post-retirement benefit plans for the three months ended March 31, 2024 and 2023 consisted of the following:</w:t>
      </w:r>
    </w:p>
    <w:p>
      <w:pPr>
        <w:pStyle w:val="TextBody"/>
        <w:bidi w:val="0"/>
        <w:spacing w:before="0" w:after="0"/>
        <w:ind w:left="0" w:right="0" w:hanging="0"/>
        <w:jc w:val="left"/>
        <w:rPr/>
      </w:pPr>
      <w:r>
        <w:rPr/>
        <w:t>​</w:t>
      </w:r>
    </w:p>
    <w:tbl>
      <w:tblPr>
        <w:tblW w:w="9651" w:type="dxa"/>
        <w:jc w:val="left"/>
        <w:tblInd w:w="0" w:type="dxa"/>
        <w:tblLayout w:type="fixed"/>
        <w:tblCellMar>
          <w:top w:w="0" w:type="dxa"/>
          <w:left w:w="0" w:type="dxa"/>
          <w:bottom w:w="0" w:type="dxa"/>
          <w:right w:w="0" w:type="dxa"/>
        </w:tblCellMar>
      </w:tblPr>
      <w:tblGrid>
        <w:gridCol w:w="4066"/>
        <w:gridCol w:w="326"/>
        <w:gridCol w:w="301"/>
        <w:gridCol w:w="688"/>
        <w:gridCol w:w="466"/>
        <w:gridCol w:w="301"/>
        <w:gridCol w:w="688"/>
        <w:gridCol w:w="326"/>
        <w:gridCol w:w="320"/>
        <w:gridCol w:w="640"/>
        <w:gridCol w:w="496"/>
        <w:gridCol w:w="320"/>
        <w:gridCol w:w="713"/>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581910" cy="175260"/>
                      <wp:effectExtent l="0" t="0" r="0" b="0"/>
                      <wp:wrapNone/>
                      <wp:docPr id="233" name="Frame233"/>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91135" cy="175260"/>
                      <wp:effectExtent l="0" t="0" r="0" b="0"/>
                      <wp:wrapNone/>
                      <wp:docPr id="235" name="Frame23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36880" cy="175260"/>
                      <wp:effectExtent l="0" t="0" r="0" b="0"/>
                      <wp:wrapNone/>
                      <wp:docPr id="236" name="Frame236"/>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95910" cy="175260"/>
                      <wp:effectExtent l="0" t="0" r="0" b="0"/>
                      <wp:wrapNone/>
                      <wp:docPr id="237" name="Frame237"/>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91135" cy="175260"/>
                      <wp:effectExtent l="0" t="0" r="0" b="0"/>
                      <wp:wrapNone/>
                      <wp:docPr id="238" name="Frame23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436880" cy="175260"/>
                      <wp:effectExtent l="0" t="0" r="0" b="0"/>
                      <wp:wrapNone/>
                      <wp:docPr id="239" name="Frame239"/>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3200" cy="175260"/>
                      <wp:effectExtent l="0" t="0" r="0" b="0"/>
                      <wp:wrapNone/>
                      <wp:docPr id="241" name="Frame24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06400" cy="175260"/>
                      <wp:effectExtent l="0" t="0" r="0" b="0"/>
                      <wp:wrapNone/>
                      <wp:docPr id="242" name="Frame242"/>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14960" cy="175260"/>
                      <wp:effectExtent l="0" t="0" r="0" b="0"/>
                      <wp:wrapNone/>
                      <wp:docPr id="243" name="Frame24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3200" cy="175260"/>
                      <wp:effectExtent l="0" t="0" r="0" b="0"/>
                      <wp:wrapNone/>
                      <wp:docPr id="244" name="Frame244"/>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2755" cy="175260"/>
                      <wp:effectExtent l="0" t="0" r="0" b="0"/>
                      <wp:wrapNone/>
                      <wp:docPr id="245" name="Frame245"/>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48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0"/>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6" w:type="dxa"/>
            <w:tcBorders/>
            <w:vAlign w:val="center"/>
          </w:tcPr>
          <w:p>
            <w:pPr>
              <w:pStyle w:val="TableContents"/>
              <w:bidi w:val="0"/>
              <w:spacing w:before="0" w:after="0"/>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96" w:type="dxa"/>
            <w:tcBorders/>
            <w:vAlign w:val="center"/>
          </w:tcPr>
          <w:p>
            <w:pPr>
              <w:pStyle w:val="TableContents"/>
              <w:bidi w:val="0"/>
              <w:spacing w:before="0" w:after="0"/>
              <w:ind w:left="0" w:right="0" w:hanging="0"/>
              <w:jc w:val="left"/>
              <w:rPr/>
            </w:pPr>
            <w:r>
              <w:rPr/>
              <w:t>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688"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68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640" w:type="dxa"/>
            <w:tcBorders/>
            <w:shd w:fill="CCEEFF" w:val="clear"/>
            <w:vAlign w:val="center"/>
          </w:tcPr>
          <w:p>
            <w:pPr>
              <w:pStyle w:val="TableContents"/>
              <w:bidi w:val="0"/>
              <w:spacing w:before="0" w:after="0"/>
              <w:ind w:left="0" w:right="0" w:hanging="0"/>
              <w:jc w:val="center"/>
              <w:rPr/>
            </w:pPr>
            <w:r>
              <w:rPr/>
              <w:t>​</w:t>
            </w:r>
          </w:p>
        </w:tc>
        <w:tc>
          <w:tcPr>
            <w:tcW w:w="49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pPr>
            <w:r>
              <w:rPr/>
              <w:t>​</w:t>
            </w:r>
          </w:p>
        </w:tc>
        <w:tc>
          <w:tcPr>
            <w:tcW w:w="713"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6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9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6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9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6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640" w:type="dxa"/>
            <w:tcBorders/>
            <w:vAlign w:val="center"/>
          </w:tcPr>
          <w:p>
            <w:pPr>
              <w:pStyle w:val="TableContents"/>
              <w:bidi w:val="0"/>
              <w:spacing w:before="0" w:after="0"/>
              <w:ind w:left="0" w:right="0" w:hanging="0"/>
              <w:jc w:val="right"/>
              <w:rPr/>
            </w:pPr>
            <w:r>
              <w:rPr/>
              <w:t>—</w:t>
            </w:r>
          </w:p>
        </w:tc>
        <w:tc>
          <w:tcPr>
            <w:tcW w:w="49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6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9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pPr>
            <w:r>
              <w:rPr/>
              <w:t> </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9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6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9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98" w:name="ITEM_2_MDA"/>
      <w:bookmarkStart w:id="1099" w:name="_4e3e3fdc_442a_4aae_8e27_90ebffa6d7d8"/>
      <w:bookmarkEnd w:id="1098"/>
      <w:bookmarkEnd w:id="109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Condensed Consolidated Financial Statements and related notes, and other financial information appearing elsewhere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2024 or future years, including such references included under “First Quarter 2024 Discussion and Outlook for 2024,” as well as statements generally identified through the inclusion of words such as “anticipate,” “believe,” “can,” “commit,” “estimate,” “expect,” “goal,” “intend,” “may,” “plan,” “target,” “seek,” “should,”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 Item 1A under the caption “Risk Factors” of the Company’s </w:t>
      </w:r>
      <w:hyperlink r:id="rId2">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3">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 the Company’s reports on Forms 10-Q and 8-K, and other publicly available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FIRST QUARTER 2024 DISCUSSION AND OUTLOOK FOR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The Company’s container volume in the Hawaii service in the first quarter 2024 was 1.7 percent lower year-over-year. The decrease was primarily due to lower general demand. According to UHERO’s most recent forecast report, the Hawaii economy is projected to grow modestly supported by low unemployment and an increase in construction activity and jobs for large federal and state projects as well as home building on Oahu. Visitor arrivals are projected to increase modestly as the tourism industry continues to recover from the Maui wildfires last year in addition to the continued gradual return of international visitors. The Company expects volume in 2024 to approach the level achieved in 2023, reflecting modest economic growth in Hawaii and stable market share.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China, the Company’s container volume in the first quarter 2024 decreased 4.0 percent year-over-year. The decrease was primarily due to a more traditional post-Lunar New Year period with a gradual recovery of volume after factories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reopened and workers returned compared to a more accelerated increase in volume experienced post-Lunar New Year last year. The Company achieved higher freight rates in the first quarter 2024 as compared to the year ago period. Currently in the Transpacific marketplace, the Company continues to see steady U.S. consumer demand, which it expects to lead to improving demand for its CLX and MAX services in 2024 as compared to 2023. The Company also expects average freight rates in 2024 to be higher than the levels achieved in 2023.</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Guam, the Company’s container volume in the first quarter 2024 was flat year-over-year. In the near-term, the Company expects continued improvement in the Guam economy with a low unemployment rate and a modest increase in tourism. For 2024, the Company expects volume to approximate the level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Alaska, the Company’s container volume for the first quarter 2024 decreased 5.1 percent year-over-year primarily due to one less northbound sailing. In the near-term, the Company expects continued economic growth in Alaska supported by a low unemployment rate, jobs growth and lower levels of inflation. For 2024, the Company expects volume to approximate the level achieved last year.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in the first quarter 2024 from the Company’s SSAT joint venture investment was $0.4 million, or $2.2 million higher than the first quarter 2023. The increase was primarily due to higher lift volume. For 2024, the Company expects the contribution from SSAT to be higher than the levels achieved in 2023 due to an expected increase in lift volumes.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first quarter performance and the outlook trends noted above, the Company expects full year 2024 Ocean Transportation operating income to be higher than the $294.8 million achieved in 2023 and higher than the previous outlook. In the second quarter 2024, the Company expects Ocean Transportation operating income to be moderately higher than the level achieved in the second quarter 2023.</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In the first quarter 2024, operating income for the Company’s Logistics segment was $9.3 million, or $1.6 million lower compared to the level achieved in the first quarter 2023. The decrease was primarily due to continued market softness in transportation brokerage. For 2024, the Company expects challenging business conditions for transportation brokerage and expects operating income to be lower than the $48.0 million achieved in 2023. In the second quarter 2024, the Company expects operating income to be lower than the level achieved in the second quarter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Consolidated Operating Income: </w:t>
      </w:r>
      <w:r>
        <w:rPr>
          <w:rFonts w:ascii="Times New Roman;Times;serif" w:hAnsi="Times New Roman;Times;serif"/>
          <w:sz w:val="20"/>
        </w:rPr>
        <w:t>For full year 2024, the Company expects consolidated operating income to be modestly higher than the $342.8 million achieved in 2023 and expects comparable seasonality to the prior year. For the second quarter 2024, the Company expects consolidated operating income to be modestly higher than the $96.7 million achieved in the second quarter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For the full year 2024, the Company expects depreciation and amortization expense to be approximately $180 million, inclusive of dry-docking amortization of approximately $27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The Company expects interest income for the full year 2024 to be approximately $45 million. The increase in expected interest income from the prior outlook is due to the receipt on April 19, 2024 of $10.2 million in interest income earned on the federal tax refund related to the Company’s 2021 federal tax return.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xml:space="preserve"> The Company expects interest expense for the full year 2024 to be approximately $8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Other Income (Expense): </w:t>
      </w:r>
      <w:r>
        <w:rPr>
          <w:rFonts w:ascii="Times New Roman;Times;serif" w:hAnsi="Times New Roman;Times;serif"/>
          <w:sz w:val="20"/>
        </w:rPr>
        <w:t>The Company expects full year 2024 other income (expense) to be approximately $7 million in income, which is attributable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the first quarter 2024, the Company’s effective tax rate was 20.3 percent. For the full year 2024, the Company expects its effective tax rate to be approximately 22.0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Capital and Vessel Dry-docking Expenditures:</w:t>
      </w:r>
      <w:r>
        <w:rPr>
          <w:rFonts w:ascii="Times New Roman;Times;serif" w:hAnsi="Times New Roman;Times;serif"/>
          <w:sz w:val="20"/>
        </w:rPr>
        <w:t xml:space="preserve"> For the first quarter 2024, the Company made capital expenditure payments excluding vessel construction expenditures of $54.2 million, capitalized vessel construction expenditures of $1.1 million, and dry-docking payments of $5.2 million. For the full year 2024, the Company expects to make other capital expenditure payments, including maintenance capital expenditures, of approximately $110 to $120 million, new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expenditures (including capitalized interest and owner’s items) of approximately $75 million, LNG installations and reengining on existing vessels of approximately $70 to $80 million, and dry-docking payments of approximately $35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Three months ended March 31, 2024 compared with 2023:</w:t>
      </w:r>
    </w:p>
    <w:p>
      <w:pPr>
        <w:pStyle w:val="TextBody"/>
        <w:bidi w:val="0"/>
        <w:spacing w:before="0" w:after="0"/>
        <w:ind w:left="0" w:right="0" w:hanging="0"/>
        <w:jc w:val="left"/>
        <w:rPr/>
      </w:pPr>
      <w:r>
        <w:rPr/>
        <w:t>​</w:t>
      </w:r>
    </w:p>
    <w:tbl>
      <w:tblPr>
        <w:tblW w:w="8288" w:type="dxa"/>
        <w:jc w:val="left"/>
        <w:tblInd w:w="0" w:type="dxa"/>
        <w:tblLayout w:type="fixed"/>
        <w:tblCellMar>
          <w:top w:w="0" w:type="dxa"/>
          <w:left w:w="0" w:type="dxa"/>
          <w:bottom w:w="0" w:type="dxa"/>
          <w:right w:w="0" w:type="dxa"/>
        </w:tblCellMar>
      </w:tblPr>
      <w:tblGrid>
        <w:gridCol w:w="3481"/>
        <w:gridCol w:w="326"/>
        <w:gridCol w:w="211"/>
        <w:gridCol w:w="691"/>
        <w:gridCol w:w="326"/>
        <w:gridCol w:w="211"/>
        <w:gridCol w:w="691"/>
        <w:gridCol w:w="326"/>
        <w:gridCol w:w="211"/>
        <w:gridCol w:w="586"/>
        <w:gridCol w:w="32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210435" cy="175260"/>
                      <wp:effectExtent l="0" t="0" r="0" b="0"/>
                      <wp:wrapNone/>
                      <wp:docPr id="246" name="Frame246"/>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38785" cy="175260"/>
                      <wp:effectExtent l="0" t="0" r="0" b="0"/>
                      <wp:wrapNone/>
                      <wp:docPr id="249" name="Frame2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38785" cy="175260"/>
                      <wp:effectExtent l="0" t="0" r="0" b="0"/>
                      <wp:wrapNone/>
                      <wp:docPr id="252" name="Frame2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72110" cy="175260"/>
                      <wp:effectExtent l="0" t="0" r="0" b="0"/>
                      <wp:wrapNone/>
                      <wp:docPr id="255" name="Frame25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72110" cy="175260"/>
                      <wp:effectExtent l="0" t="0" r="0" b="0"/>
                      <wp:wrapNone/>
                      <wp:docPr id="257" name="Frame25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0660" cy="175260"/>
                      <wp:effectExtent l="0" t="0" r="0" b="0"/>
                      <wp:wrapNone/>
                      <wp:docPr id="258" name="Frame2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(666.1)</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2.9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7.3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interest income for the three months ended March 31, 2024, compared to the three months ended March 31, 2023, was due to increased amounts of cash and CCF funds that are invested in interest bearing accounts, and higher interest rates during the period.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three months ended March 31, 2024, compared to the three months ended March 31, 2023, was due to lower outstanding debt during the period, and a higher offset of capitalized interest associated with new vessels construction.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was $9.2 million or 20.3 percent of income before taxes for the three months ended March 31, 2024, compared to $10.2 million or 23.1 percent of income before taxes for the three months ended March 31, 2023. The effective tax rate for the three months ended March 31, 2024 benefited from a 2.0 percent deduction related to foreign-derived intangible income (“FDII”) under Section 250 of the Internal Revenue Code that lowered the effective tax rate for the current period, compared to a 0.8 percent FDII deduction for the three months ended March 31, 2023. The FDII deduction for the three months ended March 31, 2023 was lower primarily due to lower projected income generated from the Company’s China service. The effective tax rate for the three months ended March 31, 2024 also benefited from certain discrete tax adjustments that lowered the effective tax rate in the current period.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Three months ended March 31, 2024 compared with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21"/>
        <w:gridCol w:w="326"/>
        <w:gridCol w:w="211"/>
        <w:gridCol w:w="689"/>
        <w:gridCol w:w="326"/>
        <w:gridCol w:w="211"/>
        <w:gridCol w:w="689"/>
        <w:gridCol w:w="326"/>
        <w:gridCol w:w="211"/>
        <w:gridCol w:w="686"/>
        <w:gridCol w:w="109"/>
        <w:gridCol w:w="581"/>
        <w:gridCol w:w="319"/>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505835" cy="175260"/>
                      <wp:effectExtent l="0" t="0" r="0" b="0"/>
                      <wp:wrapNone/>
                      <wp:docPr id="259" name="Frame259"/>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37515" cy="175260"/>
                      <wp:effectExtent l="0" t="0" r="0" b="0"/>
                      <wp:wrapNone/>
                      <wp:docPr id="262" name="Frame262"/>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37515" cy="175260"/>
                      <wp:effectExtent l="0" t="0" r="0" b="0"/>
                      <wp:wrapNone/>
                      <wp:docPr id="265" name="Frame26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35610" cy="175260"/>
                      <wp:effectExtent l="0" t="0" r="0" b="0"/>
                      <wp:wrapNone/>
                      <wp:docPr id="268" name="Frame26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68935" cy="175260"/>
                      <wp:effectExtent l="0" t="0" r="0" b="0"/>
                      <wp:wrapNone/>
                      <wp:docPr id="270" name="Frame270"/>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2565" cy="175260"/>
                      <wp:effectExtent l="0" t="0" r="0" b="0"/>
                      <wp:wrapNone/>
                      <wp:docPr id="271" name="Frame27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9" w:type="dxa"/>
            <w:tcBorders/>
            <w:vAlign w:val="center"/>
          </w:tcPr>
          <w:p>
            <w:pPr>
              <w:pStyle w:val="TableContents"/>
              <w:bidi w:val="0"/>
              <w:spacing w:before="0" w:after="0"/>
              <w:ind w:left="0" w:right="0" w:hanging="0"/>
              <w:jc w:val="left"/>
              <w:rPr/>
            </w:pPr>
            <w:r>
              <w:rPr/>
              <w:t> </w:t>
            </w:r>
          </w:p>
        </w:tc>
      </w:tr>
      <w:tr>
        <w:trPr/>
        <w:tc>
          <w:tcPr>
            <w:tcW w:w="5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58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0"/>
              <w:ind w:left="0" w:right="0" w:hanging="0"/>
              <w:jc w:val="left"/>
              <w:rPr/>
            </w:pPr>
            <w:r>
              <w:rPr/>
              <w:t> </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5.1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09" w:type="dxa"/>
            <w:tcBorders/>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5.4 </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except for automobiles)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automobiles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$28.0 million, or 5.1 percent, during the three months ended March 31, 2024, compared with the three months ended March 31, 2023. The increase was primarily due to higher freight rates in China and the domestic tradelanes, partially offset by lower volume in China, Hawaii, and Alaska, and lower fuel-related surcharge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decreased 1.7 percent primarily due to lower general demand; Alaska volume decreased 5.1 percent primarily due to one less northbound sailing; China volume was 4.0 percent lower primarily due to a more traditional post-Lunar New Year period with a gradual recovery of volume after factories reopened and workers returned compared to a more accelerated increase in volume experienced post-Lunar New Year last year; Guam volume was flat; and Other containers volume decreased 12.2 percent.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$0.2 million, or 0.7 percent, during the three months ended March 31, 2024, compared with the three months ended March 31, 2023. The decrease was primarily due to higher vessel operating costs, including fuel-related expenses, and the timing of fuel-related surcharge collections, partially offset by higher freight rates in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$0.4 million during the three months ended March 31, 2024, compared to a loss of $1.8 million during the three months ended March 31, 2023. The increase was primarily driven by higher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Three months ended March 31, 2024 compared with 2023:</w:t>
      </w:r>
    </w:p>
    <w:p>
      <w:pPr>
        <w:pStyle w:val="TextBody"/>
        <w:bidi w:val="0"/>
        <w:spacing w:before="0" w:after="0"/>
        <w:ind w:left="0" w:right="0" w:hanging="0"/>
        <w:jc w:val="left"/>
        <w:rPr/>
      </w:pPr>
      <w:r>
        <w:rPr/>
        <w:t>​</w:t>
      </w:r>
    </w:p>
    <w:tbl>
      <w:tblPr>
        <w:tblW w:w="7096"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586"/>
        <w:gridCol w:w="109"/>
        <w:gridCol w:w="586"/>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591310" cy="175260"/>
                      <wp:effectExtent l="0" t="0" r="0" b="0"/>
                      <wp:wrapNone/>
                      <wp:docPr id="272" name="Frame27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38785" cy="175260"/>
                      <wp:effectExtent l="0" t="0" r="0" b="0"/>
                      <wp:wrapNone/>
                      <wp:docPr id="275" name="Frame2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38785" cy="175260"/>
                      <wp:effectExtent l="0" t="0" r="0" b="0"/>
                      <wp:wrapNone/>
                      <wp:docPr id="278" name="Frame2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72110" cy="175260"/>
                      <wp:effectExtent l="0" t="0" r="0" b="0"/>
                      <wp:wrapNone/>
                      <wp:docPr id="281" name="Frame28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72110" cy="175260"/>
                      <wp:effectExtent l="0" t="0" r="0" b="0"/>
                      <wp:wrapNone/>
                      <wp:docPr id="283" name="Frame28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0660" cy="175260"/>
                      <wp:effectExtent l="0" t="0" r="0" b="0"/>
                      <wp:wrapNone/>
                      <wp:docPr id="284" name="Frame2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4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4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$10.7 million, or 7.0 percent, during the three months ended March 31, 2024, compared with the three months ended March 31, 2023. The decrease was primarily due to lower revenue in transportation brokerage.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$1.6 million, or 14.7 percent, during the three months ended March 31, 2024, compared with the three months ended March 31, 2023. The decrease was primarily due to a lower contribution from transportation brokerage.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Sources of liquidity available to the Company as of March 31, 2024, compared to December 31, 2023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and Cash Equivalents, Restricted Cash and Accounts Receivable:</w:t>
      </w:r>
      <w:r>
        <w:rPr>
          <w:rFonts w:ascii="Times New Roman;Times;serif" w:hAnsi="Times New Roman;Times;serif"/>
          <w:sz w:val="20"/>
        </w:rPr>
        <w:t xml:space="preserve"> Cash and cash equivalents, restricted cash and accounts receivable as of March 31, 2024, compared to December 31, 2023 were as follows:</w:t>
      </w:r>
    </w:p>
    <w:p>
      <w:pPr>
        <w:pStyle w:val="TextBody"/>
        <w:bidi w:val="0"/>
        <w:spacing w:before="0" w:after="0"/>
        <w:ind w:left="0" w:right="0" w:hanging="0"/>
        <w:jc w:val="left"/>
        <w:rPr/>
      </w:pPr>
      <w:r>
        <w:rPr/>
        <w:t>​</w:t>
      </w:r>
    </w:p>
    <w:tbl>
      <w:tblPr>
        <w:tblW w:w="8957" w:type="dxa"/>
        <w:jc w:val="left"/>
        <w:tblInd w:w="0" w:type="dxa"/>
        <w:tblLayout w:type="fixed"/>
        <w:tblCellMar>
          <w:top w:w="0" w:type="dxa"/>
          <w:left w:w="0" w:type="dxa"/>
          <w:bottom w:w="0" w:type="dxa"/>
          <w:right w:w="0" w:type="dxa"/>
        </w:tblCellMar>
      </w:tblPr>
      <w:tblGrid>
        <w:gridCol w:w="4846"/>
        <w:gridCol w:w="326"/>
        <w:gridCol w:w="242"/>
        <w:gridCol w:w="658"/>
        <w:gridCol w:w="326"/>
        <w:gridCol w:w="307"/>
        <w:gridCol w:w="833"/>
        <w:gridCol w:w="326"/>
        <w:gridCol w:w="211"/>
        <w:gridCol w:w="691"/>
        <w:gridCol w:w="191"/>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077210" cy="175260"/>
                      <wp:effectExtent l="0" t="0" r="0" b="0"/>
                      <wp:wrapNone/>
                      <wp:docPr id="285" name="Frame285"/>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53670" cy="175260"/>
                      <wp:effectExtent l="0" t="0" r="0" b="0"/>
                      <wp:wrapNone/>
                      <wp:docPr id="287" name="Frame28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17830" cy="175260"/>
                      <wp:effectExtent l="0" t="0" r="0" b="0"/>
                      <wp:wrapNone/>
                      <wp:docPr id="288" name="Frame28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94945" cy="175260"/>
                      <wp:effectExtent l="0" t="0" r="0" b="0"/>
                      <wp:wrapNone/>
                      <wp:docPr id="290" name="Frame29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28955" cy="175260"/>
                      <wp:effectExtent l="0" t="0" r="0" b="0"/>
                      <wp:wrapNone/>
                      <wp:docPr id="291" name="Frame291"/>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38785" cy="175260"/>
                      <wp:effectExtent l="0" t="0" r="0" b="0"/>
                      <wp:wrapNone/>
                      <wp:docPr id="294" name="Frame2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1285" cy="175260"/>
                      <wp:effectExtent l="0" t="0" r="0" b="0"/>
                      <wp:wrapNone/>
                      <wp:docPr id="295" name="Frame29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March 31, 2024 and December 31, 2023, $221.3 million and $218.1 million of eligible accounts receivable were assigned to the CCF,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and cash equivalents, and restricted cash for the three months ended March 31, 2024, compared to the three months ended March 31, 2023 were as follows:</w:t>
      </w:r>
    </w:p>
    <w:p>
      <w:pPr>
        <w:pStyle w:val="TextBody"/>
        <w:bidi w:val="0"/>
        <w:spacing w:before="0" w:after="0"/>
        <w:ind w:left="0" w:right="0" w:hanging="0"/>
        <w:jc w:val="left"/>
        <w:rPr/>
      </w:pPr>
      <w:r>
        <w:rPr/>
        <w:t>​</w:t>
      </w:r>
    </w:p>
    <w:tbl>
      <w:tblPr>
        <w:tblW w:w="9595" w:type="dxa"/>
        <w:jc w:val="left"/>
        <w:tblInd w:w="0" w:type="dxa"/>
        <w:tblLayout w:type="fixed"/>
        <w:tblCellMar>
          <w:top w:w="0" w:type="dxa"/>
          <w:left w:w="0" w:type="dxa"/>
          <w:bottom w:w="0" w:type="dxa"/>
          <w:right w:w="0" w:type="dxa"/>
        </w:tblCellMar>
      </w:tblPr>
      <w:tblGrid>
        <w:gridCol w:w="5866"/>
        <w:gridCol w:w="326"/>
        <w:gridCol w:w="211"/>
        <w:gridCol w:w="691"/>
        <w:gridCol w:w="326"/>
        <w:gridCol w:w="211"/>
        <w:gridCol w:w="691"/>
        <w:gridCol w:w="326"/>
        <w:gridCol w:w="211"/>
        <w:gridCol w:w="73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724910" cy="175260"/>
                      <wp:effectExtent l="0" t="0" r="0" b="0"/>
                      <wp:wrapNone/>
                      <wp:docPr id="296" name="Frame296"/>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8785" cy="175260"/>
                      <wp:effectExtent l="0" t="0" r="0" b="0"/>
                      <wp:wrapNone/>
                      <wp:docPr id="299" name="Frame2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38785" cy="175260"/>
                      <wp:effectExtent l="0" t="0" r="0" b="0"/>
                      <wp:wrapNone/>
                      <wp:docPr id="302" name="Frame3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67360" cy="175260"/>
                      <wp:effectExtent l="0" t="0" r="0" b="0"/>
                      <wp:wrapNone/>
                      <wp:docPr id="305" name="Frame30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operating activities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(60.1)</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investing activities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94.5</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financing activities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(decrease) 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 Changes in net cash provided by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provided by operating activities for the three months ended March 31, 2024, compared to the three months ended March 31, 2023, were due to the following:</w:t>
      </w:r>
    </w:p>
    <w:p>
      <w:pPr>
        <w:pStyle w:val="TextBody"/>
        <w:bidi w:val="0"/>
        <w:spacing w:before="0" w:after="0"/>
        <w:ind w:left="0" w:right="0" w:hanging="0"/>
        <w:jc w:val="left"/>
        <w:rPr/>
      </w:pPr>
      <w:r>
        <w:rPr/>
        <w:t>​</w:t>
      </w:r>
    </w:p>
    <w:tbl>
      <w:tblPr>
        <w:tblW w:w="6089" w:type="dxa"/>
        <w:jc w:val="left"/>
        <w:tblInd w:w="0" w:type="dxa"/>
        <w:tblLayout w:type="fixed"/>
        <w:tblCellMar>
          <w:top w:w="0" w:type="dxa"/>
          <w:left w:w="0" w:type="dxa"/>
          <w:bottom w:w="0" w:type="dxa"/>
          <w:right w:w="0" w:type="dxa"/>
        </w:tblCellMar>
      </w:tblPr>
      <w:tblGrid>
        <w:gridCol w:w="4921"/>
        <w:gridCol w:w="326"/>
        <w:gridCol w:w="211"/>
        <w:gridCol w:w="631"/>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124835" cy="175260"/>
                      <wp:effectExtent l="0" t="0" r="0" b="0"/>
                      <wp:wrapNone/>
                      <wp:docPr id="306" name="Frame306"/>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00685" cy="175260"/>
                      <wp:effectExtent l="0" t="0" r="0" b="0"/>
                      <wp:wrapNone/>
                      <wp:docPr id="309" name="Frame30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and distribution from SSAT,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deferred dry-docking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was $36.1 million for the three months ended March 31, 2024, compared to $34.0 million for the three months ended March 31, 2023. Income from SSAT was $0.4 million for the three months ended March 31, 2024, compared to a loss of $1.8 million for the three months ended March 31, 2023. The increase in income from SSAT was due to higher lift volume during the three months ended March 31, 2024, compared to the same prior year period. The Company received $14.0 million of cash distributions from SSAT during the three months ended March 31, 2024, compared to no cash distributions received from SSAT during the three months ended March 31, 2023. Cash distributions from SSAT are dependent on the level of cash available for distribution after SSAT’s operational and capital needs. Changes in accounts receivable were primarily due to higher accounts receivable outstanding as of March 31, 2024, compared to the same prior year period, and also due to the timing of collections associated with those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Changes in prepaid expenses and other assets were primarily due to a decrease in prepaid income taxes for the three months ended March 31, 2024, compared to the same prior year period. Changes in accounts payable, accruals and other liabilities were due to the timing of payments associated with those liabilities. Changes in operating lease liabilities were primarily due to new operating lease additions and renewals, offset by operating lease payments and terminations during the three months ended March 31, 2024, compared to the same prior year period. Deferred dry-docking payments for the three months ended March 31, 2024 were $5.2 million, compared to $2.4 million for the three months ended March 31, 2023. Changes in deferred dry-docking is primarily due to the timing of when the dry-docking of vessels occurs.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 Changes in net cash used in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investing activities for the three months ended March 31, 2024, compared to the three months ended March 31, 2023, were due to the following:</w:t>
      </w:r>
    </w:p>
    <w:p>
      <w:pPr>
        <w:pStyle w:val="TextBody"/>
        <w:bidi w:val="0"/>
        <w:spacing w:before="0" w:after="0"/>
        <w:ind w:left="0" w:right="0" w:hanging="0"/>
        <w:jc w:val="left"/>
        <w:rPr/>
      </w:pPr>
      <w:r>
        <w:rPr/>
        <w:t>​</w:t>
      </w:r>
    </w:p>
    <w:tbl>
      <w:tblPr>
        <w:tblW w:w="6674" w:type="dxa"/>
        <w:jc w:val="left"/>
        <w:tblInd w:w="0" w:type="dxa"/>
        <w:tblLayout w:type="fixed"/>
        <w:tblCellMar>
          <w:top w:w="0" w:type="dxa"/>
          <w:left w:w="0" w:type="dxa"/>
          <w:bottom w:w="0" w:type="dxa"/>
          <w:right w:w="0" w:type="dxa"/>
        </w:tblCellMar>
      </w:tblPr>
      <w:tblGrid>
        <w:gridCol w:w="5506"/>
        <w:gridCol w:w="326"/>
        <w:gridCol w:w="211"/>
        <w:gridCol w:w="631"/>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496310" cy="175260"/>
                      <wp:effectExtent l="0" t="0" r="0" b="0"/>
                      <wp:wrapNone/>
                      <wp:docPr id="310" name="Frame310"/>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00685" cy="175260"/>
                      <wp:effectExtent l="0" t="0" r="0" b="0"/>
                      <wp:wrapNone/>
                      <wp:docPr id="313" name="Frame31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intangible asset acquisition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vessel construction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(excluding vessel construction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94.5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100" w:name="_Hlk140611037"/>
      <w:bookmarkEnd w:id="1100"/>
      <w:r>
        <w:rPr>
          <w:rFonts w:ascii="Times New Roman;Times;serif" w:hAnsi="Times New Roman;Times;serif"/>
          <w:sz w:val="20"/>
        </w:rPr>
        <w:t xml:space="preserve">The Company received $6.0 million of interest and accretion in the CCF during the three months ended March 31, 2024, compared to $5.5 million of interest and $100.0 million of cash deposits in the CCF during the three months ended March 31, 2023. Cash and cash equivalents, and investments in the CCF are intended to fund milestone payments for the construction of three new Jones Act vessels. During the three months ended March 31, 2023, the Company paid $12.4 million related to an intangible asset acquisition. There were no acquisition related payments made during the three months ended March 31, 2024. Capitalized vessel construction expenditures (including capitalized interest) were $1.1 million for the three months ended March 31, 2024, compared to $0.4 million for the three months ended March 31, 2023. Capitalized vessel construction expenditures relate to milestone payments and capitalized interest for the construction of three new Jones Act vessels. Maintenance and other capital expenditures payments were $54.2 million for the three months ended March 31, 2024, compared to $35.5 million for the three months ended March 31, 2023. Maintenance and other capital expenditures primarily relate to vessel related expenditures, the acquisition of containers, chassis and other equipment, and expenditures on other capital related projects. The increase in maintenance and other capital expenditure for the three months ended March 31, 2024, compared to the same prior year period primarily related to the timing of when vessel maintenance activities are performed and when other capital related projects are incurred.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(3) Changes in net cash used in financing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financing activities for the three months ended March 31, 2024, compared to the three months ended March 31, 2023, were due to the following:</w:t>
      </w:r>
    </w:p>
    <w:p>
      <w:pPr>
        <w:pStyle w:val="TextBody"/>
        <w:bidi w:val="0"/>
        <w:spacing w:before="0" w:after="0"/>
        <w:ind w:left="0" w:right="0" w:hanging="0"/>
        <w:jc w:val="left"/>
        <w:rPr/>
      </w:pPr>
      <w:r>
        <w:rPr/>
        <w:t>​</w:t>
      </w:r>
    </w:p>
    <w:tbl>
      <w:tblPr>
        <w:tblW w:w="7049" w:type="dxa"/>
        <w:jc w:val="left"/>
        <w:tblInd w:w="0" w:type="dxa"/>
        <w:tblLayout w:type="fixed"/>
        <w:tblCellMar>
          <w:top w:w="0" w:type="dxa"/>
          <w:left w:w="0" w:type="dxa"/>
          <w:bottom w:w="0" w:type="dxa"/>
          <w:right w:w="0" w:type="dxa"/>
        </w:tblCellMar>
      </w:tblPr>
      <w:tblGrid>
        <w:gridCol w:w="5941"/>
        <w:gridCol w:w="326"/>
        <w:gridCol w:w="211"/>
        <w:gridCol w:w="571"/>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772535" cy="175260"/>
                      <wp:effectExtent l="0" t="0" r="0" b="0"/>
                      <wp:wrapNone/>
                      <wp:docPr id="314" name="Frame314"/>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62585" cy="175260"/>
                      <wp:effectExtent l="0" t="0" r="0" b="0"/>
                      <wp:wrapNone/>
                      <wp:docPr id="317" name="Frame3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fixed interest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tax related to net share settlements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March 31, 2024, the Company paid $47.3 million to repurchase Matson common stock, compared to $40.0 million during the three months ended March 31, 2023. During the three months ended March 31, 2024, the Company paid $10.1 million in scheduled fixed debt payments, compared to $26.4 million of prepaid Title XI debt and $14.4 million in scheduled fixed debt payments during the three months ended March 31, 2023. During the three months ended March 31, 2024, the Company paid $17.2 million in withholding taxes related to vested restricted stock units, compared to $12.4 million during the three months ended March 31, 2023. The increase in withholding tax was primarily due to the increase of the Company’s stock price as of the vesting date of the restricted stock units. During the three months ended March 31, 2024, the Company paid $11.1 million in dividends, compared to $11.3 million during the three months ended March 31, 2023. The decrease in dividend payments was due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 in common stock outstanding, offset by an increase in dividends declared per share of common stock by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Company’s CCF is described in Note 7 of Part I, Item 1 above. CCF cash and cash equivalents, investments and assigned accounts receivables as of March 31, 2024 and December 31, 2023 is as follows:</w:t>
      </w:r>
    </w:p>
    <w:p>
      <w:pPr>
        <w:pStyle w:val="TextBody"/>
        <w:bidi w:val="0"/>
        <w:spacing w:before="0" w:after="0"/>
        <w:ind w:left="0" w:right="0" w:hanging="0"/>
        <w:jc w:val="left"/>
        <w:rPr/>
      </w:pPr>
      <w:r>
        <w:rPr/>
        <w:t>​</w:t>
      </w:r>
    </w:p>
    <w:tbl>
      <w:tblPr>
        <w:tblW w:w="7103" w:type="dxa"/>
        <w:jc w:val="left"/>
        <w:tblInd w:w="0" w:type="dxa"/>
        <w:tblLayout w:type="fixed"/>
        <w:tblCellMar>
          <w:top w:w="0" w:type="dxa"/>
          <w:left w:w="0" w:type="dxa"/>
          <w:bottom w:w="0" w:type="dxa"/>
          <w:right w:w="0" w:type="dxa"/>
        </w:tblCellMar>
      </w:tblPr>
      <w:tblGrid>
        <w:gridCol w:w="4366"/>
        <w:gridCol w:w="326"/>
        <w:gridCol w:w="242"/>
        <w:gridCol w:w="658"/>
        <w:gridCol w:w="326"/>
        <w:gridCol w:w="281"/>
        <w:gridCol w:w="904"/>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772410" cy="175260"/>
                      <wp:effectExtent l="0" t="0" r="0" b="0"/>
                      <wp:wrapNone/>
                      <wp:docPr id="318" name="Frame318"/>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53670" cy="175260"/>
                      <wp:effectExtent l="0" t="0" r="0" b="0"/>
                      <wp:wrapNone/>
                      <wp:docPr id="320" name="Frame32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17830" cy="175260"/>
                      <wp:effectExtent l="0" t="0" r="0" b="0"/>
                      <wp:wrapNone/>
                      <wp:docPr id="321" name="Frame32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78435" cy="175260"/>
                      <wp:effectExtent l="0" t="0" r="0" b="0"/>
                      <wp:wrapNone/>
                      <wp:docPr id="323" name="Frame32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74040" cy="175260"/>
                      <wp:effectExtent l="0" t="0" r="0" b="0"/>
                      <wp:wrapNone/>
                      <wp:docPr id="324" name="Frame324"/>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Construction Fund: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65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4" w:type="dxa"/>
            <w:tcBorders/>
            <w:shd w:fill="CCEEFF" w:val="clear"/>
            <w:vAlign w:val="center"/>
          </w:tcPr>
          <w:p>
            <w:pPr>
              <w:pStyle w:val="TableContents"/>
              <w:bidi w:val="0"/>
              <w:spacing w:before="0" w:after="0"/>
              <w:ind w:left="0" w:right="0" w:hanging="0"/>
              <w:jc w:val="center"/>
              <w:rPr/>
            </w:pPr>
            <w:r>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investments account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606.8</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Assigned accounts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218.1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intends to use withdrawals from the CCF cash and cash equivalents, and investments account to fund qualified milestone progress payments for the construction of three new Jones Act vessels.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The Company’s debt is described in Note 8 of Part I, Item 1 above. The Company utilizes a mix of fixed and variable debt for liquidity and to fund the Company’s operations. Total Debt as of March 31, 2024 and December 31, 2023 is as follows:</w:t>
      </w:r>
    </w:p>
    <w:p>
      <w:pPr>
        <w:pStyle w:val="TextBody"/>
        <w:bidi w:val="0"/>
        <w:spacing w:before="0" w:after="0"/>
        <w:ind w:left="0" w:right="0" w:hanging="0"/>
        <w:jc w:val="left"/>
        <w:rPr/>
      </w:pPr>
      <w:r>
        <w:rPr/>
        <w:t>​</w:t>
      </w:r>
    </w:p>
    <w:tbl>
      <w:tblPr>
        <w:tblW w:w="4954" w:type="dxa"/>
        <w:jc w:val="left"/>
        <w:tblInd w:w="0" w:type="dxa"/>
        <w:tblLayout w:type="fixed"/>
        <w:tblCellMar>
          <w:top w:w="0" w:type="dxa"/>
          <w:left w:w="0" w:type="dxa"/>
          <w:bottom w:w="0" w:type="dxa"/>
          <w:right w:w="0" w:type="dxa"/>
        </w:tblCellMar>
      </w:tblPr>
      <w:tblGrid>
        <w:gridCol w:w="1636"/>
        <w:gridCol w:w="109"/>
        <w:gridCol w:w="242"/>
        <w:gridCol w:w="658"/>
        <w:gridCol w:w="109"/>
        <w:gridCol w:w="307"/>
        <w:gridCol w:w="833"/>
        <w:gridCol w:w="109"/>
        <w:gridCol w:w="211"/>
        <w:gridCol w:w="586"/>
        <w:gridCol w:w="15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038860" cy="175260"/>
                      <wp:effectExtent l="0" t="0" r="0" b="0"/>
                      <wp:wrapNone/>
                      <wp:docPr id="325" name="Frame32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53670" cy="175260"/>
                      <wp:effectExtent l="0" t="0" r="0" b="0"/>
                      <wp:wrapNone/>
                      <wp:docPr id="327" name="Frame32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17830" cy="175260"/>
                      <wp:effectExtent l="0" t="0" r="0" b="0"/>
                      <wp:wrapNone/>
                      <wp:docPr id="328" name="Frame32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94945" cy="175260"/>
                      <wp:effectExtent l="0" t="0" r="0" b="0"/>
                      <wp:wrapNone/>
                      <wp:docPr id="330" name="Frame33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28955" cy="175260"/>
                      <wp:effectExtent l="0" t="0" r="0" b="0"/>
                      <wp:wrapNone/>
                      <wp:docPr id="331" name="Frame331"/>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72110" cy="175260"/>
                      <wp:effectExtent l="0" t="0" r="0" b="0"/>
                      <wp:wrapNone/>
                      <wp:docPr id="334" name="Frame3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97790" cy="175260"/>
                      <wp:effectExtent l="0" t="0" r="0" b="0"/>
                      <wp:wrapNone/>
                      <wp:docPr id="335" name="Frame33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$10.1 million during the three months ended March 31, 2024, compared to December 31, 2023, primarily due to scheduled repayments of private placement term loans.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March 31, 2024, the Company had $644.2 million of remaining borrowing availability under the revolving credit facility, with a maturity date of March 31, 2026.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1101" w:name="_ebd7e7c6_8c50_455f_b2af_63336834b626"/>
      <w:bookmarkEnd w:id="1101"/>
      <w:r>
        <w:rPr>
          <w:rFonts w:ascii="Times New Roman;Times;serif" w:hAnsi="Times New Roman;Times;serif"/>
          <w:b/>
          <w:i/>
          <w:sz w:val="20"/>
        </w:rPr>
        <w:t>Working Capital:</w:t>
      </w:r>
      <w:r>
        <w:rPr>
          <w:rFonts w:ascii="Times New Roman;Times;serif" w:hAnsi="Times New Roman;Times;serif"/>
          <w:sz w:val="20"/>
        </w:rPr>
        <w:t xml:space="preserve"> The Company had a working capital deficit of $18.5 million and a working capital surplus of $40.0 million at March 31, 2024 and December 31, 2023, respectively.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the Company’s working capital at March 31, 2024, compared to December 31, 2023 is primarily due to the decrease in cash provided by operating activities and higher capital expenditure during the three months ended March 31,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Capital Expenditures:</w:t>
      </w:r>
      <w:r>
        <w:rPr>
          <w:rFonts w:ascii="Times New Roman;Times;serif" w:hAnsi="Times New Roman;Times;serif"/>
          <w:sz w:val="20"/>
        </w:rPr>
        <w:t xml:space="preserve"> During the three months ended March 31, 2024, there were no material changes to the Company’s expected capital expenditures for the years ending December 31, 2024, 2025 and 2026 that are described in Part II, Item 7 of the Company’s </w:t>
      </w:r>
      <w:hyperlink r:id="rId4">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 following represents the estimated timing of future milestone payments under the vessel construction agreements as of March 31, 2024, as described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7"/>
        <w:gridCol w:w="326"/>
        <w:gridCol w:w="251"/>
        <w:gridCol w:w="540"/>
        <w:gridCol w:w="326"/>
        <w:gridCol w:w="286"/>
        <w:gridCol w:w="615"/>
        <w:gridCol w:w="326"/>
        <w:gridCol w:w="196"/>
        <w:gridCol w:w="511"/>
        <w:gridCol w:w="326"/>
        <w:gridCol w:w="196"/>
        <w:gridCol w:w="511"/>
        <w:gridCol w:w="326"/>
        <w:gridCol w:w="196"/>
        <w:gridCol w:w="511"/>
        <w:gridCol w:w="326"/>
        <w:gridCol w:w="196"/>
        <w:gridCol w:w="331"/>
        <w:gridCol w:w="326"/>
        <w:gridCol w:w="320"/>
        <w:gridCol w:w="566"/>
        <w:gridCol w:w="326"/>
        <w:gridCol w:w="196"/>
        <w:gridCol w:w="618"/>
      </w:tblGrid>
      <w:tr>
        <w:trPr/>
        <w:tc>
          <w:tcPr>
            <w:tcW w:w="1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988695" cy="175260"/>
                      <wp:effectExtent l="0" t="0" r="0" b="0"/>
                      <wp:wrapNone/>
                      <wp:docPr id="336" name="Frame336"/>
                      <a:graphic xmlns:a="http://schemas.openxmlformats.org/drawingml/2006/main">
                        <a:graphicData uri="http://schemas.microsoft.com/office/word/2010/wordprocessingShape">
                          <wps:wsp>
                            <wps:cNvSpPr txBox="1"/>
                            <wps:spPr>
                              <a:xfrm>
                                <a:off x="0" y="0"/>
                                <a:ext cx="988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59385" cy="175260"/>
                      <wp:effectExtent l="0" t="0" r="0" b="0"/>
                      <wp:wrapNone/>
                      <wp:docPr id="338" name="Frame33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42900" cy="175260"/>
                      <wp:effectExtent l="0" t="0" r="0" b="0"/>
                      <wp:wrapNone/>
                      <wp:docPr id="339" name="Frame33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81610" cy="175260"/>
                      <wp:effectExtent l="0" t="0" r="0" b="0"/>
                      <wp:wrapNone/>
                      <wp:docPr id="341" name="Frame34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90525" cy="175260"/>
                      <wp:effectExtent l="0" t="0" r="0" b="0"/>
                      <wp:wrapNone/>
                      <wp:docPr id="342" name="Frame342"/>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4460" cy="175260"/>
                      <wp:effectExtent l="0" t="0" r="0" b="0"/>
                      <wp:wrapNone/>
                      <wp:docPr id="344" name="Frame3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24485" cy="175260"/>
                      <wp:effectExtent l="0" t="0" r="0" b="0"/>
                      <wp:wrapNone/>
                      <wp:docPr id="345" name="Frame34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4460" cy="175260"/>
                      <wp:effectExtent l="0" t="0" r="0" b="0"/>
                      <wp:wrapNone/>
                      <wp:docPr id="347" name="Frame3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324485" cy="175260"/>
                      <wp:effectExtent l="0" t="0" r="0" b="0"/>
                      <wp:wrapNone/>
                      <wp:docPr id="348" name="Frame34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24460" cy="175260"/>
                      <wp:effectExtent l="0" t="0" r="0" b="0"/>
                      <wp:wrapNone/>
                      <wp:docPr id="350" name="Frame3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24485" cy="175260"/>
                      <wp:effectExtent l="0" t="0" r="0" b="0"/>
                      <wp:wrapNone/>
                      <wp:docPr id="351" name="Frame3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24460" cy="175260"/>
                      <wp:effectExtent l="0" t="0" r="0" b="0"/>
                      <wp:wrapNone/>
                      <wp:docPr id="353" name="Frame35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0185" cy="175260"/>
                      <wp:effectExtent l="0" t="0" r="0" b="0"/>
                      <wp:wrapNone/>
                      <wp:docPr id="354" name="Frame354"/>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3200" cy="175260"/>
                      <wp:effectExtent l="0" t="0" r="0" b="0"/>
                      <wp:wrapNone/>
                      <wp:docPr id="356" name="Frame356"/>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359410" cy="175260"/>
                      <wp:effectExtent l="0" t="0" r="0" b="0"/>
                      <wp:wrapNone/>
                      <wp:docPr id="357" name="Frame357"/>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24460" cy="175260"/>
                      <wp:effectExtent l="0" t="0" r="0" b="0"/>
                      <wp:wrapNone/>
                      <wp:docPr id="359" name="Frame3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92430" cy="175260"/>
                      <wp:effectExtent l="0" t="0" r="0" b="0"/>
                      <wp:wrapNone/>
                      <wp:docPr id="360" name="Frame360"/>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w:t>
            </w:r>
          </w:p>
        </w:tc>
        <w:tc>
          <w:tcPr>
            <w:tcW w:w="326" w:type="dxa"/>
            <w:tcBorders/>
            <w:vAlign w:val="center"/>
          </w:tcPr>
          <w:p>
            <w:pPr>
              <w:pStyle w:val="TableContents"/>
              <w:bidi w:val="0"/>
              <w:spacing w:before="0" w:after="0"/>
              <w:ind w:left="0" w:right="0" w:hanging="0"/>
              <w:jc w:val="left"/>
              <w:rPr/>
            </w:pPr>
            <w:r>
              <w:rPr/>
              <w:t>​</w:t>
            </w:r>
          </w:p>
        </w:tc>
        <w:tc>
          <w:tcPr>
            <w:tcW w:w="606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Milestone Payments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r>
      <w:tr>
        <w:trPr/>
        <w:tc>
          <w:tcPr>
            <w:tcW w:w="15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Vessel Construction Obligations</w:t>
              <w:br/>
              <w:t>(in millions)</w:t>
            </w:r>
          </w:p>
        </w:tc>
        <w:tc>
          <w:tcPr>
            <w:tcW w:w="326" w:type="dxa"/>
            <w:tcBorders/>
            <w:vAlign w:val="center"/>
          </w:tcPr>
          <w:p>
            <w:pPr>
              <w:pStyle w:val="TableContents"/>
              <w:bidi w:val="0"/>
              <w:spacing w:before="0" w:after="0"/>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br/>
              <w:t>March 31, 2024</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Remainder</w:t>
              <w:br/>
              <w:t>of 2024</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0"/>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0"/>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Three Aloha Class Containerships</w:t>
            </w:r>
          </w:p>
        </w:tc>
        <w:tc>
          <w:tcPr>
            <w:tcW w:w="3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99.9</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8"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999.0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intends to use the CCF cash and cash equivalents, and investments account to fund future milestone progress payments.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March 31, 2024, the Company repurchased approximately 0.4 million shares for a total cost of $48.9 million. The maximum number of remaining shares that may be purchased under the Company’s share repurchase program was approximately 2.0 million shares at March 31, 2024. </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rFonts w:ascii="Times New Roman;Times;serif" w:hAnsi="Times New Roman;Times;serif"/>
          <w:b/>
          <w:i/>
          <w:sz w:val="20"/>
        </w:rPr>
        <w:t>Other Material Cash Requirements:</w:t>
      </w:r>
      <w:r>
        <w:rPr>
          <w:rFonts w:ascii="Times New Roman;Times;serif" w:hAnsi="Times New Roman;Times;serif"/>
          <w:sz w:val="20"/>
        </w:rPr>
        <w:t xml:space="preserve"> There were no other material changes during the quarter ended March 31, 2024 to the Company’s other cash requirements that are described in Part II, Item 7 of the Company’s </w:t>
      </w:r>
      <w:hyperlink r:id="rId6">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changes during this quarter to the Company’s critical accounting policies and estimates as discussed in Part II, Item 7 of the Company’s </w:t>
      </w:r>
      <w:hyperlink r:id="rId7">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first quarter 2023 cash dividend of $0.32 per share was paid on March 7, 2024. On April 25, 2024, the Company’s Board of Directors declared a cash dividend of $0.32 per share payable on June 6, 2024 to shareholders of record on May 9,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02" w:name="ITEM3QUANTITATIVEANDQUALITATIVEDISCLOSUR"/>
      <w:bookmarkStart w:id="1103" w:name="_1939bc94_f877_4b33_87b2_f85d6fa704af"/>
      <w:bookmarkEnd w:id="1102"/>
      <w:bookmarkEnd w:id="1103"/>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material changes to the Company’s market risk position from the information provided under Part II, Item 7A, “Quantitative and Qualitative Disclosures About Market Risk,” of its </w:t>
      </w:r>
      <w:hyperlink r:id="rId8">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04" w:name="ITEM4CONTROLSANDPROCEDURES_278454"/>
      <w:bookmarkStart w:id="1105" w:name="_701bf92b_bbb7_44a2_9797_63b58c9c4ab2"/>
      <w:bookmarkEnd w:id="1104"/>
      <w:bookmarkEnd w:id="1105"/>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March 31, 2024, the Company’s disclosure controls and procedures are effective.</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and 15d-15(f) under the Exchange Act) that occurred during the three months ended March 31, 2024,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106" w:name="PARTIIOTHERINFORMATION_744928"/>
      <w:bookmarkStart w:id="1107" w:name="_5babe7ef_507b_49a8_89f3_0f0644ac5a4b"/>
      <w:bookmarkEnd w:id="1106"/>
      <w:bookmarkEnd w:id="1107"/>
      <w:r>
        <w:rPr>
          <w:rFonts w:ascii="Times New Roman;Times;serif" w:hAnsi="Times New Roman;Times;serif"/>
          <w:b/>
          <w:sz w:val="20"/>
        </w:rPr>
        <w:t>PART II. 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108" w:name="ITEM1LEGALPROCEEDINGS_436162"/>
      <w:bookmarkEnd w:id="1108"/>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09" w:name="ITEM1ARISKFACTORS_897747"/>
      <w:bookmarkStart w:id="1110" w:name="_3dce50ee_9181_4bf2_afa0_fd6b82806662"/>
      <w:bookmarkEnd w:id="1109"/>
      <w:bookmarkEnd w:id="1110"/>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111" w:name="_Hlk117024577"/>
      <w:bookmarkEnd w:id="1111"/>
      <w:r>
        <w:rPr>
          <w:rFonts w:ascii="Times New Roman;Times;serif" w:hAnsi="Times New Roman;Times;serif"/>
          <w:sz w:val="20"/>
        </w:rPr>
        <w:t xml:space="preserve">There were no material changes to the Company’s risk factors previously described in Part I, Item 1A, “Risk Factors” of the Company’s </w:t>
      </w:r>
      <w:hyperlink r:id="rId9">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12" w:name="ITEM2UNREGISTEREDSALESOFEQUITYSECURITIES"/>
      <w:bookmarkStart w:id="1113" w:name="_b50476d8_0dd3_4300_92e2_e4d35555b4d5"/>
      <w:bookmarkEnd w:id="1112"/>
      <w:bookmarkEnd w:id="1113"/>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Purchases of Equity Securities by the Issuer and Affiliated Purchases.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the summary of Matson shares that were repurchased under the Company’s share repurchase program during the three months ended March 31, 2024:</w:t>
      </w:r>
    </w:p>
    <w:tbl>
      <w:tblPr>
        <w:tblW w:w="8657" w:type="dxa"/>
        <w:jc w:val="left"/>
        <w:tblInd w:w="0" w:type="dxa"/>
        <w:tblLayout w:type="fixed"/>
        <w:tblCellMar>
          <w:top w:w="0" w:type="dxa"/>
          <w:left w:w="0" w:type="dxa"/>
          <w:bottom w:w="0" w:type="dxa"/>
          <w:right w:w="0" w:type="dxa"/>
        </w:tblCellMar>
      </w:tblPr>
      <w:tblGrid>
        <w:gridCol w:w="1236"/>
        <w:gridCol w:w="669"/>
        <w:gridCol w:w="1321"/>
        <w:gridCol w:w="326"/>
        <w:gridCol w:w="285"/>
        <w:gridCol w:w="915"/>
        <w:gridCol w:w="326"/>
        <w:gridCol w:w="1561"/>
        <w:gridCol w:w="326"/>
        <w:gridCol w:w="1501"/>
        <w:gridCol w:w="191"/>
      </w:tblGrid>
      <w:tr>
        <w:trPr/>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784860" cy="175260"/>
                      <wp:effectExtent l="0" t="0" r="0" b="0"/>
                      <wp:wrapNone/>
                      <wp:docPr id="361" name="Frame361"/>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24815" cy="175260"/>
                      <wp:effectExtent l="0" t="0" r="0" b="0"/>
                      <wp:wrapNone/>
                      <wp:docPr id="362" name="Frame362"/>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838835" cy="175260"/>
                      <wp:effectExtent l="0" t="0" r="0" b="0"/>
                      <wp:wrapNone/>
                      <wp:docPr id="363" name="Frame36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80975" cy="175260"/>
                      <wp:effectExtent l="0" t="0" r="0" b="0"/>
                      <wp:wrapNone/>
                      <wp:docPr id="365" name="Frame365"/>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81025" cy="175260"/>
                      <wp:effectExtent l="0" t="0" r="0" b="0"/>
                      <wp:wrapNone/>
                      <wp:docPr id="366" name="Frame366"/>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991235" cy="175260"/>
                      <wp:effectExtent l="0" t="0" r="0" b="0"/>
                      <wp:wrapNone/>
                      <wp:docPr id="368" name="Frame36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53135" cy="175260"/>
                      <wp:effectExtent l="0" t="0" r="0" b="0"/>
                      <wp:wrapNone/>
                      <wp:docPr id="370" name="Frame37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21285" cy="175260"/>
                      <wp:effectExtent l="0" t="0" r="0" b="0"/>
                      <wp:wrapNone/>
                      <wp:docPr id="371" name="Frame37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6"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1236"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1236"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c>
          <w:tcPr>
            <w:tcW w:w="191" w:type="dxa"/>
            <w:tcBorders/>
            <w:vAlign w:val="center"/>
          </w:tcPr>
          <w:p>
            <w:pPr>
              <w:pStyle w:val="TableContents"/>
              <w:bidi w:val="0"/>
              <w:spacing w:before="0" w:after="0"/>
              <w:ind w:left="0" w:right="0" w:hanging="0"/>
              <w:jc w:val="left"/>
              <w:rPr/>
            </w:pPr>
            <w:r>
              <w:rPr/>
              <w:t> </w:t>
            </w:r>
          </w:p>
        </w:tc>
      </w:tr>
      <w:tr>
        <w:trPr/>
        <w:tc>
          <w:tcPr>
            <w:tcW w:w="1236" w:type="dxa"/>
            <w:tcBorders/>
            <w:vAlign w:val="center"/>
          </w:tcPr>
          <w:p>
            <w:pPr>
              <w:pStyle w:val="TableContents"/>
              <w:bidi w:val="0"/>
              <w:spacing w:before="0" w:after="0"/>
              <w:ind w:left="0" w:right="0" w:hanging="0"/>
              <w:jc w:val="left"/>
              <w:rPr/>
            </w:pPr>
            <w:r>
              <w:rPr/>
              <w:t>​</w:t>
            </w:r>
          </w:p>
        </w:tc>
        <w:tc>
          <w:tcPr>
            <w:tcW w:w="669"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12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669"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w:t>
            </w:r>
          </w:p>
        </w:tc>
        <w:tc>
          <w:tcPr>
            <w:tcW w:w="32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19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 31, 2024</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76,890</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112.94</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76,890</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2,385,298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9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 29, 2024</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78,200</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114.01</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78,200</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2,307,098</w:t>
            </w:r>
          </w:p>
        </w:tc>
        <w:tc>
          <w:tcPr>
            <w:tcW w:w="191" w:type="dxa"/>
            <w:tcBorders/>
            <w:vAlign w:val="center"/>
          </w:tcPr>
          <w:p>
            <w:pPr>
              <w:pStyle w:val="TableContents"/>
              <w:bidi w:val="0"/>
              <w:spacing w:before="0" w:after="0"/>
              <w:ind w:left="0" w:right="0" w:hanging="0"/>
              <w:jc w:val="left"/>
              <w:rPr/>
            </w:pPr>
            <w:r>
              <w:rPr/>
              <w:t>​</w:t>
            </w:r>
          </w:p>
        </w:tc>
      </w:tr>
      <w:tr>
        <w:trPr/>
        <w:tc>
          <w:tcPr>
            <w:tcW w:w="19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 31, 2024</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287,021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108.03</w:t>
            </w:r>
          </w:p>
        </w:tc>
        <w:tc>
          <w:tcPr>
            <w:tcW w:w="32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287,021</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2,020,077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69"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442,111</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109.95</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442,111</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Matson’s Board of Directors approved a share repurchase program of up to 3.0 million shares of common stock, with subsequent approvals for the addition of 3.0 million shares on each of January 27, 2022, August 23, 2022 and April 27, 2023, for an aggregate total of 12.0 million shares of common stock. The share repurchase program expires on December 31, 2025. Shares will be repurchased in the open market from time to time, and may be made pursuant to a trading plan in accordance with Rule 10b5-1 of the Security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14" w:name="ITEM3DEFAULTSUPONSENIORSECURITIES_766025"/>
      <w:bookmarkStart w:id="1115" w:name="_aab06d6c_9e15_43fe_9e67_893803b33836"/>
      <w:bookmarkEnd w:id="1114"/>
      <w:bookmarkEnd w:id="1115"/>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16" w:name="ITEM4MINESAFETYDISCLOSURES_922547"/>
      <w:bookmarkStart w:id="1117" w:name="_ccc6384c_f967_47e5_b055_c3e05fe5c173"/>
      <w:bookmarkEnd w:id="1116"/>
      <w:bookmarkEnd w:id="1117"/>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18" w:name="ITEM5OTHERINFORMATION_110834"/>
      <w:bookmarkStart w:id="1119" w:name="_111d7ff5_b57d_4efc_9015_567f5c09fff6"/>
      <w:bookmarkEnd w:id="1118"/>
      <w:bookmarkEnd w:id="1119"/>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Trading Plans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During the quarter ended March 31, 2024, no director or Section 16 officer adopted or terminated any Rule 10b5-1 trading arrangements or non-Rule 10b5-1 trading arrangements except as previously reported in Part II, Item 9B of the Company’s </w:t>
      </w:r>
      <w:hyperlink r:id="rId10">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20" w:name="ITEM6EXHIBITS_599668"/>
      <w:bookmarkStart w:id="1121" w:name="_19a44872_6750_4060_99fc_f39b1fd3981a"/>
      <w:bookmarkEnd w:id="1120"/>
      <w:bookmarkEnd w:id="112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65"/>
        <w:gridCol w:w="9340"/>
      </w:tblGrid>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340" w:type="dxa"/>
            <w:tcBorders/>
            <w:vAlign w:val="center"/>
          </w:tcPr>
          <w:p>
            <w:pPr>
              <w:pStyle w:val="TableContents"/>
              <w:bidi w:val="0"/>
              <w:spacing w:lineRule="auto" w:line="328" w:before="0" w:after="0"/>
              <w:ind w:left="0" w:right="0" w:hanging="0"/>
              <w:jc w:val="left"/>
              <w:rPr/>
            </w:pPr>
            <w:hyperlink w:anchor="matx-20240331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340" w:type="dxa"/>
            <w:tcBorders/>
            <w:vAlign w:val="center"/>
          </w:tcPr>
          <w:p>
            <w:pPr>
              <w:pStyle w:val="TableContents"/>
              <w:bidi w:val="0"/>
              <w:spacing w:lineRule="auto" w:line="328" w:before="0" w:after="0"/>
              <w:ind w:left="0" w:right="0" w:hanging="0"/>
              <w:jc w:val="left"/>
              <w:rPr/>
            </w:pPr>
            <w:hyperlink w:anchor="matx-20240331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340" w:type="dxa"/>
            <w:tcBorders/>
            <w:vAlign w:val="center"/>
          </w:tcPr>
          <w:p>
            <w:pPr>
              <w:pStyle w:val="TableContents"/>
              <w:bidi w:val="0"/>
              <w:spacing w:lineRule="auto" w:line="328" w:before="0" w:after="0"/>
              <w:ind w:left="0" w:right="0" w:hanging="0"/>
              <w:jc w:val="left"/>
              <w:rPr/>
            </w:pPr>
            <w:hyperlink w:anchor="matx-20240331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22" w:name="SIGNATURES_841218"/>
      <w:bookmarkStart w:id="1123" w:name="_d41679ac_64aa_4c4c_88ca_32979c25750c"/>
      <w:bookmarkEnd w:id="1122"/>
      <w:bookmarkEnd w:id="1123"/>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187" w:type="dxa"/>
        <w:jc w:val="left"/>
        <w:tblInd w:w="0" w:type="dxa"/>
        <w:tblLayout w:type="fixed"/>
        <w:tblCellMar>
          <w:top w:w="0" w:type="dxa"/>
          <w:left w:w="0" w:type="dxa"/>
          <w:bottom w:w="0" w:type="dxa"/>
          <w:right w:w="0" w:type="dxa"/>
        </w:tblCellMar>
      </w:tblPr>
      <w:tblGrid>
        <w:gridCol w:w="1636"/>
        <w:gridCol w:w="2551"/>
      </w:tblGrid>
      <w:tr>
        <w:trPr/>
        <w:tc>
          <w:tcPr>
            <w:tcW w:w="163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6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1, 2024</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Joel M. Wine</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Joel M. Wine</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63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May 1, 2024</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Kevin L. Stuck</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Kevin L. Stuck</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Vice President and Controller</w:t>
            </w:r>
          </w:p>
        </w:tc>
      </w:tr>
      <w:tr>
        <w:trPr/>
        <w:tc>
          <w:tcPr>
            <w:tcW w:w="163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0"/>
        <w:ind w:left="0" w:right="0" w:hanging="0"/>
        <w:jc w:val="right"/>
        <w:rPr>
          <w:rFonts w:ascii="Times New Roman;Times;serif" w:hAnsi="Times New Roman;Times;serif"/>
          <w:b/>
          <w:sz w:val="20"/>
        </w:rPr>
      </w:pPr>
      <w:bookmarkStart w:id="1124" w:name="matx-20240331xex31d1.htm"/>
      <w:bookmarkStart w:id="1125" w:name="ksmatx20240331xex31d1"/>
      <w:bookmarkEnd w:id="1124"/>
      <w:bookmarkEnd w:id="1125"/>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4747" w:type="dxa"/>
        <w:jc w:val="left"/>
        <w:tblInd w:w="0" w:type="dxa"/>
        <w:tblLayout w:type="fixed"/>
        <w:tblCellMar>
          <w:top w:w="0" w:type="dxa"/>
          <w:left w:w="0" w:type="dxa"/>
          <w:bottom w:w="0" w:type="dxa"/>
          <w:right w:w="0" w:type="dxa"/>
        </w:tblCellMar>
      </w:tblPr>
      <w:tblGrid>
        <w:gridCol w:w="1636"/>
        <w:gridCol w:w="109"/>
        <w:gridCol w:w="346"/>
        <w:gridCol w:w="2656"/>
      </w:tblGrid>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 2024</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26" w:name="matx-20240331xex31d2.htm"/>
      <w:bookmarkStart w:id="1127" w:name="ksmatx20240331xex31d2"/>
      <w:bookmarkEnd w:id="1126"/>
      <w:bookmarkEnd w:id="1127"/>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5797" w:type="dxa"/>
        <w:jc w:val="left"/>
        <w:tblInd w:w="0" w:type="dxa"/>
        <w:tblLayout w:type="fixed"/>
        <w:tblCellMar>
          <w:top w:w="0" w:type="dxa"/>
          <w:left w:w="0" w:type="dxa"/>
          <w:bottom w:w="0" w:type="dxa"/>
          <w:right w:w="0" w:type="dxa"/>
        </w:tblCellMar>
      </w:tblPr>
      <w:tblGrid>
        <w:gridCol w:w="1636"/>
        <w:gridCol w:w="109"/>
        <w:gridCol w:w="346"/>
        <w:gridCol w:w="3706"/>
      </w:tblGrid>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 and</w:t>
            </w:r>
          </w:p>
        </w:tc>
      </w:tr>
      <w:tr>
        <w:trPr/>
        <w:tc>
          <w:tcPr>
            <w:tcW w:w="163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May 1, 2024</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28" w:name="matx-20240331xex32.htm"/>
      <w:bookmarkStart w:id="1129" w:name="ksmatx20240331xex32"/>
      <w:bookmarkEnd w:id="1128"/>
      <w:bookmarkEnd w:id="1129"/>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Section 1350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Matson, Inc. (the “Company”) for the quarterly period ended March 31, 2024,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646"/>
        <w:gridCol w:w="4396"/>
        <w:gridCol w:w="109"/>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 2024</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May 1, 2024</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53/000155837024001570/matx-20231231x10k.htm" TargetMode="External"/><Relationship Id="rId3" Type="http://schemas.openxmlformats.org/officeDocument/2006/relationships/hyperlink" Target="https://www.sec.gov/ix?doc=/Archives/edgar/data/3453/000155837024001570/matx-20231231x10k.htm" TargetMode="External"/><Relationship Id="rId4" Type="http://schemas.openxmlformats.org/officeDocument/2006/relationships/hyperlink" Target="https://www.sec.gov/ix?doc=/Archives/edgar/data/3453/000155837024001570/matx-20231231x10k.htm" TargetMode="External"/><Relationship Id="rId5" Type="http://schemas.openxmlformats.org/officeDocument/2006/relationships/hyperlink" Target="https://www.sec.gov/ix?doc=/Archives/edgar/data/3453/000155837024001570/matx-20231231x10k.htm" TargetMode="External"/><Relationship Id="rId6" Type="http://schemas.openxmlformats.org/officeDocument/2006/relationships/hyperlink" Target="https://www.sec.gov/ix?doc=/Archives/edgar/data/3453/000155837024001570/matx-20231231x10k.htm" TargetMode="External"/><Relationship Id="rId7" Type="http://schemas.openxmlformats.org/officeDocument/2006/relationships/hyperlink" Target="https://www.sec.gov/ix?doc=/Archives/edgar/data/3453/000155837024001570/matx-20231231x10k.htm" TargetMode="External"/><Relationship Id="rId8" Type="http://schemas.openxmlformats.org/officeDocument/2006/relationships/hyperlink" Target="https://www.sec.gov/ix?doc=/Archives/edgar/data/3453/000155837024001570/matx-20231231x10k.htm" TargetMode="External"/><Relationship Id="rId9" Type="http://schemas.openxmlformats.org/officeDocument/2006/relationships/hyperlink" Target="https://www.sec.gov/ix?doc=/Archives/edgar/data/3453/000155837024001570/matx-20231231x10k.htm" TargetMode="External"/><Relationship Id="rId10" Type="http://schemas.openxmlformats.org/officeDocument/2006/relationships/hyperlink" Target="https://www.sec.gov/ix?doc=/Archives/edgar/data/3453/000155837024001570/matx-20231231x10k.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13580</Words>
  <Characters>74588</Characters>
  <CharactersWithSpaces>89747</CharactersWithSpaces>
  <Paragraphs>5133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