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454660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523240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7" w:lineRule="exact"/>
        <w:rPr>
          <w:sz w:val="24"/>
          <w:szCs w:val="24"/>
          <w:color w:val="auto"/>
        </w:rPr>
      </w:pPr>
    </w:p>
    <w:p>
      <w:pPr>
        <w:ind w:left="640" w:right="140" w:hanging="318"/>
        <w:spacing w:after="0" w:line="262" w:lineRule="auto"/>
        <w:tabs>
          <w:tab w:leader="none" w:pos="6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40" w:right="100" w:hanging="318"/>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8"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502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51"/>
        </w:trPr>
        <w:tc>
          <w:tcPr>
            <w:tcW w:w="7280" w:type="dxa"/>
            <w:vAlign w:val="bottom"/>
            <w:gridSpan w:val="2"/>
          </w:tcPr>
          <w:p>
            <w:pPr>
              <w:jc w:val="center"/>
              <w:ind w:left="663"/>
              <w:spacing w:after="0"/>
              <w:rPr>
                <w:sz w:val="20"/>
                <w:szCs w:val="20"/>
                <w:color w:val="auto"/>
              </w:rPr>
            </w:pPr>
            <w:r>
              <w:rPr>
                <w:rFonts w:ascii="Times New Roman" w:cs="Times New Roman" w:eastAsia="Times New Roman" w:hAnsi="Times New Roman"/>
                <w:sz w:val="18"/>
                <w:szCs w:val="18"/>
                <w:b w:val="1"/>
                <w:bCs w:val="1"/>
                <w:color w:val="auto"/>
              </w:rPr>
              <w:t>Commission file number 001-34187</w:t>
            </w:r>
          </w:p>
        </w:tc>
        <w:tc>
          <w:tcPr>
            <w:tcW w:w="0" w:type="dxa"/>
            <w:vAlign w:val="bottom"/>
          </w:tcPr>
          <w:p>
            <w:pPr>
              <w:spacing w:after="0"/>
              <w:rPr>
                <w:sz w:val="1"/>
                <w:szCs w:val="1"/>
                <w:color w:val="auto"/>
              </w:rPr>
            </w:pPr>
          </w:p>
        </w:tc>
      </w:tr>
      <w:tr>
        <w:trPr>
          <w:trHeight w:val="481"/>
        </w:trPr>
        <w:tc>
          <w:tcPr>
            <w:tcW w:w="5020" w:type="dxa"/>
            <w:vAlign w:val="bottom"/>
          </w:tcPr>
          <w:p>
            <w:pPr>
              <w:jc w:val="center"/>
              <w:ind w:left="2903"/>
              <w:spacing w:after="0"/>
              <w:rPr>
                <w:sz w:val="20"/>
                <w:szCs w:val="20"/>
                <w:color w:val="auto"/>
              </w:rPr>
            </w:pPr>
            <w:r>
              <w:rPr>
                <w:rFonts w:ascii="Times New Roman" w:cs="Times New Roman" w:eastAsia="Times New Roman" w:hAnsi="Times New Roman"/>
                <w:sz w:val="32"/>
                <w:szCs w:val="32"/>
                <w:b w:val="1"/>
                <w:bCs w:val="1"/>
                <w:color w:val="auto"/>
              </w:rPr>
              <w:t>Matson, Inc.</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80" w:type="dxa"/>
            <w:vAlign w:val="bottom"/>
            <w:gridSpan w:val="2"/>
          </w:tcPr>
          <w:p>
            <w:pPr>
              <w:jc w:val="center"/>
              <w:ind w:left="66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306"/>
        </w:trPr>
        <w:tc>
          <w:tcPr>
            <w:tcW w:w="5020" w:type="dxa"/>
            <w:vAlign w:val="bottom"/>
          </w:tcPr>
          <w:p>
            <w:pPr>
              <w:jc w:val="center"/>
              <w:ind w:right="2103"/>
              <w:spacing w:after="0"/>
              <w:rPr>
                <w:sz w:val="20"/>
                <w:szCs w:val="20"/>
                <w:color w:val="auto"/>
              </w:rPr>
            </w:pPr>
            <w:r>
              <w:rPr>
                <w:rFonts w:ascii="Times New Roman" w:cs="Times New Roman" w:eastAsia="Times New Roman" w:hAnsi="Times New Roman"/>
                <w:sz w:val="18"/>
                <w:szCs w:val="18"/>
                <w:b w:val="1"/>
                <w:bCs w:val="1"/>
                <w:color w:val="auto"/>
                <w:w w:val="98"/>
              </w:rPr>
              <w:t>Hawaii</w:t>
            </w:r>
          </w:p>
        </w:tc>
        <w:tc>
          <w:tcPr>
            <w:tcW w:w="2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99-0032630</w:t>
            </w:r>
          </w:p>
        </w:tc>
        <w:tc>
          <w:tcPr>
            <w:tcW w:w="0" w:type="dxa"/>
            <w:vAlign w:val="bottom"/>
          </w:tcPr>
          <w:p>
            <w:pPr>
              <w:spacing w:after="0"/>
              <w:rPr>
                <w:sz w:val="1"/>
                <w:szCs w:val="1"/>
                <w:color w:val="auto"/>
              </w:rPr>
            </w:pPr>
          </w:p>
        </w:tc>
      </w:tr>
      <w:tr>
        <w:trPr>
          <w:trHeight w:val="189"/>
        </w:trPr>
        <w:tc>
          <w:tcPr>
            <w:tcW w:w="5020" w:type="dxa"/>
            <w:vAlign w:val="bottom"/>
          </w:tcPr>
          <w:p>
            <w:pPr>
              <w:jc w:val="center"/>
              <w:ind w:right="2103"/>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60" w:type="dxa"/>
            <w:vAlign w:val="bottom"/>
          </w:tcPr>
          <w:p>
            <w:pPr>
              <w:jc w:val="center"/>
              <w:ind w:left="83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5020" w:type="dxa"/>
            <w:vAlign w:val="bottom"/>
          </w:tcPr>
          <w:p>
            <w:pPr>
              <w:jc w:val="center"/>
              <w:ind w:right="2083"/>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75"/>
        </w:trPr>
        <w:tc>
          <w:tcPr>
            <w:tcW w:w="5020" w:type="dxa"/>
            <w:vAlign w:val="bottom"/>
          </w:tcPr>
          <w:p>
            <w:pPr>
              <w:jc w:val="center"/>
              <w:ind w:right="2083"/>
              <w:spacing w:after="0"/>
              <w:rPr>
                <w:sz w:val="20"/>
                <w:szCs w:val="20"/>
                <w:color w:val="auto"/>
              </w:rPr>
            </w:pPr>
            <w:r>
              <w:rPr>
                <w:rFonts w:ascii="Times New Roman" w:cs="Times New Roman" w:eastAsia="Times New Roman" w:hAnsi="Times New Roman"/>
                <w:sz w:val="18"/>
                <w:szCs w:val="18"/>
                <w:b w:val="1"/>
                <w:bCs w:val="1"/>
                <w:color w:val="auto"/>
                <w:w w:val="99"/>
              </w:rPr>
              <w:t>1411 Sand Island Parkway</w:t>
            </w:r>
          </w:p>
        </w:tc>
        <w:tc>
          <w:tcPr>
            <w:tcW w:w="22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96819</w:t>
            </w:r>
          </w:p>
        </w:tc>
        <w:tc>
          <w:tcPr>
            <w:tcW w:w="0" w:type="dxa"/>
            <w:vAlign w:val="bottom"/>
          </w:tcPr>
          <w:p>
            <w:pPr>
              <w:spacing w:after="0"/>
              <w:rPr>
                <w:sz w:val="1"/>
                <w:szCs w:val="1"/>
                <w:color w:val="auto"/>
              </w:rPr>
            </w:pPr>
          </w:p>
        </w:tc>
      </w:tr>
      <w:tr>
        <w:trPr>
          <w:trHeight w:val="193"/>
        </w:trPr>
        <w:tc>
          <w:tcPr>
            <w:tcW w:w="5020" w:type="dxa"/>
            <w:vAlign w:val="bottom"/>
          </w:tcPr>
          <w:p>
            <w:pPr>
              <w:jc w:val="center"/>
              <w:ind w:right="2103"/>
              <w:spacing w:after="0" w:line="193" w:lineRule="exact"/>
              <w:rPr>
                <w:sz w:val="20"/>
                <w:szCs w:val="20"/>
                <w:color w:val="auto"/>
              </w:rPr>
            </w:pPr>
            <w:r>
              <w:rPr>
                <w:rFonts w:ascii="Times New Roman" w:cs="Times New Roman" w:eastAsia="Times New Roman" w:hAnsi="Times New Roman"/>
                <w:sz w:val="18"/>
                <w:szCs w:val="18"/>
                <w:b w:val="1"/>
                <w:bCs w:val="1"/>
                <w:color w:val="auto"/>
                <w:w w:val="99"/>
              </w:rPr>
              <w:t>Honolulu, HI</w:t>
            </w:r>
          </w:p>
        </w:tc>
        <w:tc>
          <w:tcPr>
            <w:tcW w:w="2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20" w:type="dxa"/>
            <w:vAlign w:val="bottom"/>
          </w:tcPr>
          <w:p>
            <w:pPr>
              <w:jc w:val="center"/>
              <w:ind w:right="2063"/>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6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(808) 848-1211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MATX</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1"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7"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661" w:right="739" w:bottom="1440" w:gutter="0" w:footer="0" w:header="0"/>
        </w:sectPr>
      </w:pPr>
    </w:p>
    <w:p>
      <w:pPr>
        <w:spacing w:after="0" w:line="80" w:lineRule="exact"/>
        <w:rPr>
          <w:sz w:val="24"/>
          <w:szCs w:val="24"/>
          <w:color w:val="auto"/>
        </w:rPr>
      </w:pPr>
    </w:p>
    <w:p>
      <w:pPr>
        <w:ind w:left="170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69" w:lineRule="exact"/>
        <w:rPr>
          <w:sz w:val="24"/>
          <w:szCs w:val="24"/>
          <w:color w:val="auto"/>
        </w:rPr>
      </w:pPr>
    </w:p>
    <w:p>
      <w:pPr>
        <w:sectPr>
          <w:pgSz w:w="11900" w:h="16838" w:orient="portrait"/>
          <w:cols w:equalWidth="0" w:num="2">
            <w:col w:w="6380" w:space="720"/>
            <w:col w:w="3300"/>
          </w:cols>
          <w:pgMar w:left="760" w:top="661" w:right="739" w:bottom="1440" w:gutter="0" w:footer="0" w:header="0"/>
          <w:type w:val="continuous"/>
        </w:sectPr>
      </w:pPr>
    </w:p>
    <w:p>
      <w:pPr>
        <w:ind w:left="1740"/>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69" w:lineRule="exact"/>
        <w:rPr>
          <w:sz w:val="24"/>
          <w:szCs w:val="24"/>
          <w:color w:val="auto"/>
        </w:rPr>
      </w:pPr>
    </w:p>
    <w:p>
      <w:pPr>
        <w:sectPr>
          <w:pgSz w:w="11900" w:h="16838" w:orient="portrait"/>
          <w:cols w:equalWidth="0" w:num="2">
            <w:col w:w="6000" w:space="720"/>
            <w:col w:w="3680"/>
          </w:cols>
          <w:pgMar w:left="760" w:top="661" w:right="739" w:bottom="1440" w:gutter="0" w:footer="0" w:header="0"/>
          <w:type w:val="continuous"/>
        </w:sectPr>
      </w:pPr>
    </w:p>
    <w:p>
      <w:pPr>
        <w:ind w:left="672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ectPr>
          <w:pgSz w:w="11900" w:h="16838" w:orient="portrait"/>
          <w:cols w:equalWidth="0" w:num="1">
            <w:col w:w="10400"/>
          </w:cols>
          <w:pgMar w:left="760" w:top="661" w:right="739" w:bottom="1440" w:gutter="0" w:footer="0" w:header="0"/>
          <w:type w:val="continuous"/>
        </w:sectPr>
      </w:pPr>
    </w:p>
    <w:p>
      <w:pPr>
        <w:spacing w:after="0" w:line="71" w:lineRule="exact"/>
        <w:rPr>
          <w:sz w:val="24"/>
          <w:szCs w:val="24"/>
          <w:color w:val="auto"/>
        </w:rPr>
      </w:pPr>
    </w:p>
    <w:p>
      <w:pPr>
        <w:ind w:right="3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 w:lineRule="exact"/>
        <w:rPr>
          <w:sz w:val="24"/>
          <w:szCs w:val="24"/>
          <w:color w:val="auto"/>
        </w:rPr>
      </w:pPr>
    </w:p>
    <w:p>
      <w:pPr>
        <w:ind w:right="114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Number of shares of common stock outstanding as of September 30, 2019: 42,866,825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472440</wp:posOffset>
            </wp:positionV>
            <wp:extent cx="6595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60960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95250</wp:posOffset>
            </wp:positionV>
            <wp:extent cx="65951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400"/>
          </w:cols>
          <w:pgMar w:left="760" w:top="661" w:right="7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gridSpan w:val="1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MATSON, INC. AND SUBSIDIARIES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9"/>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08"/>
        </w:trPr>
        <w:tc>
          <w:tcPr>
            <w:tcW w:w="220" w:type="dxa"/>
            <w:vAlign w:val="bottom"/>
            <w:vMerge w:val="restart"/>
          </w:tcPr>
          <w:p>
            <w:pPr>
              <w:spacing w:after="0"/>
              <w:rPr>
                <w:sz w:val="9"/>
                <w:szCs w:val="9"/>
                <w:color w:val="auto"/>
              </w:rPr>
            </w:pPr>
          </w:p>
        </w:tc>
        <w:tc>
          <w:tcPr>
            <w:tcW w:w="7760" w:type="dxa"/>
            <w:vAlign w:val="bottom"/>
            <w:gridSpan w:val="22"/>
            <w:vMerge w:val="restart"/>
          </w:tcPr>
          <w:p>
            <w:pPr>
              <w:ind w:lef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I—FINANCIAL INFORMATION</w:t>
              </w:r>
            </w:hyperlink>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20" w:type="dxa"/>
            <w:vAlign w:val="bottom"/>
            <w:vMerge w:val="continue"/>
          </w:tcPr>
          <w:p>
            <w:pPr>
              <w:spacing w:after="0"/>
              <w:rPr>
                <w:sz w:val="13"/>
                <w:szCs w:val="13"/>
                <w:color w:val="auto"/>
              </w:rPr>
            </w:pPr>
          </w:p>
        </w:tc>
        <w:tc>
          <w:tcPr>
            <w:tcW w:w="7760" w:type="dxa"/>
            <w:vAlign w:val="bottom"/>
            <w:gridSpan w:val="22"/>
            <w:vMerge w:val="continue"/>
          </w:tcPr>
          <w:p>
            <w:pPr>
              <w:spacing w:after="0"/>
              <w:rPr>
                <w:sz w:val="13"/>
                <w:szCs w:val="13"/>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300" w:type="dxa"/>
            <w:vAlign w:val="bottom"/>
            <w:gridSpan w:val="2"/>
          </w:tcPr>
          <w:p>
            <w:pPr>
              <w:spacing w:after="0"/>
              <w:rPr>
                <w:sz w:val="24"/>
                <w:szCs w:val="24"/>
                <w:color w:val="auto"/>
              </w:rPr>
            </w:pPr>
          </w:p>
        </w:tc>
        <w:tc>
          <w:tcPr>
            <w:tcW w:w="24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 (Unaudited)</w:t>
              </w:r>
            </w:hyperlink>
          </w:p>
        </w:tc>
        <w:tc>
          <w:tcPr>
            <w:tcW w:w="4520" w:type="dxa"/>
            <w:vAlign w:val="bottom"/>
            <w:gridSpan w:val="9"/>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40" w:type="dxa"/>
            <w:vAlign w:val="bottom"/>
            <w:gridSpan w:val="18"/>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Income and Comprehensive Income</w:t>
              </w:r>
            </w:hyperlink>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w:t>
              </w:r>
            </w:hyperlink>
          </w:p>
        </w:tc>
        <w:tc>
          <w:tcPr>
            <w:tcW w:w="2520" w:type="dxa"/>
            <w:vAlign w:val="bottom"/>
            <w:tcBorders>
              <w:top w:val="single" w:sz="8" w:color="0000EE"/>
            </w:tcBorders>
            <w:gridSpan w:val="6"/>
          </w:tcPr>
          <w:p>
            <w:pPr>
              <w:spacing w:after="0"/>
              <w:rPr>
                <w:sz w:val="17"/>
                <w:szCs w:val="17"/>
                <w:color w:val="auto"/>
              </w:rPr>
            </w:pPr>
          </w:p>
        </w:tc>
        <w:tc>
          <w:tcPr>
            <w:tcW w:w="1480" w:type="dxa"/>
            <w:vAlign w:val="bottom"/>
            <w:gridSpan w:val="2"/>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w:t>
              </w:r>
            </w:hyperlink>
          </w:p>
        </w:tc>
        <w:tc>
          <w:tcPr>
            <w:tcW w:w="3220" w:type="dxa"/>
            <w:vAlign w:val="bottom"/>
            <w:gridSpan w:val="7"/>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Shareholders’ Equity</w:t>
              </w:r>
            </w:hyperlink>
          </w:p>
        </w:tc>
        <w:tc>
          <w:tcPr>
            <w:tcW w:w="2540" w:type="dxa"/>
            <w:vAlign w:val="bottom"/>
            <w:gridSpan w:val="3"/>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the Condensed Consolidated Financial Statements</w:t>
              </w:r>
            </w:hyperlink>
          </w:p>
        </w:tc>
        <w:tc>
          <w:tcPr>
            <w:tcW w:w="2680" w:type="dxa"/>
            <w:vAlign w:val="bottom"/>
            <w:gridSpan w:val="6"/>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Item 2.</w:t>
              </w:r>
            </w:hyperlink>
          </w:p>
        </w:tc>
        <w:tc>
          <w:tcPr>
            <w:tcW w:w="300" w:type="dxa"/>
            <w:vAlign w:val="bottom"/>
            <w:gridSpan w:val="2"/>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48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gridSpan w:val="2"/>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3.</w:t>
              </w:r>
            </w:hyperlink>
          </w:p>
        </w:tc>
        <w:tc>
          <w:tcPr>
            <w:tcW w:w="300" w:type="dxa"/>
            <w:vAlign w:val="bottom"/>
            <w:gridSpan w:val="2"/>
          </w:tcPr>
          <w:p>
            <w:pPr>
              <w:spacing w:after="0"/>
              <w:rPr>
                <w:sz w:val="17"/>
                <w:szCs w:val="17"/>
                <w:color w:val="auto"/>
              </w:rPr>
            </w:pPr>
          </w:p>
        </w:tc>
        <w:tc>
          <w:tcPr>
            <w:tcW w:w="6940" w:type="dxa"/>
            <w:vAlign w:val="bottom"/>
            <w:gridSpan w:val="18"/>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Quantitative and Qualitative Disclosures about Market Risk</w:t>
              </w:r>
            </w:hyperlink>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4.</w:t>
              </w:r>
            </w:hyperlink>
          </w:p>
        </w:tc>
        <w:tc>
          <w:tcPr>
            <w:tcW w:w="300" w:type="dxa"/>
            <w:vAlign w:val="bottom"/>
            <w:gridSpan w:val="2"/>
          </w:tcPr>
          <w:p>
            <w:pPr>
              <w:spacing w:after="0"/>
              <w:rPr>
                <w:sz w:val="17"/>
                <w:szCs w:val="17"/>
                <w:color w:val="auto"/>
              </w:rPr>
            </w:pPr>
          </w:p>
        </w:tc>
        <w:tc>
          <w:tcPr>
            <w:tcW w:w="43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Controls and Procedures</w:t>
              </w:r>
            </w:hyperlink>
          </w:p>
        </w:tc>
        <w:tc>
          <w:tcPr>
            <w:tcW w:w="2640" w:type="dxa"/>
            <w:vAlign w:val="bottom"/>
            <w:gridSpan w:val="5"/>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7760" w:type="dxa"/>
            <w:vAlign w:val="bottom"/>
            <w:gridSpan w:val="22"/>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Part II—OTHER INFORMATION</w:t>
              </w:r>
            </w:hyperlink>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1.</w:t>
              </w:r>
            </w:hyperlink>
          </w:p>
        </w:tc>
        <w:tc>
          <w:tcPr>
            <w:tcW w:w="300" w:type="dxa"/>
            <w:vAlign w:val="bottom"/>
            <w:tcBorders>
              <w:top w:val="single" w:sz="8" w:color="0000EE"/>
            </w:tcBorders>
            <w:gridSpan w:val="2"/>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Legal Proceedings</w:t>
              </w:r>
            </w:hyperlink>
          </w:p>
        </w:tc>
        <w:tc>
          <w:tcPr>
            <w:tcW w:w="420" w:type="dxa"/>
            <w:vAlign w:val="bottom"/>
            <w:tcBorders>
              <w:top w:val="single" w:sz="8" w:color="0000EE"/>
            </w:tcBorders>
          </w:tcPr>
          <w:p>
            <w:pPr>
              <w:spacing w:after="0"/>
              <w:rPr>
                <w:sz w:val="24"/>
                <w:szCs w:val="24"/>
                <w:color w:val="auto"/>
              </w:rPr>
            </w:pPr>
          </w:p>
        </w:tc>
        <w:tc>
          <w:tcPr>
            <w:tcW w:w="5180" w:type="dxa"/>
            <w:vAlign w:val="bottom"/>
            <w:gridSpan w:val="12"/>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4"/>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1A.</w:t>
              </w:r>
            </w:hyperlink>
          </w:p>
        </w:tc>
        <w:tc>
          <w:tcPr>
            <w:tcW w:w="6940" w:type="dxa"/>
            <w:vAlign w:val="bottom"/>
            <w:gridSpan w:val="18"/>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Risk Factors</w:t>
              </w:r>
            </w:hyperlink>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gridSpan w:val="2"/>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40" w:type="dxa"/>
            <w:vAlign w:val="bottom"/>
            <w:gridSpan w:val="18"/>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Unregistered Sales of Equity Securities and Use of Proceeds</w:t>
              </w:r>
            </w:hyperlink>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3.</w:t>
              </w:r>
            </w:hyperlink>
          </w:p>
        </w:tc>
        <w:tc>
          <w:tcPr>
            <w:tcW w:w="300" w:type="dxa"/>
            <w:vAlign w:val="bottom"/>
            <w:gridSpan w:val="2"/>
          </w:tcPr>
          <w:p>
            <w:pPr>
              <w:spacing w:after="0"/>
              <w:rPr>
                <w:sz w:val="17"/>
                <w:szCs w:val="17"/>
                <w:color w:val="auto"/>
              </w:rPr>
            </w:pPr>
          </w:p>
        </w:tc>
        <w:tc>
          <w:tcPr>
            <w:tcW w:w="43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Defaults Upon Senior Securities</w:t>
              </w:r>
            </w:hyperlink>
          </w:p>
        </w:tc>
        <w:tc>
          <w:tcPr>
            <w:tcW w:w="2600" w:type="dxa"/>
            <w:vAlign w:val="bottom"/>
            <w:gridSpan w:val="4"/>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4.</w:t>
              </w:r>
            </w:hyperlink>
          </w:p>
        </w:tc>
        <w:tc>
          <w:tcPr>
            <w:tcW w:w="300" w:type="dxa"/>
            <w:vAlign w:val="bottom"/>
            <w:gridSpan w:val="2"/>
          </w:tcPr>
          <w:p>
            <w:pPr>
              <w:spacing w:after="0"/>
              <w:rPr>
                <w:sz w:val="17"/>
                <w:szCs w:val="17"/>
                <w:color w:val="auto"/>
              </w:rPr>
            </w:pPr>
          </w:p>
        </w:tc>
        <w:tc>
          <w:tcPr>
            <w:tcW w:w="23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Mine Safety Disclosures</w:t>
              </w:r>
            </w:hyperlink>
          </w:p>
        </w:tc>
        <w:tc>
          <w:tcPr>
            <w:tcW w:w="4620" w:type="dxa"/>
            <w:vAlign w:val="bottom"/>
            <w:gridSpan w:val="10"/>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5.</w:t>
              </w:r>
            </w:hyperlink>
          </w:p>
        </w:tc>
        <w:tc>
          <w:tcPr>
            <w:tcW w:w="300" w:type="dxa"/>
            <w:vAlign w:val="bottom"/>
            <w:gridSpan w:val="2"/>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5180" w:type="dxa"/>
            <w:vAlign w:val="bottom"/>
            <w:gridSpan w:val="12"/>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6.</w:t>
              </w:r>
            </w:hyperlink>
          </w:p>
        </w:tc>
        <w:tc>
          <w:tcPr>
            <w:tcW w:w="300" w:type="dxa"/>
            <w:vAlign w:val="bottom"/>
            <w:gridSpan w:val="2"/>
          </w:tcPr>
          <w:p>
            <w:pPr>
              <w:spacing w:after="0"/>
              <w:rPr>
                <w:sz w:val="17"/>
                <w:szCs w:val="17"/>
                <w:color w:val="auto"/>
              </w:rPr>
            </w:pP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Exhibits</w:t>
              </w:r>
            </w:hyperlink>
          </w:p>
        </w:tc>
        <w:tc>
          <w:tcPr>
            <w:tcW w:w="6340" w:type="dxa"/>
            <w:vAlign w:val="bottom"/>
            <w:gridSpan w:val="17"/>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40" w:type="dxa"/>
            <w:vAlign w:val="bottom"/>
            <w:gridSpan w:val="18"/>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Signatures</w:t>
              </w:r>
            </w:hyperlink>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446"/>
        </w:trPr>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25" w:lineRule="exact"/>
        <w:rPr>
          <w:sz w:val="20"/>
          <w:szCs w:val="20"/>
          <w:color w:val="auto"/>
        </w:rPr>
      </w:pPr>
    </w:p>
    <w:p>
      <w:pPr>
        <w:jc w:val="center"/>
        <w:ind w:left="1440" w:right="16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MATSON, INC. AND SUBSIDIARIES Condensed Consolidated Statements of Income and Comprehensive Income </w:t>
      </w:r>
      <w:r>
        <w:rPr>
          <w:rFonts w:ascii="Times New Roman" w:cs="Times New Roman" w:eastAsia="Times New Roman" w:hAnsi="Times New Roman"/>
          <w:sz w:val="18"/>
          <w:szCs w:val="18"/>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Ocean Transportation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Logistics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Revenue</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costs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income of Terminal Joint Venture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6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Terminal Joint Venture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dry-docking costs,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assets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2,753.8</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4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Accruals and other liabilities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68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2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Reconciling adjustments: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Equity in income of Terminal Joint Venture</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(17.8)</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Distribution from Terminal Joint Venture</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dry-docking payments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(17.9)</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3"/>
        </w:trPr>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dry-docking amortization</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payable, accruals and other liabilities</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(11.7)</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(51.7)</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(8.1)</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196"/>
        </w:trPr>
        <w:tc>
          <w:tcPr>
            <w:tcW w:w="6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Capitalized vessel construction expenditures</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(108.7)</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(222.6)</w:t>
            </w: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capital expenditures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(62.7)</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deposits into Capital Construction Fund</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(68.2)</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(246.6)</w:t>
            </w:r>
          </w:p>
        </w:tc>
        <w:tc>
          <w:tcPr>
            <w:tcW w:w="0" w:type="dxa"/>
            <w:vAlign w:val="bottom"/>
          </w:tcPr>
          <w:p>
            <w:pPr>
              <w:spacing w:after="0"/>
              <w:rPr>
                <w:sz w:val="1"/>
                <w:szCs w:val="1"/>
                <w:color w:val="auto"/>
              </w:rPr>
            </w:pP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Withdrawals from Capital Construction Fund</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debt and capital leases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(28.4)</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revolving credit facility</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(328.3)</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(321.4)</w:t>
            </w:r>
          </w:p>
        </w:tc>
        <w:tc>
          <w:tcPr>
            <w:tcW w:w="0" w:type="dxa"/>
            <w:vAlign w:val="bottom"/>
          </w:tcPr>
          <w:p>
            <w:pPr>
              <w:spacing w:after="0"/>
              <w:rPr>
                <w:sz w:val="1"/>
                <w:szCs w:val="1"/>
                <w:color w:val="auto"/>
              </w:rPr>
            </w:pP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issuance of capital stock</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(27.7)</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Tax withholding related to net share settlements of restricted stock units</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6"/>
        </w:trPr>
        <w:tc>
          <w:tcPr>
            <w:tcW w:w="6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the Period</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End of the Period:</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2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66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the Period</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paid, net of capitalized interest</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tax (refunds) payments, net</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(25.7)</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Information:</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included in accounts payable, accruals and other liabilities</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40" w:right="2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MATSON, INC. AND SUBSIDIARIES Condensed Consolidated Statements of Shareholders’ Equity </w:t>
      </w:r>
      <w:r>
        <w:rPr>
          <w:rFonts w:ascii="Times New Roman" w:cs="Times New Roman" w:eastAsia="Times New Roman" w:hAnsi="Times New Roman"/>
          <w:sz w:val="18"/>
          <w:szCs w:val="18"/>
          <w:color w:val="auto"/>
        </w:rPr>
        <w:t>(Unaudited)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5"/>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5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Stated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12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4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6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2018</w:t>
            </w: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297.8</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$ 460.0</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$ 755.3</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Adoption of new lease accounting standard (see Note 7)</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(0.2)</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($0.21 per share)</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196"/>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March 31, 2019</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297.8</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467.8</w:t>
            </w: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(0.5)</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($0.21 per share and $0.22 per share)</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196"/>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June 30, 2019</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300.7</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467.6</w:t>
            </w: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(0.5)</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(0.2)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181"/>
        </w:trPr>
        <w:tc>
          <w:tcPr>
            <w:tcW w:w="452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Terminal Joint Venture's adoption of new lease accounting</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standard (see Note 2)</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197"/>
        </w:trPr>
        <w:tc>
          <w:tcPr>
            <w:tcW w:w="4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September 30, 2019</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$ 797.7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5"/>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5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Stated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Paid In</w:t>
            </w:r>
          </w:p>
        </w:tc>
        <w:tc>
          <w:tcPr>
            <w:tcW w:w="112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4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6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2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2017</w:t>
            </w: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$ 380.5</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$ 677.2</w:t>
            </w:r>
          </w:p>
        </w:tc>
        <w:tc>
          <w:tcPr>
            <w:tcW w:w="0" w:type="dxa"/>
            <w:vAlign w:val="bottom"/>
          </w:tcPr>
          <w:p>
            <w:pPr>
              <w:spacing w:after="0"/>
              <w:rPr>
                <w:sz w:val="1"/>
                <w:szCs w:val="1"/>
                <w:color w:val="auto"/>
              </w:rPr>
            </w:pPr>
          </w:p>
        </w:tc>
      </w:tr>
      <w:tr>
        <w:trPr>
          <w:trHeight w:val="181"/>
        </w:trPr>
        <w:tc>
          <w:tcPr>
            <w:tcW w:w="452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Reclassification resulting from adoption of new accounting</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standard</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($0.20 per share)</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196"/>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March 31, 2018</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288.1</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392.0</w:t>
            </w: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(0.9)</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Dividends ($0.20 per share and $0.21 per share)</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196"/>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June 30, 2018</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291.2</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406.9</w:t>
            </w:r>
          </w:p>
        </w:tc>
        <w:tc>
          <w:tcPr>
            <w:tcW w:w="16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698.5</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6"/>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Shares issued, net of shares withheld for employee taxes</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(0.2)</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September 30, 2018</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$ 448.5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$ 742.7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MATSON,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FINANICAL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00" w:hanging="591"/>
        <w:spacing w:after="0"/>
        <w:tabs>
          <w:tab w:leader="none" w:pos="6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229" w:lineRule="exact"/>
        <w:rPr>
          <w:sz w:val="20"/>
          <w:szCs w:val="20"/>
          <w:color w:val="auto"/>
        </w:rPr>
      </w:pPr>
    </w:p>
    <w:p>
      <w:pPr>
        <w:jc w:val="both"/>
        <w:ind w:right="159"/>
        <w:spacing w:after="0" w:line="266" w:lineRule="auto"/>
        <w:rPr>
          <w:sz w:val="20"/>
          <w:szCs w:val="20"/>
          <w:color w:val="auto"/>
        </w:rPr>
      </w:pPr>
      <w:r>
        <w:rPr>
          <w:rFonts w:ascii="Times New Roman" w:cs="Times New Roman" w:eastAsia="Times New Roman" w:hAnsi="Times New Roman"/>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w:t>
      </w:r>
    </w:p>
    <w:p>
      <w:pPr>
        <w:spacing w:after="0" w:line="172" w:lineRule="exact"/>
        <w:rPr>
          <w:sz w:val="20"/>
          <w:szCs w:val="20"/>
          <w:color w:val="auto"/>
        </w:rPr>
      </w:pPr>
    </w:p>
    <w:p>
      <w:pPr>
        <w:ind w:right="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Ocean Transportation: </w:t>
      </w:r>
      <w:r>
        <w:rPr>
          <w:rFonts w:ascii="Times New Roman" w:cs="Times New Roman" w:eastAsia="Times New Roman" w:hAnsi="Times New Roman"/>
          <w:sz w:val="18"/>
          <w:szCs w:val="18"/>
          <w:color w:val="auto"/>
        </w:rPr>
        <w:t>Matson’s Ocean Transportation business is conducted through Matson Navigation Company,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also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Matson has a 35 percent ownership interest in SSA Terminals, LLC (“SSAT”), a joint venture between Matson</w:t>
      </w:r>
    </w:p>
    <w:p>
      <w:pPr>
        <w:spacing w:after="0" w:line="27" w:lineRule="exact"/>
        <w:rPr>
          <w:sz w:val="20"/>
          <w:szCs w:val="20"/>
          <w:color w:val="auto"/>
        </w:rPr>
      </w:pPr>
    </w:p>
    <w:p>
      <w:pPr>
        <w:ind w:right="79"/>
        <w:spacing w:after="0" w:line="253" w:lineRule="auto"/>
        <w:rPr>
          <w:sz w:val="20"/>
          <w:szCs w:val="20"/>
          <w:color w:val="auto"/>
        </w:rPr>
      </w:pPr>
      <w:r>
        <w:rPr>
          <w:rFonts w:ascii="Times New Roman" w:cs="Times New Roman" w:eastAsia="Times New Roman" w:hAnsi="Times New Roman"/>
          <w:sz w:val="18"/>
          <w:szCs w:val="18"/>
          <w:color w:val="auto"/>
        </w:rPr>
        <w:t>Ventures, Inc., a wholly-owned subsidiary of MatNav, and SSA Ventures, Inc., a subsidiary of Carrix, Inc. SSAT provides terminal and stevedoring services to various carriers at eight terminal facilities on the U.S. West Coast, including four facilities which are used by MatNav (“Terminal Joint Venture”). Matson records its share of net income from SSAT in costs and expenses in the Condensed Consolidated Statements of Income and Comprehensive Income, and within the Ocean Transportation segment due to the nature of SSAT’s operations.</w:t>
      </w:r>
    </w:p>
    <w:p>
      <w:pPr>
        <w:spacing w:after="0" w:line="183" w:lineRule="exact"/>
        <w:rPr>
          <w:sz w:val="20"/>
          <w:szCs w:val="20"/>
          <w:color w:val="auto"/>
        </w:rPr>
      </w:pPr>
    </w:p>
    <w:p>
      <w:pPr>
        <w:ind w:right="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Logistics: </w:t>
      </w:r>
      <w:r>
        <w:rPr>
          <w:rFonts w:ascii="Times New Roman" w:cs="Times New Roman" w:eastAsia="Times New Roman" w:hAnsi="Times New Roman"/>
          <w:sz w:val="18"/>
          <w:szCs w:val="18"/>
          <w:color w:val="auto"/>
        </w:rPr>
        <w:t>Matson’s Logistics business is conducted through Matson Logistics, Inc. (“Matson Logistics”), a wholly-owned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subsidiary of MatNav. Established in 1987, Matson Logistics is an asset-light business that provides a variety of logistic services to its customers including: (i) multimodal transportation brokerage of domestic and international rail intermodal service,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200" w:lineRule="exact"/>
        <w:rPr>
          <w:sz w:val="20"/>
          <w:szCs w:val="20"/>
          <w:color w:val="auto"/>
        </w:rPr>
      </w:pPr>
    </w:p>
    <w:p>
      <w:pPr>
        <w:spacing w:after="0" w:line="201" w:lineRule="exact"/>
        <w:rPr>
          <w:sz w:val="20"/>
          <w:szCs w:val="20"/>
          <w:color w:val="auto"/>
        </w:rPr>
      </w:pPr>
    </w:p>
    <w:p>
      <w:pPr>
        <w:ind w:left="600" w:hanging="591"/>
        <w:spacing w:after="0"/>
        <w:tabs>
          <w:tab w:leader="none" w:pos="6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ind w:right="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are unaudited, and include the accounts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Matson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 The Company accounts for its investment in the Terminal Joint Venture using the equity method of accounting.</w:t>
      </w:r>
    </w:p>
    <w:p>
      <w:pPr>
        <w:spacing w:after="0" w:line="187" w:lineRule="exact"/>
        <w:rPr>
          <w:sz w:val="20"/>
          <w:szCs w:val="20"/>
          <w:color w:val="auto"/>
        </w:rPr>
      </w:pPr>
    </w:p>
    <w:p>
      <w:pPr>
        <w:ind w:right="59"/>
        <w:spacing w:after="0" w:line="258" w:lineRule="auto"/>
        <w:rPr>
          <w:sz w:val="20"/>
          <w:szCs w:val="20"/>
          <w:color w:val="auto"/>
        </w:rPr>
      </w:pPr>
      <w:r>
        <w:rPr>
          <w:rFonts w:ascii="Times New Roman" w:cs="Times New Roman" w:eastAsia="Times New Roman" w:hAnsi="Times New Roman"/>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4" w:lineRule="exact"/>
        <w:rPr>
          <w:sz w:val="20"/>
          <w:szCs w:val="20"/>
          <w:color w:val="auto"/>
        </w:rPr>
      </w:pPr>
    </w:p>
    <w:p>
      <w:pPr>
        <w:jc w:val="both"/>
        <w:ind w:right="1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the Consolidated Financial Statements and notes thereto included in the Company’s Annual Report on Form 10-K for the year ended December 31, 2018, filed with the Securities and Exchange Commission (“SEC”) on March 4, 2019.</w:t>
      </w:r>
    </w:p>
    <w:p>
      <w:pPr>
        <w:sectPr>
          <w:pgSz w:w="11900" w:h="16838" w:orient="portrait"/>
          <w:cols w:equalWidth="0" w:num="1">
            <w:col w:w="9039"/>
          </w:cols>
          <w:pgMar w:left="142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Period: </w:t>
      </w:r>
      <w:r>
        <w:rPr>
          <w:rFonts w:ascii="Times New Roman" w:cs="Times New Roman" w:eastAsia="Times New Roman" w:hAnsi="Times New Roman"/>
          <w:sz w:val="18"/>
          <w:szCs w:val="18"/>
          <w:color w:val="auto"/>
        </w:rPr>
        <w:t>The period end for Matson covered by this report is September 30, 2019. The period end for MatNav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covered by this report occurred on the last Friday in September, or September 27, 2019, for the third quarter 2019.</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Accounting Policies: </w:t>
      </w:r>
      <w:r>
        <w:rPr>
          <w:rFonts w:ascii="Times New Roman" w:cs="Times New Roman" w:eastAsia="Times New Roman" w:hAnsi="Times New Roman"/>
          <w:sz w:val="18"/>
          <w:szCs w:val="18"/>
          <w:color w:val="auto"/>
        </w:rPr>
        <w:t>The Company’s significant accounting policies are described in Note 2 to the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Statements included in Part II, Item 8 of the Company’s Annual Report on Form 10-K for the year ended December 31, 2018.</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adopted Accounting Standards Codification (“ASC”) 842,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842”) on January 1,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842 requires lessees to record leases on their balance sheets but recognize the expenses in their income statements in a manner similar to pre-adoption practice. ASC 842 states that a lessee would recognize a lease liability for the obligation to make lease payments, and a right-of-use asset for the underlying leased asset for the period of the lease term. Refer to Note 7 for additional information on the Company’s adoption of ASC 842 and other lease related disclosures.</w:t>
      </w:r>
    </w:p>
    <w:p>
      <w:pPr>
        <w:spacing w:after="0" w:line="18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Recognition of Revenues and Related Costs: </w:t>
      </w:r>
      <w:r>
        <w:rPr>
          <w:rFonts w:ascii="Times New Roman" w:cs="Times New Roman" w:eastAsia="Times New Roman" w:hAnsi="Times New Roman"/>
          <w:sz w:val="18"/>
          <w:szCs w:val="18"/>
          <w:color w:val="auto"/>
        </w:rPr>
        <w:t>Revenue in the Company’s Condensed Consolidated Financial Statements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net of elimination of intercompany transactions. The following is a description of the Company’s principal revenue generating activities by segment, and the Company’s revenue recognition policy for each activity: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Ocean Transportation (in millions) (1)</w:t>
            </w: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7"/>
                <w:szCs w:val="17"/>
                <w:color w:val="auto"/>
              </w:rPr>
            </w:pPr>
          </w:p>
        </w:tc>
      </w:tr>
      <w:tr>
        <w:trPr>
          <w:trHeight w:val="210"/>
        </w:trPr>
        <w:tc>
          <w:tcPr>
            <w:tcW w:w="5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$ 1,218.6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Terminal and other related services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8"/>
                <w:szCs w:val="18"/>
                <w:color w:val="auto"/>
              </w:rPr>
            </w:pPr>
          </w:p>
        </w:tc>
      </w:tr>
      <w:tr>
        <w:trPr>
          <w:trHeight w:val="216"/>
        </w:trPr>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sales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Vessel management and related services</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tcPr>
          <w:p>
            <w:pPr>
              <w:spacing w:after="0"/>
              <w:rPr>
                <w:sz w:val="18"/>
                <w:szCs w:val="18"/>
                <w:color w:val="auto"/>
              </w:rPr>
            </w:pPr>
          </w:p>
        </w:tc>
      </w:tr>
      <w:tr>
        <w:trPr>
          <w:trHeight w:val="210"/>
        </w:trPr>
        <w:tc>
          <w:tcPr>
            <w:tcW w:w="55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r>
              <w:rPr>
                <w:rFonts w:ascii="Times New Roman" w:cs="Times New Roman" w:eastAsia="Times New Roman" w:hAnsi="Times New Roman"/>
                <w:sz w:val="18"/>
                <w:szCs w:val="18"/>
                <w:u w:val="single" w:color="auto"/>
                <w:color w:val="auto"/>
              </w:rPr>
              <w:t>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r>
              <w:rPr>
                <w:rFonts w:ascii="Times New Roman" w:cs="Times New Roman" w:eastAsia="Times New Roman" w:hAnsi="Times New Roman"/>
                <w:sz w:val="18"/>
                <w:szCs w:val="18"/>
                <w:u w:val="single" w:color="auto"/>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$ 1,250.5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58" w:lineRule="exact"/>
        <w:rPr>
          <w:sz w:val="20"/>
          <w:szCs w:val="20"/>
          <w:color w:val="auto"/>
        </w:rPr>
      </w:pPr>
    </w:p>
    <w:p>
      <w:pPr>
        <w:ind w:left="340" w:right="140" w:hanging="331"/>
        <w:spacing w:after="0" w:line="262" w:lineRule="auto"/>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revenue transactions are primarily denominated in U.S. dollars except for less than 3 percent of Ocean Transportation revenues and fuel sales revenue categories which are denominated in foreign currencies.</w:t>
      </w:r>
    </w:p>
    <w:p>
      <w:pPr>
        <w:spacing w:after="0" w:line="70" w:lineRule="exact"/>
        <w:rPr>
          <w:sz w:val="20"/>
          <w:szCs w:val="20"/>
          <w:color w:val="auto"/>
        </w:rPr>
      </w:pPr>
    </w:p>
    <w:p>
      <w:pPr>
        <w:ind w:left="340" w:right="140"/>
        <w:spacing w:after="0" w:line="266" w:lineRule="auto"/>
        <w:rPr>
          <w:sz w:val="20"/>
          <w:szCs w:val="20"/>
          <w:color w:val="auto"/>
        </w:rPr>
      </w:pPr>
      <w:r>
        <w:rPr>
          <w:rFonts w:ascii="Times New Roman" w:cs="Times New Roman" w:eastAsia="Times New Roman" w:hAnsi="Times New Roman"/>
          <w:sz w:val="18"/>
          <w:szCs w:val="18"/>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spacing w:after="0" w:line="7" w:lineRule="exact"/>
        <w:rPr>
          <w:sz w:val="20"/>
          <w:szCs w:val="20"/>
          <w:color w:val="auto"/>
        </w:rPr>
      </w:pPr>
    </w:p>
    <w:p>
      <w:pPr>
        <w:ind w:left="340" w:right="60"/>
        <w:spacing w:after="0" w:line="250" w:lineRule="auto"/>
        <w:rPr>
          <w:sz w:val="20"/>
          <w:szCs w:val="20"/>
          <w:color w:val="auto"/>
        </w:rPr>
      </w:pPr>
      <w:r>
        <w:rPr>
          <w:rFonts w:ascii="Times New Roman" w:cs="Times New Roman" w:eastAsia="Times New Roman" w:hAnsi="Times New Roman"/>
          <w:sz w:val="18"/>
          <w:szCs w:val="18"/>
          <w:color w:val="auto"/>
        </w:rPr>
        <w:t>Terminal and other related services revenue is recognized as the services are performed. Related costs are recognized as incurred.</w:t>
      </w:r>
    </w:p>
    <w:p>
      <w:pPr>
        <w:ind w:left="340" w:right="380"/>
        <w:spacing w:after="0" w:line="250" w:lineRule="auto"/>
        <w:rPr>
          <w:sz w:val="20"/>
          <w:szCs w:val="20"/>
          <w:color w:val="auto"/>
        </w:rPr>
      </w:pPr>
      <w:r>
        <w:rPr>
          <w:rFonts w:ascii="Times New Roman" w:cs="Times New Roman" w:eastAsia="Times New Roman" w:hAnsi="Times New Roman"/>
          <w:sz w:val="18"/>
          <w:szCs w:val="18"/>
          <w:color w:val="auto"/>
        </w:rPr>
        <w:t>Fuel sales revenue and related costs are recognized when the Company has completed delivery of the product to the customer in accordance with the terms and conditions of the contract.</w:t>
      </w:r>
    </w:p>
    <w:p>
      <w:pPr>
        <w:ind w:left="340"/>
        <w:spacing w:after="0" w:line="261" w:lineRule="auto"/>
        <w:rPr>
          <w:sz w:val="20"/>
          <w:szCs w:val="20"/>
          <w:color w:val="auto"/>
        </w:rPr>
      </w:pPr>
      <w:r>
        <w:rPr>
          <w:rFonts w:ascii="Times New Roman" w:cs="Times New Roman" w:eastAsia="Times New Roman" w:hAnsi="Times New Roman"/>
          <w:sz w:val="18"/>
          <w:szCs w:val="18"/>
          <w:color w:val="auto"/>
        </w:rPr>
        <w:t>Vessel management and related services revenue is recognized in proportion to the services completed. Related costs are recognized as incurred.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Logistics (in millions) (1)</w:t>
            </w:r>
          </w:p>
        </w:tc>
        <w:tc>
          <w:tcPr>
            <w:tcW w:w="140" w:type="dxa"/>
            <w:vAlign w:val="bottom"/>
          </w:tcPr>
          <w:p>
            <w:pPr>
              <w:spacing w:after="0"/>
              <w:rPr>
                <w:sz w:val="15"/>
                <w:szCs w:val="15"/>
                <w:color w:val="auto"/>
              </w:rPr>
            </w:pPr>
          </w:p>
        </w:tc>
        <w:tc>
          <w:tcPr>
            <w:tcW w:w="1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6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54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Warehouse and distribution services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management and other services</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460" w:hanging="331"/>
        <w:spacing w:after="0" w:line="262"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revenue transactions are primarily denominated in U.S. dollars except for less than 3 percent of transportation brokerage and freight forwarding services revenue, and supply chain management and other services revenue categories which are denominated in foreign currencies.</w:t>
      </w:r>
    </w:p>
    <w:p>
      <w:pPr>
        <w:spacing w:after="0" w:line="70" w:lineRule="exact"/>
        <w:rPr>
          <w:sz w:val="20"/>
          <w:szCs w:val="20"/>
          <w:color w:val="auto"/>
        </w:rPr>
      </w:pPr>
    </w:p>
    <w:p>
      <w:pPr>
        <w:ind w:left="340" w:right="80"/>
        <w:spacing w:after="0" w:line="258" w:lineRule="auto"/>
        <w:rPr>
          <w:sz w:val="20"/>
          <w:szCs w:val="20"/>
          <w:color w:val="auto"/>
        </w:rPr>
      </w:pPr>
      <w:r>
        <w:rPr>
          <w:rFonts w:ascii="Times New Roman" w:cs="Times New Roman" w:eastAsia="Times New Roman" w:hAnsi="Times New Roman"/>
          <w:sz w:val="18"/>
          <w:szCs w:val="18"/>
          <w:color w:val="auto"/>
        </w:rPr>
        <w:t>Transportation Brokerage and Freight Forwarding services revenue consists of amounts billed to customers for services provided. The primary costs include third-party purchased transportation services, labor and equipment costs. Revenue and the related purchased third-party transportation costs are recognized over the duration of a delivery based upon the relative transit time completed in each reporting period. Labor and other operating costs are expensed as incurred. The Company reports revenue on a gross basis as the Company serves as the principal in</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80"/>
        <w:spacing w:after="0" w:line="258" w:lineRule="auto"/>
        <w:rPr>
          <w:sz w:val="20"/>
          <w:szCs w:val="20"/>
          <w:color w:val="auto"/>
        </w:rPr>
      </w:pPr>
      <w:r>
        <w:rPr>
          <w:rFonts w:ascii="Times New Roman" w:cs="Times New Roman" w:eastAsia="Times New Roman" w:hAnsi="Times New Roman"/>
          <w:sz w:val="18"/>
          <w:szCs w:val="18"/>
          <w:color w:val="auto"/>
        </w:rPr>
        <w:t>these transactions because it is responsible for fulfilling the contractual arrangements with the customer and has latitude in establishing prices.</w:t>
      </w:r>
    </w:p>
    <w:p>
      <w:pPr>
        <w:ind w:left="340" w:right="160"/>
        <w:spacing w:after="0" w:line="251" w:lineRule="auto"/>
        <w:rPr>
          <w:sz w:val="20"/>
          <w:szCs w:val="20"/>
          <w:color w:val="auto"/>
        </w:rPr>
      </w:pPr>
      <w:r>
        <w:rPr>
          <w:rFonts w:ascii="Times New Roman" w:cs="Times New Roman" w:eastAsia="Times New Roman" w:hAnsi="Times New Roman"/>
          <w:sz w:val="18"/>
          <w:szCs w:val="18"/>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spacing w:after="0" w:line="3" w:lineRule="exact"/>
        <w:rPr>
          <w:sz w:val="20"/>
          <w:szCs w:val="20"/>
          <w:color w:val="auto"/>
        </w:rPr>
      </w:pPr>
    </w:p>
    <w:p>
      <w:pPr>
        <w:ind w:left="340" w:right="340"/>
        <w:spacing w:after="0" w:line="261" w:lineRule="auto"/>
        <w:rPr>
          <w:sz w:val="20"/>
          <w:szCs w:val="20"/>
          <w:color w:val="auto"/>
        </w:rPr>
      </w:pPr>
      <w:r>
        <w:rPr>
          <w:rFonts w:ascii="Times New Roman" w:cs="Times New Roman" w:eastAsia="Times New Roman" w:hAnsi="Times New Roman"/>
          <w:sz w:val="18"/>
          <w:szCs w:val="18"/>
          <w:color w:val="auto"/>
        </w:rPr>
        <w:t>Supply chain management and other services revenues, and related costs are recognized in proportion to the services performed.</w:t>
      </w:r>
    </w:p>
    <w:p>
      <w:pPr>
        <w:spacing w:after="0" w:line="18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administrative expenses in the Condensed Consolidated Statements of Income and Comprehensive Income.</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Construction Fund: </w:t>
      </w:r>
      <w:r>
        <w:rPr>
          <w:rFonts w:ascii="Times New Roman" w:cs="Times New Roman" w:eastAsia="Times New Roman" w:hAnsi="Times New Roman"/>
          <w:sz w:val="18"/>
          <w:szCs w:val="18"/>
          <w:color w:val="auto"/>
        </w:rPr>
        <w:t>The Company’s Capital Construction Fund (“CCF”) is described in Note 7 to the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Statements included in Part II, Item 8 of the Company’s Annual Report on Form 10-K for the year ended December 31, 2018. As of September 30, 2019 and December 31, 2018, $1.7 million and $1.0 million of eligible accounts receivable were assigned to the CCF, respectively. Due to the nature of the assignment of eligible accounts receivable into the CCF, such assigned amounts are classified as part of accounts receivable in the Condensed Consolidated Balance Sheets. Cash on deposit in the CCF is held in a money market account and classified as a long-term asset in the Company’s Condensed Consolidated Balance Sheets, as the Company intends to use qualified cash withdrawals to fund long-term investment in the construction of new vessels. During the three and nine months ended September 30, 2019, the Company deposited $41.8 million and $68.2 million into the CCF, respectively, and made qualifying cash withdrawals of $41.8 million and $68.2 million from the CCF, respectively. The balance of cash on deposit at September 30, 2019 and December 31, 2018 was nominal.</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Terminal Joint Venture: </w:t>
      </w:r>
      <w:r>
        <w:rPr>
          <w:rFonts w:ascii="Times New Roman" w:cs="Times New Roman" w:eastAsia="Times New Roman" w:hAnsi="Times New Roman"/>
          <w:sz w:val="18"/>
          <w:szCs w:val="18"/>
          <w:color w:val="auto"/>
        </w:rPr>
        <w:t>Condensed income statement information (unaudited) for the Terminal Joint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and nine months ended September 30, 2019 and 2018 consisted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16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6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56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(262.6)</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(259.5)</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(771.8)</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(719.7)</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Net Income (1)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6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Company Share of SSAT's Net Income (2)</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1"/>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earnings from equity method investments held by SSAT less earnings allocated to non-controlling interests.</w:t>
      </w:r>
    </w:p>
    <w:p>
      <w:pPr>
        <w:spacing w:after="0" w:line="3" w:lineRule="exact"/>
        <w:rPr>
          <w:rFonts w:ascii="Times New Roman" w:cs="Times New Roman" w:eastAsia="Times New Roman" w:hAnsi="Times New Roman"/>
          <w:sz w:val="14"/>
          <w:szCs w:val="14"/>
          <w:color w:val="auto"/>
        </w:rPr>
      </w:pPr>
    </w:p>
    <w:p>
      <w:pPr>
        <w:ind w:left="340" w:right="840" w:hanging="331"/>
        <w:spacing w:after="0" w:line="239" w:lineRule="auto"/>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records its share of net income from SSAT in costs and expenses in the Condensed Consolidated Statement of Income and Comprehensive Income due to the nature of SSAT’s operations.</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recorded a net adjustment of $5.6 million that reduced its Investment in Terminal Joint Venture with a corresponding reduction in retained earnings in the Condensed Consolidated Balance Sheets at September 30, 2019. This resulted from the adoption of ASC 842 by SSAT. The Company’s investment in SSAT was $83.7 million and $87.0 million at September 30, 2019 and December 31, 2018, respectively.</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 connection with the Tax Cuts and Jobs Act of 2017 (the “Tax Act”), the Company recorded a non-cash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 of $3.1 million that increased income taxes for the nine months ended September 30, 2018. This adjustment related to the application of an estimated 6.2 percent sequestration on alternative minimum tax (AMT) refunds due to the Company, and was based on guidance issued by the Internal Revenue Service (IRS) and emerging interpretations of the Tax Act during that period. On January 19, 2019, the IRS issued new guidance indicating that sequestration would not apply to refundable AMT credits. In accordance with this new guidance, the Company recorded a non-cash tax adjustment of $2.9 million that decreased income taxes for the nine months ended September 30, 2019. No amounts related to the Tax Act impacted income taxes during the three months ended September 30, 2019 and 2018.</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continues to assess the impact of the Tax Act, related interpretations and other tax legislation, when issued, on the Company’s income tax estimates. These and other factors could materially affect the Company’s financial condition or its future operating results.</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Ocean Transportation business has certain risks that could result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expenditures for environmental remediation. The Company believes that based on all information available to it, the Company is currently in compliance, in all material respects, with applicable environmental laws and regulations.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7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Company’s third quarter 2019 cash dividend of $0.22 per share was paid on September 5, 2019.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25, 2019, the Company’s Board of Directors declared a cash dividend of $0.22 per share payable on December 5, 2019.</w:t>
      </w:r>
    </w:p>
    <w:p>
      <w:pPr>
        <w:spacing w:after="0" w:line="17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(“ASU 2016-13”)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2016, the Financial Accounting Standards Board issued ASU 2016-13 which amends the current approach to estimate credit losses on certain financial assets, including trade and other receivables, available-for-sale securities and other financial instruments. ASU 2016-13 requires entities to establish a valuation allowance for the expected lifetime losses of certain financial instruments. Subsequent changes in the valuation allowance are recorded in current earnings and reversal of previous losses is permitted. The new standard is effective for interim and annual periods beginning on or after December 15, 2019, and early adoption is permitted. The Company is in the process of evaluating this new standard, but does not expect the adoption of ASU 2016-13 to have a significant impact on the Company’s Consolidated Financial Statements.</w:t>
      </w:r>
    </w:p>
    <w:p>
      <w:pPr>
        <w:spacing w:after="0" w:line="200" w:lineRule="exact"/>
        <w:rPr>
          <w:sz w:val="20"/>
          <w:szCs w:val="20"/>
          <w:color w:val="auto"/>
        </w:rPr>
      </w:pPr>
    </w:p>
    <w:p>
      <w:pPr>
        <w:spacing w:after="0" w:line="201" w:lineRule="exact"/>
        <w:rPr>
          <w:sz w:val="20"/>
          <w:szCs w:val="20"/>
          <w:color w:val="auto"/>
        </w:rPr>
      </w:pPr>
    </w:p>
    <w:p>
      <w:pPr>
        <w:ind w:left="600" w:hanging="591"/>
        <w:spacing w:after="0"/>
        <w:tabs>
          <w:tab w:leader="none" w:pos="6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consists of two reportable segments, Ocean Transportation and Logistics, which are further described in Note</w:t>
      </w:r>
    </w:p>
    <w:p>
      <w:pPr>
        <w:spacing w:after="0" w:line="27" w:lineRule="exact"/>
        <w:rPr>
          <w:sz w:val="20"/>
          <w:szCs w:val="20"/>
          <w:color w:val="auto"/>
        </w:rPr>
      </w:pPr>
    </w:p>
    <w:p>
      <w:pPr>
        <w:ind w:right="120" w:firstLine="9"/>
        <w:spacing w:after="0" w:line="253" w:lineRule="auto"/>
        <w:tabs>
          <w:tab w:leader="none" w:pos="2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Ocean Transportation segment provides ocean transportation services to the Logistics segment,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Logistics segment provides logistics services to the Ocean Transportation segment in certain transactions. Accordingly,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revenue of $28.2 million and $27.6 million for the three months ended September 30, 2019 and 2018,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$75.3 million and $72.7 million for the nine months ended September 30, 2019 and 2018, respectively, have been eliminated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operating revenues in the table below.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Reportable segment financial information for the three and nine months ended September 30, 2019 and 2018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Ocean Transportation (1)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Logistics (2)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4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Total Operating Revenue</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Ocean Transportation (3)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Logistics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Operating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80" w:hanging="331"/>
        <w:spacing w:after="0" w:line="233" w:lineRule="auto"/>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operating revenue excludes inter-segment revenue of $14.0 million and $15.2 million for the three months ended September 30, 2019 and 2018, and $39.2 million and $39.9 million for the nine months ended September 30, 2019 and 2018, respectively.</w:t>
      </w:r>
    </w:p>
    <w:p>
      <w:pPr>
        <w:ind w:left="340" w:right="240" w:hanging="331"/>
        <w:spacing w:after="0" w:line="221" w:lineRule="auto"/>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operating revenue excludes inter-segment revenue of $14.2 million and $12.4 million for the three months ended September 30, 2019 and 2018, and $36.1 million and $32.8 million for the nine months ended September 30, 2019 and 2018, respectively.</w:t>
      </w:r>
    </w:p>
    <w:p>
      <w:pPr>
        <w:ind w:left="340" w:right="40" w:hanging="331"/>
        <w:spacing w:after="0" w:line="233" w:lineRule="auto"/>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Ocean Transportation segment information includes $8.4 million and $9.2 million of equity in income from the Company’s investment in SSAT for the three months ended September 30, 2019 and 2018, and $17.8 million and $28.8 million for the nine months ended September 30, 2019 and 2018, respectively.</w:t>
      </w:r>
    </w:p>
    <w:p>
      <w:pPr>
        <w:spacing w:after="0" w:line="393" w:lineRule="exact"/>
        <w:rPr>
          <w:sz w:val="20"/>
          <w:szCs w:val="20"/>
          <w:color w:val="auto"/>
        </w:rPr>
      </w:pPr>
    </w:p>
    <w:p>
      <w:pPr>
        <w:ind w:left="600" w:hanging="591"/>
        <w:spacing w:after="0"/>
        <w:tabs>
          <w:tab w:leader="none" w:pos="6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at September 30, 2019 and December 31, 2018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Vessels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1,647.7</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Containers and equipment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Terminal facilities and other property</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Vessel construction in progress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construction in progress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(1,221.0)</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(1,248.6)</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Vessel construction in progress relates to progress payments for the construction of new vessels, capitalized owner’s items and capitalized interest. During the nine months ended September 30, 2019, the construction of </w:t>
      </w:r>
      <w:r>
        <w:rPr>
          <w:rFonts w:ascii="Times New Roman" w:cs="Times New Roman" w:eastAsia="Times New Roman" w:hAnsi="Times New Roman"/>
          <w:sz w:val="18"/>
          <w:szCs w:val="18"/>
          <w:i w:val="1"/>
          <w:iCs w:val="1"/>
          <w:color w:val="auto"/>
        </w:rPr>
        <w:t>MV Kaimana Hila</w:t>
      </w:r>
      <w:r>
        <w:rPr>
          <w:rFonts w:ascii="Times New Roman" w:cs="Times New Roman" w:eastAsia="Times New Roman" w:hAnsi="Times New Roman"/>
          <w:sz w:val="18"/>
          <w:szCs w:val="18"/>
          <w:color w:val="auto"/>
        </w:rPr>
        <w:t xml:space="preserve"> was completed and the vessel was placed into service resulting in $211.8 million, including $9.9 million of capitalized interest, being transferred from the Vessel construction in progress category to the Vessels category within Property and Equipment. Capitalized interest included in Vessel construction in progress was $17.9 million and $16.3 million at September 30, 2019 and December 31,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91"/>
        <w:spacing w:after="0"/>
        <w:tabs>
          <w:tab w:leader="none" w:pos="6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by segment at September 30, 2019 and December 31, 2018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78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Ocean</w:t>
            </w:r>
          </w:p>
        </w:tc>
        <w:tc>
          <w:tcPr>
            <w:tcW w:w="160" w:type="dxa"/>
            <w:vAlign w:val="bottom"/>
          </w:tcPr>
          <w:p>
            <w:pPr>
              <w:spacing w:after="0"/>
              <w:rPr>
                <w:sz w:val="13"/>
                <w:szCs w:val="13"/>
                <w:color w:val="auto"/>
              </w:rPr>
            </w:pPr>
          </w:p>
        </w:tc>
        <w:tc>
          <w:tcPr>
            <w:tcW w:w="8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8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220" w:type="dxa"/>
            <w:vAlign w:val="bottom"/>
            <w:gridSpan w:val="2"/>
            <w:vMerge w:val="continue"/>
          </w:tcPr>
          <w:p>
            <w:pPr>
              <w:spacing w:after="0"/>
              <w:rPr>
                <w:sz w:val="15"/>
                <w:szCs w:val="15"/>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6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327.</w:t>
            </w:r>
            <w:r>
              <w:rPr>
                <w:rFonts w:ascii="Times New Roman" w:cs="Times New Roman" w:eastAsia="Times New Roman" w:hAnsi="Times New Roman"/>
                <w:sz w:val="18"/>
                <w:szCs w:val="18"/>
                <w:u w:val="single" w:color="auto"/>
                <w:color w:val="auto"/>
              </w:rPr>
              <w:t>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Intangible assets at September 30, 2019 and December 31, 2018 consisted of the following:</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5"/>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Ocean Transportation</w:t>
            </w:r>
          </w:p>
        </w:tc>
        <w:tc>
          <w:tcPr>
            <w:tcW w:w="180" w:type="dxa"/>
            <w:vAlign w:val="bottom"/>
          </w:tcPr>
          <w:p>
            <w:pPr>
              <w:spacing w:after="0"/>
              <w:rPr>
                <w:sz w:val="18"/>
                <w:szCs w:val="18"/>
                <w:color w:val="auto"/>
              </w:rPr>
            </w:pPr>
          </w:p>
        </w:tc>
        <w:tc>
          <w:tcPr>
            <w:tcW w:w="780" w:type="dxa"/>
            <w:vAlign w:val="bottom"/>
            <w:gridSpan w:val="3"/>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Customer Relationships,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 - Logistics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600" w:hanging="591"/>
        <w:spacing w:after="0"/>
        <w:tabs>
          <w:tab w:leader="none" w:pos="6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2019 and December 31, 2018, the Company’s debt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Term Loans: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5.79 %, payable through 2020</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3.66 %, payable through 2023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4.16 %, payable through 2027</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3.37 %, payable through 2027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3.14 %, payable through 2031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4.31 %, payable through 2032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4.35 %, payable through 2044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3.92 %, payable through 2045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XI Bonds: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5.34 %, payable through 2028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5.27 %, payable through 2029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maturity date of June 29, 2022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Company’s debt is described in Note 8 to the Consolidated Financial Statements included in Part II, Item 8 of the Company’s Annual Report on Form 10-K for the year ended December 31, 2018. Borrowings under the revolving credit facility are classified as long-term debt in the Condensed Consolidated Balance Sheets, as principal payments are not required until the maturity date of June 29, 2022.</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2019, the Company had $168.1 million of remaining availability under the revolving credit facility. The average interest rate on borrowings under the revolving credit facility was approximately 3.73 percent during the three months ended September 30, 2019.</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91"/>
        <w:spacing w:after="0"/>
        <w:tabs>
          <w:tab w:leader="none" w:pos="6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New Lease Accounting Standard: </w:t>
      </w:r>
      <w:r>
        <w:rPr>
          <w:rFonts w:ascii="Times New Roman" w:cs="Times New Roman" w:eastAsia="Times New Roman" w:hAnsi="Times New Roman"/>
          <w:sz w:val="18"/>
          <w:szCs w:val="18"/>
          <w:color w:val="auto"/>
        </w:rPr>
        <w:t>The Company adopted the new lease accounting standard ASC 842 on January 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made the following elections:</w:t>
      </w:r>
    </w:p>
    <w:p>
      <w:pPr>
        <w:spacing w:after="0" w:line="132"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Applied the transition requirements that resulted in a cumulative-effect adjustment of $4.4 million recorded to retained earnings at January 1, 2019, due to the elimination of deferred gains from the Company’s sale and leaseback transactions recorded in the Consolidated Balance Sheet as of December 31, 2018;</w:t>
      </w:r>
    </w:p>
    <w:p>
      <w:pPr>
        <w:spacing w:after="0" w:line="7" w:lineRule="exact"/>
        <w:rPr>
          <w:sz w:val="20"/>
          <w:szCs w:val="20"/>
          <w:color w:val="auto"/>
        </w:rPr>
      </w:pPr>
    </w:p>
    <w:p>
      <w:pPr>
        <w:ind w:left="340" w:right="180"/>
        <w:spacing w:after="0" w:line="250" w:lineRule="auto"/>
        <w:rPr>
          <w:sz w:val="20"/>
          <w:szCs w:val="20"/>
          <w:color w:val="auto"/>
        </w:rPr>
      </w:pPr>
      <w:r>
        <w:rPr>
          <w:rFonts w:ascii="Times New Roman" w:cs="Times New Roman" w:eastAsia="Times New Roman" w:hAnsi="Times New Roman"/>
          <w:sz w:val="18"/>
          <w:szCs w:val="18"/>
          <w:color w:val="auto"/>
        </w:rPr>
        <w:t>Elected to apply the package of practical expedient permitted under the transition guidance which allows, among other things, the historical lease classification and initial direct costs to be carried forward;</w:t>
      </w:r>
    </w:p>
    <w:p>
      <w:pPr>
        <w:ind w:left="340" w:right="240"/>
        <w:spacing w:after="0" w:line="250" w:lineRule="auto"/>
        <w:rPr>
          <w:sz w:val="20"/>
          <w:szCs w:val="20"/>
          <w:color w:val="auto"/>
        </w:rPr>
      </w:pPr>
      <w:r>
        <w:rPr>
          <w:rFonts w:ascii="Times New Roman" w:cs="Times New Roman" w:eastAsia="Times New Roman" w:hAnsi="Times New Roman"/>
          <w:sz w:val="18"/>
          <w:szCs w:val="18"/>
          <w:color w:val="auto"/>
        </w:rPr>
        <w:t>Elected the short-term lease exception which allows the Company to exclude leases with an initial term of one year or less from recognition on the Condensed Consolidated Balance Sheets;</w:t>
      </w:r>
    </w:p>
    <w:p>
      <w:pPr>
        <w:ind w:left="340" w:right="320"/>
        <w:spacing w:after="0" w:line="250" w:lineRule="auto"/>
        <w:rPr>
          <w:sz w:val="20"/>
          <w:szCs w:val="20"/>
          <w:color w:val="auto"/>
        </w:rPr>
      </w:pPr>
      <w:r>
        <w:rPr>
          <w:rFonts w:ascii="Times New Roman" w:cs="Times New Roman" w:eastAsia="Times New Roman" w:hAnsi="Times New Roman"/>
          <w:sz w:val="18"/>
          <w:szCs w:val="18"/>
          <w:color w:val="auto"/>
        </w:rPr>
        <w:t>Elected to separate non-lease components by underlying asset class for real estate and terminal leases and operations equipment leases; and</w:t>
      </w:r>
    </w:p>
    <w:p>
      <w:pPr>
        <w:ind w:left="340" w:right="480"/>
        <w:spacing w:after="0" w:line="255" w:lineRule="auto"/>
        <w:rPr>
          <w:sz w:val="20"/>
          <w:szCs w:val="20"/>
          <w:color w:val="auto"/>
        </w:rPr>
      </w:pPr>
      <w:r>
        <w:rPr>
          <w:rFonts w:ascii="Times New Roman" w:cs="Times New Roman" w:eastAsia="Times New Roman" w:hAnsi="Times New Roman"/>
          <w:sz w:val="18"/>
          <w:szCs w:val="18"/>
          <w:color w:val="auto"/>
        </w:rPr>
        <w:t>Elected to use a portfolio approach in applying discount rates to leases based upon the lease terms in the following categories: (i) one to five years; (ii) six to ten years; (iii) eleven to fifteen years; and (iv) sixteen years and greater, regardless of the type of underlying asset class.</w:t>
      </w:r>
    </w:p>
    <w:p>
      <w:pPr>
        <w:spacing w:after="0" w:line="18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Upon adoption of ASC 842, the Company recorded a right-of-use asset of $251.4 million and a corresponding operating lease liability of $259.1 million. As part of the adoption, the Company recorded a net adjustment to retained earnings of $4.4 million. The adoption of ASC 842 did not have a significant impact on the Company’s current earnings, liquidity or existing debt covenant requirements. Significant assumptions and judgments made in applying the new lease accounting standard include determining the Company’s incremental borrowing rate and evaluating the probability of exercising lease options.</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Description of Operating Leases: </w:t>
      </w:r>
      <w:r>
        <w:rPr>
          <w:rFonts w:ascii="Times New Roman" w:cs="Times New Roman" w:eastAsia="Times New Roman" w:hAnsi="Times New Roman"/>
          <w:sz w:val="18"/>
          <w:szCs w:val="18"/>
          <w:color w:val="auto"/>
        </w:rPr>
        <w:t>The Company has different types of operating leases, the specific terms and conditions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vary from lease to lease. Certain operating lease agreements include terms such as: (i) renewal and early termination options; (ii) early buy-out and purchase options; and (iii) rent escalation clauses. The lease agreements also include provisions for the maintenance of the leased asset and payment of lease related costs. The Company reviews the specific terms and conditions of each lease and, as appropriate, notifies the lessor of any intent to exercise any option in accordance with the terms of the lease. In the normal course of business, the Company expects to be able to renew or replace most of its operating leases with other similar leases as they expire. Except for the residual value guarantee described below, the Company’s leases do not contain any other residual value guarantees.</w:t>
      </w:r>
    </w:p>
    <w:p>
      <w:pPr>
        <w:spacing w:after="0" w:line="18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Company’s sub-lease income was nominal to the Company’s Condensed Consolidated Statements of Income and Comprehensive Income for the three and nine months ended September 30, 2019. The Company did not have any finance leases during the nine months ended September 30, 2019. Certain of the Company’s lease agreements include rental payments that may be adjusted in the future based on economic conditions and others include rental payments adjusted periodically for inflation. Variable lease expense is disclosed for the adjusted portion of such payments.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type by underlying asset class and maximum terms of the Company’s operating leases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 Type: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r>
      <w:tr>
        <w:trPr>
          <w:trHeight w:val="210"/>
        </w:trPr>
        <w:tc>
          <w:tcPr>
            <w:tcW w:w="8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and terminal leases</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 years</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Vessel charter leases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equipment and other leases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 years</w:t>
            </w:r>
          </w:p>
        </w:tc>
      </w:tr>
    </w:tbl>
    <w:p>
      <w:pPr>
        <w:spacing w:after="0" w:line="19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Incremental Borrowing Rate: </w:t>
      </w:r>
      <w:r>
        <w:rPr>
          <w:rFonts w:ascii="Times New Roman" w:cs="Times New Roman" w:eastAsia="Times New Roman" w:hAnsi="Times New Roman"/>
          <w:sz w:val="18"/>
          <w:szCs w:val="18"/>
          <w:color w:val="auto"/>
        </w:rPr>
        <w:t>As most of the Company’s operating leases do not provide an implicit rate, the Company 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estimated incremental borrowing rate based on information available at the date of adoption and subsequent lease commencement dates in calculating the present value of its operating lease liabilities. The incremental borrowing rate is determined using the U.S. Treasury rate adjusted to account for the Company’s credit rating and the collateralized nature of operating leases.</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Components of Lease Cost: </w:t>
      </w:r>
      <w:r>
        <w:rPr>
          <w:rFonts w:ascii="Times New Roman" w:cs="Times New Roman" w:eastAsia="Times New Roman" w:hAnsi="Times New Roman"/>
          <w:sz w:val="18"/>
          <w:szCs w:val="18"/>
          <w:color w:val="auto"/>
        </w:rPr>
        <w:t>Components of lease cost recorded in the Company’s Condensed Consolidated Statement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and Comprehensive Income for the three and nine months ended September 30, 2019 consisted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10"/>
        </w:trPr>
        <w:tc>
          <w:tcPr>
            <w:tcW w:w="6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0"/>
        </w:trPr>
        <w:tc>
          <w:tcPr>
            <w:tcW w:w="6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0"/>
        </w:trPr>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Lease Information: </w:t>
      </w:r>
      <w:r>
        <w:rPr>
          <w:rFonts w:ascii="Times New Roman" w:cs="Times New Roman" w:eastAsia="Times New Roman" w:hAnsi="Times New Roman"/>
          <w:sz w:val="18"/>
          <w:szCs w:val="18"/>
          <w:color w:val="auto"/>
        </w:rPr>
        <w:t>Other information related to the Company’s operating leases for the three and nine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is as follows:</w:t>
      </w:r>
    </w:p>
    <w:tbl>
      <w:tblPr>
        <w:tblLayout w:type="fixed"/>
        <w:tblInd w:w="0" w:type="dxa"/>
        <w:tblCellMar>
          <w:top w:w="0" w:type="dxa"/>
          <w:left w:w="0" w:type="dxa"/>
          <w:bottom w:w="0" w:type="dxa"/>
          <w:right w:w="0" w:type="dxa"/>
        </w:tblCellMar>
      </w:tblPr>
      <w:tr>
        <w:trPr>
          <w:trHeight w:val="146"/>
        </w:trPr>
        <w:tc>
          <w:tcPr>
            <w:tcW w:w="6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5"/>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2"/>
                <w:szCs w:val="12"/>
                <w:color w:val="auto"/>
              </w:rPr>
            </w:pPr>
          </w:p>
        </w:tc>
        <w:tc>
          <w:tcPr>
            <w:tcW w:w="128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10"/>
        </w:trPr>
        <w:tc>
          <w:tcPr>
            <w:tcW w:w="6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operating lease liabilities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use assets obtained in the exchange for new operating lease liabilities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335"/>
        </w:trPr>
        <w:tc>
          <w:tcPr>
            <w:tcW w:w="6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1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operating lease term</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years</w:t>
            </w: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4"/>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at September 30, 2019 are as follows: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37"/>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2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0"/>
        </w:trPr>
        <w:tc>
          <w:tcPr>
            <w:tcW w:w="6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0"/>
        </w:trPr>
        <w:tc>
          <w:tcPr>
            <w:tcW w:w="6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Short-term portion</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under non-cancellable operating lease agreements at December 31, 2018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(in millions)</w:t>
            </w:r>
          </w:p>
        </w:tc>
        <w:tc>
          <w:tcPr>
            <w:tcW w:w="300" w:type="dxa"/>
            <w:vAlign w:val="bottom"/>
          </w:tcPr>
          <w:p>
            <w:pPr>
              <w:spacing w:after="0"/>
              <w:rPr>
                <w:sz w:val="15"/>
                <w:szCs w:val="15"/>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7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10"/>
        </w:trPr>
        <w:tc>
          <w:tcPr>
            <w:tcW w:w="78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0"/>
        </w:trPr>
        <w:tc>
          <w:tcPr>
            <w:tcW w:w="7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Residual Value Guarantee: </w:t>
      </w:r>
      <w:r>
        <w:rPr>
          <w:rFonts w:ascii="Times New Roman" w:cs="Times New Roman" w:eastAsia="Times New Roman" w:hAnsi="Times New Roman"/>
          <w:sz w:val="18"/>
          <w:szCs w:val="18"/>
          <w:color w:val="auto"/>
        </w:rPr>
        <w:t>On November 26, 2018, a wholly-owned subsidiary of the Company entered into a Bareboat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 Agreement (the “Charter”). Charter lease payments are approximately $3.0 million per quarter and are included in the operating lease liabilities described above. The base term of the Charter is five years with a two year end-of-term renewal option. The Charter also includes a maximum residual value guarantee amount of $50.9 million after five years, or $47.7 million after the extended term. The residual value guarantee is excluded from operating lease liabilities described above as the Company determined that it is not probable that any portion of the residual value guarantee will be paid by the Company. The Charter and residual value guarantee are described in Note 9 to the Consolidated Financial</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Statements included in Part II, Item 8 of the Company’s Annual Report on Form 10-K for the year ended December 31, 2018.</w:t>
      </w:r>
    </w:p>
    <w:p>
      <w:pPr>
        <w:spacing w:after="0" w:line="200" w:lineRule="exact"/>
        <w:rPr>
          <w:sz w:val="20"/>
          <w:szCs w:val="20"/>
          <w:color w:val="auto"/>
        </w:rPr>
      </w:pPr>
    </w:p>
    <w:p>
      <w:pPr>
        <w:spacing w:after="0" w:line="201" w:lineRule="exact"/>
        <w:rPr>
          <w:sz w:val="20"/>
          <w:szCs w:val="20"/>
          <w:color w:val="auto"/>
        </w:rPr>
      </w:pPr>
    </w:p>
    <w:p>
      <w:pPr>
        <w:ind w:left="580" w:hanging="571"/>
        <w:spacing w:after="0"/>
        <w:tabs>
          <w:tab w:leader="none" w:pos="5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consisted of the following:</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Post-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Pensions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180" w:type="dxa"/>
            <w:vAlign w:val="bottom"/>
          </w:tcPr>
          <w:p>
            <w:pPr>
              <w:spacing w:after="0"/>
              <w:rPr>
                <w:sz w:val="12"/>
                <w:szCs w:val="12"/>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0"/>
        </w:trPr>
        <w:tc>
          <w:tcPr>
            <w:tcW w:w="43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53"/>
              <w:spacing w:after="0" w:line="160" w:lineRule="exact"/>
              <w:rPr>
                <w:sz w:val="20"/>
                <w:szCs w:val="20"/>
                <w:color w:val="auto"/>
              </w:rPr>
            </w:pPr>
            <w:r>
              <w:rPr>
                <w:rFonts w:ascii="Times New Roman" w:cs="Times New Roman" w:eastAsia="Times New Roman" w:hAnsi="Times New Roman"/>
                <w:sz w:val="14"/>
                <w:szCs w:val="14"/>
                <w:b w:val="1"/>
                <w:bCs w:val="1"/>
                <w:color w:val="auto"/>
              </w:rPr>
              <w:t>Plans</w:t>
            </w:r>
          </w:p>
        </w:tc>
        <w:tc>
          <w:tcPr>
            <w:tcW w:w="1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adjustments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adjustments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net of tax,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2018 consisted of the following:</w:t>
      </w:r>
    </w:p>
    <w:tbl>
      <w:tblPr>
        <w:tblLayout w:type="fixed"/>
        <w:tblInd w:w="0" w:type="dxa"/>
        <w:tblCellMar>
          <w:top w:w="0" w:type="dxa"/>
          <w:left w:w="0" w:type="dxa"/>
          <w:bottom w:w="0" w:type="dxa"/>
          <w:right w:w="0" w:type="dxa"/>
        </w:tblCellMar>
      </w:tblPr>
      <w:tr>
        <w:trPr>
          <w:trHeight w:val="146"/>
        </w:trPr>
        <w:tc>
          <w:tcPr>
            <w:tcW w:w="2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Post-</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Pensions</w:t>
            </w: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0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720" w:type="dxa"/>
            <w:vAlign w:val="bottom"/>
            <w:gridSpan w:val="3"/>
            <w:vMerge w:val="continue"/>
          </w:tcPr>
          <w:p>
            <w:pPr>
              <w:spacing w:after="0"/>
              <w:rPr>
                <w:sz w:val="15"/>
                <w:szCs w:val="15"/>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Reclassification adjustment related to the Tax Act (1)</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March 31, 2018</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June 30, 2018</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20" w:hanging="331"/>
        <w:spacing w:after="0" w:line="262" w:lineRule="auto"/>
        <w:tabs>
          <w:tab w:leader="none" w:pos="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from accumulated other comprehensive income (loss) to retained earnings for the remeasurement tax effects resulting from the Tax Act in accordance with ASU 2018-02</w:t>
      </w:r>
      <w:r>
        <w:rPr>
          <w:rFonts w:ascii="Times New Roman" w:cs="Times New Roman" w:eastAsia="Times New Roman" w:hAnsi="Times New Roman"/>
          <w:sz w:val="14"/>
          <w:szCs w:val="14"/>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91"/>
        <w:spacing w:after="0"/>
        <w:tabs>
          <w:tab w:leader="none" w:pos="6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carrying value and fair value of the Company’s financial instruments as of September 30, 2019 and December 31, 2018 are as follows:</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00" w:type="dxa"/>
            <w:vAlign w:val="bottom"/>
            <w:gridSpan w:val="2"/>
          </w:tcPr>
          <w:p>
            <w:pPr>
              <w:ind w:left="200"/>
              <w:spacing w:after="0" w:line="13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960" w:type="dxa"/>
            <w:vAlign w:val="bottom"/>
          </w:tcPr>
          <w:p>
            <w:pPr>
              <w:jc w:val="right"/>
              <w:ind w:right="154"/>
              <w:spacing w:after="0" w:line="13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100" w:type="dxa"/>
            <w:vAlign w:val="bottom"/>
            <w:gridSpan w:val="2"/>
          </w:tcPr>
          <w:p>
            <w:pPr>
              <w:jc w:val="center"/>
              <w:ind w:left="1"/>
              <w:spacing w:after="0" w:line="13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2"/>
          </w:tcPr>
          <w:p>
            <w:pPr>
              <w:jc w:val="right"/>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80" w:type="dxa"/>
            <w:vAlign w:val="bottom"/>
          </w:tcPr>
          <w:p>
            <w:pPr>
              <w:spacing w:after="0"/>
              <w:rPr>
                <w:sz w:val="12"/>
                <w:szCs w:val="12"/>
                <w:color w:val="auto"/>
              </w:rPr>
            </w:pPr>
          </w:p>
        </w:tc>
        <w:tc>
          <w:tcPr>
            <w:tcW w:w="96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100" w:type="dxa"/>
            <w:vAlign w:val="bottom"/>
            <w:tcBorders>
              <w:bottom w:val="single" w:sz="8" w:color="auto"/>
            </w:tcBorders>
            <w:gridSpan w:val="2"/>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42"/>
        </w:trPr>
        <w:tc>
          <w:tcPr>
            <w:tcW w:w="340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140" w:type="dxa"/>
            <w:vAlign w:val="bottom"/>
            <w:tcBorders>
              <w:bottom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at September 30, 2019</w:t>
            </w:r>
          </w:p>
        </w:tc>
        <w:tc>
          <w:tcPr>
            <w:tcW w:w="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rate debt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290.0</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36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602.4</w:t>
            </w:r>
          </w:p>
        </w:tc>
        <w:tc>
          <w:tcPr>
            <w:tcW w:w="700" w:type="dxa"/>
            <w:vAlign w:val="bottom"/>
          </w:tcPr>
          <w:p>
            <w:pPr>
              <w:spacing w:after="0"/>
              <w:rPr>
                <w:sz w:val="20"/>
                <w:szCs w:val="20"/>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0"/>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rate debt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235.0</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Fixed rate debt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36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584.5</w:t>
            </w:r>
          </w:p>
        </w:tc>
        <w:tc>
          <w:tcPr>
            <w:tcW w:w="700" w:type="dxa"/>
            <w:vAlign w:val="bottom"/>
          </w:tcPr>
          <w:p>
            <w:pPr>
              <w:spacing w:after="0"/>
              <w:rPr>
                <w:sz w:val="20"/>
                <w:szCs w:val="20"/>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680" w:hanging="671"/>
        <w:spacing w:after="0"/>
        <w:tabs>
          <w:tab w:leader="none" w:pos="6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Basic earnings per share is determined by dividing net income by the weighted-average common shares outstanding during the period. The calculation of diluted earnings per share includes the dilutive effect of unexercised non-qualified stock options and non-vested restricted stock units. The computation of basic and diluted earnings per share for the three and nine months ended September 30, 2019 and 2018,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gridSpan w:val="1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Three Months Ended September 30, 2019</w:t>
            </w:r>
          </w:p>
        </w:tc>
        <w:tc>
          <w:tcPr>
            <w:tcW w:w="2540" w:type="dxa"/>
            <w:vAlign w:val="bottom"/>
            <w:gridSpan w:val="1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Nine Months Ended September 30, 2019</w:t>
            </w:r>
          </w:p>
        </w:tc>
      </w:tr>
      <w:tr>
        <w:trPr>
          <w:trHeight w:val="125"/>
        </w:trPr>
        <w:tc>
          <w:tcPr>
            <w:tcW w:w="3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Per</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4"/>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Per</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00" w:type="dxa"/>
            <w:vAlign w:val="bottom"/>
          </w:tcPr>
          <w:p>
            <w:pPr>
              <w:spacing w:after="0"/>
              <w:rPr>
                <w:sz w:val="12"/>
                <w:szCs w:val="12"/>
                <w:color w:val="auto"/>
              </w:rPr>
            </w:pPr>
          </w:p>
        </w:tc>
        <w:tc>
          <w:tcPr>
            <w:tcW w:w="78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00" w:type="dxa"/>
            <w:vAlign w:val="bottom"/>
          </w:tcPr>
          <w:p>
            <w:pPr>
              <w:spacing w:after="0"/>
              <w:rPr>
                <w:sz w:val="12"/>
                <w:szCs w:val="12"/>
                <w:color w:val="auto"/>
              </w:rPr>
            </w:pPr>
          </w:p>
        </w:tc>
        <w:tc>
          <w:tcPr>
            <w:tcW w:w="78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r>
      <w:tr>
        <w:trPr>
          <w:trHeight w:val="149"/>
        </w:trPr>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7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1"/>
              </w:rPr>
              <w:t>Share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76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1"/>
              </w:rPr>
              <w:t>Share</w:t>
            </w:r>
          </w:p>
        </w:tc>
      </w:tr>
      <w:tr>
        <w:trPr>
          <w:trHeight w:val="165"/>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00" w:type="dxa"/>
            <w:vAlign w:val="bottom"/>
          </w:tcPr>
          <w:p>
            <w:pPr>
              <w:spacing w:after="0"/>
              <w:rPr>
                <w:sz w:val="14"/>
                <w:szCs w:val="14"/>
                <w:color w:val="auto"/>
              </w:rPr>
            </w:pPr>
          </w:p>
        </w:tc>
        <w:tc>
          <w:tcPr>
            <w:tcW w:w="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0"/>
        </w:trPr>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67.1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r>
      <w:tr>
        <w:trPr>
          <w:trHeight w:val="210"/>
        </w:trPr>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14"/>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Three Months Ended September 30, 2018</w:t>
            </w:r>
          </w:p>
        </w:tc>
        <w:tc>
          <w:tcPr>
            <w:tcW w:w="120" w:type="dxa"/>
            <w:vAlign w:val="bottom"/>
          </w:tcPr>
          <w:p>
            <w:pPr>
              <w:spacing w:after="0"/>
              <w:rPr>
                <w:sz w:val="24"/>
                <w:szCs w:val="24"/>
                <w:color w:val="auto"/>
              </w:rPr>
            </w:pPr>
          </w:p>
        </w:tc>
        <w:tc>
          <w:tcPr>
            <w:tcW w:w="2420" w:type="dxa"/>
            <w:vAlign w:val="bottom"/>
            <w:gridSpan w:val="1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Nine Months Ended September 30, 2018</w:t>
            </w:r>
          </w:p>
        </w:tc>
      </w:tr>
      <w:tr>
        <w:trPr>
          <w:trHeight w:val="125"/>
        </w:trPr>
        <w:tc>
          <w:tcPr>
            <w:tcW w:w="3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3"/>
          </w:tcPr>
          <w:p>
            <w:pPr>
              <w:jc w:val="center"/>
              <w:ind w:right="4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Per</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Per</w:t>
            </w:r>
          </w:p>
        </w:tc>
        <w:tc>
          <w:tcPr>
            <w:tcW w:w="20" w:type="dxa"/>
            <w:vAlign w:val="bottom"/>
          </w:tcPr>
          <w:p>
            <w:pPr>
              <w:spacing w:after="0"/>
              <w:rPr>
                <w:sz w:val="10"/>
                <w:szCs w:val="10"/>
                <w:color w:val="auto"/>
              </w:rPr>
            </w:pPr>
          </w:p>
        </w:tc>
      </w:tr>
      <w:tr>
        <w:trPr>
          <w:trHeight w:val="149"/>
        </w:trPr>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r>
      <w:tr>
        <w:trPr>
          <w:trHeight w:val="149"/>
        </w:trPr>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1"/>
              </w:rPr>
              <w:t>Share</w:t>
            </w:r>
          </w:p>
        </w:tc>
      </w:tr>
      <w:tr>
        <w:trPr>
          <w:trHeight w:val="165"/>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120" w:type="dxa"/>
            <w:vAlign w:val="bottom"/>
          </w:tcPr>
          <w:p>
            <w:pPr>
              <w:spacing w:after="0"/>
              <w:rPr>
                <w:sz w:val="14"/>
                <w:szCs w:val="14"/>
                <w:color w:val="auto"/>
              </w:rPr>
            </w:pPr>
          </w:p>
        </w:tc>
        <w:tc>
          <w:tcPr>
            <w:tcW w:w="6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Income</w:t>
            </w:r>
          </w:p>
        </w:tc>
        <w:tc>
          <w:tcPr>
            <w:tcW w:w="12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10"/>
        </w:trPr>
        <w:tc>
          <w:tcPr>
            <w:tcW w:w="3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210"/>
        </w:trPr>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computation of weighted-average common shares outstanding excludes a nominal amount of anti-dilutive non-qualified stock options for each period ended September 30, 2019 and 2018.</w:t>
      </w:r>
    </w:p>
    <w:p>
      <w:pPr>
        <w:sectPr>
          <w:pgSz w:w="11900" w:h="16838" w:orient="portrait"/>
          <w:cols w:equalWidth="0" w:num="1">
            <w:col w:w="9060"/>
          </w:cols>
          <w:pgMar w:left="1420" w:top="513"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80" w:hanging="671"/>
        <w:spacing w:after="0"/>
        <w:tabs>
          <w:tab w:leader="none" w:pos="6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2019, the Company granted approximately 300 and 359,300 in total of time-based restricted stock units and performance-based shares to certain of its employees at a weighted-average grant date fair value of $36.45 and $33.59, respectively.</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Total share-based compensation cost recognized in the Condensed Consolidated Statements of Income and Comprehensive Income as a component of selling, general and administrative expenses was $2.5 million and $2.7 million for the three months ended September 30, 2019 and 2018, and $8.7 million and $8.2 million for the nine months ended September 30, 2019 and 2018, respectively. Total unrecognized compensation cost related to unvested share-based compensation arrangements was $15.1 million at September 30, 2019, and is expected to be recognized over a weighted-average period of approximately 1.8 years. Total unrecognized compensation cost may be adjusted for any unearned performance shares or forfeited shares.</w:t>
      </w:r>
    </w:p>
    <w:p>
      <w:pPr>
        <w:spacing w:after="0" w:line="200" w:lineRule="exact"/>
        <w:rPr>
          <w:sz w:val="20"/>
          <w:szCs w:val="20"/>
          <w:color w:val="auto"/>
        </w:rPr>
      </w:pPr>
    </w:p>
    <w:p>
      <w:pPr>
        <w:spacing w:after="0" w:line="201" w:lineRule="exact"/>
        <w:rPr>
          <w:sz w:val="20"/>
          <w:szCs w:val="20"/>
          <w:color w:val="auto"/>
        </w:rPr>
      </w:pPr>
    </w:p>
    <w:p>
      <w:pPr>
        <w:ind w:left="680" w:hanging="671"/>
        <w:spacing w:after="0"/>
        <w:tabs>
          <w:tab w:leader="none" w:pos="6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POST-RETIREMENT PLANS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pension and post-retirement plans are described in Note 11 to the Consolidated Financial Statements included in Part II, Item 8 of the Company’s Annual Report on Form 10-K for the year ended December 31, 2018. Components of net periodic benefit cost for the Company’s qualified defined benefit pension and post-retirement plans for the three and nine months ended September 30, 2019 and 2018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8"/>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6"/>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73"/>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2460" w:type="dxa"/>
            <w:vAlign w:val="bottom"/>
            <w:gridSpan w:val="10"/>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4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net periodic benefit cost (benefit):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 (benefit)</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6"/>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73"/>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9"/>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5"/>
                <w:szCs w:val="15"/>
                <w:color w:val="auto"/>
              </w:rPr>
            </w:pPr>
          </w:p>
        </w:tc>
        <w:tc>
          <w:tcPr>
            <w:tcW w:w="22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net periodic benefit cost (benefit):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loss (gain)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 (benefit)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5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8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cautions that forward-looking statements are subject to numerous assumptions, risks and uncertainties, which change over time, including, but not limited to, the risk factors that are described in Part I, Item 1A, “Risk Factors” of Matson’s Annual Report on Form 10-K for the year ended December 31, 2018.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on Form 10-K for the year ended December 31, 2018, the Company’s reports on Forms 10-Q and 8-K, and other publicly available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Ocean Transportation: </w:t>
      </w:r>
      <w:r>
        <w:rPr>
          <w:rFonts w:ascii="Times New Roman" w:cs="Times New Roman" w:eastAsia="Times New Roman" w:hAnsi="Times New Roman"/>
          <w:sz w:val="18"/>
          <w:szCs w:val="18"/>
          <w:color w:val="auto"/>
        </w:rPr>
        <w:t>The Company’s container volume in the Hawaii service in the third quarter 2019 was 2.1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year-over-year primarily due to negative container market growth. Hawaii’s GDP continues on a slowing growth trajectory despite resilience in key economic factors, such as construction activity and visitor traffic. However, the containerized freight market volume has not been keeping pace with GDP growth. The Company expects volume in 2019 to be lower compared to the level achieved in 2018, reflecting less containerized freight volume in Hawaii and stable market share.</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China, the Company’s container volume in the third quarter 2019 was 3.4 percent lower year-over-year primarily due to the timing of an additional sailing in the year ago period. Matson continued to realize a sizeable rate premium in the third quarter 2019 and achieved average freight rates that approximated the level achieved in the third quarter 2018. For 2019, the Company expects volume to approximate the prior year level. In the fourth quarter of 2018, the Company experienced unusually strong performance as a result of the U.S.-China trade situation. For the full year 2019, the Company expects average freight rates to approach the levels achieved in 2018.</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Guam, the Company’s container volume in the third quarter 2019 was 2.1 percent lower on a year-over-year basis. For 2019, the Company expects volume to approximate the level achieved last year and expects the highly competitive environment to remain.</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Alaska, the Company’s container volume for the third quarter 2019 was flat year-over-year. The Company experienced slightly lower northbound volume including the impact from the timing of an additional northbound sailing in the year ago period. Southbound volume was modestly higher year-over-year. For 2019, the Company expects volume to be modestly higher than the level achieved in 2018 with higher northbound volume and approximately flat southbound volume compared to the levels achieved in 2018.</w:t>
      </w:r>
    </w:p>
    <w:p>
      <w:pPr>
        <w:spacing w:after="0" w:line="1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contribution in the third quarter 2019 from the Company’s SSAT joint venture investment was $0.8 million lower than the third quarter 2018. For 2019, the Company expects the contribution from SSAT to be lower primarily due to higher terminal operating costs, partially offset by higher lift volume.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performance in the first nine months and the outlook trends noted above, the Company expects full year 2019 Ocean Transportation operating income to be approximately 25 percent lower than the $131.1 million achieved in 2018 after taking into account a full year net operating expense impact of $7.2 million associated with the sale and leaseback of </w:t>
      </w:r>
      <w:r>
        <w:rPr>
          <w:rFonts w:ascii="Times New Roman" w:cs="Times New Roman" w:eastAsia="Times New Roman" w:hAnsi="Times New Roman"/>
          <w:sz w:val="18"/>
          <w:szCs w:val="18"/>
          <w:i w:val="1"/>
          <w:iCs w:val="1"/>
          <w:color w:val="auto"/>
        </w:rPr>
        <w:t>MV Maunalei</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Logistics: </w:t>
      </w:r>
      <w:r>
        <w:rPr>
          <w:rFonts w:ascii="Times New Roman" w:cs="Times New Roman" w:eastAsia="Times New Roman" w:hAnsi="Times New Roman"/>
          <w:sz w:val="18"/>
          <w:szCs w:val="18"/>
          <w:color w:val="auto"/>
        </w:rPr>
        <w:t>In the third quarter 2019, operating income for the Company’s Logistics segment was $1.4 million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operating income achieved in the third quarter 2018 with positive contributions from nearly all of the service lines. For 2019, the Company is maintaining its outlook and expects Logistics operating income to be approximately 15 to 20 percent higher than the level achieved in 2018 of $32.7 million.</w:t>
      </w:r>
    </w:p>
    <w:p>
      <w:pPr>
        <w:spacing w:after="0" w:line="18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For the full year 2019, the Company expects depreciation and amortization expense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$135 million, inclusive of dry-docking amortization of approximately $35 million.</w:t>
      </w:r>
    </w:p>
    <w:p>
      <w:pPr>
        <w:spacing w:after="0" w:line="15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The Company expects full year 2019 other income (expense) to be approximately $1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which is attributable to other component costs related to the Company’s pension and post-retirement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The Company expects interest expense for the full year 2019 to be approximately $25 million.</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the third quarter 2019, the Company’s effective tax rate was 25.4 percent. For the full year 2019,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expects its effective tax rate to be approximately 26.0 percent, which excludes a positive non-cash adjustment of $2.9 million in the first quarter of 2019 related to the reversal of an expense adjustment in 2018 arising from the enactment of the Tax Cuts and Jobs Act of 2017.</w:t>
      </w:r>
    </w:p>
    <w:p>
      <w:pPr>
        <w:spacing w:after="0" w:line="18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and EBITDA: </w:t>
      </w:r>
      <w:r>
        <w:rPr>
          <w:rFonts w:ascii="Times New Roman" w:cs="Times New Roman" w:eastAsia="Times New Roman" w:hAnsi="Times New Roman"/>
          <w:sz w:val="18"/>
          <w:szCs w:val="18"/>
          <w:color w:val="auto"/>
        </w:rPr>
        <w:t>The Company expects net income in 2019 to decline year-over-year and expects EBITDA in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approximately $270 million.</w:t>
      </w:r>
    </w:p>
    <w:p>
      <w:pPr>
        <w:spacing w:after="0" w:line="15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Capital and Vessel Dry-docking Expenditures: </w:t>
      </w:r>
      <w:r>
        <w:rPr>
          <w:rFonts w:ascii="Times New Roman" w:cs="Times New Roman" w:eastAsia="Times New Roman" w:hAnsi="Times New Roman"/>
          <w:sz w:val="18"/>
          <w:szCs w:val="18"/>
          <w:color w:val="auto"/>
        </w:rPr>
        <w:t>For the third quarter 2019, the Company made other capital expenditure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of $24.3 million, capitalized vessel construction expenditures of $78.1 million, and dry-docking payments of $11.0 million. For the full year 2019, the Company expects to make other capital expenditure payments, including maintenance capital expenditures, of approximately $90 million, vessel construction expenditures (including capitalized interest and owner’s items) of approximately $215 million, and dry-docking payments of approximately $20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Three months ended September 30, 2019, compared with 2018: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2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gridSpan w:val="10"/>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(516.9)</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(530.8)</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8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vMerge w:val="continue"/>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7"/>
        </w:trPr>
        <w:tc>
          <w:tcPr>
            <w:tcW w:w="58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Changes in operating revenue, and operating costs and expenses are further described below in the Analysis of Operating Revenue and Income by Segment.</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September 30, 2019, compared to the three months ended September 30, 2018, was due to a lower amount of capitalized interest associated with the new vessel construction.</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income (expense) relates to the amortization of certain components of net periodic benefit costs or gains related to the Company’s pension and post-retirement plans.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Income tax expense was $12.3 million or 25.4 percent of income before income taxes for the three months ended September 30, 2019, compared to $13.3 million or 24.2 percent of income before income taxes for the three months ended September 30, 2018. The effective tax rate for the three months ended June 30, 2019 was impacted by higher foreign taxes paid during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Nine months ended September 30, 2019, compared with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1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(1,524.6)</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vMerge w:val="continue"/>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7"/>
        </w:trPr>
        <w:tc>
          <w:tcPr>
            <w:tcW w:w="56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Changes in operating revenue, and operating costs and expenses are further described below in the Analysis of Operating Revenue and Income by Segment.</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for the nine months ended September 30, 2019, compared to the nine months ended September 30, 2018, was due to higher interest rates on borrowings under the revolving credit facility and a lower amount of capitalized interest associated with the new vessel construction.</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income (expense) relates to the amortization of certain components of net periodic benefit costs or gains related to the Company’s pension and post-retirement plans.</w:t>
      </w:r>
    </w:p>
    <w:p>
      <w:pPr>
        <w:spacing w:after="0" w:line="16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Income tax expense was $20.6 million or 23.5 percent of income before income taxes for the nine months ended September 30, 2019, compared to $32.4 million or 26.8 percent of income before income taxes for the nine months</w:t>
      </w:r>
    </w:p>
    <w:p>
      <w:pPr>
        <w:sectPr>
          <w:pgSz w:w="11900" w:h="16838" w:orient="portrait"/>
          <w:cols w:equalWidth="0" w:num="1">
            <w:col w:w="9060"/>
          </w:cols>
          <w:pgMar w:left="1420" w:top="513" w:right="141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ended September 30, 2018. In connection with the Tax Cuts and Jobs Act of 2017 (the “Tax Act”), the Company recorded a non-cash tax adjustment of $3.1 million that increased the effective tax rate for the nine months ended September 30, 2018. This adjustment related to the application of an estimated 6.2 percent sequestration on alternative minimum tax (AMT) refunds due to the Company for the years 2018 to 2021, and was based on guidance issued by the Internal Revenue Service (IRS) and emerging interpretations of the Tax Act during that period. On January 19, 2019, the IRS issued new guidance indicating that sequestration would not apply to refundable AMT credits. In accordance with this new guidance, the Company recorded a non-cash tax adjustment of $2.9 million that decreased income taxes for the nine months ended September 30, 2019. Excluding the impact of these discrete tax adjustments, the adjusted effective tax rate would be 26.8 percent for the nine months ended September 30, 2019, compared to 24.3 percent for the nine months ended September 30, 2018. The effective tax rate for the nine months ended September 30, 2019 was also impacted by higher foreign taxes paid during the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OPERATING REVENUE AND INCOME BY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Operating Results: Three months ended September 30, 2019, compared with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9"/>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Transportation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(388.6)</w:t>
            </w: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5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Hawaii automobiles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Alaska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 containers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Guam containers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4"/>
        </w:trPr>
        <w:tc>
          <w:tcPr>
            <w:tcW w:w="5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containers (2)</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14408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55" w:lineRule="exact"/>
        <w:rPr>
          <w:sz w:val="20"/>
          <w:szCs w:val="20"/>
          <w:color w:val="auto"/>
        </w:rPr>
      </w:pPr>
    </w:p>
    <w:p>
      <w:pPr>
        <w:ind w:left="340" w:right="300" w:hanging="331"/>
        <w:spacing w:after="0" w:line="233" w:lineRule="auto"/>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40" w:hanging="331"/>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from services in various islands in Micronesia and the South Pacific, and Okinawa, Japan.</w:t>
      </w:r>
    </w:p>
    <w:p>
      <w:pPr>
        <w:spacing w:after="0" w:line="19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Ocean Transportation revenue decreased $0.1 million during the three months ended September 30, 2019, compared with the three months ended September 30, 2018. The decrease was primarily due to lower fuel surcharge revenue and lower Hawaii container volume, partially offset by higher freight revenue in Alaska and higher average rates in Hawaii.</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 year-over-year FEU basis, Hawaii container volume decreased 2.1 percent primarily due to negative container market growth; Alaska volume was flat with slightly lower northbound volume, including the impact from the timing of an additional northbound sailing in the year ago period, and modestly higher southbound volume; China volume was 3.4 percent lower due to the timing of an additional sailing in the year ago period; Guam volume was 2.1 percent lower; and Other containers volume decreased 2.2 percent.</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Ocean Transportation operating income decreased $4.8 million, or 9.9 percent, during the three months ended September 30, 2019, compared with the three months ended September 30, 2018. The decrease was primarily due to higher terminal handling costs, higher vessel operating costs (including </w:t>
      </w:r>
      <w:r>
        <w:rPr>
          <w:rFonts w:ascii="Times New Roman" w:cs="Times New Roman" w:eastAsia="Times New Roman" w:hAnsi="Times New Roman"/>
          <w:sz w:val="18"/>
          <w:szCs w:val="18"/>
          <w:i w:val="1"/>
          <w:iCs w:val="1"/>
          <w:color w:val="auto"/>
        </w:rPr>
        <w:t>MV Maunalei</w:t>
      </w:r>
      <w:r>
        <w:rPr>
          <w:rFonts w:ascii="Times New Roman" w:cs="Times New Roman" w:eastAsia="Times New Roman" w:hAnsi="Times New Roman"/>
          <w:sz w:val="18"/>
          <w:szCs w:val="18"/>
          <w:color w:val="auto"/>
        </w:rPr>
        <w:t xml:space="preserve"> lease expense), and lower volume in Hawaii.</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SSAT terminal joint venture investment contributed $8.4 million during the three months ended September 30, 2019, compared to a contribution of $9.2 million during the three months ended September 30, 2018. The decrease was primarily due to higher terminal operating costs, partially offset by the timing of some of the additional expense related to the early adoption of the new lease accounting standard in the second quarter and higher lift volume.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Ocean Transportation Operating Results: Nine months ended September 30, 2019, compared with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 Transportation revenue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(1,177.5)</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(1,113.5)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Volume (Forty-foot equivalent units (FEU), except for automobiles) (1)</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containers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Hawaii automobiles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Alaska containers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 containers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Guam containers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4"/>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containers (2)</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14408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55" w:lineRule="exact"/>
        <w:rPr>
          <w:sz w:val="20"/>
          <w:szCs w:val="20"/>
          <w:color w:val="auto"/>
        </w:rPr>
      </w:pPr>
    </w:p>
    <w:p>
      <w:pPr>
        <w:ind w:left="340" w:right="300" w:hanging="331"/>
        <w:spacing w:after="0" w:line="233" w:lineRule="auto"/>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40" w:hanging="331"/>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containers from services in various islands in Micronesia and the South Pacific, and Okinawa, Japan.</w:t>
      </w:r>
    </w:p>
    <w:p>
      <w:pPr>
        <w:spacing w:after="0" w:line="19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Ocean Transportation revenue increased $27.3 million, or 2.2 percent, during the nine months ended September 30, 2019, compared with the nine months ended September 30, 2018. The increase was primarily due to higher revenue in Alaska, higher average rates in Hawaii, and higher revenue in China, partially offset by lower Hawaii container volume.</w:t>
      </w:r>
    </w:p>
    <w:p>
      <w:pPr>
        <w:spacing w:after="0" w:line="17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On a year-over-year FEU basis, Hawaii container volume decreased 2.2 percent primarily due to negative container market growth and weather-related impacts in the first quarter of 2019; Alaska volume increased by 0.7 percent primarily due to higher northbound volume, partially offset by lower northbound volume related to the dry-docking of a competitor’s vessel in the year ago period; China volume was 3.7 percent higher primarily due to stronger volume post Lunar New Year; Guam volume was 0.7 percent higher; and Other containers volume increased 12.4 percent primarily due to the Okinawa service.</w:t>
      </w:r>
    </w:p>
    <w:p>
      <w:pPr>
        <w:spacing w:after="0" w:line="1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Ocean Transportation operating income decreased $36.7 million, or 33.5 percent, during the nine months ended September 30, 2019, compared with the nine months ended September 30, 2018. The decrease was primarily due to higher vessel operating costs (including </w:t>
      </w:r>
      <w:r>
        <w:rPr>
          <w:rFonts w:ascii="Times New Roman" w:cs="Times New Roman" w:eastAsia="Times New Roman" w:hAnsi="Times New Roman"/>
          <w:sz w:val="18"/>
          <w:szCs w:val="18"/>
          <w:i w:val="1"/>
          <w:iCs w:val="1"/>
          <w:color w:val="auto"/>
        </w:rPr>
        <w:t>MV Maunalei</w:t>
      </w:r>
      <w:r>
        <w:rPr>
          <w:rFonts w:ascii="Times New Roman" w:cs="Times New Roman" w:eastAsia="Times New Roman" w:hAnsi="Times New Roman"/>
          <w:sz w:val="18"/>
          <w:szCs w:val="18"/>
          <w:color w:val="auto"/>
        </w:rPr>
        <w:t xml:space="preserve"> lease expense), higher terminal handling costs, a lower contribution from SSAT, and lower container volume in Hawaii, partially offset by a higher contribution from the Alaska and China services.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Company’s SSAT terminal joint venture investment contributed $17.8 million during the nine months ended September 30, 2019, compared to a contribution of $28.8 million during the nine months ended September 30, 2018. The decrease was primarily due to higher terminal operating costs and the absence of favorable one-time items in the year ago nine months period.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Logistics Operating Results: Three months ended September 30, 2019, compared with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10"/>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Logistics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Logistics revenue decreased $17.2 million, or 11.3 percent, during the three months ended September 30, 2019, compared with the three months ended September 30, 2018. The decrease was primarily due to lower transportation brokerage revenue.</w:t>
      </w:r>
    </w:p>
    <w:p>
      <w:pPr>
        <w:sectPr>
          <w:pgSz w:w="11900" w:h="16838" w:orient="portrait"/>
          <w:cols w:equalWidth="0" w:num="1">
            <w:col w:w="9060"/>
          </w:cols>
          <w:pgMar w:left="142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Logistics operating income increased $1.4 million, or 14.1 percent, for the three months ended September 30, 2019, compared with the three months ended September 30, 2018. The increase was due primarily to a higher contribution from freight forwarding.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Logistics Operating Results: Nine months ended September 30, 2019, compared with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Logistics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(411.1)</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Logistics revenue decreased $22.8 million, or 5.2 percent, during the nine months ended September 30, 2019, compared with the nine months ended September 30, 2018. The decrease was primarily due to lower transportation brokerage revenue, partially offset by higher freight forwarding revenue.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Logistics operating income increased $7.1 million, or 30.1 percent, for the nine months ended September 30, 2019, compared with the nine months ended September 30, 2018. The increase was due primarily to higher contributions from freight forwarding and transportation brokerage.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Sources of Liquidity: </w:t>
      </w:r>
      <w:r>
        <w:rPr>
          <w:rFonts w:ascii="Times New Roman" w:cs="Times New Roman" w:eastAsia="Times New Roman" w:hAnsi="Times New Roman"/>
          <w:sz w:val="18"/>
          <w:szCs w:val="18"/>
          <w:color w:val="auto"/>
        </w:rPr>
        <w:t>Sources of liquidity available to the Company at September 30, 2019, compared to December 31,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as follows:</w:t>
      </w:r>
    </w:p>
    <w:tbl>
      <w:tblPr>
        <w:tblLayout w:type="fixed"/>
        <w:tblInd w:w="0" w:type="dxa"/>
        <w:tblCellMar>
          <w:top w:w="0" w:type="dxa"/>
          <w:left w:w="0" w:type="dxa"/>
          <w:bottom w:w="0" w:type="dxa"/>
          <w:right w:w="0" w:type="dxa"/>
        </w:tblCellMar>
      </w:tblPr>
      <w:tr>
        <w:trPr>
          <w:trHeight w:val="138"/>
        </w:trPr>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2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60" w:hanging="331"/>
        <w:spacing w:after="0" w:line="262" w:lineRule="auto"/>
        <w:tabs>
          <w:tab w:leader="none" w:pos="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2019 and December 31, 2018, $1.7 million and $1.0 million, respectively, of eligible accounts receivable were assigned to the CCF (see Note 2 of the Condensed Consolidated Financial Statements).</w:t>
      </w:r>
    </w:p>
    <w:p>
      <w:pPr>
        <w:spacing w:after="0" w:line="16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changes in the Company’s cash, cash equivalents and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for the nine months ended September 30, 2019, compared to the nine months ended September 30, 2018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258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 (1)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cash used in investing activities (2)</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(168.3)</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(231.4)</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 (3)</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(4.3)</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196"/>
        </w:trPr>
        <w:tc>
          <w:tcPr>
            <w:tcW w:w="6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beginning of the period</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end of the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8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Change in net cash provided by operating activities: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Changes in net cash provided by operating activities for the nine months ended September 30, 2019, compared to the nine months ended September 30, 2018, were due to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7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deferred income taxes</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Terminal Joint Venture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from Terminal Joint Venture</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accruals and other liabilities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dry-docking payments</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dry-docking amortization</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80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u w:val="single" w:color="auto"/>
                <w:color w:val="auto"/>
              </w:rPr>
              <w:t>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change in equity in income and distributions from the Terminal Joint Venture results from a decrease in the Company’s share of income from the Terminal Joint Venture to $17.8 million during the nine months ended September 30, 2019, compared to $28.8 million for the nine months ended September 30, 2018, while distributions from the Terminal Joint Venture decreased to $14.7 million for the nine months ended September 30, 2019, compared to $42.0 million for the nine months ended September 30, 2018. Changes in accounts receivable were primarily due to the timing of billings and collections associated with those receivables. The increase in prepaid expenses and other assets primarily related to an income tax refund received during the nine months ended September 30, 2019, and the timing of prepayments and other assets. Changes in accounts payable, accruals and other liabilities were primarily due to the timing of payments associated with those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Change in net cash used in investing activities: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Changes in net cash used in investing activities for the nine months ended September 30, 2019, compared to the nine months ended September 30, 2018, were due to the following:</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vessel construction expenditures</w:t>
            </w:r>
          </w:p>
        </w:tc>
        <w:tc>
          <w:tcPr>
            <w:tcW w:w="3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Cash deposits into CCF</w:t>
            </w: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Withdrawals from CCF</w:t>
            </w:r>
          </w:p>
        </w:tc>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capital expenditures</w:t>
            </w: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 net</w:t>
            </w:r>
          </w:p>
        </w:tc>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other investments</w:t>
            </w: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640" w:type="dxa"/>
            <w:vAlign w:val="bottom"/>
            <w:vMerge w:val="restart"/>
          </w:tcPr>
          <w:p>
            <w:pPr>
              <w:jc w:val="right"/>
              <w:ind w:right="313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2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3"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vessel construction expenditures (including capitalized interest) were $108.7 million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compared to $222.6 million for the nine months ended September 30, 2018. Capitalized vessel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expenditures relate to progress payments for the construction of new vessels, capitalized interest and owner’s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Changes in cash deposits into CCF and withdrawals from CCF primarily relate to the timing of when deposits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into the CCF, and when the subsequent withdrawals are made out of the CCF for the purposes of vessel construction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 payments. Other capital expenditures payments were $62.7 million for the nine months ended September 30,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$44.7 million for the nine months ended September 30, 2018. The increase in other capital expenditures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to the timing of certain capital project activities incurred during 2019 as compared to 2018. The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 is primarily due to sale and leaseback of chassis and container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owned by the Company during the nine months ended September 30, 2018. There were no sale and leaseback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during the nine months ended September 30, 2019. The decrease in proceeds from sale of other investments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 million related to the surrender of life insurance policies during the nine months ended September 30, 2018. There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sale of other investments during the nine months ended September 30, 2019.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Change in net cash (used in) provided by financing activities:</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Changes in net cash (used in) provided by financing activities for the nine months ended September 30, 2019, compared to the nine months ended September 30, 2018, were due to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7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fixed interest debt and capital leases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under revolving credit facility, net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Change in other payments, net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bottom w:val="single" w:sz="8" w:color="CCEEFF"/>
            </w:tcBorders>
          </w:tcPr>
          <w:p>
            <w:pPr>
              <w:spacing w:after="0"/>
              <w:rPr>
                <w:sz w:val="18"/>
                <w:szCs w:val="18"/>
                <w:color w:val="auto"/>
              </w:rPr>
            </w:pPr>
          </w:p>
        </w:tc>
      </w:tr>
      <w:tr>
        <w:trPr>
          <w:trHeight w:val="210"/>
        </w:trPr>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u w:val="single" w:color="auto"/>
                <w:color w:val="auto"/>
              </w:rPr>
              <w:t>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paid $28.4 million in scheduled fixed debt and capital lease payments compared to $17.0 million during the nine months ended September 30, 2018. During the nine months ended September 30, 2019, the Company increased net borrowings under the revolving credit facility by $55.0 million, compared to $68.0 million during the nine months ended September 30, 2018. Borrowings from the Company’s revolving credit facility were primarily used to fund progress payments related to the construction of new vessels. During the nine months ended September 30, 2019, the Company paid $27.7 million in dividends, compared to $26.3 million during the nine months ended September 30, 2018. The increase in dividend payments resulted from an increase in dividends declared per share of common stock by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w:t>
      </w:r>
      <w:r>
        <w:rPr>
          <w:rFonts w:ascii="Times New Roman" w:cs="Times New Roman" w:eastAsia="Times New Roman" w:hAnsi="Times New Roman"/>
          <w:sz w:val="18"/>
          <w:szCs w:val="18"/>
          <w:color w:val="auto"/>
        </w:rPr>
        <w:t>Total debt as of September 30, 2019 and December 31, 2018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interest debt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Total debt increased by $26.6 million during the nine months ended September 30, 2019. The increase in the Company’s revolving credit facility was primarily due to the funding of progress payments related to the construction of new vessels during the nine months ended September 30, 2019. The reduction in fixed interest debt was due to scheduled debt payments made during the nine months ended September 30, 2019.</w:t>
      </w:r>
    </w:p>
    <w:p>
      <w:pPr>
        <w:spacing w:after="0" w:line="180" w:lineRule="exact"/>
        <w:rPr>
          <w:sz w:val="20"/>
          <w:szCs w:val="20"/>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September 30, 2019, the Company had $168.1 million of availability under the revolving credit facility, with a maturity date of June 29, 2022. The Company’s debt is described in Note 8 to the Consolidated Financial Statements included in Part II, Item 8 of the Company’s </w:t>
      </w:r>
      <w:hyperlink r:id="rId36">
        <w:r>
          <w:rPr>
            <w:rFonts w:ascii="Times New Roman" w:cs="Times New Roman" w:eastAsia="Times New Roman" w:hAnsi="Times New Roman"/>
            <w:sz w:val="18"/>
            <w:szCs w:val="18"/>
            <w:u w:val="single" w:color="auto"/>
            <w:color w:val="0000EE"/>
          </w:rPr>
          <w:t>Annual Report on Form 10-K for the year ended December 31, 2018</w:t>
        </w:r>
      </w:hyperlink>
      <w:r>
        <w:rPr>
          <w:rFonts w:ascii="Times New Roman" w:cs="Times New Roman" w:eastAsia="Times New Roman" w:hAnsi="Times New Roman"/>
          <w:sz w:val="18"/>
          <w:szCs w:val="18"/>
          <w:color w:val="auto"/>
        </w:rPr>
        <w:t>, which is incorporated herein by reference.</w:t>
      </w:r>
    </w:p>
    <w:p>
      <w:pPr>
        <w:spacing w:after="0" w:line="176"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Company had a working capital deficiency of $138.2 million and $52.4 million at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and December 31, 2018, respectively. The increase in working capital deficiency at September 30, 2019 is partially due to the recording of the short-term portion of operating lease liabilities of $64.4 million as of September 30, 2019, in accordance with the adoption of the new lease accounting standard ASC 842. Working capital is also impacted</w:t>
      </w:r>
    </w:p>
    <w:p>
      <w:pPr>
        <w:sectPr>
          <w:pgSz w:w="11900" w:h="16838" w:orient="portrait"/>
          <w:cols w:equalWidth="0" w:num="1">
            <w:col w:w="9060"/>
          </w:cols>
          <w:pgMar w:left="1420" w:top="513"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3" w:right="141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by the timing of billings and collections associated with accounts receivable and other assets, and the timing of payments associated with accounts payable, accruals and other liabilities.</w:t>
      </w:r>
    </w:p>
    <w:p>
      <w:pPr>
        <w:spacing w:after="0" w:line="15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CONTRACTUAL OBLIGATIONS, COMMITMENTS, CONTINGENCIES AND OFF-BALANCE SHEET ARRANGEMENTS</w:t>
      </w:r>
    </w:p>
    <w:p>
      <w:pPr>
        <w:spacing w:after="0" w:line="159" w:lineRule="exact"/>
        <w:rPr>
          <w:sz w:val="20"/>
          <w:szCs w:val="20"/>
          <w:color w:val="auto"/>
        </w:rPr>
      </w:pPr>
    </w:p>
    <w:p>
      <w:pPr>
        <w:jc w:val="both"/>
        <w:ind w:right="160"/>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There were no material changes during this quarter to the Company’s contractual obligations, commitments, contingencies </w:t>
      </w:r>
      <w:hyperlink r:id="rId36">
        <w:r>
          <w:rPr>
            <w:rFonts w:ascii="Times New Roman" w:cs="Times New Roman" w:eastAsia="Times New Roman" w:hAnsi="Times New Roman"/>
            <w:sz w:val="18"/>
            <w:szCs w:val="18"/>
            <w:color w:val="auto"/>
          </w:rPr>
          <w:t xml:space="preserve">and off-balance sheet arrangements that are described in Part II, Item 7 of the Company’s </w:t>
        </w:r>
        <w:r>
          <w:rPr>
            <w:rFonts w:ascii="Times New Roman" w:cs="Times New Roman" w:eastAsia="Times New Roman" w:hAnsi="Times New Roman"/>
            <w:sz w:val="18"/>
            <w:szCs w:val="18"/>
            <w:u w:val="single" w:color="auto"/>
            <w:color w:val="0000EE"/>
          </w:rPr>
          <w:t>Annual Report on Form 10-K for</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the year ended December 31, 2018</w:t>
        </w:r>
        <w:r>
          <w:rPr>
            <w:rFonts w:ascii="Times New Roman" w:cs="Times New Roman" w:eastAsia="Times New Roman" w:hAnsi="Times New Roman"/>
            <w:sz w:val="18"/>
            <w:szCs w:val="18"/>
            <w:color w:val="000000"/>
          </w:rPr>
          <w:t>, which is incorporated herein by reference.</w:t>
        </w:r>
      </w:hyperlink>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this quarter to the Company’s critical accounting estimates as discussed in Part II, Item 7 of the Company’s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third quarter 2019 cash dividend of $0.22 per share was paid on September 5, 2019. On October 25, 2019, the Company’s Board of Directors declared a cash dividend of $0.22 per share payable on December 5,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Company’s market risk position from the information provided under</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Part II, Item 7A, “Quantitative and Qualitative Disclosures About Market Risk,” of our Annual Report on Form 10-K for the year ended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September 30, 2019, the Company’s disclosure controls and procedures are effective.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three months ended September 30, 2019, that have materially affected, or are reasonably likely to materially affect, the Company’s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The Company’s Ocean Transportation business has certain risks that could result in expenditures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remediation. The Company believes that based on all information available to it, the Company is currently in compliance, in all material respects, with applicable environmental laws and regulations.</w:t>
      </w:r>
    </w:p>
    <w:p>
      <w:pPr>
        <w:spacing w:after="0" w:line="1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Company and its subsidiaries are parties to, or may be contingently liable in connection with other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ectPr>
          <w:pgSz w:w="11900" w:h="16838" w:orient="portrait"/>
          <w:cols w:equalWidth="0" w:num="1">
            <w:col w:w="9040"/>
          </w:cols>
          <w:pgMar w:left="1420" w:top="51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ind w:right="31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Company’s risk factors that are described in Part I, Item 1A, “Risk Factors” of the Company’s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70" w:lineRule="exact"/>
        <w:rPr>
          <w:sz w:val="20"/>
          <w:szCs w:val="20"/>
          <w:color w:val="auto"/>
        </w:rPr>
      </w:pPr>
    </w:p>
    <w:p>
      <w:pPr>
        <w:ind w:left="840" w:right="119" w:hanging="836"/>
        <w:spacing w:after="0" w:line="313" w:lineRule="auto"/>
        <w:tabs>
          <w:tab w:leader="none" w:pos="8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29">
        <w:r>
          <w:rPr>
            <w:rFonts w:ascii="Times New Roman" w:cs="Times New Roman" w:eastAsia="Times New Roman" w:hAnsi="Times New Roman"/>
            <w:sz w:val="18"/>
            <w:szCs w:val="18"/>
            <w:u w:val="single" w:color="auto"/>
            <w:color w:val="0000EE"/>
          </w:rPr>
          <w:t>Certification of Chief Executive Officer pursuant to Rule 13a-14(a) or 15d-14(a) of the Securities Exchange Act</w:t>
        </w:r>
      </w:hyperlink>
      <w:r>
        <w:rPr>
          <w:rFonts w:ascii="Times New Roman" w:cs="Times New Roman" w:eastAsia="Times New Roman" w:hAnsi="Times New Roman"/>
          <w:sz w:val="18"/>
          <w:szCs w:val="18"/>
          <w:u w:val="single" w:color="auto"/>
          <w:color w:val="0000EE"/>
        </w:rPr>
        <w:t xml:space="preserve"> </w:t>
      </w:r>
      <w:hyperlink w:anchor="page29">
        <w:r>
          <w:rPr>
            <w:rFonts w:ascii="Times New Roman" w:cs="Times New Roman" w:eastAsia="Times New Roman" w:hAnsi="Times New Roman"/>
            <w:sz w:val="18"/>
            <w:szCs w:val="18"/>
            <w:u w:val="single" w:color="auto"/>
            <w:color w:val="0000EE"/>
          </w:rPr>
          <w:t>of 1934.</w:t>
        </w:r>
      </w:hyperlink>
    </w:p>
    <w:p>
      <w:pPr>
        <w:spacing w:after="0" w:line="189" w:lineRule="exact"/>
        <w:rPr>
          <w:sz w:val="20"/>
          <w:szCs w:val="20"/>
          <w:color w:val="auto"/>
        </w:rPr>
      </w:pPr>
    </w:p>
    <w:p>
      <w:pPr>
        <w:ind w:left="840" w:right="159" w:hanging="836"/>
        <w:spacing w:after="0" w:line="313" w:lineRule="auto"/>
        <w:tabs>
          <w:tab w:leader="none" w:pos="8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30">
        <w:r>
          <w:rPr>
            <w:rFonts w:ascii="Times New Roman" w:cs="Times New Roman" w:eastAsia="Times New Roman" w:hAnsi="Times New Roman"/>
            <w:sz w:val="18"/>
            <w:szCs w:val="18"/>
            <w:u w:val="single" w:color="auto"/>
            <w:color w:val="0000EE"/>
          </w:rPr>
          <w:t>Certification of Chief Financial Officer pursuant to Rule 13a-14(a) or 15d-14(a) of the Securities Exchange Act</w:t>
        </w:r>
      </w:hyperlink>
      <w:r>
        <w:rPr>
          <w:rFonts w:ascii="Times New Roman" w:cs="Times New Roman" w:eastAsia="Times New Roman" w:hAnsi="Times New Roman"/>
          <w:sz w:val="18"/>
          <w:szCs w:val="18"/>
          <w:u w:val="single" w:color="auto"/>
          <w:color w:val="0000EE"/>
        </w:rPr>
        <w:t xml:space="preserve"> </w:t>
      </w:r>
      <w:hyperlink w:anchor="page30">
        <w:r>
          <w:rPr>
            <w:rFonts w:ascii="Times New Roman" w:cs="Times New Roman" w:eastAsia="Times New Roman" w:hAnsi="Times New Roman"/>
            <w:sz w:val="18"/>
            <w:szCs w:val="18"/>
            <w:u w:val="single" w:color="auto"/>
            <w:color w:val="0000EE"/>
          </w:rPr>
          <w:t>of 1934.</w:t>
        </w:r>
      </w:hyperlink>
    </w:p>
    <w:p>
      <w:pPr>
        <w:spacing w:after="0" w:line="189" w:lineRule="exact"/>
        <w:rPr>
          <w:sz w:val="20"/>
          <w:szCs w:val="20"/>
          <w:color w:val="auto"/>
        </w:rPr>
      </w:pPr>
    </w:p>
    <w:p>
      <w:pPr>
        <w:ind w:left="840" w:hanging="830"/>
        <w:spacing w:after="0"/>
        <w:tabs>
          <w:tab w:leader="none" w:pos="840" w:val="left"/>
        </w:tabs>
        <w:numPr>
          <w:ilvl w:val="0"/>
          <w:numId w:val="28"/>
        </w:numPr>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Certification of Chief Executive Officer and Chief Financial Officer pursuant to 18 U.S.C. Section 1350.</w:t>
        </w:r>
      </w:hyperlink>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w:t>
            </w:r>
          </w:p>
        </w:tc>
      </w:tr>
      <w:tr>
        <w:trPr>
          <w:trHeight w:val="243"/>
        </w:trPr>
        <w:tc>
          <w:tcPr>
            <w:tcW w:w="760" w:type="dxa"/>
            <w:vAlign w:val="bottom"/>
          </w:tcPr>
          <w:p>
            <w:pPr>
              <w:spacing w:after="0"/>
              <w:rPr>
                <w:sz w:val="21"/>
                <w:szCs w:val="21"/>
                <w:color w:val="auto"/>
              </w:rPr>
            </w:pPr>
          </w:p>
        </w:tc>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8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52" w:lineRule="exact"/>
        <w:rPr>
          <w:sz w:val="20"/>
          <w:szCs w:val="20"/>
          <w:color w:val="auto"/>
        </w:rPr>
      </w:pPr>
    </w:p>
    <w:p>
      <w:pPr>
        <w:ind w:left="840" w:right="59" w:hanging="830"/>
        <w:spacing w:after="0" w:line="313"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26035</wp:posOffset>
            </wp:positionV>
            <wp:extent cx="28727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0"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November 8, 2019</w:t>
      </w:r>
      <w:r>
        <w:rPr>
          <w:sz w:val="20"/>
          <w:szCs w:val="20"/>
          <w:color w:val="auto"/>
        </w:rPr>
        <w:tab/>
      </w:r>
      <w:r>
        <w:rPr>
          <w:rFonts w:ascii="Times New Roman" w:cs="Times New Roman" w:eastAsia="Times New Roman" w:hAnsi="Times New Roman"/>
          <w:sz w:val="17"/>
          <w:szCs w:val="17"/>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26035</wp:posOffset>
            </wp:positionV>
            <wp:extent cx="28727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0"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Joel M. Wine</w:t>
      </w:r>
    </w:p>
    <w:p>
      <w:pPr>
        <w:spacing w:after="0" w:line="36"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36"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spacing w:after="0"/>
        <w:tabs>
          <w:tab w:leader="none" w:pos="6120" w:val="left"/>
        </w:tabs>
        <w:rPr>
          <w:sz w:val="20"/>
          <w:szCs w:val="20"/>
          <w:color w:val="auto"/>
        </w:rPr>
      </w:pPr>
      <w:r>
        <w:rPr>
          <w:rFonts w:ascii="Times New Roman" w:cs="Times New Roman" w:eastAsia="Times New Roman" w:hAnsi="Times New Roman"/>
          <w:sz w:val="18"/>
          <w:szCs w:val="18"/>
          <w:color w:val="auto"/>
        </w:rPr>
        <w:t>Date: November 8, 2019</w:t>
      </w:r>
      <w:r>
        <w:rPr>
          <w:sz w:val="20"/>
          <w:szCs w:val="20"/>
          <w:color w:val="auto"/>
        </w:rPr>
        <w:tab/>
      </w:r>
      <w:r>
        <w:rPr>
          <w:rFonts w:ascii="Times New Roman" w:cs="Times New Roman" w:eastAsia="Times New Roman" w:hAnsi="Times New Roman"/>
          <w:sz w:val="18"/>
          <w:szCs w:val="18"/>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26035</wp:posOffset>
            </wp:positionV>
            <wp:extent cx="2872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0"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Kevin L. Stuck</w:t>
      </w:r>
    </w:p>
    <w:p>
      <w:pPr>
        <w:spacing w:after="0" w:line="36"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36"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3"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ind w:left="481"/>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w:t>
      </w:r>
    </w:p>
    <w:p>
      <w:pPr>
        <w:spacing w:after="0" w:line="14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I, Matthew J. Cox, certify that:</w:t>
      </w:r>
    </w:p>
    <w:p>
      <w:pPr>
        <w:spacing w:after="0" w:line="144" w:lineRule="exact"/>
        <w:rPr>
          <w:sz w:val="20"/>
          <w:szCs w:val="20"/>
          <w:color w:val="auto"/>
        </w:rPr>
      </w:pPr>
    </w:p>
    <w:p>
      <w:pPr>
        <w:ind w:left="781" w:hanging="781"/>
        <w:spacing w:after="0"/>
        <w:tabs>
          <w:tab w:leader="none" w:pos="78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Matson, Inc.;</w:t>
      </w:r>
    </w:p>
    <w:p>
      <w:pPr>
        <w:spacing w:after="0" w:line="144" w:lineRule="exact"/>
        <w:rPr>
          <w:rFonts w:ascii="Times New Roman" w:cs="Times New Roman" w:eastAsia="Times New Roman" w:hAnsi="Times New Roman"/>
          <w:sz w:val="18"/>
          <w:szCs w:val="18"/>
          <w:color w:val="auto"/>
        </w:rPr>
      </w:pPr>
    </w:p>
    <w:p>
      <w:pPr>
        <w:ind w:left="1" w:right="80" w:hanging="1"/>
        <w:spacing w:after="0" w:line="226" w:lineRule="auto"/>
        <w:tabs>
          <w:tab w:leader="none" w:pos="7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jc w:val="both"/>
        <w:ind w:left="1" w:right="240" w:hanging="1"/>
        <w:spacing w:after="0" w:line="226" w:lineRule="auto"/>
        <w:tabs>
          <w:tab w:leader="none" w:pos="7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jc w:val="both"/>
        <w:ind w:left="1" w:right="640" w:hanging="1"/>
        <w:spacing w:after="0" w:line="226" w:lineRule="auto"/>
        <w:tabs>
          <w:tab w:leader="none" w:pos="7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8" w:lineRule="exact"/>
        <w:rPr>
          <w:sz w:val="20"/>
          <w:szCs w:val="20"/>
          <w:color w:val="auto"/>
        </w:rPr>
      </w:pPr>
    </w:p>
    <w:p>
      <w:pPr>
        <w:ind w:left="1" w:right="100" w:hanging="1"/>
        <w:spacing w:after="0" w:line="226" w:lineRule="auto"/>
        <w:tabs>
          <w:tab w:leader="none" w:pos="8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 w:right="120" w:hanging="1"/>
        <w:spacing w:after="0" w:line="226" w:lineRule="auto"/>
        <w:tabs>
          <w:tab w:leader="none" w:pos="8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ind w:left="1" w:right="220" w:hanging="1"/>
        <w:spacing w:after="0" w:line="226" w:lineRule="auto"/>
        <w:tabs>
          <w:tab w:leader="none" w:pos="8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 w:right="80" w:hanging="1"/>
        <w:spacing w:after="0" w:line="226" w:lineRule="auto"/>
        <w:tabs>
          <w:tab w:leader="none" w:pos="8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sz w:val="20"/>
          <w:szCs w:val="20"/>
          <w:color w:val="auto"/>
        </w:rPr>
      </w:pPr>
    </w:p>
    <w:p>
      <w:pPr>
        <w:jc w:val="both"/>
        <w:ind w:left="1" w:right="380" w:hanging="1"/>
        <w:spacing w:after="0" w:line="226" w:lineRule="auto"/>
        <w:tabs>
          <w:tab w:leader="none" w:pos="7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sz w:val="20"/>
          <w:szCs w:val="20"/>
          <w:color w:val="auto"/>
        </w:rPr>
      </w:pPr>
    </w:p>
    <w:p>
      <w:pPr>
        <w:ind w:left="1" w:right="180" w:hanging="1"/>
        <w:spacing w:after="0" w:line="263" w:lineRule="auto"/>
        <w:tabs>
          <w:tab w:leader="none" w:pos="84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Times New Roman" w:cs="Times New Roman" w:eastAsia="Times New Roman" w:hAnsi="Times New Roman"/>
          <w:sz w:val="17"/>
          <w:szCs w:val="17"/>
          <w:color w:val="auto"/>
        </w:rPr>
      </w:pPr>
    </w:p>
    <w:p>
      <w:pPr>
        <w:ind w:left="1" w:hanging="1"/>
        <w:spacing w:after="0" w:line="237" w:lineRule="auto"/>
        <w:tabs>
          <w:tab w:leader="none" w:pos="8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ind w:left="5061"/>
        <w:spacing w:after="0"/>
        <w:tabs>
          <w:tab w:leader="none" w:pos="5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0</wp:posOffset>
            </wp:positionV>
            <wp:extent cx="29584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5401"/>
        <w:spacing w:after="0" w:line="205" w:lineRule="auto"/>
        <w:rPr>
          <w:sz w:val="20"/>
          <w:szCs w:val="20"/>
          <w:color w:val="auto"/>
        </w:rPr>
      </w:pPr>
      <w:r>
        <w:rPr>
          <w:rFonts w:ascii="Times New Roman" w:cs="Times New Roman" w:eastAsia="Times New Roman" w:hAnsi="Times New Roman"/>
          <w:sz w:val="18"/>
          <w:szCs w:val="18"/>
          <w:color w:val="auto"/>
        </w:rPr>
        <w:t>Matthew J. Cox, Chairman and</w:t>
      </w:r>
    </w:p>
    <w:p>
      <w:pPr>
        <w:ind w:left="5401"/>
        <w:spacing w:after="0" w:line="204" w:lineRule="auto"/>
        <w:rPr>
          <w:sz w:val="20"/>
          <w:szCs w:val="20"/>
          <w:color w:val="auto"/>
        </w:rPr>
      </w:pPr>
      <w:r>
        <w:rPr>
          <w:rFonts w:ascii="Times New Roman" w:cs="Times New Roman" w:eastAsia="Times New Roman" w:hAnsi="Times New Roman"/>
          <w:sz w:val="18"/>
          <w:szCs w:val="18"/>
          <w:color w:val="auto"/>
        </w:rPr>
        <w:t>Chief Executive Officer</w:t>
      </w:r>
    </w:p>
    <w:p>
      <w:pPr>
        <w:ind w:left="1"/>
        <w:spacing w:after="0"/>
        <w:rPr>
          <w:sz w:val="20"/>
          <w:szCs w:val="20"/>
          <w:color w:val="auto"/>
        </w:rPr>
      </w:pPr>
      <w:r>
        <w:rPr>
          <w:rFonts w:ascii="Times New Roman" w:cs="Times New Roman" w:eastAsia="Times New Roman" w:hAnsi="Times New Roman"/>
          <w:sz w:val="18"/>
          <w:szCs w:val="18"/>
          <w:color w:val="auto"/>
        </w:rPr>
        <w:t>Date: November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441960</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4" w:right="9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ind w:left="501"/>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w:t>
      </w:r>
    </w:p>
    <w:p>
      <w:pPr>
        <w:spacing w:after="0" w:line="14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I, Joel M. Wine, certify that:</w:t>
      </w:r>
    </w:p>
    <w:p>
      <w:pPr>
        <w:spacing w:after="0" w:line="144" w:lineRule="exact"/>
        <w:rPr>
          <w:sz w:val="20"/>
          <w:szCs w:val="20"/>
          <w:color w:val="auto"/>
        </w:rPr>
      </w:pPr>
    </w:p>
    <w:p>
      <w:pPr>
        <w:ind w:left="781" w:hanging="781"/>
        <w:spacing w:after="0"/>
        <w:tabs>
          <w:tab w:leader="none" w:pos="7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Matson, Inc.;</w:t>
      </w:r>
    </w:p>
    <w:p>
      <w:pPr>
        <w:spacing w:after="0" w:line="144" w:lineRule="exact"/>
        <w:rPr>
          <w:rFonts w:ascii="Times New Roman" w:cs="Times New Roman" w:eastAsia="Times New Roman" w:hAnsi="Times New Roman"/>
          <w:sz w:val="18"/>
          <w:szCs w:val="18"/>
          <w:color w:val="auto"/>
        </w:rPr>
      </w:pPr>
    </w:p>
    <w:p>
      <w:pPr>
        <w:ind w:left="1" w:right="80" w:hanging="1"/>
        <w:spacing w:after="0" w:line="226" w:lineRule="auto"/>
        <w:tabs>
          <w:tab w:leader="none" w:pos="7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jc w:val="both"/>
        <w:ind w:left="1" w:right="240" w:hanging="1"/>
        <w:spacing w:after="0" w:line="226" w:lineRule="auto"/>
        <w:tabs>
          <w:tab w:leader="none" w:pos="7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jc w:val="both"/>
        <w:ind w:left="1" w:right="640" w:hanging="1"/>
        <w:spacing w:after="0" w:line="226" w:lineRule="auto"/>
        <w:tabs>
          <w:tab w:leader="none" w:pos="7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8" w:lineRule="exact"/>
        <w:rPr>
          <w:sz w:val="20"/>
          <w:szCs w:val="20"/>
          <w:color w:val="auto"/>
        </w:rPr>
      </w:pPr>
    </w:p>
    <w:p>
      <w:pPr>
        <w:ind w:left="1" w:right="100" w:hanging="1"/>
        <w:spacing w:after="0" w:line="226" w:lineRule="auto"/>
        <w:tabs>
          <w:tab w:leader="none" w:pos="8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 w:right="120" w:hanging="1"/>
        <w:spacing w:after="0" w:line="226" w:lineRule="auto"/>
        <w:tabs>
          <w:tab w:leader="none" w:pos="8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ind w:left="1" w:right="220" w:hanging="1"/>
        <w:spacing w:after="0" w:line="226" w:lineRule="auto"/>
        <w:tabs>
          <w:tab w:leader="none" w:pos="8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1" w:right="80" w:hanging="1"/>
        <w:spacing w:after="0" w:line="226" w:lineRule="auto"/>
        <w:tabs>
          <w:tab w:leader="none" w:pos="8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sz w:val="20"/>
          <w:szCs w:val="20"/>
          <w:color w:val="auto"/>
        </w:rPr>
      </w:pPr>
    </w:p>
    <w:p>
      <w:pPr>
        <w:jc w:val="both"/>
        <w:ind w:left="1" w:right="380" w:hanging="1"/>
        <w:spacing w:after="0" w:line="226" w:lineRule="auto"/>
        <w:tabs>
          <w:tab w:leader="none" w:pos="7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sz w:val="20"/>
          <w:szCs w:val="20"/>
          <w:color w:val="auto"/>
        </w:rPr>
      </w:pPr>
    </w:p>
    <w:p>
      <w:pPr>
        <w:ind w:left="1" w:right="180" w:hanging="1"/>
        <w:spacing w:after="0" w:line="263" w:lineRule="auto"/>
        <w:tabs>
          <w:tab w:leader="none" w:pos="84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Times New Roman" w:cs="Times New Roman" w:eastAsia="Times New Roman" w:hAnsi="Times New Roman"/>
          <w:sz w:val="17"/>
          <w:szCs w:val="17"/>
          <w:color w:val="auto"/>
        </w:rPr>
      </w:pPr>
    </w:p>
    <w:p>
      <w:pPr>
        <w:ind w:left="1" w:hanging="1"/>
        <w:spacing w:after="0" w:line="237" w:lineRule="auto"/>
        <w:tabs>
          <w:tab w:leader="none" w:pos="8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ind w:left="5041"/>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0</wp:posOffset>
            </wp:positionV>
            <wp:extent cx="29502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5421"/>
        <w:spacing w:after="0" w:line="205" w:lineRule="auto"/>
        <w:rPr>
          <w:sz w:val="20"/>
          <w:szCs w:val="20"/>
          <w:color w:val="auto"/>
        </w:rPr>
      </w:pPr>
      <w:r>
        <w:rPr>
          <w:rFonts w:ascii="Times New Roman" w:cs="Times New Roman" w:eastAsia="Times New Roman" w:hAnsi="Times New Roman"/>
          <w:sz w:val="18"/>
          <w:szCs w:val="18"/>
          <w:color w:val="auto"/>
        </w:rPr>
        <w:t>Joel M. Wine, Senior Vice President and</w:t>
      </w:r>
    </w:p>
    <w:p>
      <w:pPr>
        <w:ind w:left="5421"/>
        <w:spacing w:after="0" w:line="204" w:lineRule="auto"/>
        <w:rPr>
          <w:sz w:val="20"/>
          <w:szCs w:val="20"/>
          <w:color w:val="auto"/>
        </w:rPr>
      </w:pPr>
      <w:r>
        <w:rPr>
          <w:rFonts w:ascii="Times New Roman" w:cs="Times New Roman" w:eastAsia="Times New Roman" w:hAnsi="Times New Roman"/>
          <w:sz w:val="18"/>
          <w:szCs w:val="18"/>
          <w:color w:val="auto"/>
        </w:rPr>
        <w:t>Chief Financial Officer</w:t>
      </w:r>
    </w:p>
    <w:p>
      <w:pPr>
        <w:ind w:left="1"/>
        <w:spacing w:after="0"/>
        <w:rPr>
          <w:sz w:val="20"/>
          <w:szCs w:val="20"/>
          <w:color w:val="auto"/>
        </w:rPr>
      </w:pPr>
      <w:r>
        <w:rPr>
          <w:rFonts w:ascii="Times New Roman" w:cs="Times New Roman" w:eastAsia="Times New Roman" w:hAnsi="Times New Roman"/>
          <w:sz w:val="18"/>
          <w:szCs w:val="18"/>
          <w:color w:val="auto"/>
        </w:rPr>
        <w:t>Date: November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441960</wp:posOffset>
            </wp:positionV>
            <wp:extent cx="6388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4" w:right="919" w:bottom="1440" w:gutter="0" w:footer="0" w:header="0"/>
        </w:sectPr>
      </w:pPr>
    </w:p>
    <w:bookmarkStart w:id="30" w:name="page31"/>
    <w:bookmarkEnd w:id="30"/>
    <w:p>
      <w:pPr>
        <w:ind w:left="8080"/>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w:t>
      </w:r>
    </w:p>
    <w:p>
      <w:pPr>
        <w:spacing w:after="0" w:line="148" w:lineRule="exact"/>
        <w:rPr>
          <w:sz w:val="20"/>
          <w:szCs w:val="20"/>
          <w:color w:val="auto"/>
        </w:rPr>
      </w:pPr>
    </w:p>
    <w:p>
      <w:pPr>
        <w:ind w:right="280"/>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on Form 10-Q of Matson, Inc. (the “Company”) for the quarterly period ended September 30, 2019, as filed with the Securities and Exchange Commission on the date hereof (the “Report”), Matthew J. Cox, as Chairman and Chief Executive Officer of the Company, and Joel M. Wine, as Senior Vice President and Chief Financial Officer of the Company, each hereby certifies, pursuant to 18 U.S.C. Section 1350, that to their knowledge:</w:t>
      </w:r>
    </w:p>
    <w:p>
      <w:pPr>
        <w:spacing w:after="0" w:line="107" w:lineRule="exact"/>
        <w:rPr>
          <w:sz w:val="20"/>
          <w:szCs w:val="20"/>
          <w:color w:val="auto"/>
        </w:rPr>
      </w:pPr>
    </w:p>
    <w:p>
      <w:pPr>
        <w:ind w:left="860" w:hanging="857"/>
        <w:spacing w:after="0"/>
        <w:tabs>
          <w:tab w:leader="none" w:pos="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 and</w:t>
      </w:r>
    </w:p>
    <w:p>
      <w:pPr>
        <w:spacing w:after="0" w:line="124" w:lineRule="exact"/>
        <w:rPr>
          <w:rFonts w:ascii="Times New Roman" w:cs="Times New Roman" w:eastAsia="Times New Roman" w:hAnsi="Times New Roman"/>
          <w:sz w:val="18"/>
          <w:szCs w:val="18"/>
          <w:color w:val="auto"/>
        </w:rPr>
      </w:pPr>
    </w:p>
    <w:p>
      <w:pPr>
        <w:ind w:right="500" w:firstLine="3"/>
        <w:spacing w:after="0" w:line="237" w:lineRule="auto"/>
        <w:tabs>
          <w:tab w:leader="none" w:pos="8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460"/>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8816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Name:  Matthew J. Cox</w:t>
      </w:r>
    </w:p>
    <w:p>
      <w:pPr>
        <w:spacing w:after="0" w:line="204" w:lineRule="auto"/>
        <w:tabs>
          <w:tab w:leader="none" w:pos="60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November 8, 2019</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8816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5" w:lineRule="auto"/>
        <w:rPr>
          <w:sz w:val="20"/>
          <w:szCs w:val="20"/>
          <w:color w:val="auto"/>
        </w:rPr>
      </w:pPr>
      <w:r>
        <w:rPr>
          <w:rFonts w:ascii="Times New Roman" w:cs="Times New Roman" w:eastAsia="Times New Roman" w:hAnsi="Times New Roman"/>
          <w:sz w:val="18"/>
          <w:szCs w:val="18"/>
          <w:color w:val="auto"/>
        </w:rPr>
        <w:t>Name:  Joel M. Wine</w:t>
      </w:r>
    </w:p>
    <w:p>
      <w:pPr>
        <w:spacing w:after="0" w:line="204" w:lineRule="auto"/>
        <w:tabs>
          <w:tab w:leader="none" w:pos="600" w:val="left"/>
        </w:tabs>
        <w:rPr>
          <w:sz w:val="20"/>
          <w:szCs w:val="20"/>
          <w:color w:val="auto"/>
        </w:rPr>
      </w:pPr>
      <w:r>
        <w:rPr>
          <w:rFonts w:ascii="Times New Roman" w:cs="Times New Roman" w:eastAsia="Times New Roman" w:hAnsi="Times New Roman"/>
          <w:sz w:val="18"/>
          <w:szCs w:val="18"/>
          <w:color w:val="auto"/>
        </w:rPr>
        <w:t>Title:</w:t>
        <w:tab/>
        <w:t>Senior Vice President and Chief Financial Officer</w:t>
      </w: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November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
      <w:numFmt w:val="bullet"/>
      <w:start w:val="1"/>
    </w:lvl>
  </w:abstractNum>
  <w:abstractNum w:abstractNumId="8">
    <w:nsid w:val="6763845E"/>
    <w:multiLevelType w:val="hybridMultilevel"/>
    <w:lvl w:ilvl="0">
      <w:lvlJc w:val="left"/>
      <w:lvlText w:val=" "/>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3"/>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4"/>
    </w:lvl>
  </w:abstractNum>
  <w:abstractNum w:abstractNumId="14">
    <w:nsid w:val="189A769B"/>
    <w:multiLevelType w:val="hybridMultilevel"/>
    <w:lvl w:ilvl="0">
      <w:lvlJc w:val="left"/>
      <w:lvlText w:val="%1."/>
      <w:numFmt w:val="decimal"/>
      <w:start w:val="5"/>
    </w:lvl>
  </w:abstractNum>
  <w:abstractNum w:abstractNumId="15">
    <w:nsid w:val="54E49EB4"/>
    <w:multiLevelType w:val="hybridMultilevel"/>
    <w:lvl w:ilvl="0">
      <w:lvlJc w:val="left"/>
      <w:lvlText w:val="%1."/>
      <w:numFmt w:val="decimal"/>
      <w:start w:val="6"/>
    </w:lvl>
  </w:abstractNum>
  <w:abstractNum w:abstractNumId="16">
    <w:nsid w:val="71F32454"/>
    <w:multiLevelType w:val="hybridMultilevel"/>
    <w:lvl w:ilvl="0">
      <w:lvlJc w:val="left"/>
      <w:lvlText w:val="%1."/>
      <w:numFmt w:val="decimal"/>
      <w:start w:val="7"/>
    </w:lvl>
  </w:abstractNum>
  <w:abstractNum w:abstractNumId="17">
    <w:nsid w:val="2CA88611"/>
    <w:multiLevelType w:val="hybridMultilevel"/>
    <w:lvl w:ilvl="0">
      <w:lvlJc w:val="left"/>
      <w:lvlText w:val=" "/>
      <w:numFmt w:val="bullet"/>
      <w:start w:val="1"/>
    </w:lvl>
  </w:abstractNum>
  <w:abstractNum w:abstractNumId="18">
    <w:nsid w:val="836C40E"/>
    <w:multiLevelType w:val="hybridMultilevel"/>
    <w:lvl w:ilvl="0">
      <w:lvlJc w:val="left"/>
      <w:lvlText w:val="%1."/>
      <w:numFmt w:val="decimal"/>
      <w:start w:val="8"/>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9"/>
    </w:lvl>
  </w:abstractNum>
  <w:abstractNum w:abstractNumId="21">
    <w:nsid w:val="8138641"/>
    <w:multiLevelType w:val="hybridMultilevel"/>
    <w:lvl w:ilvl="0">
      <w:lvlJc w:val="left"/>
      <w:lvlText w:val="%1."/>
      <w:numFmt w:val="decimal"/>
      <w:start w:val="10"/>
    </w:lvl>
  </w:abstractNum>
  <w:abstractNum w:abstractNumId="22">
    <w:nsid w:val="1E7FF521"/>
    <w:multiLevelType w:val="hybridMultilevel"/>
    <w:lvl w:ilvl="0">
      <w:lvlJc w:val="left"/>
      <w:lvlText w:val="%1."/>
      <w:numFmt w:val="decimal"/>
      <w:start w:val="11"/>
    </w:lvl>
  </w:abstractNum>
  <w:abstractNum w:abstractNumId="23">
    <w:nsid w:val="7C3DBD3D"/>
    <w:multiLevelType w:val="hybridMultilevel"/>
    <w:lvl w:ilvl="0">
      <w:lvlJc w:val="left"/>
      <w:lvlText w:val="%1."/>
      <w:numFmt w:val="decimal"/>
      <w:start w:val="12"/>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32"/>
    </w:lvl>
  </w:abstractNum>
  <w:abstractNum w:abstractNumId="28">
    <w:nsid w:val="3006C83E"/>
    <w:multiLevelType w:val="hybridMultilevel"/>
    <w:lvl w:ilvl="0">
      <w:lvlJc w:val="left"/>
      <w:lvlText w:val="%1"/>
      <w:numFmt w:val="decimal"/>
      <w:start w:val="104"/>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5"/>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5"/>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36" Type="http://schemas.openxmlformats.org/officeDocument/2006/relationships/hyperlink" Target="http://www.sec.gov/Archives/edgar/data/3453/000155837019001448/matx-2018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2019-12-28T01:45:12Z</dcterms:created>
  <dcterms:modified xsi:type="dcterms:W3CDTF">2019-12-28T01:45:12Z</dcterms:modified>
</cp:coreProperties>
</file>