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99" w:lineRule="exact"/>
        <w:rPr>
          <w:sz w:val="24"/>
          <w:szCs w:val="24"/>
          <w:color w:val="auto"/>
        </w:rPr>
      </w:pPr>
    </w:p>
    <w:p>
      <w:pPr>
        <w:ind w:left="800" w:hanging="485"/>
        <w:spacing w:after="0"/>
        <w:tabs>
          <w:tab w:leader="none" w:pos="8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800" w:hanging="485"/>
        <w:spacing w:after="0"/>
        <w:tabs>
          <w:tab w:leader="none" w:pos="8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0380"/>
          </w:cols>
          <w:pgMar w:left="760" w:top="233" w:right="759" w:bottom="1440" w:gutter="0" w:footer="0" w:header="0"/>
        </w:sectPr>
      </w:pPr>
    </w:p>
    <w:p>
      <w:pPr>
        <w:spacing w:after="0" w:line="97" w:lineRule="exact"/>
        <w:rPr>
          <w:sz w:val="24"/>
          <w:szCs w:val="24"/>
          <w:color w:val="auto"/>
        </w:rPr>
      </w:pPr>
    </w:p>
    <w:p>
      <w:pPr>
        <w:ind w:left="37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91" w:lineRule="exact"/>
        <w:rPr>
          <w:sz w:val="24"/>
          <w:szCs w:val="24"/>
          <w:color w:val="auto"/>
        </w:rPr>
      </w:pPr>
    </w:p>
    <w:p>
      <w:pPr>
        <w:sectPr>
          <w:pgSz w:w="11900" w:h="16838" w:orient="portrait"/>
          <w:cols w:equalWidth="0" w:num="2">
            <w:col w:w="5620" w:space="580"/>
            <w:col w:w="4180"/>
          </w:cols>
          <w:pgMar w:left="760" w:top="233" w:right="75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Commission file number 001-34187</w:t>
      </w:r>
    </w:p>
    <w:p>
      <w:pPr>
        <w:sectPr>
          <w:pgSz w:w="11900" w:h="16838" w:orient="portrait"/>
          <w:cols w:equalWidth="0" w:num="1">
            <w:col w:w="10380"/>
          </w:cols>
          <w:pgMar w:left="760" w:top="233" w:right="75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Matson,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ectPr>
          <w:pgSz w:w="11900" w:h="16838" w:orient="portrait"/>
          <w:cols w:equalWidth="0" w:num="1">
            <w:col w:w="10380"/>
          </w:cols>
          <w:pgMar w:left="760" w:top="233" w:right="759" w:bottom="1440" w:gutter="0" w:footer="0" w:header="0"/>
          <w:type w:val="continuous"/>
        </w:sectPr>
      </w:pPr>
    </w:p>
    <w:p>
      <w:pPr>
        <w:spacing w:after="0" w:line="64"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Hawaii</w:t>
      </w:r>
    </w:p>
    <w:p>
      <w:pPr>
        <w:spacing w:after="0" w:line="3" w:lineRule="exact"/>
        <w:rPr>
          <w:sz w:val="24"/>
          <w:szCs w:val="24"/>
          <w:color w:val="auto"/>
        </w:rPr>
      </w:pPr>
    </w:p>
    <w:p>
      <w:pPr>
        <w:ind w:left="1700"/>
        <w:spacing w:after="0"/>
        <w:rPr>
          <w:sz w:val="20"/>
          <w:szCs w:val="20"/>
          <w:color w:val="auto"/>
        </w:rPr>
      </w:pPr>
      <w:r>
        <w:rPr>
          <w:rFonts w:ascii="Arial" w:cs="Arial" w:eastAsia="Arial" w:hAnsi="Arial"/>
          <w:sz w:val="13"/>
          <w:szCs w:val="13"/>
          <w:color w:val="auto"/>
        </w:rPr>
        <w:t>(State or other jurisdiction of</w:t>
      </w:r>
    </w:p>
    <w:p>
      <w:pPr>
        <w:ind w:left="168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99-0032630</w:t>
      </w:r>
    </w:p>
    <w:p>
      <w:pPr>
        <w:jc w:val="center"/>
        <w:ind w:right="2000"/>
        <w:spacing w:after="0" w:line="226" w:lineRule="auto"/>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3"/>
          <w:szCs w:val="13"/>
          <w:color w:val="auto"/>
        </w:rPr>
        <w:t>Identification No.)</w:t>
      </w:r>
    </w:p>
    <w:p>
      <w:pPr>
        <w:spacing w:after="0" w:line="64" w:lineRule="exact"/>
        <w:rPr>
          <w:sz w:val="24"/>
          <w:szCs w:val="24"/>
          <w:color w:val="auto"/>
        </w:rPr>
      </w:pPr>
    </w:p>
    <w:p>
      <w:pPr>
        <w:sectPr>
          <w:pgSz w:w="11900" w:h="16838" w:orient="portrait"/>
          <w:cols w:equalWidth="0" w:num="2">
            <w:col w:w="6580" w:space="720"/>
            <w:col w:w="3080"/>
          </w:cols>
          <w:pgMar w:left="760" w:top="233" w:right="75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1411 Sand Island Parkway</w:t>
      </w:r>
    </w:p>
    <w:p>
      <w:pPr>
        <w:jc w:val="center"/>
        <w:ind w:right="-19"/>
        <w:spacing w:after="0" w:line="226" w:lineRule="auto"/>
        <w:rPr>
          <w:sz w:val="20"/>
          <w:szCs w:val="20"/>
          <w:color w:val="auto"/>
        </w:rPr>
      </w:pPr>
      <w:r>
        <w:rPr>
          <w:rFonts w:ascii="Arial" w:cs="Arial" w:eastAsia="Arial" w:hAnsi="Arial"/>
          <w:sz w:val="14"/>
          <w:szCs w:val="14"/>
          <w:b w:val="1"/>
          <w:bCs w:val="1"/>
          <w:color w:val="auto"/>
        </w:rPr>
        <w:t>Honolulu, HI 96819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and zip code)</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(808) 848-1211</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5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69" w:lineRule="exact"/>
        <w:rPr>
          <w:sz w:val="24"/>
          <w:szCs w:val="24"/>
          <w:color w:val="auto"/>
        </w:rPr>
      </w:pPr>
    </w:p>
    <w:tbl>
      <w:tblPr>
        <w:tblLayout w:type="fixed"/>
        <w:tblInd w:w="320"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40" w:type="dxa"/>
            <w:vAlign w:val="bottom"/>
          </w:tcPr>
          <w:p>
            <w:pPr>
              <w:jc w:val="center"/>
              <w:spacing w:after="0"/>
              <w:rPr>
                <w:sz w:val="20"/>
                <w:szCs w:val="20"/>
                <w:color w:val="auto"/>
              </w:rPr>
            </w:pPr>
            <w:r>
              <w:rPr>
                <w:rFonts w:ascii="Arial" w:cs="Arial" w:eastAsia="Arial" w:hAnsi="Arial"/>
                <w:sz w:val="11"/>
                <w:szCs w:val="11"/>
                <w:b w:val="1"/>
                <w:bCs w:val="1"/>
                <w:color w:val="auto"/>
                <w:w w:val="84"/>
              </w:rPr>
              <w:t>Name of each exchange</w:t>
            </w:r>
          </w:p>
        </w:tc>
        <w:tc>
          <w:tcPr>
            <w:tcW w:w="0" w:type="dxa"/>
            <w:vAlign w:val="bottom"/>
          </w:tcPr>
          <w:p>
            <w:pPr>
              <w:spacing w:after="0"/>
              <w:rPr>
                <w:sz w:val="1"/>
                <w:szCs w:val="1"/>
                <w:color w:val="auto"/>
              </w:rPr>
            </w:pPr>
          </w:p>
        </w:tc>
      </w:tr>
      <w:tr>
        <w:trPr>
          <w:trHeight w:val="135"/>
        </w:trPr>
        <w:tc>
          <w:tcPr>
            <w:tcW w:w="4060" w:type="dxa"/>
            <w:vAlign w:val="bottom"/>
            <w:tcBorders>
              <w:bottom w:val="single" w:sz="8" w:color="auto"/>
            </w:tcBorders>
          </w:tcPr>
          <w:p>
            <w:pPr>
              <w:jc w:val="center"/>
              <w:ind w:left="714"/>
              <w:spacing w:after="0"/>
              <w:rPr>
                <w:sz w:val="20"/>
                <w:szCs w:val="20"/>
                <w:color w:val="auto"/>
              </w:rPr>
            </w:pPr>
            <w:r>
              <w:rPr>
                <w:rFonts w:ascii="Arial" w:cs="Arial" w:eastAsia="Arial" w:hAnsi="Arial"/>
                <w:sz w:val="11"/>
                <w:szCs w:val="11"/>
                <w:b w:val="1"/>
                <w:bCs w:val="1"/>
                <w:color w:val="auto"/>
                <w:w w:val="84"/>
              </w:rPr>
              <w:t>Title of each class</w:t>
            </w: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on which registered</w:t>
            </w:r>
          </w:p>
        </w:tc>
        <w:tc>
          <w:tcPr>
            <w:tcW w:w="0" w:type="dxa"/>
            <w:vAlign w:val="bottom"/>
          </w:tcPr>
          <w:p>
            <w:pPr>
              <w:spacing w:after="0"/>
              <w:rPr>
                <w:sz w:val="1"/>
                <w:szCs w:val="1"/>
                <w:color w:val="auto"/>
              </w:rPr>
            </w:pPr>
          </w:p>
        </w:tc>
      </w:tr>
      <w:tr>
        <w:trPr>
          <w:trHeight w:val="176"/>
        </w:trPr>
        <w:tc>
          <w:tcPr>
            <w:tcW w:w="4060" w:type="dxa"/>
            <w:vAlign w:val="bottom"/>
          </w:tcPr>
          <w:p>
            <w:pPr>
              <w:jc w:val="center"/>
              <w:ind w:left="714"/>
              <w:spacing w:after="0"/>
              <w:rPr>
                <w:sz w:val="20"/>
                <w:szCs w:val="20"/>
                <w:color w:val="auto"/>
              </w:rPr>
            </w:pPr>
            <w:r>
              <w:rPr>
                <w:rFonts w:ascii="Arial" w:cs="Arial" w:eastAsia="Arial" w:hAnsi="Arial"/>
                <w:sz w:val="14"/>
                <w:szCs w:val="14"/>
                <w:color w:val="auto"/>
                <w:w w:val="93"/>
              </w:rPr>
              <w:t>Common Stock, without par value</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40" w:type="dxa"/>
            <w:vAlign w:val="bottom"/>
          </w:tcPr>
          <w:p>
            <w:pPr>
              <w:jc w:val="center"/>
              <w:spacing w:after="0"/>
              <w:rPr>
                <w:sz w:val="20"/>
                <w:szCs w:val="20"/>
                <w:color w:val="auto"/>
              </w:rPr>
            </w:pPr>
            <w:r>
              <w:rPr>
                <w:rFonts w:ascii="Arial" w:cs="Arial" w:eastAsia="Arial" w:hAnsi="Arial"/>
                <w:sz w:val="14"/>
                <w:szCs w:val="14"/>
                <w:color w:val="auto"/>
                <w:w w:val="92"/>
              </w:rPr>
              <w:t>New York Stock Exchange</w:t>
            </w: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w:t>
            </w:r>
          </w:p>
        </w:tc>
        <w:tc>
          <w:tcPr>
            <w:tcW w:w="580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None</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5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of Common Stock outstanding at February 21, 2017:</w:t>
      </w:r>
    </w:p>
    <w:p>
      <w:pPr>
        <w:jc w:val="center"/>
        <w:ind w:right="-19"/>
        <w:spacing w:after="0"/>
        <w:rPr>
          <w:sz w:val="20"/>
          <w:szCs w:val="20"/>
          <w:color w:val="auto"/>
        </w:rPr>
      </w:pPr>
      <w:r>
        <w:rPr>
          <w:rFonts w:ascii="Arial" w:cs="Arial" w:eastAsia="Arial" w:hAnsi="Arial"/>
          <w:sz w:val="14"/>
          <w:szCs w:val="14"/>
          <w:b w:val="1"/>
          <w:bCs w:val="1"/>
          <w:color w:val="auto"/>
        </w:rPr>
        <w:t>43,119,933</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Aggregate market value of Common Stock held by non-affiliates at June 30, 2016:</w:t>
      </w:r>
    </w:p>
    <w:p>
      <w:pPr>
        <w:jc w:val="center"/>
        <w:ind w:right="-19"/>
        <w:spacing w:after="0"/>
        <w:rPr>
          <w:sz w:val="20"/>
          <w:szCs w:val="20"/>
          <w:color w:val="auto"/>
        </w:rPr>
      </w:pPr>
      <w:r>
        <w:rPr>
          <w:rFonts w:ascii="Arial" w:cs="Arial" w:eastAsia="Arial" w:hAnsi="Arial"/>
          <w:sz w:val="14"/>
          <w:szCs w:val="14"/>
          <w:b w:val="1"/>
          <w:bCs w:val="1"/>
          <w:color w:val="auto"/>
        </w:rPr>
        <w:t>$1,368,198,911</w:t>
      </w:r>
    </w:p>
    <w:p>
      <w:pPr>
        <w:spacing w:after="0" w:line="43" w:lineRule="exact"/>
        <w:rPr>
          <w:sz w:val="24"/>
          <w:szCs w:val="24"/>
          <w:color w:val="auto"/>
        </w:rPr>
      </w:pPr>
    </w:p>
    <w:p>
      <w:pPr>
        <w:ind w:right="2680"/>
        <w:spacing w:after="0" w:line="24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right="2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6" w:lineRule="exact"/>
        <w:rPr>
          <w:sz w:val="24"/>
          <w:szCs w:val="24"/>
          <w:color w:val="auto"/>
        </w:rPr>
      </w:pPr>
    </w:p>
    <w:p>
      <w:pPr>
        <w:ind w:right="480"/>
        <w:spacing w:after="0" w:line="18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45" w:lineRule="exact"/>
        <w:rPr>
          <w:sz w:val="24"/>
          <w:szCs w:val="24"/>
          <w:color w:val="auto"/>
        </w:rPr>
      </w:pPr>
    </w:p>
    <w:p>
      <w:pPr>
        <w:ind w:right="4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0380"/>
          </w:cols>
          <w:pgMar w:left="760" w:top="233" w:right="759" w:bottom="1440" w:gutter="0" w:footer="0" w:header="0"/>
          <w:type w:val="continuous"/>
        </w:sectPr>
      </w:pPr>
    </w:p>
    <w:p>
      <w:pPr>
        <w:spacing w:after="0" w:line="25" w:lineRule="exact"/>
        <w:rPr>
          <w:sz w:val="24"/>
          <w:szCs w:val="24"/>
          <w:color w:val="auto"/>
        </w:rPr>
      </w:pPr>
    </w:p>
    <w:p>
      <w:pPr>
        <w:ind w:left="20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680" w:space="720"/>
            <w:col w:w="2980"/>
          </w:cols>
          <w:pgMar w:left="760" w:top="233" w:right="759" w:bottom="1440" w:gutter="0" w:footer="0" w:header="0"/>
          <w:type w:val="continuous"/>
        </w:sectPr>
      </w:pPr>
    </w:p>
    <w:p>
      <w:pPr>
        <w:jc w:val="center"/>
        <w:ind w:right="7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40" w:lineRule="exact"/>
        <w:rPr>
          <w:sz w:val="24"/>
          <w:szCs w:val="24"/>
          <w:color w:val="auto"/>
        </w:rPr>
      </w:pPr>
    </w:p>
    <w:p>
      <w:pPr>
        <w:jc w:val="center"/>
        <w:ind w:right="780"/>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255" w:lineRule="exact"/>
        <w:rPr>
          <w:sz w:val="24"/>
          <w:szCs w:val="24"/>
          <w:color w:val="auto"/>
        </w:rPr>
      </w:pPr>
    </w:p>
    <w:p>
      <w:pPr>
        <w:sectPr>
          <w:pgSz w:w="11900" w:h="16838" w:orient="portrait"/>
          <w:cols w:equalWidth="0" w:num="2">
            <w:col w:w="6360" w:space="720"/>
            <w:col w:w="3300"/>
          </w:cols>
          <w:pgMar w:left="760" w:top="233" w:right="759" w:bottom="1440" w:gutter="0" w:footer="0" w:header="0"/>
          <w:type w:val="continuous"/>
        </w:sectPr>
      </w:pPr>
    </w:p>
    <w:p>
      <w:pPr>
        <w:ind w:right="300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Documents Incorporated By Reference</w:t>
      </w:r>
    </w:p>
    <w:p>
      <w:pPr>
        <w:spacing w:after="0" w:line="44" w:lineRule="exact"/>
        <w:rPr>
          <w:sz w:val="24"/>
          <w:szCs w:val="24"/>
          <w:color w:val="auto"/>
        </w:rPr>
      </w:pPr>
    </w:p>
    <w:p>
      <w:pPr>
        <w:ind w:right="340"/>
        <w:spacing w:after="0" w:line="259" w:lineRule="auto"/>
        <w:rPr>
          <w:sz w:val="20"/>
          <w:szCs w:val="20"/>
          <w:color w:val="auto"/>
        </w:rPr>
      </w:pPr>
      <w:r>
        <w:rPr>
          <w:rFonts w:ascii="Arial" w:cs="Arial" w:eastAsia="Arial" w:hAnsi="Arial"/>
          <w:sz w:val="14"/>
          <w:szCs w:val="14"/>
          <w:b w:val="1"/>
          <w:bCs w:val="1"/>
          <w:color w:val="auto"/>
        </w:rPr>
        <w:t>The following document is incorporated by reference in Part III of the Annual Report on Form 10-K to the extent described therein: Proxy statement for the annual meeting of shareholders of Matson, Inc. to be held April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59690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574040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380"/>
          </w:cols>
          <w:pgMar w:left="76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8"/>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6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8220" w:type="dxa"/>
            <w:vAlign w:val="bottom"/>
            <w:gridSpan w:val="36"/>
          </w:tcPr>
          <w:p>
            <w:pPr>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5"/>
        </w:trPr>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10"/>
          </w:tcPr>
          <w:p>
            <w:pPr>
              <w:jc w:val="center"/>
              <w:ind w:right="324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Business</w:t>
              </w:r>
            </w:hyperlink>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500" w:type="dxa"/>
            <w:vAlign w:val="bottom"/>
            <w:gridSpan w:val="33"/>
          </w:tcPr>
          <w:p>
            <w:pPr>
              <w:ind w:left="80"/>
              <w:spacing w:after="0"/>
              <w:rPr>
                <w:rFonts w:ascii="Arial" w:cs="Arial" w:eastAsia="Arial" w:hAnsi="Arial"/>
                <w:sz w:val="18"/>
                <w:szCs w:val="18"/>
                <w:color w:val="0000EE"/>
              </w:rPr>
            </w:pPr>
            <w:hyperlink w:anchor="page4">
              <w:r>
                <w:rPr>
                  <w:rFonts w:ascii="Arial" w:cs="Arial" w:eastAsia="Arial" w:hAnsi="Arial"/>
                  <w:sz w:val="18"/>
                  <w:szCs w:val="18"/>
                  <w:color w:val="0000EE"/>
                </w:rPr>
                <w:t>A. Company Overview</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 Business Description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gridSpan w:val="24"/>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Ocean Transportation Segment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7"/>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(2)</w:t>
              </w:r>
            </w:hyperlink>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80" w:type="dxa"/>
            <w:vAlign w:val="bottom"/>
            <w:gridSpan w:val="24"/>
          </w:tcPr>
          <w:p>
            <w:pPr>
              <w:ind w:left="20"/>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Logistics Segment</w:t>
              </w:r>
            </w:hyperlink>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 Employees and Labor Relations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D. Available Information</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Item 1A.</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680" w:type="dxa"/>
            <w:vAlign w:val="bottom"/>
            <w:tcBorders>
              <w:top w:val="single" w:sz="8" w:color="0000EE"/>
            </w:tcBorders>
            <w:gridSpan w:val="4"/>
          </w:tcPr>
          <w:p>
            <w:pPr>
              <w:spacing w:after="0"/>
              <w:rPr>
                <w:sz w:val="24"/>
                <w:szCs w:val="24"/>
                <w:color w:val="auto"/>
              </w:rPr>
            </w:pPr>
          </w:p>
        </w:tc>
        <w:tc>
          <w:tcPr>
            <w:tcW w:w="556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1B.</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Unresolved Staff Comments</w:t>
              </w:r>
            </w:hyperlink>
          </w:p>
        </w:tc>
        <w:tc>
          <w:tcPr>
            <w:tcW w:w="510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3">
              <w:r>
                <w:rPr>
                  <w:rFonts w:ascii="Arial" w:cs="Arial" w:eastAsia="Arial" w:hAnsi="Arial"/>
                  <w:sz w:val="18"/>
                  <w:szCs w:val="18"/>
                  <w:color w:val="0000EE"/>
                  <w:w w:val="85"/>
                </w:rPr>
                <w:t>Properties</w:t>
              </w:r>
            </w:hyperlink>
          </w:p>
        </w:tc>
        <w:tc>
          <w:tcPr>
            <w:tcW w:w="6420" w:type="dxa"/>
            <w:vAlign w:val="bottom"/>
            <w:gridSpan w:val="2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gridSpan w:val="10"/>
          </w:tcPr>
          <w:p>
            <w:pPr>
              <w:jc w:val="center"/>
              <w:ind w:right="3260"/>
              <w:spacing w:after="0"/>
              <w:rPr>
                <w:rFonts w:ascii="Arial" w:cs="Arial" w:eastAsia="Arial" w:hAnsi="Arial"/>
                <w:sz w:val="18"/>
                <w:szCs w:val="18"/>
                <w:b w:val="1"/>
                <w:bCs w:val="1"/>
                <w:color w:val="0000EE"/>
                <w:w w:val="99"/>
              </w:rPr>
            </w:pPr>
            <w:hyperlink w:anchor="page25">
              <w:r>
                <w:rPr>
                  <w:rFonts w:ascii="Arial" w:cs="Arial" w:eastAsia="Arial" w:hAnsi="Arial"/>
                  <w:sz w:val="18"/>
                  <w:szCs w:val="18"/>
                  <w:b w:val="1"/>
                  <w:bCs w:val="1"/>
                  <w:color w:val="0000EE"/>
                  <w:w w:val="99"/>
                </w:rPr>
                <w:t>PART II</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Market for Registrant’s Common Equity, Related Stockholder Matters and Issuer Purchases</w:t>
              </w:r>
            </w:hyperlink>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of Equity Securities</w:t>
              </w:r>
            </w:hyperlink>
          </w:p>
        </w:tc>
        <w:tc>
          <w:tcPr>
            <w:tcW w:w="5700" w:type="dxa"/>
            <w:vAlign w:val="bottom"/>
            <w:gridSpan w:val="2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6.</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Selected Financial Data</w:t>
              </w:r>
            </w:hyperlink>
          </w:p>
        </w:tc>
        <w:tc>
          <w:tcPr>
            <w:tcW w:w="544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Item 7.</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1680" w:type="dxa"/>
            <w:vAlign w:val="bottom"/>
            <w:tcBorders>
              <w:left w:val="single" w:sz="8" w:color="0000EE"/>
            </w:tcBorders>
            <w:gridSpan w:val="10"/>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gridSpan w:val="2"/>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Item 7A.</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8.</w:t>
              </w:r>
            </w:hyperlink>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24"/>
                <w:szCs w:val="24"/>
                <w:color w:val="auto"/>
              </w:rPr>
            </w:pPr>
          </w:p>
        </w:tc>
        <w:tc>
          <w:tcPr>
            <w:tcW w:w="280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Item 9.</w:t>
              </w:r>
            </w:hyperlink>
          </w:p>
        </w:tc>
        <w:tc>
          <w:tcPr>
            <w:tcW w:w="2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Changes in and Disagreements with Accountants on Accounting and Financial Disclosure</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8"/>
            <w:shd w:val="clear" w:color="auto" w:fill="0000EE"/>
          </w:tcPr>
          <w:p>
            <w:pPr>
              <w:spacing w:after="0" w:line="20" w:lineRule="exact"/>
              <w:rPr>
                <w:sz w:val="1"/>
                <w:szCs w:val="1"/>
                <w:color w:val="auto"/>
              </w:rPr>
            </w:pPr>
          </w:p>
        </w:tc>
        <w:tc>
          <w:tcPr>
            <w:tcW w:w="1680" w:type="dxa"/>
            <w:vAlign w:val="bottom"/>
            <w:tcBorders>
              <w:left w:val="single" w:sz="8" w:color="0000EE"/>
            </w:tcBorders>
            <w:gridSpan w:val="10"/>
            <w:shd w:val="clear" w:color="auto" w:fill="0000EE"/>
          </w:tcPr>
          <w:p>
            <w:pPr>
              <w:spacing w:after="0" w:line="20" w:lineRule="exact"/>
              <w:rPr>
                <w:sz w:val="1"/>
                <w:szCs w:val="1"/>
                <w:color w:val="auto"/>
              </w:rPr>
            </w:pPr>
          </w:p>
        </w:tc>
        <w:tc>
          <w:tcPr>
            <w:tcW w:w="2460" w:type="dxa"/>
            <w:vAlign w:val="bottom"/>
            <w:gridSpan w:val="7"/>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Item 9A.</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1">
              <w:r>
                <w:rPr>
                  <w:rFonts w:ascii="Arial" w:cs="Arial" w:eastAsia="Arial" w:hAnsi="Arial"/>
                  <w:sz w:val="18"/>
                  <w:szCs w:val="18"/>
                  <w:color w:val="0000EE"/>
                  <w:w w:val="88"/>
                </w:rPr>
                <w:t>Controls and Procedures</w:t>
              </w:r>
            </w:hyperlink>
          </w:p>
        </w:tc>
        <w:tc>
          <w:tcPr>
            <w:tcW w:w="538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160" w:type="dxa"/>
            <w:vAlign w:val="bottom"/>
            <w:gridSpan w:val="2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Conclusion Regarding Effectiveness of Disclosure Controls and Procedures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tcBorders>
              <w:top w:val="single" w:sz="8" w:color="0000EE"/>
            </w:tcBorders>
            <w:gridSpan w:val="25"/>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Internal Control over Financial Reporting</w:t>
              </w:r>
            </w:hyperlink>
          </w:p>
        </w:tc>
        <w:tc>
          <w:tcPr>
            <w:tcW w:w="170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2"/>
        </w:trPr>
        <w:tc>
          <w:tcPr>
            <w:tcW w:w="660" w:type="dxa"/>
            <w:vAlign w:val="bottom"/>
            <w:gridSpan w:val="2"/>
          </w:tcPr>
          <w:p>
            <w:pPr>
              <w:spacing w:after="0"/>
              <w:rPr>
                <w:rFonts w:ascii="Arial" w:cs="Arial" w:eastAsia="Arial" w:hAnsi="Arial"/>
                <w:sz w:val="18"/>
                <w:szCs w:val="18"/>
                <w:color w:val="0000EE"/>
                <w:w w:val="92"/>
              </w:rPr>
            </w:pPr>
            <w:hyperlink w:anchor="page81">
              <w:r>
                <w:rPr>
                  <w:rFonts w:ascii="Arial" w:cs="Arial" w:eastAsia="Arial" w:hAnsi="Arial"/>
                  <w:sz w:val="18"/>
                  <w:szCs w:val="18"/>
                  <w:color w:val="0000EE"/>
                  <w:w w:val="92"/>
                </w:rPr>
                <w:t>Item 9B.</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Borders>
              <w:top w:val="single" w:sz="8" w:color="0000EE"/>
            </w:tcBorders>
            <w:gridSpan w:val="18"/>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416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580" w:type="dxa"/>
            <w:vAlign w:val="bottom"/>
            <w:gridSpan w:val="21"/>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40" w:type="dxa"/>
            <w:vAlign w:val="bottom"/>
          </w:tcPr>
          <w:p>
            <w:pPr>
              <w:spacing w:after="0"/>
              <w:rPr>
                <w:sz w:val="17"/>
                <w:szCs w:val="17"/>
                <w:color w:val="auto"/>
              </w:rPr>
            </w:pPr>
          </w:p>
        </w:tc>
      </w:tr>
      <w:tr>
        <w:trPr>
          <w:trHeight w:val="777"/>
        </w:trPr>
        <w:tc>
          <w:tcPr>
            <w:tcW w:w="60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III</w:t>
              </w:r>
            </w:hyperlink>
          </w:p>
        </w:tc>
        <w:tc>
          <w:tcPr>
            <w:tcW w:w="34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10.</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gridSpan w:val="18"/>
          </w:tcPr>
          <w:p>
            <w:pPr>
              <w:ind w:left="80"/>
              <w:spacing w:after="0"/>
              <w:rPr>
                <w:rFonts w:ascii="Arial" w:cs="Arial" w:eastAsia="Arial" w:hAnsi="Arial"/>
                <w:sz w:val="18"/>
                <w:szCs w:val="18"/>
                <w:color w:val="0000EE"/>
              </w:rPr>
            </w:pPr>
            <w:hyperlink w:anchor="page82">
              <w:r>
                <w:rPr>
                  <w:rFonts w:ascii="Arial" w:cs="Arial" w:eastAsia="Arial" w:hAnsi="Arial"/>
                  <w:sz w:val="18"/>
                  <w:szCs w:val="18"/>
                  <w:color w:val="0000EE"/>
                </w:rPr>
                <w:t>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7980" w:type="dxa"/>
            <w:vAlign w:val="bottom"/>
            <w:gridSpan w:val="20"/>
          </w:tcPr>
          <w:p>
            <w:pPr>
              <w:ind w:left="160"/>
              <w:spacing w:after="0"/>
              <w:rPr>
                <w:rFonts w:ascii="Arial" w:cs="Arial" w:eastAsia="Arial" w:hAnsi="Arial"/>
                <w:sz w:val="18"/>
                <w:szCs w:val="18"/>
                <w:color w:val="0000EE"/>
              </w:rPr>
            </w:pPr>
            <w:hyperlink w:anchor="page82">
              <w:r>
                <w:rPr>
                  <w:rFonts w:ascii="Arial" w:cs="Arial" w:eastAsia="Arial" w:hAnsi="Arial"/>
                  <w:sz w:val="18"/>
                  <w:szCs w:val="18"/>
                  <w:color w:val="0000EE"/>
                </w:rPr>
                <w:t>A. Directors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B. Executive Officers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C.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7980" w:type="dxa"/>
            <w:vAlign w:val="bottom"/>
            <w:gridSpan w:val="20"/>
          </w:tcPr>
          <w:p>
            <w:pPr>
              <w:ind w:left="160"/>
              <w:spacing w:after="0"/>
              <w:rPr>
                <w:rFonts w:ascii="Arial" w:cs="Arial" w:eastAsia="Arial" w:hAnsi="Arial"/>
                <w:sz w:val="18"/>
                <w:szCs w:val="18"/>
                <w:color w:val="0000EE"/>
              </w:rPr>
            </w:pPr>
            <w:hyperlink w:anchor="page82">
              <w:r>
                <w:rPr>
                  <w:rFonts w:ascii="Arial" w:cs="Arial" w:eastAsia="Arial" w:hAnsi="Arial"/>
                  <w:sz w:val="18"/>
                  <w:szCs w:val="18"/>
                  <w:color w:val="0000EE"/>
                </w:rPr>
                <w:t>D. Code of Ethics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11.</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gridSpan w:val="18"/>
          </w:tcPr>
          <w:p>
            <w:pPr>
              <w:ind w:left="80"/>
              <w:spacing w:after="0"/>
              <w:rPr>
                <w:rFonts w:ascii="Arial" w:cs="Arial" w:eastAsia="Arial" w:hAnsi="Arial"/>
                <w:sz w:val="18"/>
                <w:szCs w:val="18"/>
                <w:color w:val="0000EE"/>
              </w:rPr>
            </w:pPr>
            <w:hyperlink w:anchor="page82">
              <w:r>
                <w:rPr>
                  <w:rFonts w:ascii="Arial" w:cs="Arial" w:eastAsia="Arial" w:hAnsi="Arial"/>
                  <w:sz w:val="18"/>
                  <w:szCs w:val="18"/>
                  <w:color w:val="0000EE"/>
                </w:rPr>
                <w:t>Executive Compensation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12.</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gridSpan w:val="18"/>
          </w:tcPr>
          <w:p>
            <w:pPr>
              <w:ind w:left="80"/>
              <w:spacing w:after="0"/>
              <w:rPr>
                <w:rFonts w:ascii="Arial" w:cs="Arial" w:eastAsia="Arial" w:hAnsi="Arial"/>
                <w:sz w:val="18"/>
                <w:szCs w:val="18"/>
                <w:color w:val="0000EE"/>
                <w:w w:val="94"/>
              </w:rPr>
            </w:pPr>
            <w:hyperlink w:anchor="page82">
              <w:r>
                <w:rPr>
                  <w:rFonts w:ascii="Arial" w:cs="Arial" w:eastAsia="Arial" w:hAnsi="Arial"/>
                  <w:sz w:val="18"/>
                  <w:szCs w:val="18"/>
                  <w:color w:val="0000EE"/>
                  <w:w w:val="94"/>
                </w:rPr>
                <w:t>Security Ownership of Certain Beneficial Owners and Management and Related Stockholder Matters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13.</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gridSpan w:val="18"/>
          </w:tcPr>
          <w:p>
            <w:pPr>
              <w:ind w:left="80"/>
              <w:spacing w:after="0"/>
              <w:rPr>
                <w:rFonts w:ascii="Arial" w:cs="Arial" w:eastAsia="Arial" w:hAnsi="Arial"/>
                <w:sz w:val="18"/>
                <w:szCs w:val="18"/>
                <w:color w:val="0000EE"/>
              </w:rPr>
            </w:pPr>
            <w:hyperlink w:anchor="page82">
              <w:r>
                <w:rPr>
                  <w:rFonts w:ascii="Arial" w:cs="Arial" w:eastAsia="Arial" w:hAnsi="Arial"/>
                  <w:sz w:val="18"/>
                  <w:szCs w:val="18"/>
                  <w:color w:val="0000EE"/>
                </w:rPr>
                <w:t>Certain Relationships and Related Transactions, and Director Independence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Item 14.</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gridSpan w:val="18"/>
          </w:tcPr>
          <w:p>
            <w:pPr>
              <w:ind w:left="80"/>
              <w:spacing w:after="0"/>
              <w:rPr>
                <w:rFonts w:ascii="Arial" w:cs="Arial" w:eastAsia="Arial" w:hAnsi="Arial"/>
                <w:sz w:val="18"/>
                <w:szCs w:val="18"/>
                <w:color w:val="0000EE"/>
              </w:rPr>
            </w:pPr>
            <w:hyperlink w:anchor="page82">
              <w:r>
                <w:rPr>
                  <w:rFonts w:ascii="Arial" w:cs="Arial" w:eastAsia="Arial" w:hAnsi="Arial"/>
                  <w:sz w:val="18"/>
                  <w:szCs w:val="18"/>
                  <w:color w:val="0000EE"/>
                </w:rPr>
                <w:t>Principal Accounting Fees and Services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12"/>
        </w:trPr>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rFonts w:ascii="Arial" w:cs="Arial" w:eastAsia="Arial" w:hAnsi="Arial"/>
                <w:sz w:val="18"/>
                <w:szCs w:val="18"/>
                <w:b w:val="1"/>
                <w:bCs w:val="1"/>
                <w:color w:val="0000EE"/>
                <w:w w:val="95"/>
              </w:rPr>
            </w:pPr>
            <w:hyperlink w:anchor="page83">
              <w:r>
                <w:rPr>
                  <w:rFonts w:ascii="Arial" w:cs="Arial" w:eastAsia="Arial" w:hAnsi="Arial"/>
                  <w:sz w:val="18"/>
                  <w:szCs w:val="18"/>
                  <w:b w:val="1"/>
                  <w:bCs w:val="1"/>
                  <w:color w:val="0000EE"/>
                  <w:w w:val="95"/>
                </w:rPr>
                <w:t>PART IV</w:t>
              </w:r>
            </w:hyperlink>
          </w:p>
        </w:tc>
        <w:tc>
          <w:tcPr>
            <w:tcW w:w="3460" w:type="dxa"/>
            <w:vAlign w:val="bottom"/>
            <w:gridSpan w:val="3"/>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600" w:type="dxa"/>
            <w:vAlign w:val="bottom"/>
          </w:tcPr>
          <w:p>
            <w:pPr>
              <w:spacing w:after="0"/>
              <w:rPr>
                <w:rFonts w:ascii="Arial" w:cs="Arial" w:eastAsia="Arial" w:hAnsi="Arial"/>
                <w:sz w:val="18"/>
                <w:szCs w:val="18"/>
                <w:color w:val="0000EE"/>
                <w:w w:val="89"/>
              </w:rPr>
            </w:pPr>
            <w:hyperlink w:anchor="page83">
              <w:r>
                <w:rPr>
                  <w:rFonts w:ascii="Arial" w:cs="Arial" w:eastAsia="Arial" w:hAnsi="Arial"/>
                  <w:sz w:val="18"/>
                  <w:szCs w:val="18"/>
                  <w:color w:val="0000EE"/>
                  <w:w w:val="89"/>
                </w:rPr>
                <w:t>Item 15.</w:t>
              </w:r>
            </w:hyperlink>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40" w:type="dxa"/>
            <w:vAlign w:val="bottom"/>
            <w:gridSpan w:val="18"/>
          </w:tcPr>
          <w:p>
            <w:pPr>
              <w:ind w:left="80"/>
              <w:spacing w:after="0"/>
              <w:rPr>
                <w:rFonts w:ascii="Arial" w:cs="Arial" w:eastAsia="Arial" w:hAnsi="Arial"/>
                <w:sz w:val="18"/>
                <w:szCs w:val="18"/>
                <w:color w:val="0000EE"/>
              </w:rPr>
            </w:pPr>
            <w:hyperlink w:anchor="page83">
              <w:r>
                <w:rPr>
                  <w:rFonts w:ascii="Arial" w:cs="Arial" w:eastAsia="Arial" w:hAnsi="Arial"/>
                  <w:sz w:val="18"/>
                  <w:szCs w:val="18"/>
                  <w:color w:val="0000EE"/>
                </w:rPr>
                <w:t>Exhibits and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7980" w:type="dxa"/>
            <w:vAlign w:val="bottom"/>
            <w:gridSpan w:val="20"/>
          </w:tcPr>
          <w:p>
            <w:pPr>
              <w:ind w:left="160"/>
              <w:spacing w:after="0"/>
              <w:rPr>
                <w:rFonts w:ascii="Arial" w:cs="Arial" w:eastAsia="Arial" w:hAnsi="Arial"/>
                <w:sz w:val="18"/>
                <w:szCs w:val="18"/>
                <w:color w:val="0000EE"/>
              </w:rPr>
            </w:pPr>
            <w:hyperlink w:anchor="page83">
              <w:r>
                <w:rPr>
                  <w:rFonts w:ascii="Arial" w:cs="Arial" w:eastAsia="Arial" w:hAnsi="Arial"/>
                  <w:sz w:val="18"/>
                  <w:szCs w:val="18"/>
                  <w:color w:val="0000EE"/>
                </w:rPr>
                <w:t>A.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0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B.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8"/>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0" w:type="dxa"/>
            <w:vAlign w:val="bottom"/>
            <w:gridSpan w:val="1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 Exhibits Required by Item 601 of Regulation 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2"/>
        </w:trPr>
        <w:tc>
          <w:tcPr>
            <w:tcW w:w="7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90">
              <w:r>
                <w:rPr>
                  <w:rFonts w:ascii="Arial" w:cs="Arial" w:eastAsia="Arial" w:hAnsi="Arial"/>
                  <w:sz w:val="18"/>
                  <w:szCs w:val="18"/>
                  <w:color w:val="0000EE"/>
                  <w:w w:val="85"/>
                </w:rPr>
                <w:t>Signatures</w:t>
              </w:r>
            </w:hyperlink>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tcBorders>
              <w:top w:val="single" w:sz="8" w:color="0000EE"/>
            </w:tcBorders>
            <w:gridSpan w:val="13"/>
          </w:tcPr>
          <w:p>
            <w:pPr>
              <w:spacing w:after="0"/>
              <w:rPr>
                <w:sz w:val="24"/>
                <w:szCs w:val="24"/>
                <w:color w:val="auto"/>
              </w:rPr>
            </w:pPr>
          </w:p>
        </w:tc>
        <w:tc>
          <w:tcPr>
            <w:tcW w:w="398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for the Fiscal Year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Ended December 31,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1000" w:hanging="997"/>
        <w:spacing w:after="0"/>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by segment for the three years ended December 31, 2016, see Note 15 to the Consolidated Financial Statements in Item 8 of Part II below.</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w:t>
      </w:r>
      <w:r>
        <w:rPr>
          <w:rFonts w:ascii="Arial" w:cs="Arial" w:eastAsia="Arial" w:hAnsi="Arial"/>
          <w:sz w:val="17"/>
          <w:szCs w:val="17"/>
          <w:i w:val="1"/>
          <w:iCs w:val="1"/>
          <w:color w:val="auto"/>
        </w:rPr>
        <w:t xml:space="preserve"> </w:t>
      </w:r>
      <w:r>
        <w:rPr>
          <w:rFonts w:ascii="Arial" w:cs="Arial" w:eastAsia="Arial" w:hAnsi="Arial"/>
          <w:sz w:val="17"/>
          <w:szCs w:val="17"/>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various islands in the South Pacific. In addition, subsidiaries of MatNav provide container stevedoring, container equipment maintenance and other terminal services for MatNav and other ocean carriers on the Hawaiian islands of Oahu, Hawaii, Maui and Kauai, and in the Alaska locations of Anchorage, Kodiak and Dutch Harbor. Matson’s fleet of 22 owned vessels and five chartered vessels includes containerships, combination container and roll-on/roll-off ships and custom-designed barges.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(“SSA”), a subsidiary of Carrix, Inc. SSAT provides terminal and stevedoring services to various carriers at six terminal facilities on the U.S. West Coast, including to MatNav at three of those facilities (“Terminal Joint Venture”). Matson records its share of income in the joint venture in operating costs in the Consolidated Statements of Income and Comprehensive Income, and within the Ocean Transportation segment due to the nature of SSAT’s operations.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(“LCL”) consolidation and freight forwarding services (collectively “Freight Forwarding Services”); (iii) warehousing and distribution services; and (iv) supply chain management and other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4, 2016, Matson Logistics completed its acquisition of Span Intermediate, LLC (“Span Alaska”), a market leading provider of LCL consolidation and freight forwarding services to Alaska. On May 29, 2015, Matson completed its acquisition of Horizon Lines, Inc. (“Horizon”). As a result, Matson acquired Horizon’s Alaska operations and assumed all of Horizon’s non-Hawaii assets and liabilities (the “Horizon Acquisition”). For additional information on Acquisitions, see Note 3 to the Consolidated Financial Statements in Item 8 of Part II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Mission and 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move freight better than anyone. Our vision is to create value for our shareholders by:</w:t>
      </w:r>
    </w:p>
    <w:p>
      <w:pPr>
        <w:spacing w:after="0" w:line="225" w:lineRule="exact"/>
        <w:rPr>
          <w:sz w:val="20"/>
          <w:szCs w:val="20"/>
          <w:color w:val="auto"/>
        </w:rPr>
      </w:pPr>
    </w:p>
    <w:p>
      <w:pPr>
        <w:ind w:left="220" w:hanging="217"/>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our customers’ first choice,</w:t>
      </w:r>
    </w:p>
    <w:p>
      <w:pPr>
        <w:spacing w:after="0" w:line="23" w:lineRule="exact"/>
        <w:rPr>
          <w:rFonts w:ascii="Arial" w:cs="Arial" w:eastAsia="Arial" w:hAnsi="Arial"/>
          <w:sz w:val="18"/>
          <w:szCs w:val="18"/>
          <w:color w:val="auto"/>
        </w:rPr>
      </w:pPr>
    </w:p>
    <w:p>
      <w:pPr>
        <w:ind w:left="120" w:hanging="117"/>
        <w:spacing w:after="0"/>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Leveraging our core strengths to drive growth and increase profitability,</w:t>
      </w:r>
    </w:p>
    <w:p>
      <w:pPr>
        <w:spacing w:after="0" w:line="9" w:lineRule="exact"/>
        <w:rPr>
          <w:rFonts w:ascii="Arial" w:cs="Arial" w:eastAsia="Arial" w:hAnsi="Arial"/>
          <w:sz w:val="18"/>
          <w:szCs w:val="18"/>
          <w:color w:val="auto"/>
        </w:rPr>
      </w:pPr>
    </w:p>
    <w:p>
      <w:pPr>
        <w:ind w:left="140" w:hanging="137"/>
        <w:spacing w:after="0"/>
        <w:tabs>
          <w:tab w:leader="none" w:pos="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the communities in which we work and live,</w:t>
      </w:r>
    </w:p>
    <w:p>
      <w:pPr>
        <w:spacing w:after="0" w:line="9" w:lineRule="exact"/>
        <w:rPr>
          <w:rFonts w:ascii="Arial" w:cs="Arial" w:eastAsia="Arial" w:hAnsi="Arial"/>
          <w:sz w:val="18"/>
          <w:szCs w:val="18"/>
          <w:color w:val="auto"/>
        </w:rPr>
      </w:pPr>
    </w:p>
    <w:p>
      <w:pPr>
        <w:ind w:left="160" w:hanging="157"/>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an environmental leader in our industry, and</w:t>
      </w:r>
    </w:p>
    <w:p>
      <w:pPr>
        <w:spacing w:after="0" w:line="9" w:lineRule="exact"/>
        <w:rPr>
          <w:rFonts w:ascii="Arial" w:cs="Arial" w:eastAsia="Arial" w:hAnsi="Arial"/>
          <w:sz w:val="18"/>
          <w:szCs w:val="18"/>
          <w:color w:val="auto"/>
        </w:rPr>
      </w:pPr>
    </w:p>
    <w:p>
      <w:pPr>
        <w:ind w:left="260" w:hanging="257"/>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Being a great place to work.</w:t>
      </w:r>
    </w:p>
    <w:p>
      <w:pPr>
        <w:spacing w:after="0" w:line="207" w:lineRule="exact"/>
        <w:rPr>
          <w:sz w:val="20"/>
          <w:szCs w:val="20"/>
          <w:color w:val="auto"/>
        </w:rPr>
      </w:pPr>
    </w:p>
    <w:p>
      <w:pPr>
        <w:ind w:left="940" w:hanging="937"/>
        <w:spacing w:after="0"/>
        <w:tabs>
          <w:tab w:leader="none" w:pos="9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225" w:lineRule="exact"/>
        <w:rPr>
          <w:rFonts w:ascii="Arial" w:cs="Arial" w:eastAsia="Arial" w:hAnsi="Arial"/>
          <w:sz w:val="18"/>
          <w:szCs w:val="18"/>
          <w:b w:val="1"/>
          <w:bCs w:val="1"/>
          <w:color w:val="auto"/>
        </w:rPr>
      </w:pPr>
    </w:p>
    <w:p>
      <w:pPr>
        <w:ind w:left="1400" w:hanging="749"/>
        <w:spacing w:after="0"/>
        <w:tabs>
          <w:tab w:leader="none" w:pos="1400"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OCEAN TRANSPORTATION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Ocean Freight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Matson’s Ocean Transportation segment provides the following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Ocean Services: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provides ocean freight services (lift-on/lift-off, roll-on/roll-off and conventional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between the ports of Long Beach and Oakland, California, Seattle, Washington, and the major ports in Hawaii on the islands of Oahu, Kauai, Maui and Hawaii. Matson is the largest carrier of ocean cargo between the U.S. West Coast and Hawaii.</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Westbound cargo carried by Matson to Hawaii includes dry containers of mixed commodities, refrigerated commodities,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packaged foods and beverages, retail merchandise, building materials, automobiles and household goods. Matson’s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eastbound cargo from Hawaii includes automobiles, household goods, dry containers of mixed commodities,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livestock. The majority of Matson’s Hawaii service revenue is derived from the westbound carriage of containerized freight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automobiles.</w:t>
      </w:r>
    </w:p>
    <w:p>
      <w:pPr>
        <w:spacing w:after="0" w:line="21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Alaska Service: </w:t>
      </w:r>
      <w:r>
        <w:rPr>
          <w:rFonts w:ascii="Arial" w:cs="Arial" w:eastAsia="Arial" w:hAnsi="Arial"/>
          <w:sz w:val="17"/>
          <w:szCs w:val="17"/>
          <w:color w:val="auto"/>
        </w:rPr>
        <w:t>Matson’s Alaska service, which Matson acquired on May 29, 2015 as part of the Horizon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ocean freight services (lift-on/lift-off and conventional services) between the port of Tacoma, Washington, and the ports of Anchorage, Kodiak, and Dutch Harbor in Alaska. The Company also provides a barge service between Dutch Harbor and Akutan in Alaska, and other transportation services to smaller locations in Alaska.</w:t>
      </w:r>
    </w:p>
    <w:p>
      <w:pPr>
        <w:spacing w:after="0" w:line="17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Matson’s northbound cargo to Alaska includes dry containers of mixed commodities, refrigerated commodities, packaged foods and beverages, retail merchandise, household goods, and automobiles. Matson’s southbound cargo from Alaska primarily consists of household goods, automobiles and seafood.</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China Service: </w:t>
      </w:r>
      <w:r>
        <w:rPr>
          <w:rFonts w:ascii="Arial" w:cs="Arial" w:eastAsia="Arial" w:hAnsi="Arial"/>
          <w:sz w:val="17"/>
          <w:szCs w:val="17"/>
          <w:color w:val="auto"/>
        </w:rPr>
        <w:t>Matson’s expedited China-Long Beach Express (“CLX”) service is part of an integrated Hawaii/Guam/</w:t>
      </w:r>
      <w:r>
        <w:rPr>
          <w:rFonts w:ascii="Arial" w:cs="Arial" w:eastAsia="Arial" w:hAnsi="Arial"/>
          <w:sz w:val="17"/>
          <w:szCs w:val="17"/>
          <w:i w:val="1"/>
          <w:iCs w:val="1"/>
          <w:color w:val="auto"/>
        </w:rPr>
        <w:t xml:space="preserve"> </w:t>
      </w:r>
      <w:r>
        <w:rPr>
          <w:rFonts w:ascii="Arial" w:cs="Arial" w:eastAsia="Arial" w:hAnsi="Arial"/>
          <w:sz w:val="17"/>
          <w:szCs w:val="17"/>
          <w:color w:val="auto"/>
        </w:rPr>
        <w:t>China service. This service carries cargo from Long Beach, California to Honolulu, Hawaii, and then to Guam. The vessels continue to the ports of Ningbo and Shanghai in China, where they are loaded with cargo to be discharged in Long Beach, California. These vessels also carry cargo destined to and originating from the Guam and Micronesia services. Commencing February 2017, Matson replaced its direct calling to Xiamen, China with a transshipment service to Shanghai, China. China cargo consists mainly of garments, footwear and other retail merchandise.</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Guam Service: </w:t>
      </w:r>
      <w:r>
        <w:rPr>
          <w:rFonts w:ascii="Arial" w:cs="Arial" w:eastAsia="Arial" w:hAnsi="Arial"/>
          <w:sz w:val="18"/>
          <w:szCs w:val="18"/>
          <w:color w:val="auto"/>
        </w:rPr>
        <w:t>Matson’s Guam service provides weekly container and conventional freight services carrying mainly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sustenance cargo between the U.S. West Coast and Guam. Additionally, Matson provides weekly freight services to the Commonwealth of the Northern Mariana Islands with transshipment in Guam.</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Japan Service: </w:t>
      </w:r>
      <w:r>
        <w:rPr>
          <w:rFonts w:ascii="Arial" w:cs="Arial" w:eastAsia="Arial" w:hAnsi="Arial"/>
          <w:sz w:val="18"/>
          <w:szCs w:val="18"/>
          <w:color w:val="auto"/>
        </w:rPr>
        <w:t>On December 20, 2016, Matson announced the introduction of service to the Port of Naha in Okinawa, Japan</w:t>
      </w:r>
      <w:r>
        <w:rPr>
          <w:rFonts w:ascii="Arial" w:cs="Arial" w:eastAsia="Arial" w:hAnsi="Arial"/>
          <w:sz w:val="18"/>
          <w:szCs w:val="18"/>
          <w:i w:val="1"/>
          <w:iCs w:val="1"/>
          <w:color w:val="auto"/>
        </w:rPr>
        <w:t xml:space="preserve"> </w:t>
      </w:r>
      <w:r>
        <w:rPr>
          <w:rFonts w:ascii="Arial" w:cs="Arial" w:eastAsia="Arial" w:hAnsi="Arial"/>
          <w:sz w:val="18"/>
          <w:szCs w:val="18"/>
          <w:color w:val="auto"/>
        </w:rPr>
        <w:t>as part of its expedited CLX service. The new weekly service is expected to make its first call during the second quarter 2017. This service is expected to carry mainly general sustenance cargo supporting the U.S. military and commercial customer base.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19"/>
        <w:spacing w:after="0" w:line="259" w:lineRule="auto"/>
        <w:rPr>
          <w:sz w:val="20"/>
          <w:szCs w:val="20"/>
          <w:color w:val="auto"/>
        </w:rPr>
      </w:pPr>
      <w:r>
        <w:rPr>
          <w:rFonts w:ascii="Arial" w:cs="Arial" w:eastAsia="Arial" w:hAnsi="Arial"/>
          <w:sz w:val="18"/>
          <w:szCs w:val="18"/>
          <w:i w:val="1"/>
          <w:iCs w:val="1"/>
          <w:color w:val="auto"/>
        </w:rPr>
        <w:t xml:space="preserve">Micronesia Service: </w:t>
      </w:r>
      <w:r>
        <w:rPr>
          <w:rFonts w:ascii="Arial" w:cs="Arial" w:eastAsia="Arial" w:hAnsi="Arial"/>
          <w:sz w:val="18"/>
          <w:szCs w:val="18"/>
          <w:color w:val="auto"/>
        </w:rPr>
        <w:t>Matson’s Micronesia service provides conventional container freight services carrying mainly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sustenance cargo between the U.S. West Coast and the islands of Kwajalein, Ebeye and Majuro in the Republic of the Marshall Islands, the islands of Yap, Pohnpei, Chuuk and Kosrae in the Federated States of Micronesia, and the Republic of Palau. Cargo destined for these locations is transshipped through Guam.</w:t>
      </w:r>
    </w:p>
    <w:p>
      <w:pPr>
        <w:spacing w:after="0" w:line="187" w:lineRule="exact"/>
        <w:rPr>
          <w:sz w:val="20"/>
          <w:szCs w:val="20"/>
          <w:color w:val="auto"/>
        </w:rPr>
      </w:pPr>
    </w:p>
    <w:p>
      <w:pPr>
        <w:ind w:right="59"/>
        <w:spacing w:after="0" w:line="273" w:lineRule="auto"/>
        <w:rPr>
          <w:sz w:val="20"/>
          <w:szCs w:val="20"/>
          <w:color w:val="auto"/>
        </w:rPr>
      </w:pPr>
      <w:r>
        <w:rPr>
          <w:rFonts w:ascii="Arial" w:cs="Arial" w:eastAsia="Arial" w:hAnsi="Arial"/>
          <w:sz w:val="17"/>
          <w:szCs w:val="17"/>
          <w:i w:val="1"/>
          <w:iCs w:val="1"/>
          <w:color w:val="auto"/>
        </w:rPr>
        <w:t xml:space="preserve">South Pacific Service: </w:t>
      </w:r>
      <w:r>
        <w:rPr>
          <w:rFonts w:ascii="Arial" w:cs="Arial" w:eastAsia="Arial" w:hAnsi="Arial"/>
          <w:sz w:val="17"/>
          <w:szCs w:val="17"/>
          <w:color w:val="auto"/>
        </w:rPr>
        <w:t>Matson’s South Pacific service provides container and conventional freight services carrying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sustenance cargo between New Zealand and the South Pacific Islands, including Fiji, Samoa, American Samoa, Tonga, the Cook Islands, Niue, Vanuatu, Nauru, and the Solomon Islands. In August 2016, Matson introduced its new South Pacific Express service that connects the U.S. West Coast to the ports in the South Pacific Islands. Cargo is transshipped to Honolulu, Hawaii, with a monthly conventional container freight service connecting the U.S. West Coast and Hawaii service to our South Pacific network, including New Zealand.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Terminals:</w:t>
      </w:r>
    </w:p>
    <w:p>
      <w:pPr>
        <w:spacing w:after="0" w:line="225" w:lineRule="exact"/>
        <w:rPr>
          <w:sz w:val="20"/>
          <w:szCs w:val="20"/>
          <w:color w:val="auto"/>
        </w:rPr>
      </w:pPr>
    </w:p>
    <w:p>
      <w:pPr>
        <w:ind w:right="59"/>
        <w:spacing w:after="0" w:line="259" w:lineRule="auto"/>
        <w:rPr>
          <w:sz w:val="20"/>
          <w:szCs w:val="20"/>
          <w:color w:val="auto"/>
        </w:rPr>
      </w:pPr>
      <w:r>
        <w:rPr>
          <w:rFonts w:ascii="Arial" w:cs="Arial" w:eastAsia="Arial" w:hAnsi="Arial"/>
          <w:sz w:val="18"/>
          <w:szCs w:val="18"/>
          <w:color w:val="auto"/>
        </w:rPr>
        <w:t>Matson provides container stevedoring, container equipment maintenance and other terminal services (collectively “terminal services”) for MatNav at terminals located on the Hawaiian islands of Oahu, Hawaii, Maui and Kauai; and in the Alaska terminal locations of Anchorage, Kodiak and Dutch Harbor. Matson also provides terminal services for other ocean carriers at the Alaska terminal locations of Kodak and Dutch Harbor.</w:t>
      </w:r>
    </w:p>
    <w:p>
      <w:pPr>
        <w:spacing w:after="0" w:line="187" w:lineRule="exact"/>
        <w:rPr>
          <w:sz w:val="20"/>
          <w:szCs w:val="20"/>
          <w:color w:val="auto"/>
        </w:rPr>
      </w:pPr>
    </w:p>
    <w:p>
      <w:pPr>
        <w:ind w:right="39"/>
        <w:spacing w:after="0" w:line="279" w:lineRule="auto"/>
        <w:rPr>
          <w:sz w:val="20"/>
          <w:szCs w:val="20"/>
          <w:color w:val="auto"/>
        </w:rPr>
      </w:pPr>
      <w:r>
        <w:rPr>
          <w:rFonts w:ascii="Arial" w:cs="Arial" w:eastAsia="Arial" w:hAnsi="Arial"/>
          <w:sz w:val="17"/>
          <w:szCs w:val="17"/>
          <w:color w:val="auto"/>
        </w:rPr>
        <w:t>SSAT provides terminal and stevedoring services to various carriers at six terminal facilities on the U.S. West Coast and to MatNav at three of those facilities, including Long Beach and Oakland, California, and Seattle, Washington. Matson records its share of income in the joint venture in operating costs in the Consolidated Statements of Income and Comprehensive Income, and within the Ocean Transportation segment due to the nature of SSAT’s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Matson utilizes the services of other third-party terminal operators at all of the other ports at which its vessels call.</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 Management Services:</w:t>
      </w:r>
    </w:p>
    <w:p>
      <w:pPr>
        <w:spacing w:after="0" w:line="225" w:lineRule="exact"/>
        <w:rPr>
          <w:sz w:val="20"/>
          <w:szCs w:val="20"/>
          <w:color w:val="auto"/>
        </w:rPr>
      </w:pPr>
    </w:p>
    <w:p>
      <w:pPr>
        <w:jc w:val="both"/>
        <w:ind w:right="99"/>
        <w:spacing w:after="0" w:line="264" w:lineRule="auto"/>
        <w:rPr>
          <w:sz w:val="20"/>
          <w:szCs w:val="20"/>
          <w:color w:val="auto"/>
        </w:rPr>
      </w:pPr>
      <w:r>
        <w:rPr>
          <w:rFonts w:ascii="Arial" w:cs="Arial" w:eastAsia="Arial" w:hAnsi="Arial"/>
          <w:sz w:val="18"/>
          <w:szCs w:val="18"/>
          <w:color w:val="auto"/>
        </w:rPr>
        <w:t>Matson contracts with the U.S. Department of Transportation to provide ship management services. During the first quarter of 2016, Matson signed an eight-year ship management contract to manage and maintain three Ready Reserve Force vessels on behalf of the U.S. Department of Transportation Maritime Administration.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Matson’s Vessel and Equipment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w:t>
      </w:r>
    </w:p>
    <w:p>
      <w:pPr>
        <w:spacing w:after="0" w:line="225"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Matson’s fleet includes 22 owned and five chartered vessels. Matson’s owned vessels represent an investment of approximately $1.4 billion (see Critical Accounting Estimates in Item 7 of Part II below for additional information about vessel costs and net book values). The majority of Matson’s owned vessels are U.S. flagged vessels, and have been acquired with the assistance of withdrawals from a Capital Construction Fund (“CCF”) established under Section 607 of the Merchant Marine Act of 1936 (see Note 7 to the Consolidated Financial Statements in Item 8 of Part II below for additional information).</w:t>
      </w:r>
    </w:p>
    <w:p>
      <w:pPr>
        <w:spacing w:after="0" w:line="193" w:lineRule="exact"/>
        <w:rPr>
          <w:sz w:val="20"/>
          <w:szCs w:val="20"/>
          <w:color w:val="auto"/>
        </w:rPr>
      </w:pPr>
    </w:p>
    <w:p>
      <w:pPr>
        <w:ind w:right="219"/>
        <w:spacing w:after="0" w:line="277" w:lineRule="auto"/>
        <w:rPr>
          <w:sz w:val="20"/>
          <w:szCs w:val="20"/>
          <w:color w:val="auto"/>
        </w:rPr>
      </w:pPr>
      <w:r>
        <w:rPr>
          <w:rFonts w:ascii="Arial" w:cs="Arial" w:eastAsia="Arial" w:hAnsi="Arial"/>
          <w:sz w:val="18"/>
          <w:szCs w:val="18"/>
          <w:color w:val="auto"/>
        </w:rPr>
        <w:t>Matson’s fleet consists of 21 U.S. flagged vessels operating in the Hawaii, Guam, China and Alaska services, and six non-U.S. flagged vessels operating in the Micronesia and South Pacific services.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Active vessels owned and chartered by Matson as of December 31, 2016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Usable Cargo Capacity</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8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Containers</w:t>
            </w:r>
          </w:p>
        </w:tc>
        <w:tc>
          <w:tcPr>
            <w:tcW w:w="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Vehicles</w:t>
            </w:r>
          </w:p>
        </w:tc>
        <w:tc>
          <w:tcPr>
            <w:tcW w:w="0" w:type="dxa"/>
            <w:vAlign w:val="bottom"/>
          </w:tcPr>
          <w:p>
            <w:pPr>
              <w:spacing w:after="0"/>
              <w:rPr>
                <w:sz w:val="1"/>
                <w:szCs w:val="1"/>
                <w:color w:val="auto"/>
              </w:rPr>
            </w:pPr>
          </w:p>
        </w:tc>
      </w:tr>
      <w:tr>
        <w:trPr>
          <w:trHeight w:val="11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 of Vessels (1)</w:t>
            </w:r>
          </w:p>
        </w:tc>
        <w:tc>
          <w:tcPr>
            <w:tcW w:w="1580" w:type="dxa"/>
            <w:vAlign w:val="bottom"/>
          </w:tcPr>
          <w:p>
            <w:pPr>
              <w:jc w:val="center"/>
              <w:ind w:left="591"/>
              <w:spacing w:after="0" w:line="119" w:lineRule="exact"/>
              <w:rPr>
                <w:sz w:val="20"/>
                <w:szCs w:val="20"/>
                <w:color w:val="auto"/>
              </w:rPr>
            </w:pPr>
            <w:r>
              <w:rPr>
                <w:rFonts w:ascii="Arial" w:cs="Arial" w:eastAsia="Arial" w:hAnsi="Arial"/>
                <w:sz w:val="13"/>
                <w:szCs w:val="13"/>
                <w:b w:val="1"/>
                <w:bCs w:val="1"/>
                <w:color w:val="auto"/>
              </w:rPr>
              <w:t>Owned/</w:t>
            </w: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Official</w:t>
            </w:r>
          </w:p>
        </w:tc>
        <w:tc>
          <w:tcPr>
            <w:tcW w:w="114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Year</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Speed</w:t>
            </w: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Deadweight</w:t>
            </w:r>
          </w:p>
        </w:tc>
        <w:tc>
          <w:tcPr>
            <w:tcW w:w="1120" w:type="dxa"/>
            <w:vAlign w:val="bottom"/>
            <w:tcBorders>
              <w:top w:val="single" w:sz="8" w:color="auto"/>
            </w:tcBorders>
          </w:tcPr>
          <w:p>
            <w:pPr>
              <w:ind w:left="720"/>
              <w:spacing w:after="0" w:line="119" w:lineRule="exact"/>
              <w:rPr>
                <w:sz w:val="20"/>
                <w:szCs w:val="20"/>
                <w:color w:val="auto"/>
              </w:rPr>
            </w:pPr>
            <w:r>
              <w:rPr>
                <w:rFonts w:ascii="Arial" w:cs="Arial" w:eastAsia="Arial" w:hAnsi="Arial"/>
                <w:sz w:val="13"/>
                <w:szCs w:val="13"/>
                <w:b w:val="1"/>
                <w:bCs w:val="1"/>
                <w:color w:val="auto"/>
                <w:w w:val="93"/>
              </w:rPr>
              <w:t>Reefer</w:t>
            </w:r>
          </w:p>
        </w:tc>
        <w:tc>
          <w:tcPr>
            <w:tcW w:w="160" w:type="dxa"/>
            <w:vAlign w:val="bottom"/>
          </w:tcPr>
          <w:p>
            <w:pPr>
              <w:spacing w:after="0"/>
              <w:rPr>
                <w:sz w:val="10"/>
                <w:szCs w:val="10"/>
                <w:color w:val="auto"/>
              </w:rPr>
            </w:pPr>
          </w:p>
        </w:tc>
        <w:tc>
          <w:tcPr>
            <w:tcW w:w="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Autos</w:t>
            </w:r>
          </w:p>
        </w:tc>
        <w:tc>
          <w:tcPr>
            <w:tcW w:w="0" w:type="dxa"/>
            <w:vAlign w:val="bottom"/>
          </w:tcPr>
          <w:p>
            <w:pPr>
              <w:spacing w:after="0"/>
              <w:rPr>
                <w:sz w:val="1"/>
                <w:szCs w:val="1"/>
                <w:color w:val="auto"/>
              </w:rPr>
            </w:pPr>
          </w:p>
        </w:tc>
      </w:tr>
      <w:tr>
        <w:trPr>
          <w:trHeight w:val="171"/>
        </w:trPr>
        <w:tc>
          <w:tcPr>
            <w:tcW w:w="2000" w:type="dxa"/>
            <w:vAlign w:val="bottom"/>
            <w:vMerge w:val="continue"/>
          </w:tcPr>
          <w:p>
            <w:pPr>
              <w:spacing w:after="0"/>
              <w:rPr>
                <w:sz w:val="14"/>
                <w:szCs w:val="14"/>
                <w:color w:val="auto"/>
              </w:rPr>
            </w:pPr>
          </w:p>
        </w:tc>
        <w:tc>
          <w:tcPr>
            <w:tcW w:w="1580" w:type="dxa"/>
            <w:vAlign w:val="bottom"/>
          </w:tcPr>
          <w:p>
            <w:pPr>
              <w:jc w:val="center"/>
              <w:ind w:left="611"/>
              <w:spacing w:after="0"/>
              <w:rPr>
                <w:sz w:val="20"/>
                <w:szCs w:val="20"/>
                <w:color w:val="auto"/>
              </w:rPr>
            </w:pPr>
            <w:r>
              <w:rPr>
                <w:rFonts w:ascii="Arial" w:cs="Arial" w:eastAsia="Arial" w:hAnsi="Arial"/>
                <w:sz w:val="14"/>
                <w:szCs w:val="14"/>
                <w:b w:val="1"/>
                <w:bCs w:val="1"/>
                <w:color w:val="auto"/>
                <w:w w:val="93"/>
              </w:rPr>
              <w:t>Chartered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 xml:space="preserve">Built   </w:t>
            </w:r>
            <w:r>
              <w:rPr>
                <w:rFonts w:ascii="Arial" w:cs="Arial" w:eastAsia="Arial" w:hAnsi="Arial"/>
                <w:sz w:val="14"/>
                <w:szCs w:val="14"/>
                <w:b w:val="1"/>
                <w:bCs w:val="1"/>
                <w:u w:val="single" w:color="auto"/>
                <w:color w:val="auto"/>
              </w:rPr>
              <w:t>Length</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(Knots)</w:t>
            </w:r>
          </w:p>
        </w:tc>
        <w:tc>
          <w:tcPr>
            <w:tcW w:w="980" w:type="dxa"/>
            <w:vAlign w:val="bottom"/>
          </w:tcPr>
          <w:p>
            <w:pPr>
              <w:jc w:val="center"/>
              <w:ind w:right="10"/>
              <w:spacing w:after="0"/>
              <w:rPr>
                <w:sz w:val="20"/>
                <w:szCs w:val="20"/>
                <w:color w:val="auto"/>
              </w:rPr>
            </w:pPr>
            <w:r>
              <w:rPr>
                <w:rFonts w:ascii="Arial" w:cs="Arial" w:eastAsia="Arial" w:hAnsi="Arial"/>
                <w:sz w:val="14"/>
                <w:szCs w:val="14"/>
                <w:b w:val="1"/>
                <w:bCs w:val="1"/>
                <w:u w:val="single" w:color="auto"/>
                <w:color w:val="auto"/>
                <w:w w:val="91"/>
              </w:rPr>
              <w:t>(Long Tons)</w:t>
            </w:r>
          </w:p>
        </w:tc>
        <w:tc>
          <w:tcPr>
            <w:tcW w:w="12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TEUs (2)</w:t>
            </w:r>
            <w:r>
              <w:rPr>
                <w:rFonts w:ascii="Arial" w:cs="Arial" w:eastAsia="Arial" w:hAnsi="Arial"/>
                <w:sz w:val="14"/>
                <w:szCs w:val="14"/>
                <w:b w:val="1"/>
                <w:bCs w:val="1"/>
                <w:color w:val="auto"/>
              </w:rPr>
              <w:t xml:space="preserve">   Slots</w:t>
            </w: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ectPr>
          <w:pgSz w:w="11900" w:h="16838" w:orient="portrait"/>
          <w:cols w:equalWidth="0" w:num="1">
            <w:col w:w="9039"/>
          </w:cols>
          <w:pgMar w:left="1420" w:top="125" w:right="1440" w:bottom="0" w:gutter="0" w:footer="0" w:header="0"/>
        </w:sectPr>
      </w:pPr>
    </w:p>
    <w:tbl>
      <w:tblPr>
        <w:tblLayout w:type="fixed"/>
        <w:tblInd w:w="0" w:type="dxa"/>
        <w:tblCellMar>
          <w:top w:w="0" w:type="dxa"/>
          <w:left w:w="0" w:type="dxa"/>
          <w:bottom w:w="0" w:type="dxa"/>
          <w:right w:w="0" w:type="dxa"/>
        </w:tblCellMar>
      </w:tblPr>
      <w:tr>
        <w:trPr>
          <w:trHeight w:val="230"/>
        </w:trPr>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Diesel-Powered - Owned</w:t>
            </w:r>
          </w:p>
        </w:tc>
        <w:tc>
          <w:tcPr>
            <w:tcW w:w="1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MAUNALEI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1181627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2006</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MANULANI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1168529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2005</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MAUNAWILI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1153166</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MANUKAI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1141163</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2003</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OLOMANA (3)</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1559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1999</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R.J. PFEIFFER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979814</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1992</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KODIAK</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910308</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1987</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ANCHORAGE</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910306</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1987</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TACOMA</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910307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1987</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MOKIHANA</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655397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1983</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MANOA</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651627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1982</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MAHIMAHI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653424</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1982</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Diesel-Powered - Chartered</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IMUA II (3)</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9184237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2005</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LILOA II (3)</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9184249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2004</w:t>
            </w: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MANA (3)</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4958</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1997</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PAPA MAU (3)</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9266542</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2003</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ISLANDER (3)</w:t>
            </w: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Chartered</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9085596</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1984</w:t>
            </w:r>
          </w:p>
        </w:tc>
        <w:tc>
          <w:tcPr>
            <w:tcW w:w="0" w:type="dxa"/>
            <w:vAlign w:val="bottom"/>
          </w:tcPr>
          <w:p>
            <w:pPr>
              <w:spacing w:after="0"/>
              <w:rPr>
                <w:sz w:val="1"/>
                <w:szCs w:val="1"/>
                <w:color w:val="auto"/>
              </w:rPr>
            </w:pP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Steam-Powered</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KAUAI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621042</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1980</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MAUI</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591709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1978</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PRODUCER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552819</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1974</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MATSONIA</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553090</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1973</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CONSUMER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552818</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1973</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MATSON NAVIGATOR</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541868</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1972</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780" w:type="dxa"/>
            <w:vAlign w:val="bottom"/>
            <w:gridSpan w:val="2"/>
            <w:vMerge w:val="restart"/>
          </w:tcPr>
          <w:p>
            <w:pPr>
              <w:ind w:left="220"/>
              <w:spacing w:after="0"/>
              <w:rPr>
                <w:sz w:val="20"/>
                <w:szCs w:val="20"/>
                <w:color w:val="auto"/>
              </w:rPr>
            </w:pPr>
            <w:r>
              <w:rPr>
                <w:rFonts w:ascii="Arial" w:cs="Arial" w:eastAsia="Arial" w:hAnsi="Arial"/>
                <w:sz w:val="18"/>
                <w:szCs w:val="18"/>
                <w:color w:val="auto"/>
              </w:rPr>
              <w:t>LIHUE</w:t>
            </w: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530137</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1971</w:t>
            </w:r>
          </w:p>
        </w:tc>
        <w:tc>
          <w:tcPr>
            <w:tcW w:w="0" w:type="dxa"/>
            <w:vAlign w:val="bottom"/>
          </w:tcPr>
          <w:p>
            <w:pPr>
              <w:spacing w:after="0"/>
              <w:rPr>
                <w:sz w:val="1"/>
                <w:szCs w:val="1"/>
                <w:color w:val="auto"/>
              </w:rPr>
            </w:pPr>
          </w:p>
        </w:tc>
      </w:tr>
      <w:tr>
        <w:trPr>
          <w:trHeight w:val="108"/>
        </w:trPr>
        <w:tc>
          <w:tcPr>
            <w:tcW w:w="278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Barges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WAIALEALE (4)</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978516</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1991</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MAUNA LOA (5)</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676973</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1984</w:t>
            </w:r>
          </w:p>
        </w:tc>
        <w:tc>
          <w:tcPr>
            <w:tcW w:w="0" w:type="dxa"/>
            <w:vAlign w:val="bottom"/>
          </w:tcPr>
          <w:p>
            <w:pPr>
              <w:spacing w:after="0"/>
              <w:rPr>
                <w:sz w:val="1"/>
                <w:szCs w:val="1"/>
                <w:color w:val="auto"/>
              </w:rPr>
            </w:pPr>
          </w:p>
        </w:tc>
      </w:tr>
      <w:tr>
        <w:trPr>
          <w:trHeight w:val="432"/>
        </w:trPr>
        <w:tc>
          <w:tcPr>
            <w:tcW w:w="2780" w:type="dxa"/>
            <w:vAlign w:val="bottom"/>
            <w:gridSpan w:val="2"/>
          </w:tcPr>
          <w:p>
            <w:pPr>
              <w:ind w:left="220"/>
              <w:spacing w:after="0"/>
              <w:rPr>
                <w:sz w:val="20"/>
                <w:szCs w:val="20"/>
                <w:color w:val="auto"/>
              </w:rPr>
            </w:pPr>
            <w:r>
              <w:rPr>
                <w:rFonts w:ascii="Arial" w:cs="Arial" w:eastAsia="Arial" w:hAnsi="Arial"/>
                <w:sz w:val="18"/>
                <w:szCs w:val="18"/>
                <w:color w:val="auto"/>
              </w:rPr>
              <w:t>HALEAKALA (5)</w:t>
            </w:r>
          </w:p>
        </w:tc>
        <w:tc>
          <w:tcPr>
            <w:tcW w:w="8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Owned</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676972</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1984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-7957820</wp:posOffset>
            </wp:positionV>
            <wp:extent cx="575437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-7408545</wp:posOffset>
            </wp:positionV>
            <wp:extent cx="575437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-6859905</wp:posOffset>
            </wp:positionV>
            <wp:extent cx="575437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-6311265</wp:posOffset>
            </wp:positionV>
            <wp:extent cx="575437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-5761990</wp:posOffset>
            </wp:positionV>
            <wp:extent cx="575437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-5213350</wp:posOffset>
            </wp:positionV>
            <wp:extent cx="575437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-4801870</wp:posOffset>
            </wp:positionV>
            <wp:extent cx="57543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-4390390</wp:posOffset>
            </wp:positionV>
            <wp:extent cx="575437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-3841115</wp:posOffset>
            </wp:positionV>
            <wp:extent cx="575437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-3292475</wp:posOffset>
            </wp:positionV>
            <wp:extent cx="57543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-3018155</wp:posOffset>
            </wp:positionV>
            <wp:extent cx="575437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-2468880</wp:posOffset>
            </wp:positionV>
            <wp:extent cx="575437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-1920240</wp:posOffset>
            </wp:positionV>
            <wp:extent cx="575437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-1371600</wp:posOffset>
            </wp:positionV>
            <wp:extent cx="575437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-960120</wp:posOffset>
            </wp:positionV>
            <wp:extent cx="575437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-548005</wp:posOffset>
            </wp:positionV>
            <wp:extent cx="575437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74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681’</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388’</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329’</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720’</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813’</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787’</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345’</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22.0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14.0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20.0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23.0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15.0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15.0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13.0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18.5</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17.0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22.5</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22.5</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22.0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21.5</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22.0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21.0</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auto"/>
        </w:rPr>
        <w:t>21.0</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33,771</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1,992</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328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29,517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2,378</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284</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29,517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2,378</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326</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29,517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2,378</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326</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5,364</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521</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27,100</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2,245</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37,473</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1,668</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280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37,473</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1,668</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280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37,473</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1,668</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280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29,484</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1,994</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354</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30,187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2,824</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408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30,167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2,824</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408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8,071</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630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8,071</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630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4,508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384</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10,994</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862</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204</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10,577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814</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95</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26,308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1,644</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276</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26,623</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1,644</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252</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38,858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1,680</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170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22,501</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1,727</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258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38,858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1,690</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170</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47,790</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2,250</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188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w w:val="87"/>
              </w:rPr>
              <w:t>38,656</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2,018</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188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6"/>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5,621</w:t>
            </w:r>
          </w:p>
        </w:tc>
        <w:tc>
          <w:tcPr>
            <w:tcW w:w="70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4,658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335</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640" w:type="dxa"/>
            <w:vAlign w:val="bottom"/>
            <w:vMerge w:val="restart"/>
          </w:tcPr>
          <w:p>
            <w:pPr>
              <w:jc w:val="right"/>
              <w:ind w:right="50"/>
              <w:spacing w:after="0"/>
              <w:rPr>
                <w:sz w:val="20"/>
                <w:szCs w:val="20"/>
                <w:color w:val="auto"/>
              </w:rPr>
            </w:pPr>
            <w:r>
              <w:rPr>
                <w:rFonts w:ascii="Arial" w:cs="Arial" w:eastAsia="Arial" w:hAnsi="Arial"/>
                <w:sz w:val="18"/>
                <w:szCs w:val="18"/>
                <w:color w:val="auto"/>
              </w:rPr>
              <w:t>4,658</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335</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4">
            <w:col w:w="4780" w:space="220"/>
            <w:col w:w="320" w:space="380"/>
            <w:col w:w="300" w:space="520"/>
            <w:col w:w="2519"/>
          </w:cols>
          <w:pgMar w:left="1420" w:top="125" w:right="1440" w:bottom="0" w:gutter="0" w:footer="0" w:header="0"/>
          <w:type w:val="continuous"/>
        </w:sectPr>
      </w:pPr>
    </w:p>
    <w:p>
      <w:pPr>
        <w:spacing w:after="0" w:line="240" w:lineRule="exact"/>
        <w:rPr>
          <w:sz w:val="20"/>
          <w:szCs w:val="20"/>
          <w:color w:val="auto"/>
        </w:rPr>
      </w:pPr>
    </w:p>
    <w:p>
      <w:pPr>
        <w:ind w:left="860" w:hanging="857"/>
        <w:spacing w:after="0"/>
        <w:tabs>
          <w:tab w:leader="none" w:pos="8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two inactive vessels.</w:t>
      </w:r>
    </w:p>
    <w:p>
      <w:pPr>
        <w:ind w:left="240" w:hanging="237"/>
        <w:spacing w:after="0"/>
        <w:tabs>
          <w:tab w:leader="none" w:pos="240" w:val="left"/>
        </w:tabs>
        <w:numPr>
          <w:ilvl w:val="0"/>
          <w:numId w:val="6"/>
        </w:numPr>
        <w:rPr>
          <w:rFonts w:ascii="Arial" w:cs="Arial" w:eastAsia="Arial" w:hAnsi="Arial"/>
          <w:sz w:val="13"/>
          <w:szCs w:val="13"/>
          <w:color w:val="auto"/>
        </w:rPr>
      </w:pPr>
      <w:r>
        <w:rPr>
          <w:rFonts w:ascii="Arial" w:cs="Arial" w:eastAsia="Arial" w:hAnsi="Arial"/>
          <w:sz w:val="13"/>
          <w:szCs w:val="13"/>
          <w:color w:val="auto"/>
        </w:rPr>
        <w:t>Twenty-foot Equivalent Units (“TEU”) is a standard measure of cargo volume correlated to a standard 20-foot dry cargo container volume.</w:t>
      </w:r>
    </w:p>
    <w:p>
      <w:pPr>
        <w:ind w:left="280" w:hanging="277"/>
        <w:spacing w:after="0" w:line="221" w:lineRule="auto"/>
        <w:tabs>
          <w:tab w:leader="none" w:pos="2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Except for these six foreign-flagged vessels, all vessels are U.S. flagged and Jones Act qualified vessels.</w:t>
      </w:r>
    </w:p>
    <w:p>
      <w:pPr>
        <w:ind w:left="1120" w:hanging="1117"/>
        <w:spacing w:after="0" w:line="221" w:lineRule="auto"/>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Roll-on/roll-off barge.</w:t>
      </w:r>
    </w:p>
    <w:p>
      <w:pPr>
        <w:ind w:left="620" w:hanging="617"/>
        <w:spacing w:after="0"/>
        <w:tabs>
          <w:tab w:leader="none" w:pos="6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Lift-on/lift-off barges equipped with cranes.</w:t>
      </w:r>
    </w:p>
    <w:p>
      <w:pPr>
        <w:sectPr>
          <w:pgSz w:w="11900" w:h="16838" w:orient="portrait"/>
          <w:cols w:equalWidth="0" w:num="1">
            <w:col w:w="9039"/>
          </w:cols>
          <w:pgMar w:left="1420" w:top="125" w:right="1440" w:bottom="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Hawaii Fleet Renewal Program:</w:t>
      </w:r>
    </w:p>
    <w:p>
      <w:pPr>
        <w:sectPr>
          <w:pgSz w:w="11900" w:h="16838" w:orient="portrait"/>
          <w:cols w:equalWidth="0" w:num="1">
            <w:col w:w="9039"/>
          </w:cols>
          <w:pgMar w:left="1420" w:top="125" w:right="1440" w:bottom="0" w:gutter="0" w:footer="0" w:header="0"/>
          <w:type w:val="continuous"/>
        </w:sectPr>
      </w:pPr>
    </w:p>
    <w:bookmarkStart w:id="7" w:name="page8"/>
    <w:bookmarkEnd w:id="7"/>
    <w:p>
      <w:pPr>
        <w:ind w:right="119"/>
        <w:spacing w:after="0" w:line="257" w:lineRule="auto"/>
        <w:rPr>
          <w:sz w:val="20"/>
          <w:szCs w:val="20"/>
          <w:color w:val="auto"/>
        </w:rPr>
      </w:pPr>
      <w:r>
        <w:rPr>
          <w:rFonts w:ascii="Arial" w:cs="Arial" w:eastAsia="Arial" w:hAnsi="Arial"/>
          <w:sz w:val="18"/>
          <w:szCs w:val="18"/>
          <w:color w:val="auto"/>
        </w:rPr>
        <w:t>Matson has 11 vessels actively deployed in its Hawaii service including three steamships. Including these three steamships, the Company has a total of seven steamships, all of which are near the end of their useful life. Beginning January 1, 2020, these steamships will no longer comply with established U.S. and international emission regulations without substantial modifications. In order to renew its Hawaii fleet and prepare for the phase-out of its steamships, Matson ordered four new vessels as follows:</w:t>
      </w:r>
    </w:p>
    <w:p>
      <w:pPr>
        <w:spacing w:after="0" w:line="188" w:lineRule="exact"/>
        <w:rPr>
          <w:sz w:val="20"/>
          <w:szCs w:val="20"/>
          <w:color w:val="auto"/>
        </w:rPr>
      </w:pPr>
    </w:p>
    <w:p>
      <w:pPr>
        <w:ind w:left="80" w:right="79" w:hanging="77"/>
        <w:spacing w:after="0" w:line="264" w:lineRule="auto"/>
        <w:tabs>
          <w:tab w:leader="none" w:pos="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fourth quarter of 2013, MatNav and Philly Shipyard, Inc. (“Philly Shipyard”) entered into definitive agreements pursuant to which Philly Shipyard will construct two new Aloha Class containerships with dual-fuel capable engines (the “Philly Shipbuilding Agreements”).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341"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80" w:right="300" w:hanging="77"/>
        <w:spacing w:after="0" w:line="286" w:lineRule="auto"/>
        <w:tabs>
          <w:tab w:leader="none" w:pos="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third quarter of 2016, MatNav and General Dynamics NASSCO (“NASSCO”) entered into a definitive agreement pursuant to which NASSCO will construct two new Kanaloa Class combination container and roll-on/roll-off (“Con-Ro”) vessels with dual-fuel capable engines (the “NASSCO Shipbuilding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Certain specifications of the new vessels on order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9"/>
              </w:rPr>
              <w:t>Maximum</w:t>
            </w:r>
          </w:p>
        </w:tc>
        <w:tc>
          <w:tcPr>
            <w:tcW w:w="168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Usable Cargo Capacity</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40" w:type="dxa"/>
            <w:vAlign w:val="bottom"/>
            <w:gridSpan w:val="4"/>
          </w:tcPr>
          <w:p>
            <w:pPr>
              <w:ind w:left="200"/>
              <w:spacing w:after="0" w:line="142" w:lineRule="exact"/>
              <w:rPr>
                <w:sz w:val="20"/>
                <w:szCs w:val="20"/>
                <w:color w:val="auto"/>
              </w:rPr>
            </w:pPr>
            <w:r>
              <w:rPr>
                <w:rFonts w:ascii="Arial" w:cs="Arial" w:eastAsia="Arial" w:hAnsi="Arial"/>
                <w:sz w:val="14"/>
                <w:szCs w:val="14"/>
                <w:b w:val="1"/>
                <w:bCs w:val="1"/>
                <w:color w:val="auto"/>
              </w:rPr>
              <w:t>Containers</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Vehicles</w:t>
            </w:r>
          </w:p>
        </w:tc>
        <w:tc>
          <w:tcPr>
            <w:tcW w:w="0" w:type="dxa"/>
            <w:vAlign w:val="bottom"/>
          </w:tcPr>
          <w:p>
            <w:pPr>
              <w:spacing w:after="0"/>
              <w:rPr>
                <w:sz w:val="1"/>
                <w:szCs w:val="1"/>
                <w:color w:val="auto"/>
              </w:rPr>
            </w:pPr>
          </w:p>
        </w:tc>
      </w:tr>
      <w:tr>
        <w:trPr>
          <w:trHeight w:val="119"/>
        </w:trPr>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Vessels</w:t>
            </w:r>
          </w:p>
        </w:tc>
        <w:tc>
          <w:tcPr>
            <w:tcW w:w="68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Official</w:t>
            </w:r>
          </w:p>
        </w:tc>
        <w:tc>
          <w:tcPr>
            <w:tcW w:w="9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Expected</w:t>
            </w:r>
          </w:p>
        </w:tc>
        <w:tc>
          <w:tcPr>
            <w:tcW w:w="10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Class</w:t>
            </w:r>
          </w:p>
        </w:tc>
        <w:tc>
          <w:tcPr>
            <w:tcW w:w="10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Type of</w:t>
            </w:r>
          </w:p>
        </w:tc>
        <w:tc>
          <w:tcPr>
            <w:tcW w:w="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Length</w:t>
            </w:r>
          </w:p>
        </w:tc>
        <w:tc>
          <w:tcPr>
            <w:tcW w:w="7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2"/>
              </w:rPr>
              <w:t>Speed</w:t>
            </w:r>
          </w:p>
        </w:tc>
        <w:tc>
          <w:tcPr>
            <w:tcW w:w="8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Deadweight</w:t>
            </w:r>
          </w:p>
        </w:tc>
        <w:tc>
          <w:tcPr>
            <w:tcW w:w="6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TEUs</w:t>
            </w:r>
          </w:p>
        </w:tc>
        <w:tc>
          <w:tcPr>
            <w:tcW w:w="4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Reefer</w:t>
            </w:r>
          </w:p>
        </w:tc>
        <w:tc>
          <w:tcPr>
            <w:tcW w:w="80" w:type="dxa"/>
            <w:vAlign w:val="bottom"/>
          </w:tcPr>
          <w:p>
            <w:pPr>
              <w:spacing w:after="0"/>
              <w:rPr>
                <w:sz w:val="10"/>
                <w:szCs w:val="10"/>
                <w:color w:val="auto"/>
              </w:rPr>
            </w:pPr>
          </w:p>
        </w:tc>
        <w:tc>
          <w:tcPr>
            <w:tcW w:w="54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4"/>
                <w:szCs w:val="14"/>
                <w:b w:val="1"/>
                <w:bCs w:val="1"/>
                <w:color w:val="auto"/>
              </w:rPr>
              <w:t>Autos</w:t>
            </w:r>
          </w:p>
        </w:tc>
        <w:tc>
          <w:tcPr>
            <w:tcW w:w="0" w:type="dxa"/>
            <w:vAlign w:val="bottom"/>
          </w:tcPr>
          <w:p>
            <w:pPr>
              <w:spacing w:after="0"/>
              <w:rPr>
                <w:sz w:val="1"/>
                <w:szCs w:val="1"/>
                <w:color w:val="auto"/>
              </w:rPr>
            </w:pPr>
          </w:p>
        </w:tc>
      </w:tr>
      <w:tr>
        <w:trPr>
          <w:trHeight w:val="171"/>
        </w:trPr>
        <w:tc>
          <w:tcPr>
            <w:tcW w:w="1520" w:type="dxa"/>
            <w:vAlign w:val="bottom"/>
            <w:gridSpan w:val="2"/>
            <w:vMerge w:val="continue"/>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Delivery Date</w:t>
            </w:r>
          </w:p>
        </w:tc>
        <w:tc>
          <w:tcPr>
            <w:tcW w:w="104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Vessel</w:t>
            </w:r>
          </w:p>
        </w:tc>
        <w:tc>
          <w:tcPr>
            <w:tcW w:w="580" w:type="dxa"/>
            <w:vAlign w:val="bottom"/>
            <w:gridSpan w:val="2"/>
            <w:vMerge w:val="continue"/>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(Knots)</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(Long Tons)</w:t>
            </w:r>
          </w:p>
        </w:tc>
        <w:tc>
          <w:tcPr>
            <w:tcW w:w="640" w:type="dxa"/>
            <w:vAlign w:val="bottom"/>
            <w:gridSpan w:val="2"/>
            <w:vMerge w:val="continue"/>
          </w:tcPr>
          <w:p>
            <w:pPr>
              <w:spacing w:after="0"/>
              <w:rPr>
                <w:sz w:val="14"/>
                <w:szCs w:val="1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Slots</w:t>
            </w: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Dual-fuel Capable</w:t>
            </w:r>
          </w:p>
        </w:tc>
        <w:tc>
          <w:tcPr>
            <w:tcW w:w="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220"/>
              <w:spacing w:after="0"/>
              <w:rPr>
                <w:sz w:val="20"/>
                <w:szCs w:val="20"/>
                <w:color w:val="auto"/>
              </w:rPr>
            </w:pPr>
            <w:r>
              <w:rPr>
                <w:rFonts w:ascii="Arial" w:cs="Arial" w:eastAsia="Arial" w:hAnsi="Arial"/>
                <w:sz w:val="16"/>
                <w:szCs w:val="16"/>
                <w:color w:val="auto"/>
              </w:rPr>
              <w:t>Daniel K. Inouye</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1274136</w:t>
            </w: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Q3 2018</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Aloha Class</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Containership</w:t>
            </w:r>
          </w:p>
        </w:tc>
        <w:tc>
          <w:tcPr>
            <w:tcW w:w="580" w:type="dxa"/>
            <w:vAlign w:val="bottom"/>
            <w:gridSpan w:val="2"/>
          </w:tcPr>
          <w:p>
            <w:pPr>
              <w:jc w:val="center"/>
              <w:ind w:right="60"/>
              <w:spacing w:after="0"/>
              <w:rPr>
                <w:sz w:val="20"/>
                <w:szCs w:val="20"/>
                <w:color w:val="auto"/>
              </w:rPr>
            </w:pPr>
            <w:r>
              <w:rPr>
                <w:rFonts w:ascii="Arial" w:cs="Arial" w:eastAsia="Arial" w:hAnsi="Arial"/>
                <w:sz w:val="16"/>
                <w:szCs w:val="16"/>
                <w:color w:val="auto"/>
                <w:w w:val="98"/>
              </w:rPr>
              <w:t>854’ 0”</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23.5</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50,794</w:t>
            </w:r>
          </w:p>
        </w:tc>
        <w:tc>
          <w:tcPr>
            <w:tcW w:w="8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w w:val="99"/>
              </w:rPr>
              <w:t>3,220</w:t>
            </w:r>
          </w:p>
        </w:tc>
        <w:tc>
          <w:tcPr>
            <w:tcW w:w="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408</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Kaimana Hila</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1274135</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Q1 2019</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Aloha Class</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Containership</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8"/>
              </w:rPr>
              <w:t>854’ 0”</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53,747</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3,220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520" w:type="dxa"/>
            <w:vAlign w:val="bottom"/>
            <w:gridSpan w:val="2"/>
          </w:tcPr>
          <w:p>
            <w:pPr>
              <w:ind w:left="220"/>
              <w:spacing w:after="0"/>
              <w:rPr>
                <w:sz w:val="20"/>
                <w:szCs w:val="20"/>
                <w:color w:val="auto"/>
              </w:rPr>
            </w:pPr>
            <w:r>
              <w:rPr>
                <w:rFonts w:ascii="Arial" w:cs="Arial" w:eastAsia="Arial" w:hAnsi="Arial"/>
                <w:sz w:val="16"/>
                <w:szCs w:val="16"/>
                <w:color w:val="auto"/>
              </w:rPr>
              <w:t>Lurline</w:t>
            </w:r>
          </w:p>
        </w:tc>
        <w:tc>
          <w:tcPr>
            <w:tcW w:w="580" w:type="dxa"/>
            <w:vAlign w:val="bottom"/>
          </w:tcPr>
          <w:p>
            <w:pPr>
              <w:jc w:val="center"/>
              <w:spacing w:after="0"/>
              <w:rPr>
                <w:sz w:val="20"/>
                <w:szCs w:val="20"/>
                <w:color w:val="auto"/>
              </w:rPr>
            </w:pPr>
            <w:r>
              <w:rPr>
                <w:rFonts w:ascii="Arial" w:cs="Arial" w:eastAsia="Arial" w:hAnsi="Arial"/>
                <w:sz w:val="16"/>
                <w:szCs w:val="16"/>
                <w:color w:val="auto"/>
                <w:w w:val="89"/>
              </w:rPr>
              <w:t>1274143</w:t>
            </w:r>
          </w:p>
        </w:tc>
        <w:tc>
          <w:tcPr>
            <w:tcW w:w="10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Q4 2019</w:t>
            </w:r>
          </w:p>
        </w:tc>
        <w:tc>
          <w:tcPr>
            <w:tcW w:w="10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Kanaloa Class</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Con-Ro</w:t>
            </w:r>
          </w:p>
        </w:tc>
        <w:tc>
          <w:tcPr>
            <w:tcW w:w="580" w:type="dxa"/>
            <w:vAlign w:val="bottom"/>
            <w:gridSpan w:val="2"/>
          </w:tcPr>
          <w:p>
            <w:pPr>
              <w:jc w:val="center"/>
              <w:ind w:right="60"/>
              <w:spacing w:after="0"/>
              <w:rPr>
                <w:sz w:val="20"/>
                <w:szCs w:val="20"/>
                <w:color w:val="auto"/>
              </w:rPr>
            </w:pPr>
            <w:r>
              <w:rPr>
                <w:rFonts w:ascii="Arial" w:cs="Arial" w:eastAsia="Arial" w:hAnsi="Arial"/>
                <w:sz w:val="16"/>
                <w:szCs w:val="16"/>
                <w:color w:val="auto"/>
                <w:w w:val="98"/>
              </w:rPr>
              <w:t>869’ 5”</w:t>
            </w:r>
          </w:p>
        </w:tc>
        <w:tc>
          <w:tcPr>
            <w:tcW w:w="680" w:type="dxa"/>
            <w:vAlign w:val="bottom"/>
          </w:tcPr>
          <w:p>
            <w:pPr>
              <w:jc w:val="center"/>
              <w:spacing w:after="0"/>
              <w:rPr>
                <w:sz w:val="20"/>
                <w:szCs w:val="20"/>
                <w:color w:val="auto"/>
              </w:rPr>
            </w:pPr>
            <w:r>
              <w:rPr>
                <w:rFonts w:ascii="Arial" w:cs="Arial" w:eastAsia="Arial" w:hAnsi="Arial"/>
                <w:sz w:val="16"/>
                <w:szCs w:val="16"/>
                <w:color w:val="auto"/>
                <w:w w:val="89"/>
              </w:rPr>
              <w:t>23.0</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50,981</w:t>
            </w:r>
          </w:p>
        </w:tc>
        <w:tc>
          <w:tcPr>
            <w:tcW w:w="80" w:type="dxa"/>
            <w:vAlign w:val="bottom"/>
          </w:tcPr>
          <w:p>
            <w:pPr>
              <w:spacing w:after="0"/>
              <w:rPr>
                <w:sz w:val="17"/>
                <w:szCs w:val="17"/>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w w:val="99"/>
              </w:rPr>
              <w:t>2,750</w:t>
            </w:r>
          </w:p>
        </w:tc>
        <w:tc>
          <w:tcPr>
            <w:tcW w:w="80" w:type="dxa"/>
            <w:vAlign w:val="bottom"/>
          </w:tcPr>
          <w:p>
            <w:pPr>
              <w:spacing w:after="0"/>
              <w:rPr>
                <w:sz w:val="17"/>
                <w:szCs w:val="17"/>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89"/>
              </w:rPr>
              <w:t>432</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15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Matsonia</w:t>
            </w:r>
          </w:p>
        </w:tc>
        <w:tc>
          <w:tcPr>
            <w:tcW w:w="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1274123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Q2 2020</w:t>
            </w:r>
          </w:p>
        </w:tc>
        <w:tc>
          <w:tcPr>
            <w:tcW w:w="10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Kanaloa Class</w:t>
            </w:r>
          </w:p>
        </w:tc>
        <w:tc>
          <w:tcPr>
            <w:tcW w:w="10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4"/>
              </w:rPr>
              <w:t>Con-Ro</w:t>
            </w:r>
          </w:p>
        </w:tc>
        <w:tc>
          <w:tcPr>
            <w:tcW w:w="5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8"/>
              </w:rPr>
              <w:t>869’ 5”</w:t>
            </w:r>
          </w:p>
        </w:tc>
        <w:tc>
          <w:tcPr>
            <w:tcW w:w="6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50,981</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2,750</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Expected annual construction progress payments based on signed agreements and change orders, excluding owners’ items and capitalized interest, for both the Aloha Class and Kanaloa Class vessels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2016 and Prior</w:t>
            </w: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00" w:type="dxa"/>
            <w:vAlign w:val="bottom"/>
          </w:tcPr>
          <w:p>
            <w:pPr>
              <w:jc w:val="right"/>
              <w:ind w:right="7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rPr>
              <w:t>Total</w:t>
            </w:r>
          </w:p>
        </w:tc>
      </w:tr>
      <w:tr>
        <w:trPr>
          <w:trHeight w:val="210"/>
        </w:trPr>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Two Aloha Class Containerships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$ 159.1</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$ 138.1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$ 414.3</w:t>
            </w:r>
          </w:p>
        </w:tc>
      </w:tr>
      <w:tr>
        <w:trPr>
          <w:trHeight w:val="216"/>
        </w:trPr>
        <w:tc>
          <w:tcPr>
            <w:tcW w:w="4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Two Kanaloa Class Con-Ro Vessels</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174.3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23.3</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r>
      <w:tr>
        <w:trPr>
          <w:trHeight w:val="217"/>
        </w:trPr>
        <w:tc>
          <w:tcPr>
            <w:tcW w:w="44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$ 200.8</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$ 384.2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194.6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24.2</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$ 925.3</w:t>
            </w:r>
          </w:p>
        </w:tc>
      </w:tr>
    </w:tbl>
    <w:p>
      <w:pPr>
        <w:spacing w:after="0" w:line="20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Upon delivery, the two new Aloha Class containerships are expected to replace the three active steamships currently deployed in the Company’s Hawaii service. By the end of 2019, Matson expects to have retired all of its seven active steamships as they will no longer comply with new environmental regulations without substantial modifications that are effective as of January 1, 2020.</w:t>
      </w:r>
    </w:p>
    <w:p>
      <w:pPr>
        <w:spacing w:after="0" w:line="18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When complete, these new Aloha Class containerships and Kanaloa Class Con-Ro vessels are expected to have among the lowest operating cost per TEU of any vessel in the U.S. domestic trades. The cost efficiencies are expected to be driven by our ability to return to an optimal nine vessel Hawaii fleet deployment and by significantly lower operating costs including fuel consumption, maintenance and repair, and dry-docking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a complement to its fleet of vessels, Matson has a variety of equipment including cranes, containers, chassis and other equipment, which represents an investment in excess of $0.5 billion as of December 31, 2016. Matson also leases containers, chassis and other equipment under various operating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of Matson’s fleet equipment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Fleet Equipment</w:t>
            </w: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(1)</w:t>
            </w: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Approx. %</w:t>
            </w:r>
          </w:p>
        </w:tc>
        <w:tc>
          <w:tcPr>
            <w:tcW w:w="1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Approx. %</w:t>
            </w:r>
          </w:p>
        </w:tc>
        <w:tc>
          <w:tcPr>
            <w:tcW w:w="0" w:type="dxa"/>
            <w:vAlign w:val="bottom"/>
          </w:tcPr>
          <w:p>
            <w:pPr>
              <w:spacing w:after="0"/>
              <w:rPr>
                <w:sz w:val="1"/>
                <w:szCs w:val="1"/>
                <w:color w:val="auto"/>
              </w:rPr>
            </w:pPr>
          </w:p>
        </w:tc>
      </w:tr>
      <w:tr>
        <w:trPr>
          <w:trHeight w:val="171"/>
        </w:trPr>
        <w:tc>
          <w:tcPr>
            <w:tcW w:w="580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Owned (1)</w:t>
            </w:r>
          </w:p>
        </w:tc>
        <w:tc>
          <w:tcPr>
            <w:tcW w:w="1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Leased (1)</w:t>
            </w:r>
          </w:p>
        </w:tc>
        <w:tc>
          <w:tcPr>
            <w:tcW w:w="0" w:type="dxa"/>
            <w:vAlign w:val="bottom"/>
          </w:tcPr>
          <w:p>
            <w:pPr>
              <w:spacing w:after="0"/>
              <w:rPr>
                <w:sz w:val="1"/>
                <w:szCs w:val="1"/>
                <w:color w:val="auto"/>
              </w:rPr>
            </w:pPr>
          </w:p>
        </w:tc>
      </w:tr>
      <w:tr>
        <w:trPr>
          <w:trHeight w:val="210"/>
        </w:trPr>
        <w:tc>
          <w:tcPr>
            <w:tcW w:w="5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Chassis</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color w:val="auto"/>
              </w:rPr>
              <w:t>Dry Containers</w:t>
            </w:r>
          </w:p>
        </w:tc>
        <w:tc>
          <w:tcPr>
            <w:tcW w:w="880" w:type="dxa"/>
            <w:vAlign w:val="bottom"/>
          </w:tcPr>
          <w:p>
            <w:pPr>
              <w:jc w:val="right"/>
              <w:spacing w:after="0"/>
              <w:rPr>
                <w:sz w:val="20"/>
                <w:szCs w:val="20"/>
                <w:color w:val="auto"/>
              </w:rPr>
            </w:pPr>
            <w:r>
              <w:rPr>
                <w:rFonts w:ascii="Arial" w:cs="Arial" w:eastAsia="Arial" w:hAnsi="Arial"/>
                <w:sz w:val="18"/>
                <w:szCs w:val="18"/>
                <w:color w:val="auto"/>
              </w:rPr>
              <w:t>34,600</w:t>
            </w:r>
          </w:p>
        </w:tc>
        <w:tc>
          <w:tcPr>
            <w:tcW w:w="16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82 %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Refrigerated Containers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color w:val="auto"/>
              </w:rPr>
              <w:t>Specialty Equipment (2)</w:t>
            </w:r>
          </w:p>
        </w:tc>
        <w:tc>
          <w:tcPr>
            <w:tcW w:w="880" w:type="dxa"/>
            <w:vAlign w:val="bottom"/>
          </w:tcPr>
          <w:p>
            <w:pPr>
              <w:jc w:val="right"/>
              <w:spacing w:after="0"/>
              <w:rPr>
                <w:sz w:val="20"/>
                <w:szCs w:val="20"/>
                <w:color w:val="auto"/>
              </w:rPr>
            </w:pPr>
            <w:r>
              <w:rPr>
                <w:rFonts w:ascii="Arial" w:cs="Arial" w:eastAsia="Arial" w:hAnsi="Arial"/>
                <w:sz w:val="18"/>
                <w:szCs w:val="18"/>
                <w:color w:val="auto"/>
              </w:rPr>
              <w:t>5,300</w:t>
            </w:r>
          </w:p>
        </w:tc>
        <w:tc>
          <w:tcPr>
            <w:tcW w:w="16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87 %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Motor Generators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60" w:hanging="357"/>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represent approximations of equipment totals and percentage allocations.</w:t>
      </w:r>
    </w:p>
    <w:p>
      <w:pPr>
        <w:ind w:left="260" w:hanging="257"/>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Specialty equipment includes auto frames, flat racks, insulated containers, open top, platforms, flat bed trailers and tanks.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Major components of ocean transportation operating costs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Direct Cargo Expense </w:t>
      </w:r>
      <w:r>
        <w:rPr>
          <w:rFonts w:ascii="Arial" w:cs="Arial" w:eastAsia="Arial" w:hAnsi="Arial"/>
          <w:sz w:val="18"/>
          <w:szCs w:val="18"/>
          <w:color w:val="auto"/>
        </w:rPr>
        <w:t>includes terminal handling costs, purchased outside transportation and other related costs.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Vessel Operating Expense </w:t>
      </w:r>
      <w:r>
        <w:rPr>
          <w:rFonts w:ascii="Arial" w:cs="Arial" w:eastAsia="Arial" w:hAnsi="Arial"/>
          <w:sz w:val="18"/>
          <w:szCs w:val="18"/>
          <w:color w:val="auto"/>
        </w:rPr>
        <w:t>includes crew wages and related costs, fuel consumption, pilot, tugs and line related costs, vessel</w:t>
      </w:r>
      <w:r>
        <w:rPr>
          <w:rFonts w:ascii="Arial" w:cs="Arial" w:eastAsia="Arial" w:hAnsi="Arial"/>
          <w:sz w:val="18"/>
          <w:szCs w:val="18"/>
          <w:i w:val="1"/>
          <w:iCs w:val="1"/>
          <w:color w:val="auto"/>
        </w:rPr>
        <w:t xml:space="preserve"> </w:t>
      </w:r>
      <w:r>
        <w:rPr>
          <w:rFonts w:ascii="Arial" w:cs="Arial" w:eastAsia="Arial" w:hAnsi="Arial"/>
          <w:sz w:val="18"/>
          <w:szCs w:val="18"/>
          <w:color w:val="auto"/>
        </w:rPr>
        <w:t>charter expenses, and other vessel related expenses. Matson purchases fuel oil, lubricants and gasoline for its operations; and also pays fuel surcharges to other third party transportation providers.</w:t>
      </w:r>
    </w:p>
    <w:p>
      <w:pPr>
        <w:spacing w:after="0" w:line="18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Operating Overhead </w:t>
      </w:r>
      <w:r>
        <w:rPr>
          <w:rFonts w:ascii="Arial" w:cs="Arial" w:eastAsia="Arial" w:hAnsi="Arial"/>
          <w:sz w:val="18"/>
          <w:szCs w:val="18"/>
          <w:color w:val="auto"/>
        </w:rPr>
        <w:t>includes equipment repair costs, equipment operating lease and repositioning expenses, vessel repair</w:t>
      </w:r>
      <w:r>
        <w:rPr>
          <w:rFonts w:ascii="Arial" w:cs="Arial" w:eastAsia="Arial" w:hAnsi="Arial"/>
          <w:sz w:val="18"/>
          <w:szCs w:val="18"/>
          <w:i w:val="1"/>
          <w:iCs w:val="1"/>
          <w:color w:val="auto"/>
        </w:rPr>
        <w:t xml:space="preserve"> </w:t>
      </w:r>
      <w:r>
        <w:rPr>
          <w:rFonts w:ascii="Arial" w:cs="Arial" w:eastAsia="Arial" w:hAnsi="Arial"/>
          <w:sz w:val="18"/>
          <w:szCs w:val="18"/>
          <w:color w:val="auto"/>
        </w:rPr>
        <w:t>and maintenance costs, dry-docking amortization, insurance, port engineers and other maintenance costs, and other vessel and shoreside related overhead.</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Matson’s U.S. flagged vessels must meet specified seaworthiness standards established by U.S. Coast Guard rules and classification society requirements. These standards require that our vessels undergo two dry-docking inspections within a five-year period. The majority of Matson’s U.S. flagged vessels are enrolled in the U.S. Coast Guard’s Underwater Survey in Lieu of Dry-docking (“UWILD”) program. The UWILD program allows eligible vessels to meet their intermediate dry-docking requirement with a less costly underwater inspection.</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Matson is responsible for ensuring that its non-U.S flagged owned and bareboat chartered vessels meet international standards for seaworthiness, which among other requirements generally mandate that Matson perform two dry-docking inspections every five years. The dry-dockings of Matson’s time chartered vessels are the responsibility of the vessel owners.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major competitors in Matson’s Ocean Transportation service: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Hawaii Service: </w:t>
      </w:r>
      <w:r>
        <w:rPr>
          <w:rFonts w:ascii="Arial" w:cs="Arial" w:eastAsia="Arial" w:hAnsi="Arial"/>
          <w:sz w:val="18"/>
          <w:szCs w:val="18"/>
          <w:color w:val="auto"/>
        </w:rPr>
        <w:t>Matson’s Hawaii service has one major containership competitor, Pasha Hawaii (“Pasha”), which operates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container and roll-on/roll-off services between the ports of Long Beach, Oakland and San Diego, California, to Honolulu, Hawaii. There also are two barge operators, Aloha Marine Lines and Sause Brothers, which offer barge service between the Pacific Northwest and Hawaii.</w:t>
      </w:r>
    </w:p>
    <w:p>
      <w:pPr>
        <w:spacing w:after="0" w:line="1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Foreign-flag vessels carrying cargo to Hawaii from non-U.S. locations also provide alternatives for companies shipping to Hawaii. Other competitors in the Hawaii service include proprietary operators and contract carriers of bulk cargo. Air freight competition for time-sensitive and perishable cargo exists; however, inroads by such competition in terms of cargo volume are limited by the amount of cargo space available in passenger aircrafts and by relatively high air freight rates.</w:t>
      </w:r>
    </w:p>
    <w:p>
      <w:pPr>
        <w:spacing w:after="0" w:line="15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Matson vessels are operated on schedules that provide shippers and consignees fixed day-of-the-week sailings from the U.S. West Coast as well as fixed day-of-the-week arrivals in Hawaii. Matson offers four westbound sailings per week, though this amount may be adjusted according to seasonal demand and market conditions. One of Matson’s westbound sailings each week continues on to Guam and China, so the number of eastbound sailings from Hawaii to the U.S. Mainland is three per week. This service is attractive to customers because more frequent sailings permit customers to reduce inventory</w:t>
      </w:r>
    </w:p>
    <w:p>
      <w:pPr>
        <w:spacing w:after="0" w:line="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costs. Matson also competes by offering a more comprehensive service to customers, including: service to and from the three largest U.S. West Coast ports; the most efficient terminal network on the U.S. West Coast; a dedicated neighbor islands barge network; an award winning customer service team; and its efficiency and experience in handling cargo of all types.</w:t>
      </w:r>
    </w:p>
    <w:p>
      <w:pPr>
        <w:spacing w:after="0" w:line="148"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i w:val="1"/>
          <w:iCs w:val="1"/>
          <w:color w:val="auto"/>
        </w:rPr>
        <w:t xml:space="preserve">Alaska Service: </w:t>
      </w:r>
      <w:r>
        <w:rPr>
          <w:rFonts w:ascii="Arial" w:cs="Arial" w:eastAsia="Arial" w:hAnsi="Arial"/>
          <w:sz w:val="19"/>
          <w:szCs w:val="19"/>
          <w:color w:val="auto"/>
        </w:rPr>
        <w:t>Matson’s Alaska service has one major competitor, Totem Ocean Trailer Express, Inc.,</w:t>
      </w:r>
      <w:r>
        <w:rPr>
          <w:rFonts w:ascii="Arial" w:cs="Arial" w:eastAsia="Arial" w:hAnsi="Arial"/>
          <w:sz w:val="19"/>
          <w:szCs w:val="19"/>
          <w:i w:val="1"/>
          <w:iCs w:val="1"/>
          <w:color w:val="auto"/>
        </w:rPr>
        <w:t xml:space="preserve"> </w:t>
      </w:r>
      <w:r>
        <w:rPr>
          <w:rFonts w:ascii="Arial" w:cs="Arial" w:eastAsia="Arial" w:hAnsi="Arial"/>
          <w:sz w:val="19"/>
          <w:szCs w:val="19"/>
          <w:color w:val="auto"/>
        </w:rPr>
        <w:t>which operates a roll-on/roll off service between Tacoma, Washington and Anchorage, Alaska. There are also two barge operators, Alaska Marine Lines which mainly serves Seattle, Washington to the main ports of Anchorage and Dutch Harbor, and other locations in Alaska, and Samson Tug &amp; Barge which mainly serves Western Alaska and other locations. The barge operators have historically shipped lower value commodities that can accommodate a longer transit time, as well as construction materials and other cargo that are not conducive to movement in containers.</w:t>
      </w:r>
    </w:p>
    <w:p>
      <w:pPr>
        <w:spacing w:after="0" w:line="1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Matson offers customers twice weekly scheduled services from Tacoma, Washington to Anchorage and Kodiak, Alaska and weekly service to Dutch Harbor, Alaska. The Company also provides a weekly barge service between Dutch Harbor and Akutan in Alaska. Matson is the only Jones Act containership operator providing service to Kodiak and Dutch Harbor in Alaska, which are the primary loading ports for southbound seafood.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China Service: </w:t>
      </w:r>
      <w:r>
        <w:rPr>
          <w:rFonts w:ascii="Arial" w:cs="Arial" w:eastAsia="Arial" w:hAnsi="Arial"/>
          <w:sz w:val="18"/>
          <w:szCs w:val="18"/>
          <w:color w:val="auto"/>
        </w:rPr>
        <w:t>Major competitors to Matson’s China service include large international carriers such as Maersk, MSC, CMA</w:t>
      </w:r>
      <w:r>
        <w:rPr>
          <w:rFonts w:ascii="Arial" w:cs="Arial" w:eastAsia="Arial" w:hAnsi="Arial"/>
          <w:sz w:val="18"/>
          <w:szCs w:val="18"/>
          <w:i w:val="1"/>
          <w:iCs w:val="1"/>
          <w:color w:val="auto"/>
        </w:rPr>
        <w:t xml:space="preserve"> </w:t>
      </w:r>
      <w:r>
        <w:rPr>
          <w:rFonts w:ascii="Arial" w:cs="Arial" w:eastAsia="Arial" w:hAnsi="Arial"/>
          <w:sz w:val="18"/>
          <w:szCs w:val="18"/>
          <w:color w:val="auto"/>
        </w:rPr>
        <w:t>CGM, Evergreen, China COSCO, “K” Line, OOCL, Hyundai and NYK Line.</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Matson competes by offering fast and reliable freight availability from the ports of Ningbo and Shanghai in China to Long Beach, California, providing fixed day arrivals and next-day cargo availability. Matson’s service is further differentiated by offering a dedicated Long Beach marine terminal, an off-dock container yard providing fast truck turn times, one-stop intermodal connections, and providing state-of-the-art technology and world-class customer service. Matson has offices in Hong Kong, Shenzhen, Xiamen, Ningbo and Shanghai, and has contracted with terminal operators in Ningbo and Shanghai.</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Guam Service: </w:t>
      </w:r>
      <w:r>
        <w:rPr>
          <w:rFonts w:ascii="Arial" w:cs="Arial" w:eastAsia="Arial" w:hAnsi="Arial"/>
          <w:sz w:val="18"/>
          <w:szCs w:val="18"/>
          <w:color w:val="auto"/>
        </w:rPr>
        <w:t>Matson’s Guam service has one major competitor, American President Lines (“APL”), a subsidiary of CMA</w:t>
      </w:r>
      <w:r>
        <w:rPr>
          <w:rFonts w:ascii="Arial" w:cs="Arial" w:eastAsia="Arial" w:hAnsi="Arial"/>
          <w:sz w:val="18"/>
          <w:szCs w:val="18"/>
          <w:i w:val="1"/>
          <w:iCs w:val="1"/>
          <w:color w:val="auto"/>
        </w:rPr>
        <w:t xml:space="preserve"> </w:t>
      </w:r>
      <w:r>
        <w:rPr>
          <w:rFonts w:ascii="Arial" w:cs="Arial" w:eastAsia="Arial" w:hAnsi="Arial"/>
          <w:sz w:val="18"/>
          <w:szCs w:val="18"/>
          <w:color w:val="auto"/>
        </w:rPr>
        <w:t>CGM, which operates a weekly U.S. flagged container feeder service connecting the U.S. West Coast to Guam and Saipan, via transshipments over Yokohama, Japan and Busan, South Korea. There are also several foreign carriers that call at Guam from foreign origins along with the Waterman Steamship Corporation, a U.S. flagged carrier, which periodically calls at Guam.</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Japan Service: </w:t>
      </w:r>
      <w:r>
        <w:rPr>
          <w:rFonts w:ascii="Arial" w:cs="Arial" w:eastAsia="Arial" w:hAnsi="Arial"/>
          <w:sz w:val="18"/>
          <w:szCs w:val="18"/>
          <w:color w:val="auto"/>
        </w:rPr>
        <w:t>Matson’s Japan service will compete primarily with APL, which operates a weekly U.S. flagged containership</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from the U.S. West Coast to the Port of Naha, Okinawa, Japan.</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Micronesia and the South Pacific Services: </w:t>
      </w:r>
      <w:r>
        <w:rPr>
          <w:rFonts w:ascii="Arial" w:cs="Arial" w:eastAsia="Arial" w:hAnsi="Arial"/>
          <w:sz w:val="18"/>
          <w:szCs w:val="18"/>
          <w:color w:val="auto"/>
        </w:rPr>
        <w:t>Matson’s Micronesia and South Pacific services have competition from a variety</w:t>
      </w:r>
      <w:r>
        <w:rPr>
          <w:rFonts w:ascii="Arial" w:cs="Arial" w:eastAsia="Arial" w:hAnsi="Arial"/>
          <w:sz w:val="18"/>
          <w:szCs w:val="18"/>
          <w:i w:val="1"/>
          <w:iCs w:val="1"/>
          <w:color w:val="auto"/>
        </w:rPr>
        <w:t xml:space="preserve"> </w:t>
      </w:r>
      <w:r>
        <w:rPr>
          <w:rFonts w:ascii="Arial" w:cs="Arial" w:eastAsia="Arial" w:hAnsi="Arial"/>
          <w:sz w:val="18"/>
          <w:szCs w:val="18"/>
          <w:color w:val="auto"/>
        </w:rPr>
        <w:t>of local and international carriers that provide freight services to the area.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Matson serves customers in numerous industries and carries a wide variety of cargo, mitigating its dependence upon any single customer or single type of cargo. In 2016, the Company’s 10 largest Ocean Transportation customers accounted for approximately 24 percent of the Company’s Ocean Transportation revenue. None of these customers accounted for more than 10 percent of Ocean Transportation’s operating revenues.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Matson’s Ocean Transportation services typically experience seasonality in volume, generally following a pattern of increasing volumes starting in the second quarter of each year, culminating in a peak season throughout the third quarter, with subsequent decline in demand during the fourth and first quarters. This seasonality trend is amplified in the Alaska service primarily due to winter weather and the timing of southbound seafood trade. As a result, earnings tend to follow a similar pattern, offset by periodic vessel dry-docking and other episodic cost factors, which can lead to earnings variability. In addition, in the China trade, volume is driven primarily by U.S. consumer demand for goods during key retail selling seasons while freight rates are impacted mainly by macro supply and demand variables.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Maritime Laws and the Jones Act: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Maritime Laws: </w:t>
      </w:r>
      <w:r>
        <w:rPr>
          <w:rFonts w:ascii="Arial" w:cs="Arial" w:eastAsia="Arial" w:hAnsi="Arial"/>
          <w:sz w:val="18"/>
          <w:szCs w:val="18"/>
          <w:color w:val="auto"/>
        </w:rPr>
        <w:t>All interstate and intrastate marine commerce within the U.S. falls under the Merchant Marine Act of 1920</w:t>
      </w:r>
      <w:r>
        <w:rPr>
          <w:rFonts w:ascii="Arial" w:cs="Arial" w:eastAsia="Arial" w:hAnsi="Arial"/>
          <w:sz w:val="18"/>
          <w:szCs w:val="18"/>
          <w:i w:val="1"/>
          <w:iCs w:val="1"/>
          <w:color w:val="auto"/>
        </w:rPr>
        <w:t xml:space="preserve"> </w:t>
      </w:r>
      <w:r>
        <w:rPr>
          <w:rFonts w:ascii="Arial" w:cs="Arial" w:eastAsia="Arial" w:hAnsi="Arial"/>
          <w:sz w:val="18"/>
          <w:szCs w:val="18"/>
          <w:color w:val="auto"/>
        </w:rPr>
        <w:t>(commonly referred to as the Jones Act).</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Jones Act is a long-standing cornerstone of U.S. maritime policy. Under the Jones Act, all vessels transporting cargo between covered U.S. ports must, subject to limited exceptions, be built in the U.S., registered under the U.S. flag, be manned predominantly by U.S. crews, and owned and operated by U.S.-organized companies that are controlled and 75 percent owned by U.S. citizens. U.S. flagged vessels are generally required to be maintained at higher standards than foreign flagged vessels and are subject to rigorous supervision and inspections by, or on behalf of, the U.S. Coast Guard, which requires appropriate certifications and background checks of the crew members. Under Section 27 of the Jones Act, the carriage of cargo between the U.S. West Coast, Hawaii and Alaska on foreign-built or foreign-documented vessels is prohibited.</w:t>
      </w:r>
    </w:p>
    <w:p>
      <w:pPr>
        <w:spacing w:after="0" w:line="19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During 2016, approximately 57 percent of Matson’s revenues generated by ocean transportation services, including Hawaii and Alaska, came from trades that were subject to the Jones Act. Matson’s Hawaii and Alaska trade routes are included within the non-contiguous Jones Act market. Hawaii, as an island economy, and Alaska due to its geographical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location, are both dependent on ocean transportation. The Jones Act ensures frequent, reliable, roundtrip service to these locations. Matson’s vessels operating in these trade routes are Jones Act qualified.</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Matson is a member of the American Maritime Partnership (“AMP”), which supports the retention of the Jones Act and similar cabotage laws. The Jones Act has broad support from both houses of Congress. Matson also believes that the ongoing war on terrorism has further solidified political support for U.S. flagged vessels because a vital and dedicated U.S. merchant marine is a cornerstone for a strong homeland defense, as well as a critical source of trained U.S. mariners for wartime support. AMP seeks to inform elected officials and the public about the economic, national security, commercial, safety and environmental benefits of the Jones Act and similar cabotage laws. Repeal of the Jones Act would allow foreign-flag vessel operators that do not have to abide by all U.S. laws and regulations to sail between U.S. ports in direct competition with Matson and other U.S. domestic operators that must comply with all such laws and regulations.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Other U.S. maritime laws require vessels operating between Guam, a U.S. territory, and U.S. ports to be U.S. flagged and predominantly U.S. crewed, but not U.S. built.</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Cabotage laws are not unique to the United States, and similar laws exist around the world in over 50 countries, including regions in which Matson provides ocean transportation services. Any changes in such laws may have an impact on the services provided by Matson in those regions.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Rate Regulations and Fuel Related Surcharge:</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Matson is subject to the jurisdiction of the Surface Transportation Board with respect to its domestic ocean rates. A rate in the non-contiguous domestic trade is presumed reasonable and will not be subject to investigation if the aggregate of increases and decreases is not more than 7.5 percent above, or more than 10 percent below, the rate in effect one year before the effective date of the proposed rate, subject to increase or decrease by the percentage change in the U.S. Producer Price Index. Matson generally provides a 30-day notice to customers of any increases in general rates and terminal handling charges, and passes along decreases as soon as possible.</w:t>
      </w:r>
    </w:p>
    <w:p>
      <w:pPr>
        <w:spacing w:after="0" w:line="17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Matson’s Ocean Transportation services engaged in U.S. foreign commerce are subject to the jurisdiction of the Federal Maritime Commission (“FMC”). The FMC is an independent regulatory agency that is responsible for the regulation of ocean-borne international transportation of the U.S. Conducting business in foreign shipping markets subjects the Company to certain risks (see Item 1A of Part I below for additional information about such risks).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Matson applies a fuel surcharge rate to its ocean transportation customers. Changes in the fuel surcharge levels are correlated to prevailing market rates for bunker fuel prices along with other fuel related cost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Emission Regulations: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Matson is focused on reducing transportation emissions, including carbon dioxide, nitrous oxide, particulate matter and sulfur dioxide, through improvements in vessel fuel consumption and truck efficiency; and the development of more fuel-efficient transportation solutions.</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global sulfur emissions cap was reduced to 3.5 percent effective January 1, 2012, and is planned to be reduced to as low as 0.5 percent by 2020. With respect to North America, the U.S Environmental Protection Agency (“EPA”) received approval from the International Maritime Organization, in coordination with Environment Canada, to designate all waters, with certain limited exceptions, within 200 nautical miles of U.S. and Canadian coast lines as designated emission control areas (“ECAs”). Most of Matson’s vessels operate a portion of their voyages in ECAs while Matson’s Alaska vessels operate a substantial portion of their voyages in ECAs. The North American ECA went into effect on August 1, 2012, limiting the sulfur emissions to 1.0 percent, with scheduled reductions in future years. Maximum sulfur emissions permitted in designated ECA’s were reduced to 0.1 percent on January 1, 2015.</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2014, Matson received a conditional waiver from the EPA ECA regulations for three diesel-powered vessels used in the Hawaii service that permits the continued use of 1.0 percent sulfur content fuel for a limited time, subject to the development of technologies that monitor main engine performance and promote full power operations on fuels with a sulfur content of less than 0.1 percent. This waiver expires at the end of 2017 but does include a provision for extension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an additional two years. The Company is currently developing solutions to comply with the EPA ECA regulations for these three vessels.</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Effective in 2015, Horizon received a conditional waiver (subsequently transferred to Matson pursuant to the Horizon Acquisition) from the EPA ECA regulations for three diesel-powered vessels used in the Alaska service that permits the use of 2.0 percent sulfur content fuel on these vessels for a limited time, subject to the installation and testing of an exhaust gas cleaning system (known as ‘scrubbers’) on such vessels. Matson completed the installation of scrubbers in each of the three diesel-powered vessels as of December 31, 2016, which are now operating within the EPA ECA regulations.</w:t>
      </w:r>
    </w:p>
    <w:p>
      <w:pPr>
        <w:spacing w:after="0" w:line="154" w:lineRule="exact"/>
        <w:rPr>
          <w:sz w:val="20"/>
          <w:szCs w:val="20"/>
          <w:color w:val="auto"/>
        </w:rPr>
      </w:pPr>
    </w:p>
    <w:p>
      <w:pPr>
        <w:ind w:left="1700" w:hanging="1049"/>
        <w:spacing w:after="0"/>
        <w:tabs>
          <w:tab w:leader="none" w:pos="17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LOGISTICS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Matson’s Logistics segment provides the following services:</w:t>
      </w:r>
    </w:p>
    <w:p>
      <w:pPr>
        <w:spacing w:after="0" w:line="225" w:lineRule="exact"/>
        <w:rPr>
          <w:sz w:val="20"/>
          <w:szCs w:val="20"/>
          <w:color w:val="auto"/>
        </w:rPr>
      </w:pPr>
    </w:p>
    <w:p>
      <w:pPr>
        <w:jc w:val="both"/>
        <w:ind w:right="180"/>
        <w:spacing w:after="0" w:line="297" w:lineRule="auto"/>
        <w:rPr>
          <w:sz w:val="20"/>
          <w:szCs w:val="20"/>
          <w:color w:val="auto"/>
        </w:rPr>
      </w:pPr>
      <w:r>
        <w:rPr>
          <w:rFonts w:ascii="Arial" w:cs="Arial" w:eastAsia="Arial" w:hAnsi="Arial"/>
          <w:sz w:val="16"/>
          <w:szCs w:val="16"/>
          <w:i w:val="1"/>
          <w:iCs w:val="1"/>
          <w:color w:val="auto"/>
        </w:rPr>
        <w:t xml:space="preserve">Transportation Brokerage Services: </w:t>
      </w:r>
      <w:r>
        <w:rPr>
          <w:rFonts w:ascii="Arial" w:cs="Arial" w:eastAsia="Arial" w:hAnsi="Arial"/>
          <w:sz w:val="16"/>
          <w:szCs w:val="16"/>
          <w:color w:val="auto"/>
        </w:rPr>
        <w:t>Matson Logistics’ transportation brokerage services provide intermodal rail, highway,</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third-party logistics services for North American customers and international ocean carrier customers, including MatNav. Matson Logistics is able to reduce transportation costs for its customers through volume purchases of rail, motor carrier and ocean transportation services, augmented by such services as shipment tracking and tracing, and single-vendor invoicing. Matson Logistics operates five customer service centers and has sales offices throughout the United States.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Freight Forwarding Services: </w:t>
      </w:r>
      <w:r>
        <w:rPr>
          <w:rFonts w:ascii="Arial" w:cs="Arial" w:eastAsia="Arial" w:hAnsi="Arial"/>
          <w:sz w:val="18"/>
          <w:szCs w:val="18"/>
          <w:color w:val="auto"/>
        </w:rPr>
        <w:t>Matson Logistics provides LCL consolidation and freight forwarding services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Alaska market through its wholly owned subsidiary, Span Alaska. Span Alaska’s business aggregates LCL freight at its main terminal in Auburn, Washington for consolidation and shipment to a network of terminals in Alaska. Span Alaska also provides trucking services to its Auburn terminal and from its Alaska based terminals to final customer destinations in Alaska.</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Warehousing and Distribution Services: </w:t>
      </w:r>
      <w:r>
        <w:rPr>
          <w:rFonts w:ascii="Arial" w:cs="Arial" w:eastAsia="Arial" w:hAnsi="Arial"/>
          <w:sz w:val="18"/>
          <w:szCs w:val="18"/>
          <w:color w:val="auto"/>
        </w:rPr>
        <w:t>Matson Logistics provides warehousing and distribution services in Northern and</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California, and in Georgia. Matson Logistics operates two warehouses in Georgia, two in Northern California, and one in Southern California.</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Supply Chain Management and Other Services: </w:t>
      </w:r>
      <w:r>
        <w:rPr>
          <w:rFonts w:ascii="Arial" w:cs="Arial" w:eastAsia="Arial" w:hAnsi="Arial"/>
          <w:sz w:val="18"/>
          <w:szCs w:val="18"/>
          <w:color w:val="auto"/>
        </w:rPr>
        <w:t>Matson Logistics’ supply chain management provides customers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logistics services including purchase order management, non-vessel operating common carrier freight forwarding services and customs brokerage.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Logistics operating costs primarily include the costs of outside transportation, leased warehouse and other facilities operating costs, customer service costs, and other operating overhead.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Matson Logistics competes with hundreds of local, regional, national and international companies that provide transportation and third-party logistics services. The industry is highly fragmented and, therefore, competition varies by geography and areas of service.</w:t>
      </w:r>
    </w:p>
    <w:p>
      <w:pPr>
        <w:spacing w:after="0" w:line="181"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Matson Logistics’ transportation brokerage services competes most directly with C.H. Robinson Worldwide, the Hub Group, and other freight brokers and intermodal marketing companies, and asset-invested market leaders such as J.B.</w:t>
      </w:r>
    </w:p>
    <w:p>
      <w:pPr>
        <w:ind w:right="160"/>
        <w:spacing w:after="0" w:line="265" w:lineRule="auto"/>
        <w:rPr>
          <w:sz w:val="20"/>
          <w:szCs w:val="20"/>
          <w:color w:val="auto"/>
        </w:rPr>
      </w:pPr>
      <w:r>
        <w:rPr>
          <w:rFonts w:ascii="Arial" w:cs="Arial" w:eastAsia="Arial" w:hAnsi="Arial"/>
          <w:sz w:val="17"/>
          <w:szCs w:val="17"/>
          <w:color w:val="auto"/>
        </w:rPr>
        <w:t>Hunt. Competition is differentiated by the depth, scale and scope of customer relationships; vendor relationships and rates; network capacity; and real-time visibility into the movement of customers’ goods and other technology</w:t>
      </w:r>
    </w:p>
    <w:p>
      <w:pPr>
        <w:ind w:right="280"/>
        <w:spacing w:after="0" w:line="290" w:lineRule="auto"/>
        <w:rPr>
          <w:sz w:val="20"/>
          <w:szCs w:val="20"/>
          <w:color w:val="auto"/>
        </w:rPr>
      </w:pPr>
      <w:r>
        <w:rPr>
          <w:rFonts w:ascii="Arial" w:cs="Arial" w:eastAsia="Arial" w:hAnsi="Arial"/>
          <w:sz w:val="17"/>
          <w:szCs w:val="17"/>
          <w:color w:val="auto"/>
        </w:rPr>
        <w:t>solutions. Additionally, while Matson Logistics primarily provides surface transportation brokerage, it also competes to a lesser degree with other forms of transportation for the movement of cargo, including air freight services.</w:t>
      </w:r>
    </w:p>
    <w:p>
      <w:pPr>
        <w:spacing w:after="0" w:line="16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Matson Logistics’ freight forwarding services competes most directly with a variety of freight forwarding companies that operate within Alaska including Carlile, Lynden, American Fast Freight and Alaska Traffic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Concentration:</w:t>
      </w:r>
    </w:p>
    <w:p>
      <w:pPr>
        <w:spacing w:after="0" w:line="225"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Matson Logistics serves customers in numerous industries and geographical locations. In 2016, the Company’s 10 largest logistics customers accounted for approximately 22 percent of the Company’s Logistics revenue. None of these customers accounted for more than 10 percent of Matson Logistics’ operating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Matson’s Logistics services are generally not significantly impacted by seasonality factors, except for its freight forwarding service to Alaska which are affected by the winter weather, the cyclical nature of the oil, construction and fishing industries, and the seasonal nature of the tourism industry.</w:t>
      </w:r>
    </w:p>
    <w:p>
      <w:pPr>
        <w:spacing w:after="0" w:line="177" w:lineRule="exact"/>
        <w:rPr>
          <w:sz w:val="20"/>
          <w:szCs w:val="20"/>
          <w:color w:val="auto"/>
        </w:rPr>
      </w:pPr>
    </w:p>
    <w:p>
      <w:pPr>
        <w:ind w:left="740" w:hanging="737"/>
        <w:spacing w:after="0"/>
        <w:tabs>
          <w:tab w:leader="none" w:pos="7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 AND LABOR RELATIONS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As of December 31, 2016, Matson and its subsidiaries had 1,925 employees, of which 712 employees were covered by collective bargaining agreements with shoreside and offshore unions. These numbers do not include billets on vessels discussed below, employees of SSAT, or other non-employees, such as agents, temporary workers and contractors.</w:t>
      </w:r>
    </w:p>
    <w:p>
      <w:pPr>
        <w:spacing w:after="0" w:line="14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Matson’s active fleet employed seagoing personnel in 355 billets at December 31, 2016. Each billet corresponds to a position on a vessel that typically is filled by two or more employees because seagoing personnel rotate between active sea-duty and time ashore. Matson’s ship management services also employed personnel in 28 billets at December 31,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Bargaining Agreements:</w:t>
      </w:r>
    </w:p>
    <w:p>
      <w:pPr>
        <w:spacing w:after="0" w:line="22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Matson and SSAT are members of the Pacific Maritime Association (“PMA”), which on behalf of its members negotiates collective bargaining agreements with the International Longshore and Warehouse Union (“ILWU”) on the U.S. Pacific Coast. The PMA/ILWU collective bargaining agreements cover substantially all U.S. West Coast longshore labor. Matson also has collective bargaining agreements with other unions that expire at various dates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Matson’s seagoing employees are represented by unions for both unlicensed and licensed crew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Matson also has collective bargaining agreements with these unions that expire at various dates in the future.</w:t>
      </w:r>
    </w:p>
    <w:p>
      <w:pPr>
        <w:spacing w:after="0" w:line="211"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While Matson believes that it will be able to renegotiate collective bargaining agreements with its various unions as they expire without any significant impact on its operations; no assurance can be given that such agreements will be reached without slow-downs, strikes, lock-out or other disruptions that may adversely impact Matson’s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Matson contributes to a number of multi-employer pension plans. If Matson were to withdraw from or significantly reduce its obligation to contribute to any one of the plans, Matson would review and evaluate data, actuarial assumptions, calculations and other factors used in determining its withdrawal liability, if any. If any third-parties materially disagree with Matson’s determination, Matson would pursue the various means available to it under federal law for the adjustment or removal of its withdrawal liability.</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Matson has no present intention of withdrawing from, and does not anticipate the termination of any of the multi-employer pension plans that it contributes to except for the ILA-PRSSA pension fund in Puerto Rico which Horizon withdrew from (see Notes 11 and 12 to the Consolidated Financial Statements in Item 8 of Part II below for a discussion of withdrawal liabilities under certain multi-employer pension plans).</w:t>
      </w:r>
    </w:p>
    <w:p>
      <w:pPr>
        <w:spacing w:after="0" w:line="183" w:lineRule="exact"/>
        <w:rPr>
          <w:sz w:val="20"/>
          <w:szCs w:val="20"/>
          <w:color w:val="auto"/>
        </w:rPr>
      </w:pPr>
    </w:p>
    <w:p>
      <w:pPr>
        <w:ind w:left="900" w:hanging="897"/>
        <w:spacing w:after="0"/>
        <w:tabs>
          <w:tab w:leader="none" w:pos="9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Matson makes available, free of charge on or through its Internet website, Matson’s annual reports on Form 10-K, quarterly reports on Form 10-Q, current reports on Form 8-K and amendments to those reports filed or furnished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Section 13(a) or 15(d) of the Securities Exchange Act of 1934 as soon as reasonably practicable after it electronically files such material with, or furnishes it to, the U.S. Securities and Exchange Commission (“SEC”). The address of Matson’s Internet website is www.matson.com. The contents of our website are not incorporated by reference into this Form 10-K.</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SEC maintains an Internet website that contains reports, proxy and information statements, and other information regarding Matson and other issuers that file electronically with the SEC. The public may read and copy any materials Matson files with the SEC at the SEC’s Public Reference Room at 100 F Street, NE, Washington, DC 20549. The public may obtain information on the operation of the Public Reference Room by calling the SEC at 1-800-SEC-0330. The address of the SEC’s Internet website is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Company’s business faces the risks set forth below, which may adversely affect our business, financial condition and operating results. All forward-looking statements made by the Company or on the Company’s behalf are qualified by the risks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Operations</w:t>
      </w:r>
    </w:p>
    <w:p>
      <w:pPr>
        <w:spacing w:after="0" w:line="2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Changes in U.S., global, regional economic conditions or governmental policies that result in a decrease in consumer confidence or market demand for the Company’s services and products in Hawaii and Alaska, the U.S. Mainland, Guam, Asia or the South Pacific may adversely affect the Company’s financial position, results of operations, liquidity, or cash flows.</w:t>
      </w:r>
    </w:p>
    <w:p>
      <w:pPr>
        <w:spacing w:after="0" w:line="184"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 weakening of domestic or global economies may adversely impact the level of freight volumes and freight rates. Within the U.S., a weakening of economic drivers in Hawaii and Alaska, which include tourism, military spending, construction starts, personal income growth and employment, or the weakening of consumer confidence, market demand, the economy in the U.S. Mainland, or the effect of a change in the strength of the U.S. dollar against other foreign currencies, may further reduce the demand for goods to and from Asia, Hawaii and Alaska, adversely affecting inland and ocean transportation volumes or rates. In addition, overcapacity in the global or transpacific ocean transportation markets, a change in the cost of goods or currency exchange rates, imposition of tariffs, or a change in international trade policies may adversely affect freight volumes and rates in the Company’s China service.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face new or increased competition.</w:t>
      </w:r>
    </w:p>
    <w:p>
      <w:pPr>
        <w:spacing w:after="0" w:line="229"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The Company may face new competition by established or start-up shipping operators that enter the Company’s markets. The entry of a new competitor or the addition of new vessels or capacity by existing competition on any of the Company’s routes could result in a significant increase in available shipping capacity that could have an adverse effect on volumes and rates. In 2016, the Company’s major competitor in the Guam service upgraded its U.S. flagged feeder containership from a bi-weekly service to a weekly service connecting the U.S. West Coast to Guam and Saipan via transshipments over Yokohama, Japan and Busan, South Korea. As a result of these and other competitor actions, the Company could experience some reduction in profitability.</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loss of or damage to key vendor, agent and customer relationships may adversely affect the Company’s business.</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Company’s businesses are dependent on their relationships with key vendors, agents and customers, and derive a significant portion of their revenues from the Company’s largest customers. The Company could be adversely affected by any changes in the services provided, or changes to the costs of services provided by key vendors and agents. Relationships with railroads and shipping companies and agents are important in the Company’s intermodal business.</w:t>
      </w:r>
    </w:p>
    <w:p>
      <w:pPr>
        <w:spacing w:after="0" w:line="154"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Company’s business also relies on its relationships with the military, freight forwarders, large retailers and consumer goods and automobile manufacturers, as well as other larger customers. In 2016, the Company’s Ocean Transportation segment’s 10 largest customers accounted for approximately 24 percent of the business’ revenue. In 2016, the Company’s Logistics segment’s 10 largest customers accounted for approximately 22 percent of the business’ revenue. The loss of or damage to any of these key relationships may adversely affect the Company’s business and revenue.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An increase in fuel prices, or changes in the Company’s ability to collect fuel surcharges, may adversely affect the Company’s profits.</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Fuel is a significant operating expense for the Company’s Ocean Transportation business. The price and supply of fuel are unpredictable and fluctuate based on events beyond the Company’s control. Increases in the price of fuel may adversely affect the Company’s results of operations. Increases in fuel costs also can lead to increases in other expenses, for example: increased energy costs, and the costs of purchased outside transportation services. In the Company’s Ocean Transportation and Logistics services segments, the Company is able to utilize fuel surcharges to partially recover increases in fuel expense, although increases in the fuel surcharge may adversely affect the Company’s competitive position and may not correspond exactly with the timing of increases in fuel expense. Changes in the Company’s ability to collect fuel surcharges also may adversely affect its results of operations.</w:t>
      </w:r>
    </w:p>
    <w:p>
      <w:pPr>
        <w:spacing w:after="0" w:line="17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Work stoppages or other labor disruptions caused by unionized workers of the Company, other workers or their unions in related industries may adversely affect the Company’s operations.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December 31, 2016, Matson and its subsidiaries had 1,925 regular employees, of which 712 employees were covered by collective bargaining agreements with unions. In addition, at December 31, 2016, the active Matson fleet employed seagoing personnel in 355 billets, and vessel management services employed personnel in 28 billets. Each billet corresponds to a position on a vessel that typically is filled by two or more employees, because seagoing personnel rotate between active sea-duty and time ashore. Such employees are also subject to collective bargaining agreements. Furthermore, the Company relies on the services of third-parties including SSAT that employ persons covered by collective bargaining agreements. For additional information on collective bargaining agreements with unions, see Item 1. C. Employees and Labor Relations of Part I above.</w:t>
      </w:r>
    </w:p>
    <w:p>
      <w:pPr>
        <w:spacing w:after="0" w:line="192"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Company could be adversely affected by actions taken by employees of the Company or other companies in related industries against efforts by management to control labor costs, restrain wage or benefit increases or modify work practices. Strikes and disruptions may occur as a result of the failure of Matson or other companies in its industry to negotiate collective bargaining agreements with such unions successfully.</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any slow-downs, strikes, lock-outs or other disruptions, including limits to availability of labor through trade union hiring halts could have an adverse impact on Matson’s or SSAT’s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susceptible to weather and natural disasters.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operations are vulnerable to disruption as a result of weather and natural disasters, such as bad weather at sea, hurricanes, typhoons, tsunamis, floods and earthquakes. Such events will interfere with the Company’s ability to provide on-time scheduled service, resulting in increased expenses and potential loss of business associated with such events. In addition, severe weather and natural disasters can result in interference with the Company’s terminal operations, and may cause serious damage to its vessels and cranes, loss or damage to containers, cargo and other equipment, and loss of life or physical injury to its employees, all of which could have an adverse effect on the Company’s business.</w:t>
      </w:r>
    </w:p>
    <w:p>
      <w:pPr>
        <w:spacing w:after="0" w:line="16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maintains casualty and liability insurance policies, which are generally subject to large retentions and deductibles. Some types of losses, such as losses resulting from a port blockage, generally, are not insured. In some cases the Company retains the entire risk of loss because it is not economically prudent to purchase insurance coverage or because of the perceived remoteness of the risk. Other risks are uninsured because insurance coverage may not be commercially available. Finally, the Company retains all risk of loss that exceeds the limits of its insurance.</w:t>
      </w:r>
    </w:p>
    <w:p>
      <w:pPr>
        <w:spacing w:after="0" w:line="1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The Company’s significant operating agreements and leases could be replaced on less favorable terms or may not be replaced.</w:t>
      </w:r>
    </w:p>
    <w:p>
      <w:pPr>
        <w:spacing w:after="0" w:line="166"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significant operating agreements and leases of the Company in its various businesses expire at various points in the future and may not be replaced or could be replaced on less favorable terms, thereby adversely affecting the Company’s future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If we are not able to use our information technology and communications systems effectively, our ability to conduct business might be negatively impacted.</w:t>
      </w:r>
    </w:p>
    <w:p>
      <w:pPr>
        <w:spacing w:after="0" w:line="16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highly dependent on the proper functioning of our information technology systems to enable operations and compete effectively. Our information technology systems rely on third-party service providers for access to the Internet, satellite-based communications systems, the electric grid, database storage facilities and telecommunications providers. We have no control over the operations of these third-party service providers. If our information technology and communications systems experience reliability issues, integration or compatibility concerns or if our third-party providers are unable to perform effectively or experience disruptions or failures, there could be an adverse impact on the availability and functioning of our information technology and communications systems, which could lead to business disruption or inefficiencies, reputational harm or loss of customers that could have an adverse effect on our business.</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information technology systems may be exposed to cybersecurity risks and other disruptions that could impair the Company’s ability to operate and adversely affect its business.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relies extensively on its information technology systems and third-party service providers including cloud services for accounting, billing, disbursement, cargo booking and tracking, vessel scheduling and stowage, equipment tracking, customer service, banking, payroll and employee communication systems. Despite our continuous efforts to make investments in our information technology systems and system-wide data security program, the implementation of security measures to protect our data and infrastructure against breaches and other cyber threats, and our use of internal processes and controls designed to protect the security and availability of our systems, our information technology and communication systems may be vulnerable to cybersecurity risks such as computer viruses, hacking, malware, denial of service attacks, cyber terrorism, circumvention of security systems, malfeasance, breaches due to employee error, natural disasters, telecommunications failure, or other catastrophic events at the Company’s facilities, aboard its vessels or at third-party locations.</w:t>
      </w:r>
    </w:p>
    <w:p>
      <w:pPr>
        <w:spacing w:after="0" w:line="17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Any failure, breach or unauthorized access to the Company’s or third-party systems could result in the loss of confidential, sensitive or proprietary information, interruptions in its service or production or otherwise impact our ability to conduct business operations, and could result in potential reductions in revenue and profits, damage to its reputation or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the Company’s key personnel could adversely affect its business.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Company’s future success will depend, in significant part, upon the continued services of its key personnel, including its senior management and skilled employees. The loss of the services of key personnel could adversely affect the Company’s future operating results because of such employees’ experience and knowledge of the Company’s business and customer relationships. If key employees depart, the Company may incur significant costs to replace them. Additionally, the Company’s ability to execute its business model could be impaired if it cannot replace them in a timely manner. The Company does not maintain key person insurance on any of its key personnel.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Company is involved in a joint venture and is subject to risks associated with joint venture relationships.</w:t>
      </w: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involved in a terminal joint venture, SSAT, and may initiate future joint venture projects. A joint venture involves certain risks such as:</w:t>
      </w:r>
    </w:p>
    <w:p>
      <w:pPr>
        <w:spacing w:after="0" w:line="170" w:lineRule="exact"/>
        <w:rPr>
          <w:sz w:val="20"/>
          <w:szCs w:val="20"/>
          <w:color w:val="auto"/>
        </w:rPr>
      </w:pPr>
    </w:p>
    <w:p>
      <w:pPr>
        <w:ind w:left="120" w:hanging="117"/>
        <w:spacing w:after="0"/>
        <w:tabs>
          <w:tab w:leader="none" w:pos="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have voting control over the joint venture;</w:t>
      </w:r>
    </w:p>
    <w:p>
      <w:pPr>
        <w:spacing w:after="0" w:line="23" w:lineRule="exact"/>
        <w:rPr>
          <w:rFonts w:ascii="Arial" w:cs="Arial" w:eastAsia="Arial" w:hAnsi="Arial"/>
          <w:sz w:val="18"/>
          <w:szCs w:val="18"/>
          <w:color w:val="auto"/>
        </w:rPr>
      </w:pPr>
    </w:p>
    <w:p>
      <w:pPr>
        <w:ind w:left="100" w:hanging="97"/>
        <w:spacing w:after="0"/>
        <w:tabs>
          <w:tab w:leader="none" w:pos="1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may not be able to maintain good relationships with its joint venture partner;</w:t>
      </w:r>
    </w:p>
    <w:p>
      <w:pPr>
        <w:spacing w:after="0" w:line="9" w:lineRule="exact"/>
        <w:rPr>
          <w:rFonts w:ascii="Arial" w:cs="Arial" w:eastAsia="Arial" w:hAnsi="Arial"/>
          <w:sz w:val="18"/>
          <w:szCs w:val="18"/>
          <w:color w:val="auto"/>
        </w:rPr>
      </w:pPr>
    </w:p>
    <w:p>
      <w:pPr>
        <w:ind w:left="80" w:hanging="77"/>
        <w:spacing w:after="0"/>
        <w:tabs>
          <w:tab w:leader="none" w:pos="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joint venture partner at any time may have economic or business interests that are inconsistent with the Company’s;</w:t>
      </w:r>
    </w:p>
    <w:p>
      <w:pPr>
        <w:spacing w:after="0" w:line="32" w:lineRule="exact"/>
        <w:rPr>
          <w:rFonts w:ascii="Arial" w:cs="Arial" w:eastAsia="Arial" w:hAnsi="Arial"/>
          <w:sz w:val="16"/>
          <w:szCs w:val="16"/>
          <w:color w:val="auto"/>
        </w:rPr>
      </w:pPr>
    </w:p>
    <w:p>
      <w:pPr>
        <w:ind w:left="80" w:right="320" w:hanging="77"/>
        <w:spacing w:after="0" w:line="250" w:lineRule="auto"/>
        <w:tabs>
          <w:tab w:leader="none" w:pos="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venture partner may fail to fund its share of capital for operations or to fulfill its other commitments, including providing accurate and timely accounting and financial information to the Company;</w:t>
      </w:r>
    </w:p>
    <w:p>
      <w:pPr>
        <w:ind w:left="80" w:right="600" w:hanging="77"/>
        <w:spacing w:after="0" w:line="281" w:lineRule="auto"/>
        <w:tabs>
          <w:tab w:leader="none" w:pos="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joint venture may experience operating difficulties and financial losses, which may lead to asset write-downs or impairment charges that could negatively impact the operating results of the joint venture and the Company;</w:t>
      </w:r>
    </w:p>
    <w:p>
      <w:pPr>
        <w:spacing w:after="0" w:line="1" w:lineRule="exact"/>
        <w:rPr>
          <w:rFonts w:ascii="Arial" w:cs="Arial" w:eastAsia="Arial" w:hAnsi="Arial"/>
          <w:sz w:val="16"/>
          <w:szCs w:val="16"/>
          <w:color w:val="auto"/>
        </w:rPr>
      </w:pPr>
    </w:p>
    <w:p>
      <w:pPr>
        <w:ind w:left="140" w:hanging="137"/>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venture or venture partner could lose key personnel;</w:t>
      </w:r>
    </w:p>
    <w:p>
      <w:pPr>
        <w:spacing w:after="0" w:line="9" w:lineRule="exact"/>
        <w:rPr>
          <w:rFonts w:ascii="Arial" w:cs="Arial" w:eastAsia="Arial" w:hAnsi="Arial"/>
          <w:sz w:val="18"/>
          <w:szCs w:val="18"/>
          <w:color w:val="auto"/>
        </w:rPr>
      </w:pPr>
    </w:p>
    <w:p>
      <w:pPr>
        <w:ind w:left="80" w:right="20" w:hanging="77"/>
        <w:spacing w:after="0" w:line="255" w:lineRule="auto"/>
        <w:tabs>
          <w:tab w:leader="none" w:pos="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joint venture partner could become bankrupt requiring the Company to assume all risks and capital requirements related to the joint venture project, and the related bankruptcy proceedings could have an adverse impact on the operation of the partnership or joint venture;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Actions of the joint venture may result in reputational harm to the Company.</w:t>
      </w:r>
    </w:p>
    <w:p>
      <w:pPr>
        <w:spacing w:after="0" w:line="225" w:lineRule="exact"/>
        <w:rPr>
          <w:sz w:val="20"/>
          <w:szCs w:val="20"/>
          <w:color w:val="auto"/>
        </w:rPr>
      </w:pPr>
    </w:p>
    <w:p>
      <w:pPr>
        <w:jc w:val="both"/>
        <w:ind w:right="219"/>
        <w:spacing w:after="0" w:line="264" w:lineRule="auto"/>
        <w:rPr>
          <w:sz w:val="20"/>
          <w:szCs w:val="20"/>
          <w:color w:val="auto"/>
        </w:rPr>
      </w:pPr>
      <w:r>
        <w:rPr>
          <w:rFonts w:ascii="Arial" w:cs="Arial" w:eastAsia="Arial" w:hAnsi="Arial"/>
          <w:sz w:val="18"/>
          <w:szCs w:val="18"/>
          <w:color w:val="auto"/>
        </w:rPr>
        <w:t>In addition, the Company relies on the terminal joint venture, SSAT, and SSA for its stevedoring services on the U.S. West Coast. The Company could be adversely affected by any changes in the services provided, or to the costs of such services provided by the Company’s terminal joint venture, SSAT, and SSA.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associated with conducting business in foreign shipping markets.</w:t>
      </w:r>
    </w:p>
    <w:p>
      <w:pPr>
        <w:spacing w:after="0" w:line="229" w:lineRule="exact"/>
        <w:rPr>
          <w:sz w:val="20"/>
          <w:szCs w:val="20"/>
          <w:color w:val="auto"/>
        </w:rPr>
      </w:pPr>
    </w:p>
    <w:p>
      <w:pPr>
        <w:ind w:right="139"/>
        <w:spacing w:after="0" w:line="277" w:lineRule="auto"/>
        <w:rPr>
          <w:sz w:val="20"/>
          <w:szCs w:val="20"/>
          <w:color w:val="auto"/>
        </w:rPr>
      </w:pPr>
      <w:r>
        <w:rPr>
          <w:rFonts w:ascii="Arial" w:cs="Arial" w:eastAsia="Arial" w:hAnsi="Arial"/>
          <w:sz w:val="18"/>
          <w:szCs w:val="18"/>
          <w:color w:val="auto"/>
        </w:rPr>
        <w:t>Matson’s China, Micronesia and South Pacific services are subject to risks associated with conducting business in a foreign shipping market, which include:</w:t>
      </w:r>
    </w:p>
    <w:p>
      <w:pPr>
        <w:spacing w:after="0" w:line="170" w:lineRule="exact"/>
        <w:rPr>
          <w:sz w:val="20"/>
          <w:szCs w:val="20"/>
          <w:color w:val="auto"/>
        </w:rPr>
      </w:pPr>
    </w:p>
    <w:p>
      <w:pPr>
        <w:ind w:left="80" w:right="359" w:hanging="77"/>
        <w:spacing w:after="0" w:line="258" w:lineRule="auto"/>
        <w:tabs>
          <w:tab w:leader="none" w:pos="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associated with operating in foreign countries and doing business and developing relationships with foreign companies;</w:t>
      </w:r>
    </w:p>
    <w:p>
      <w:pPr>
        <w:spacing w:after="0" w:line="1" w:lineRule="exact"/>
        <w:rPr>
          <w:rFonts w:ascii="Arial" w:cs="Arial" w:eastAsia="Arial" w:hAnsi="Arial"/>
          <w:sz w:val="18"/>
          <w:szCs w:val="18"/>
          <w:color w:val="auto"/>
        </w:rPr>
      </w:pPr>
    </w:p>
    <w:p>
      <w:pPr>
        <w:ind w:left="80" w:hanging="77"/>
        <w:spacing w:after="0"/>
        <w:tabs>
          <w:tab w:leader="none" w:pos="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Challenges in working with and maintaining good relationships with business associates in our foreign operations;</w:t>
      </w:r>
    </w:p>
    <w:p>
      <w:pPr>
        <w:spacing w:after="0" w:line="20" w:lineRule="exact"/>
        <w:rPr>
          <w:rFonts w:ascii="Arial" w:cs="Arial" w:eastAsia="Arial" w:hAnsi="Arial"/>
          <w:sz w:val="17"/>
          <w:szCs w:val="17"/>
          <w:color w:val="auto"/>
        </w:rPr>
      </w:pPr>
    </w:p>
    <w:p>
      <w:pPr>
        <w:ind w:left="140" w:hanging="137"/>
        <w:spacing w:after="0"/>
        <w:tabs>
          <w:tab w:leader="none" w:pos="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80" w:right="499" w:hanging="77"/>
        <w:spacing w:after="0" w:line="265" w:lineRule="auto"/>
        <w:tabs>
          <w:tab w:leader="none" w:pos="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be in compliance with U.S. and foreign legal and regulatory restrictions, including compliance with the Foreign Corrupt Practices Act and foreign laws that prohibit corrupt payments to government officials;</w:t>
      </w:r>
    </w:p>
    <w:p>
      <w:pPr>
        <w:ind w:left="100" w:hanging="97"/>
        <w:spacing w:after="0"/>
        <w:tabs>
          <w:tab w:leader="none" w:pos="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vessel overcapacity that may lead to decreases in volumes and shipping rates;</w:t>
      </w:r>
    </w:p>
    <w:p>
      <w:pPr>
        <w:spacing w:after="0" w:line="9" w:lineRule="exact"/>
        <w:rPr>
          <w:rFonts w:ascii="Arial" w:cs="Arial" w:eastAsia="Arial" w:hAnsi="Arial"/>
          <w:sz w:val="18"/>
          <w:szCs w:val="18"/>
          <w:color w:val="auto"/>
        </w:rPr>
      </w:pPr>
    </w:p>
    <w:p>
      <w:pPr>
        <w:ind w:left="160" w:hanging="157"/>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having continued access to existing port facilities;</w:t>
      </w:r>
    </w:p>
    <w:p>
      <w:pPr>
        <w:spacing w:after="0" w:line="9" w:lineRule="exact"/>
        <w:rPr>
          <w:rFonts w:ascii="Arial" w:cs="Arial" w:eastAsia="Arial" w:hAnsi="Arial"/>
          <w:sz w:val="18"/>
          <w:szCs w:val="18"/>
          <w:color w:val="auto"/>
        </w:rPr>
      </w:pPr>
    </w:p>
    <w:p>
      <w:pPr>
        <w:ind w:left="160" w:hanging="157"/>
        <w:spacing w:after="0"/>
        <w:tabs>
          <w:tab w:leader="none" w:pos="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with established and new carriers;</w:t>
      </w:r>
    </w:p>
    <w:p>
      <w:pPr>
        <w:spacing w:after="0" w:line="9" w:lineRule="exact"/>
        <w:rPr>
          <w:rFonts w:ascii="Arial" w:cs="Arial" w:eastAsia="Arial" w:hAnsi="Arial"/>
          <w:sz w:val="18"/>
          <w:szCs w:val="18"/>
          <w:color w:val="auto"/>
        </w:rPr>
      </w:pPr>
    </w:p>
    <w:p>
      <w:pPr>
        <w:ind w:left="120" w:hanging="117"/>
        <w:spacing w:after="0"/>
        <w:tabs>
          <w:tab w:leader="none" w:pos="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Currency exchange rate fluctuations and our ability to manage these fluctuations;</w:t>
      </w:r>
    </w:p>
    <w:p>
      <w:pPr>
        <w:spacing w:after="0" w:line="9" w:lineRule="exact"/>
        <w:rPr>
          <w:rFonts w:ascii="Arial" w:cs="Arial" w:eastAsia="Arial" w:hAnsi="Arial"/>
          <w:sz w:val="18"/>
          <w:szCs w:val="18"/>
          <w:color w:val="auto"/>
        </w:rPr>
      </w:pPr>
    </w:p>
    <w:p>
      <w:pPr>
        <w:ind w:left="220" w:hanging="21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9" w:lineRule="exact"/>
        <w:rPr>
          <w:rFonts w:ascii="Arial" w:cs="Arial" w:eastAsia="Arial" w:hAnsi="Arial"/>
          <w:sz w:val="18"/>
          <w:szCs w:val="18"/>
          <w:color w:val="auto"/>
        </w:rPr>
      </w:pPr>
    </w:p>
    <w:p>
      <w:pPr>
        <w:ind w:left="80" w:right="379" w:hanging="77"/>
        <w:spacing w:after="0" w:line="250" w:lineRule="auto"/>
        <w:tabs>
          <w:tab w:leader="none" w:pos="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Protectionist measures including the imposition of tariffs that may affect the Company’s operation of its wholly-owned foreign enterprise; and</w:t>
      </w:r>
    </w:p>
    <w:p>
      <w:pPr>
        <w:ind w:left="180" w:hanging="177"/>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Challenges caused by cultural differences.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has the potential to adversely affect the Company’s operating results.</w:t>
      </w:r>
    </w:p>
    <w:p>
      <w:pPr>
        <w:spacing w:after="0" w:line="221" w:lineRule="exact"/>
        <w:rPr>
          <w:sz w:val="20"/>
          <w:szCs w:val="20"/>
          <w:color w:val="auto"/>
        </w:rPr>
      </w:pPr>
    </w:p>
    <w:p>
      <w:pPr>
        <w:ind w:right="99"/>
        <w:spacing w:after="0" w:line="266" w:lineRule="auto"/>
        <w:rPr>
          <w:sz w:val="20"/>
          <w:szCs w:val="20"/>
          <w:color w:val="auto"/>
        </w:rPr>
      </w:pPr>
      <w:r>
        <w:rPr>
          <w:rFonts w:ascii="Arial" w:cs="Arial" w:eastAsia="Arial" w:hAnsi="Arial"/>
          <w:sz w:val="18"/>
          <w:szCs w:val="18"/>
          <w:b w:val="1"/>
          <w:bCs w:val="1"/>
          <w:color w:val="auto"/>
        </w:rPr>
        <w:t>The Company’s Logistics segment is dependent upon third-parties for equipment, capacity and services essential to operate its business, and if the Company fails to secure sufficient third-party services, its business could be adversely affected.</w:t>
      </w:r>
    </w:p>
    <w:p>
      <w:pPr>
        <w:spacing w:after="0" w:line="180" w:lineRule="exact"/>
        <w:rPr>
          <w:sz w:val="20"/>
          <w:szCs w:val="20"/>
          <w:color w:val="auto"/>
        </w:rPr>
      </w:pPr>
    </w:p>
    <w:p>
      <w:pPr>
        <w:ind w:right="39"/>
        <w:spacing w:after="0" w:line="276" w:lineRule="auto"/>
        <w:rPr>
          <w:sz w:val="20"/>
          <w:szCs w:val="20"/>
          <w:color w:val="auto"/>
        </w:rPr>
      </w:pPr>
      <w:r>
        <w:rPr>
          <w:rFonts w:ascii="Arial" w:cs="Arial" w:eastAsia="Arial" w:hAnsi="Arial"/>
          <w:sz w:val="17"/>
          <w:szCs w:val="17"/>
          <w:color w:val="auto"/>
        </w:rPr>
        <w:t>The Company’s Logistics segment is dependent upon rail, truck and ocean transportation services provided by independent third-parties. If the Company cannot secure sufficient transportation equipment, capacity or services from these third-parties at reasonable rates to meet its customers’ needs and schedules, customers may seek to have their transportation and logistics needs met by other third-parties on a temporary or permanent basis. As a result, the Company’s business, consolidated results of operations and financial condition could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is subject to risks related to a marine accident or spill event.</w:t>
      </w:r>
    </w:p>
    <w:p>
      <w:pPr>
        <w:spacing w:after="0" w:line="229" w:lineRule="exact"/>
        <w:rPr>
          <w:sz w:val="20"/>
          <w:szCs w:val="20"/>
          <w:color w:val="auto"/>
        </w:rPr>
      </w:pPr>
    </w:p>
    <w:p>
      <w:pPr>
        <w:ind w:right="79"/>
        <w:spacing w:after="0" w:line="264" w:lineRule="auto"/>
        <w:rPr>
          <w:sz w:val="20"/>
          <w:szCs w:val="20"/>
          <w:color w:val="auto"/>
        </w:rPr>
      </w:pPr>
      <w:r>
        <w:rPr>
          <w:rFonts w:ascii="Arial" w:cs="Arial" w:eastAsia="Arial" w:hAnsi="Arial"/>
          <w:sz w:val="18"/>
          <w:szCs w:val="18"/>
          <w:color w:val="auto"/>
        </w:rPr>
        <w:t>The Company’s vessel and terminal operations could be faced with a maritime accident, oil or other spill, or other environmental mishap. Such event may lead to personal injury, loss of life, damage of property, pollution and suspension of operations. As a result, such event could have an adverse effect on the Company’s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Shipbuilding Agreements with Philly Shipyard and NASSCO are subject to risks.</w:t>
      </w:r>
    </w:p>
    <w:p>
      <w:pPr>
        <w:spacing w:after="0" w:line="229" w:lineRule="exact"/>
        <w:rPr>
          <w:sz w:val="20"/>
          <w:szCs w:val="20"/>
          <w:color w:val="auto"/>
        </w:rPr>
      </w:pPr>
    </w:p>
    <w:p>
      <w:pPr>
        <w:ind w:right="179"/>
        <w:spacing w:after="0" w:line="255" w:lineRule="auto"/>
        <w:rPr>
          <w:sz w:val="20"/>
          <w:szCs w:val="20"/>
          <w:color w:val="auto"/>
        </w:rPr>
      </w:pPr>
      <w:r>
        <w:rPr>
          <w:rFonts w:ascii="Arial" w:cs="Arial" w:eastAsia="Arial" w:hAnsi="Arial"/>
          <w:sz w:val="18"/>
          <w:szCs w:val="18"/>
          <w:color w:val="auto"/>
        </w:rPr>
        <w:t>On November 6, 2013, MatNav and Philly Shipyard entered into definitive agreements pursuant to which Philly Shipyard will construct two new 3,600-TEU Aloha Class dual-fuel capable containerships, with expected delivery dates during the third quarter of 2018 and the first quarter of 2019. On August 25, 2016, MatNav and NASSCO entered into definitive agreements pursuant to which NASSCO will construct two new 3,500-TEU Kanaloa Class dual-fuel capable container and roll-on/roll-off vessels, with expected delivery dates at the end of 2019 and mid-2020. Failure of any party to the shipbuilding agreements to fulfill its obligations under the agreements could have an adverse effect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Heightened security measures, war, actual or threatened terrorist attacks, efforts to combat terrorism and other acts of violence may adversely impact the Company’s operations and profitability.</w:t>
      </w:r>
    </w:p>
    <w:p>
      <w:pPr>
        <w:spacing w:after="0" w:line="166"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War, terrorist attacks and other acts of violence may cause consumer confidence and spending to decrease, or may affect the ability or willingness of tourists to travel to Hawaii, thereby adversely affecting Hawaii’s economy and the</w:t>
      </w:r>
    </w:p>
    <w:p>
      <w:pPr>
        <w:spacing w:after="0" w:line="253" w:lineRule="auto"/>
        <w:rPr>
          <w:sz w:val="20"/>
          <w:szCs w:val="20"/>
          <w:color w:val="auto"/>
        </w:rPr>
      </w:pPr>
      <w:r>
        <w:rPr>
          <w:rFonts w:ascii="Arial" w:cs="Arial" w:eastAsia="Arial" w:hAnsi="Arial"/>
          <w:sz w:val="18"/>
          <w:szCs w:val="18"/>
          <w:color w:val="auto"/>
        </w:rPr>
        <w:t>Company. Additionally, future terrorist attacks could increase volatility in the U.S. and worldwide financial markets. Acts of war or terrorism may be directed at the Company’s shipping operations, or may cause the U.S. government to take control of Matson’s vessels for military operation. Heightened security measures potentially slow the movement and increase the cost of freight through U.S. or foreign ports, across borders or on U.S. or foreign railroads or highways and could adversely affect the Company’s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may have an adverse effect on the Company’s business.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growth strategy includes expansion through acquisitions. Acquisitions may result in difficulties in assimilating acquired assets or companies, and may result in the diversion of the Company’s capital and its management attention from other business issues and opportunities. The Company may not be able to integrate companies that it acquires successfully, including their personnel, financial systems, distribution, operations and general operating procedures. The Company may also encounter challenges in achieving appropriate internal control over financial reporting in connection with the integration of an acquired company. The Company may pay a premium for an acquisition, resulting in goodwill that may later be determined to be impaired, adversely affecting the Company’s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Span Alaska and Horizon Acquisitions may expose us to unknown liabilities.</w:t>
      </w:r>
    </w:p>
    <w:p>
      <w:pPr>
        <w:spacing w:after="0" w:line="229"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We acquired Horizon subject to all of the liabilities and obligations of its non-Hawaii business, including any remaining liabilities and obligations associated with its Puerto Rico operations, which Horizon ceased during the first quarter of</w:t>
      </w:r>
    </w:p>
    <w:p>
      <w:pPr>
        <w:jc w:val="both"/>
        <w:ind w:right="80"/>
        <w:spacing w:after="0" w:line="255" w:lineRule="auto"/>
        <w:rPr>
          <w:sz w:val="20"/>
          <w:szCs w:val="20"/>
          <w:color w:val="auto"/>
        </w:rPr>
      </w:pPr>
      <w:r>
        <w:rPr>
          <w:rFonts w:ascii="Arial" w:cs="Arial" w:eastAsia="Arial" w:hAnsi="Arial"/>
          <w:sz w:val="18"/>
          <w:szCs w:val="18"/>
          <w:color w:val="auto"/>
        </w:rPr>
        <w:t>2015. Similarly, we acquired Span Alaska subject to all of its liabilities and obligations. The disposition of these liabilities, and any other obligations that are unknown to the Company, including contingent liabilities, could have an adverse effect on the Company’s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continue to be exposed to risks and liabilities related to Horizon’s former Hawaii business.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Pasha acquired Horizon’s former Hawaii business immediately before we acquired Horizon, and Pasha assumed substantially all liabilities and obligations related to Horizon’s Hawaii business and agreed to perform various covenants. In some cases however, Horizon, as the original contracting party, may remain primarily responsible for such assumed Hawaii liabilities and obligations. The Company may incur losses related to such assumed Hawaii liabilities and obligations.</w:t>
      </w:r>
    </w:p>
    <w:p>
      <w:pPr>
        <w:spacing w:after="0" w:line="15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We may be required to record a significant charge to earnings if recorded intangible assets associated with the Span Alaska and Horizon Acquisitions became impaired.</w:t>
      </w:r>
    </w:p>
    <w:p>
      <w:pPr>
        <w:spacing w:after="0" w:line="166"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We recorded significant intangible assets related to goodwill and customer relationships arising from the Horizon and Span Alaska acquisitions. We are required to test goodwill for impairment annually, or whenever events or changes in circumstances indicate that it is more likely than not that the fair value of a reporting unit is less than its carrying amount. Factors that could lead to an impairment of goodwill or intangible customer relationships include any significant adverse changes affecting the reporting unit’s financial condition, results of operations, and future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Financial Matters</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 deterioration of the Company’s credit profile or disruptions of the credit markets could restrict its ability to access the debt capital markets or increase the cost of debt.</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Deterioration in the Company’s credit profile may have an adverse effect on the Company’s ability to access the private or public debt markets and also may increase its borrowing costs. If the Company’s credit profile deteriorates significantly, its access to the debt capital markets or its ability to renew its committed lines of credit may become restricted, or the Company may not be able to refinance debt at the same levels or on the same terms. Because the Company relies on its ability to draw on its revolving credit facilities to support its operations, when required, 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volatility in the credit and financial markets that prevents the Company from accessing funds (for example, a lender that does not fulfill its lending obligation) could have an adverse effect on the Company’s financial condition and cash</w:t>
      </w:r>
    </w:p>
    <w:p>
      <w:pPr>
        <w:jc w:val="both"/>
        <w:ind w:right="280"/>
        <w:spacing w:after="0" w:line="254" w:lineRule="auto"/>
        <w:rPr>
          <w:sz w:val="20"/>
          <w:szCs w:val="20"/>
          <w:color w:val="auto"/>
        </w:rPr>
      </w:pPr>
      <w:r>
        <w:rPr>
          <w:rFonts w:ascii="Arial" w:cs="Arial" w:eastAsia="Arial" w:hAnsi="Arial"/>
          <w:sz w:val="18"/>
          <w:szCs w:val="18"/>
          <w:color w:val="auto"/>
        </w:rPr>
        <w:t>flows. Additionally, the Company’s credit agreements generally include an increase in borrowing rates if the Company’s credit profile deteriorates. Furthermore, the Company incurs interest under its revolving credit facilities based on floating rates. Floating rate debt creates higher debt service requirements if market interest rates increase, which would adversely affect the Company’s cash flow and results of operations.</w:t>
      </w:r>
    </w:p>
    <w:p>
      <w:pPr>
        <w:spacing w:after="0" w:line="186" w:lineRule="exact"/>
        <w:rPr>
          <w:sz w:val="20"/>
          <w:szCs w:val="20"/>
          <w:color w:val="auto"/>
        </w:rPr>
      </w:pPr>
    </w:p>
    <w:p>
      <w:pPr>
        <w:ind w:right="400"/>
        <w:spacing w:after="0" w:line="266" w:lineRule="auto"/>
        <w:rPr>
          <w:sz w:val="20"/>
          <w:szCs w:val="20"/>
          <w:color w:val="auto"/>
        </w:rPr>
      </w:pPr>
      <w:r>
        <w:rPr>
          <w:rFonts w:ascii="Arial" w:cs="Arial" w:eastAsia="Arial" w:hAnsi="Arial"/>
          <w:sz w:val="18"/>
          <w:szCs w:val="18"/>
          <w:b w:val="1"/>
          <w:bCs w:val="1"/>
          <w:color w:val="auto"/>
        </w:rPr>
        <w:t>Failure to comply with certain restrictive financial covenants contained in the Company’s credit facilities could preclude the payment of dividends, impose restrictions on the Company’s business segments, capital resources or other activities or otherwise adversely affect the Company.</w:t>
      </w:r>
    </w:p>
    <w:p>
      <w:pPr>
        <w:spacing w:after="0" w:line="1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credit facilities contain certain restrictive financial covenants, the most restrictive of which include a maximum ratio of debt to earnings before interest, taxes, depreciation and amortization (“EBITDA”), a minimum ratio of EBITDA to interest expense, the maintenance of no more than a maximum amount of priority debt as a percentage of consolidated tangible assets, and the maintenance of minimum shareholders’ equity. If the Company does not maintain these and other required covenants, and a breach of such covenants is not cured timely or waived by the lenders resulting in a default, the Company’s access to credit may be limited or terminated, dividends may be suspended, and the lenders could declare any outstanding amounts due and payable. The Company’s continued ability to borrow under its credit facilities is subject to compliance with these financial and other non-financial covenants.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effective income tax rate may vary.</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Various internal and external factors may have favorable or unfavorable, material or immaterial effects on the Company’s effective income tax rate and, therefore, impact the Company’s net income and earnings per share. These factors include, but are not limited to changes in tax rates; changes in tax laws, regulations, and rulings; changes in interpretations of existing tax laws, regulations and rulings; changes in the evaluation of the Company’s ability to realize deferred tax assets, and changes in uncertain tax positions; changes in accounting principles; changes in current pre-tax income as well as changes in forecasted pre-tax income; changes in the level of CCF deductions, non-deductible expenses, and expenses eligible for tax credits; changes in the mix of earnings among countries with varying tax rates; acquisitions and changes in the Company’s corporate structure. These factors may result in periodic revisions to our effective income tax rate, which could affect the Company’s cash flow and results of operations.</w:t>
      </w:r>
    </w:p>
    <w:p>
      <w:pPr>
        <w:spacing w:after="0" w:line="178"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Changes in the value of pension assets, or a change in pension law or key assumptions, may adversely affect the Company’s financial performance.</w:t>
      </w:r>
    </w:p>
    <w:p>
      <w:pPr>
        <w:spacing w:after="0" w:line="16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amount of the Company’s employee pension and post-retirement benefit costs and obligations are calculated on assumptions used in the relevant actuarial calculations. Adverse changes in any of these assumptions due to economic or other factors, changes in discount rates, higher health care costs, or lower actual or expected returns on plan assets, may adversely affect the Company’s operating results, cash flows, and financial condition. In addition, a change in federal law, including changes to the Employee Retirement Income Security Act or Pension Benefit Guaranty Corporation premiums, may adversely affect the Company’s single-employer and multi-employer pension plans and plan funding. These factors, as well as a decline in the fair value of pension plan assets, may put upward pressure on the cost of providing pension and medical benefits and may increase future pension expense and required funding contributions. There can be no assurance that the Company will be successful in limiting future cost and expense increases, and continued upward pressure in costs and expenses could further reduce the profitability of the Company’s businesses.</w:t>
      </w:r>
    </w:p>
    <w:p>
      <w:pPr>
        <w:spacing w:after="0" w:line="16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Company may have exposure under its multi-employer pension and post-retirement plans in which it participates that extends beyond its funding obligation with respect to the Company’s employees.</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contributes to various multi-employer pension plans. In the event of a partial or complete withdrawal by the Company from any plan that is underfunded, the Company would be liable for a proportionate share of such plan’s unfunded vested benefits (See Note 11 to the Consolidated Financial Statements in Item 8 of Part II below). Based on the limited information available from plan administrators, which the Company cannot independently validate, the Company believes that its portion of the contingent liability in the case of a full withdrawal or termination may be material to its financial position and results of operations. If any other contributing employer withdraws from any plan that is underfunded, and such employer (or any member of its controlled group) cannot satisfy its obligations under the plan at the time of withdrawal, then the Company, along with the other remaining contributing employers, would be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liable for its proportionate share of such plan’s unfunded vested benefits. In addition, if a multi-employer plan fails to satisfy the minimum funding requirements, the Internal Revenue Service will impose certain penalties and taxes.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Legal and Legislative Matters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Compliance with safety and environmental protection and other governmental requirements may adversely affect our operations.</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shipping industry in general, our business and the operation of our vessels and terminals in particular are affected by extensive and changing safety, environmental protection and other international, national, State and local governmental laws and regulations, including the following: laws pertaining to air emissions; wastewater discharges; the transportation, handling and disposal of solid and hazardous materials, oil and oil-related products, hazardous substances and wastes; the investigation and remediation of contamination; and health, safety and the protection of the environment and natural resources. For example, our U.S. flagged vessels generally must be maintained “in class” and are subject to periodic inspections by ABS Quality Evaluation, Inc., or similar classification societies, and must be periodically inspected by, or on behalf of, the United States Coast Guard. Federal environmental laws and certain State laws require us, as a vessel operator, to comply with numerous environmental regulations and to obtain certificates of financial responsibility and to adopt procedures for oil and hazardous substance spill prevention, response and clean up.</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complying with these laws, we have incurred expenses and may incur future expenses for vessel modifications and changes in operating procedures. Changes in enforcement policies for existing requirements and additional laws and regulations adopted in the future could limit our ability to do business or further increase the cost of our doing business. Our vessels’ operating certificates and licenses are renewed periodically during the required annual surveys of the</w:t>
      </w:r>
    </w:p>
    <w:p>
      <w:pPr>
        <w:spacing w:after="0" w:line="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vessels. However, there can be no assurance that such certificates and licenses will be renewed, even though Matson maintains extensive programs and policies to ensure such renewal. Also, in the future, we may have to alter existing equipment, add new equipment, or change operating procedures for our vessels to comply with changes in governmental regulations, safety or other equipment standards to meet our customers’ changing needs. If any such costs are material, they could adversely affect our financial condition.</w:t>
      </w:r>
    </w:p>
    <w:p>
      <w:pPr>
        <w:spacing w:after="0" w:line="18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are unable to comply with changing EPA regulations regarding fuel and emissions, it may adversely impact our ongoing operations.</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Most of Matson’s vessels operate a portion of their voyages in designated ECAs, while Matson’s Alaska vessels operate a substantial portion of their voyages in ECAs. Beginning January 2012, the EPA issued new regulations regarding the sulfur content of fuel oils utilized by vessels operating in ECAs. Beginning January 1, 2015, these emission regulations require the sulfur content of fuel oil utilized by vessels operating inside ECAs not to exceed 0.1 percent. In 2014, Matson received a conditional waiver from the EPA ECA regulations for three diesel-powered vessels used in the Hawaii service that permits the continued use of 1.0 percent sulfur fuel for a limited time, subject to our development of technologies that monitor main engine performance and promote full power operation on diesel fuels with a sulfur content of less than 0.1 percent. The conditional waiver is scheduled to expire on December 31, 2017, but contains the possibility of a two-year extension provision. If Matson were unable to obtain such extension, Matson would operate these vessels on 0.1 percent sulfur fuel at lower speeds in the designated ECAs. This could cause certain vessels to not maintain schedule which could adversely affect our business and ongoing operations.</w:t>
      </w:r>
    </w:p>
    <w:p>
      <w:pPr>
        <w:spacing w:after="0" w:line="17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We are subject to regulation and liability under environmental laws that could result in substantial fines and penalties that may have a material adverse effect on our results of operations.</w:t>
      </w:r>
    </w:p>
    <w:p>
      <w:pPr>
        <w:spacing w:after="0" w:line="16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U.S. Act to Prevent Pollution from vessels, which implements the International Maritime Pollution (MARPOL) treaty, and the Oil Pollution Action of 1990 (OPA-90), among many other laws, treaties and regulations, provides for severe civil and criminal penalties related to vessel-generated pollution for incidents in U.S. waters within three nautical miles and in some cases within the 200-mile exclusive economic zone. The EPA requires vessels to obtain coverage under a general permit and to comply with inspection, monitoring, discharge, recordkeeping and reporting requirements. Matson’s vessels operate within sulfur emission control areas (SECAs) or emission control areas (ECAs). If our vessels are not operated in accordance with these requirements, including record keeping and other reporting requirements, such violations could result in substantial fines or penalties that could have a material adverse effect on our results of operations and our business.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Company is subject to, and may in the future be subject to disputes, legal or other proceedings, and government inquiries or investigations that could have an adverse effect on the Company.</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nature of the Company’s business exposes it to the potential for disputes, legal or other proceedings, and government inquiries or investigations, relating to antitrust matters, labor and employment matters, personal injury and property damage, environmental and other matters, as discussed in the other risk factors disclosed in this section or in other Company filings with the SEC. For example, Matson is a common carrier, whose tariffs, rates, rules and practices in dealing with its customers are governed by extensive and complex foreign, federal, state and local regulations, which may be the subject of disputes or administrative or judicial proceedings. If these disputes develop into proceedings, these proceedings, individually or collectively, could involve or result in significant expenditures or losses by the Company, or result in significant changes to Matson’s tariffs, rates, rules and practices in dealing with its customers, all of which could have an adverse effect on the Company’s future operating results, including profitability, cash flows, and financial condition.</w:t>
      </w:r>
    </w:p>
    <w:p>
      <w:pPr>
        <w:spacing w:after="0" w:line="122"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Repeal, substantial amendment, or waiver of the Jones Act or its application would have an adverse effect on the Company’s business.</w:t>
      </w:r>
    </w:p>
    <w:p>
      <w:pPr>
        <w:spacing w:after="0" w:line="1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the Jones Act was to be repealed, substantially amended, or waived and, as a consequence, competitors were to enter the Hawaii or Alaska markets with lower operating costs by utilizing their ability to acquire and operate foreign-flag and foreign-built vessels, the Company’s business would be adversely affected. In addition, the Company’s advantage as a U.S. citizen operator of Jones Act vessels could be eroded by periodic efforts and attempts by foreign interests to circumvent certain aspects of the Jones Act. If maritime cabotage services were included in the General Agreement on Trade in Services, the North American Free Trade Agreement or other international trade agreements, or if the restrictions contained in the Jones Act were otherwise altered, the shipping of cargo between covered U.S. ports could be opened to foreign-flag or foreign-built vessels.</w:t>
      </w:r>
    </w:p>
    <w:p>
      <w:pPr>
        <w:spacing w:after="0" w:line="148"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Non-compliance with, or changes to, federal, state or local law or regulations, including passage of climate change legislation or regulation, may adversely affect the Company’s business.</w:t>
      </w:r>
    </w:p>
    <w:p>
      <w:pPr>
        <w:spacing w:after="0" w:line="1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Company is subject to federal, state and local laws and regulations, including cabotage laws, government rate regulations, and environmental regulations including those relating to air quality initiatives at port locations, including but not limited to, the Oil Pollution Act of 1990, the Comprehensive Environmental Response Compensation &amp; Liability Act of 1980, the Rivers and Harbors Act of 1899, the Clean Water Act, the Invasive Species Act and the Clean Air Act. Continued compliance with these laws and regulations may result in additional costs and changes in operating procedures that may adversely affect the Company’s business. Non-compliance with, or changes to, the laws and regulations governing the Company’s business could impose significant additional costs on the Company and adversely affect the Company’s financial condition and results of operations. In addition, changes in environmental laws impacting the business, including passage of climate change legislation or other regulatory initiatives that restrict emissions of greenhouse gasses such as a “cap and trade” system of allowances and credits, if enacted, may require costly vessel modifications, the use of higher-priced fuel and changes in operating practices that may not be recoverable through increased payments from customers. Further changes to these laws and regulations could adversely affect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 Structure</w:t>
      </w:r>
    </w:p>
    <w:p>
      <w:pPr>
        <w:spacing w:after="0" w:line="18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Company’s business could be adversely affected if the Company were determined not to be a U.S. citizen under the Jones Act.</w:t>
      </w:r>
    </w:p>
    <w:p>
      <w:pPr>
        <w:spacing w:after="0" w:line="1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Certain provisions of the Company’s articles of incorporation protect the Company’s ability to maintain its status as a U.S. citizen under the Jones Act. Although the Company is a U.S. citizen under the Jones Act, if non-U.S. citizens were able to defeat such articles of incorporation restrictions and own in the aggregate more than 25 percent of the Company’s common stock, the Company would no longer be considered as a U.S. citizen under the Jones Act. Such an event could result in the Company’s ineligibility to engage in coastwise trade and the imposition of substantial penalties against it, including seizure or forfeiture of its vessels, which could have an adverse effect on the Company’s financial condition and results of operation.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Matson leases terminal facilities including office and storage space at the following locations: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Terminal Location</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Acreage</w:t>
            </w:r>
          </w:p>
        </w:tc>
      </w:tr>
      <w:tr>
        <w:trPr>
          <w:trHeight w:val="210"/>
        </w:trPr>
        <w:tc>
          <w:tcPr>
            <w:tcW w:w="8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Honolulu, Hawaii</w:t>
            </w: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West Oahu, Hawaii</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Tacoma, Washington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Anchorage, Alaska</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Kodiak, Alaska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r>
      <w:tr>
        <w:trPr>
          <w:trHeight w:val="216"/>
        </w:trPr>
        <w:tc>
          <w:tcPr>
            <w:tcW w:w="8280" w:type="dxa"/>
            <w:vAlign w:val="bottom"/>
            <w:gridSpan w:val="2"/>
          </w:tcPr>
          <w:p>
            <w:pPr>
              <w:spacing w:after="0"/>
              <w:rPr>
                <w:sz w:val="20"/>
                <w:szCs w:val="20"/>
                <w:color w:val="auto"/>
              </w:rPr>
            </w:pPr>
            <w:r>
              <w:rPr>
                <w:rFonts w:ascii="Arial" w:cs="Arial" w:eastAsia="Arial" w:hAnsi="Arial"/>
                <w:sz w:val="18"/>
                <w:szCs w:val="18"/>
                <w:color w:val="auto"/>
              </w:rPr>
              <w:t>Dutch Harbor, Alaska</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r>
      <w:tr>
        <w:trPr>
          <w:trHeight w:val="216"/>
        </w:trPr>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Polaris Point, Guam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40"/>
        <w:spacing w:after="0" w:line="269" w:lineRule="auto"/>
        <w:rPr>
          <w:sz w:val="20"/>
          <w:szCs w:val="20"/>
          <w:color w:val="auto"/>
        </w:rPr>
      </w:pPr>
      <w:r>
        <w:rPr>
          <w:rFonts w:ascii="Arial" w:cs="Arial" w:eastAsia="Arial" w:hAnsi="Arial"/>
          <w:sz w:val="17"/>
          <w:szCs w:val="17"/>
          <w:color w:val="auto"/>
        </w:rPr>
        <w:t>The Company is currently renewing its West Oahu, Hawaii terminal lease which expires in June 2017. The Company also expects to be able to renew all other terminal leases as they expire, which are up for renewal in periods beyond 2017. The Company’s other primary terminal facilities located at the Port of Seattle, Washington, and the Ports of Oakland and Long Beach, California, are leased by the Company’s terminal joint venture, SSAT.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significant office locations, warehouses and storage facilities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Significant Offices, Warehouses and Storage Facilities</w:t>
            </w: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Description of Facility</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Square Footage</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U.S. Office Locations:</w:t>
            </w:r>
          </w:p>
        </w:tc>
        <w:tc>
          <w:tcPr>
            <w:tcW w:w="2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Honolulu, Hawaii</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Corporate headquarters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Oakland, California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48,162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Phoenix, Arizona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Oakbrook Terrace, Illinois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17,004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Concord, California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Renton, Washington</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3,770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Atlanta, Georgia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Akron, Ohio</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3,500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Tamuning, Guam</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Portland, Oregon</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3,203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Foreign Office Locations: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Shanghai, China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7,240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Auckland, New Zealand</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Ningbo, China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2,103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Hong Kong, China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Xiamen, China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tcPr>
          <w:p>
            <w:pPr>
              <w:jc w:val="right"/>
              <w:spacing w:after="0"/>
              <w:rPr>
                <w:sz w:val="20"/>
                <w:szCs w:val="20"/>
                <w:color w:val="auto"/>
              </w:rPr>
            </w:pPr>
            <w:r>
              <w:rPr>
                <w:rFonts w:ascii="Arial" w:cs="Arial" w:eastAsia="Arial" w:hAnsi="Arial"/>
                <w:sz w:val="18"/>
                <w:szCs w:val="18"/>
                <w:color w:val="auto"/>
              </w:rPr>
              <w:t>1,399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Shenzhen, China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7"/>
              </w:rPr>
              <w:t>Office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i w:val="1"/>
                <w:iCs w:val="1"/>
                <w:color w:val="auto"/>
              </w:rPr>
              <w:t>Warehouses and Storage Facility:</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Pooler, Georgia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710,844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Oakland, California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tcPr>
          <w:p>
            <w:pPr>
              <w:jc w:val="right"/>
              <w:spacing w:after="0"/>
              <w:rPr>
                <w:sz w:val="20"/>
                <w:szCs w:val="20"/>
                <w:color w:val="auto"/>
              </w:rPr>
            </w:pPr>
            <w:r>
              <w:rPr>
                <w:rFonts w:ascii="Arial" w:cs="Arial" w:eastAsia="Arial" w:hAnsi="Arial"/>
                <w:sz w:val="18"/>
                <w:szCs w:val="18"/>
                <w:color w:val="auto"/>
              </w:rPr>
              <w:t>400,000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Pooler, Georgia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324,832</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Rancho Dominguez, California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tcPr>
          <w:p>
            <w:pPr>
              <w:jc w:val="right"/>
              <w:spacing w:after="0"/>
              <w:rPr>
                <w:sz w:val="20"/>
                <w:szCs w:val="20"/>
                <w:color w:val="auto"/>
              </w:rPr>
            </w:pPr>
            <w:r>
              <w:rPr>
                <w:rFonts w:ascii="Arial" w:cs="Arial" w:eastAsia="Arial" w:hAnsi="Arial"/>
                <w:sz w:val="18"/>
                <w:szCs w:val="18"/>
                <w:color w:val="auto"/>
              </w:rPr>
              <w:t>141,000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Oakland, California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Piti, Guam</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tcPr>
          <w:p>
            <w:pPr>
              <w:jc w:val="right"/>
              <w:spacing w:after="0"/>
              <w:rPr>
                <w:sz w:val="20"/>
                <w:szCs w:val="20"/>
                <w:color w:val="auto"/>
              </w:rPr>
            </w:pPr>
            <w:r>
              <w:rPr>
                <w:rFonts w:ascii="Arial" w:cs="Arial" w:eastAsia="Arial" w:hAnsi="Arial"/>
                <w:sz w:val="18"/>
                <w:szCs w:val="18"/>
                <w:color w:val="auto"/>
              </w:rPr>
              <w:t>62,478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Auburn, Washington</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Anchorage, Alaska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tcPr>
          <w:p>
            <w:pPr>
              <w:jc w:val="right"/>
              <w:spacing w:after="0"/>
              <w:rPr>
                <w:sz w:val="20"/>
                <w:szCs w:val="20"/>
                <w:color w:val="auto"/>
              </w:rPr>
            </w:pPr>
            <w:r>
              <w:rPr>
                <w:rFonts w:ascii="Arial" w:cs="Arial" w:eastAsia="Arial" w:hAnsi="Arial"/>
                <w:sz w:val="18"/>
                <w:szCs w:val="18"/>
                <w:color w:val="auto"/>
              </w:rPr>
              <w:t>23,680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Anchorage, Alaska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Fairbanks, Alaska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tcPr>
          <w:p>
            <w:pPr>
              <w:jc w:val="right"/>
              <w:spacing w:after="0"/>
              <w:rPr>
                <w:sz w:val="20"/>
                <w:szCs w:val="20"/>
                <w:color w:val="auto"/>
              </w:rPr>
            </w:pPr>
            <w:r>
              <w:rPr>
                <w:rFonts w:ascii="Arial" w:cs="Arial" w:eastAsia="Arial" w:hAnsi="Arial"/>
                <w:sz w:val="18"/>
                <w:szCs w:val="18"/>
                <w:color w:val="auto"/>
              </w:rPr>
              <w:t>6,000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Soldotna, Alaska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Kodiak, Alaska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tcPr>
          <w:p>
            <w:pPr>
              <w:jc w:val="right"/>
              <w:spacing w:after="0"/>
              <w:rPr>
                <w:sz w:val="20"/>
                <w:szCs w:val="20"/>
                <w:color w:val="auto"/>
              </w:rPr>
            </w:pPr>
            <w:r>
              <w:rPr>
                <w:rFonts w:ascii="Arial" w:cs="Arial" w:eastAsia="Arial" w:hAnsi="Arial"/>
                <w:sz w:val="18"/>
                <w:szCs w:val="18"/>
                <w:color w:val="auto"/>
              </w:rPr>
              <w:t>4,000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Auburn, Washington</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Wasilla, Alaska</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Warehouse</w:t>
            </w: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Alameda, California</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3"/>
              </w:rPr>
              <w:t>Storage facility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53,785</w:t>
            </w:r>
          </w:p>
        </w:tc>
        <w:tc>
          <w:tcPr>
            <w:tcW w:w="40" w:type="dxa"/>
            <w:vAlign w:val="bottom"/>
            <w:shd w:val="clear" w:color="auto" w:fill="CCEEFF"/>
          </w:tcPr>
          <w:p>
            <w:pPr>
              <w:spacing w:after="0"/>
              <w:rPr>
                <w:sz w:val="18"/>
                <w:szCs w:val="18"/>
                <w:color w:val="auto"/>
              </w:rPr>
            </w:pPr>
          </w:p>
        </w:tc>
      </w:tr>
      <w:tr>
        <w:trPr>
          <w:trHeight w:val="878"/>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tcPr>
          <w:p>
            <w:pPr>
              <w:jc w:val="right"/>
              <w:ind w:right="127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Environmental Matters: </w:t>
      </w:r>
      <w:r>
        <w:rPr>
          <w:rFonts w:ascii="Arial" w:cs="Arial" w:eastAsia="Arial" w:hAnsi="Arial"/>
          <w:sz w:val="18"/>
          <w:szCs w:val="18"/>
          <w:color w:val="auto"/>
        </w:rPr>
        <w:t>In September 2013, molasses was released into Honolulu Harbor from a pipeline system operated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a subsidiary of the Company. The Company cooperated with federal and state agencies involved in responding to and investigating the incident. The Hawaii Department of Health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previously resolved all federal criminal claims, and all criminal, civil and administrative claims that the State of Hawaii may have had arising from the molasses release. On October 13, 2016, the United States Department of Justice delivered a letter to Company counsel stating that it was prepared to file a civil penalty action under the Clean Water Act but would be willing to discuss a potential resolution of those claims prior to filing an action. On January 19, 2017, Matson Terminals entered into a Settlement Agreement to resolve the Department of Justice’s alleged civil claims under the Clean Water Act. Pursuant to the terms of the Settlement Agreement, which was filed in the United States District Court, District of Hawaii, the Company will pay $0.7 million to resolve all civil liability for these claims. The Company did not admit any liability as part of this settlement.</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to the molasses release discussed above, the Company’s ocean transportation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The Company and its subsidiaries are parties to, or may be contingently liable in connection with other legal</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3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right="79"/>
        <w:spacing w:after="0" w:line="259" w:lineRule="auto"/>
        <w:rPr>
          <w:sz w:val="20"/>
          <w:szCs w:val="20"/>
          <w:color w:val="auto"/>
        </w:rPr>
      </w:pPr>
      <w:r>
        <w:rPr>
          <w:rFonts w:ascii="Arial" w:cs="Arial" w:eastAsia="Arial" w:hAnsi="Arial"/>
          <w:sz w:val="18"/>
          <w:szCs w:val="18"/>
          <w:i w:val="1"/>
          <w:iCs w:val="1"/>
          <w:color w:val="auto"/>
        </w:rPr>
        <w:t xml:space="preserve">General Information: </w:t>
      </w:r>
      <w:r>
        <w:rPr>
          <w:rFonts w:ascii="Arial" w:cs="Arial" w:eastAsia="Arial" w:hAnsi="Arial"/>
          <w:sz w:val="18"/>
          <w:szCs w:val="18"/>
          <w:color w:val="auto"/>
        </w:rPr>
        <w:t>Matson’s common stock is traded on the New York Stock Exchange under the ticker symbol</w:t>
      </w:r>
      <w:r>
        <w:rPr>
          <w:rFonts w:ascii="Arial" w:cs="Arial" w:eastAsia="Arial" w:hAnsi="Arial"/>
          <w:sz w:val="18"/>
          <w:szCs w:val="18"/>
          <w:i w:val="1"/>
          <w:iCs w:val="1"/>
          <w:color w:val="auto"/>
        </w:rPr>
        <w:t xml:space="preserve"> </w:t>
      </w:r>
      <w:r>
        <w:rPr>
          <w:rFonts w:ascii="Arial" w:cs="Arial" w:eastAsia="Arial" w:hAnsi="Arial"/>
          <w:sz w:val="18"/>
          <w:szCs w:val="18"/>
          <w:color w:val="auto"/>
        </w:rPr>
        <w:t>“MATX”. As of February 21, 2017, there were 2,357 shareholders of record of Matson common stock. In addition, Cede &amp; Co., which appears as a single record holder, represents the holdings of thousands of beneficial owners of Matson common stock.</w:t>
      </w:r>
    </w:p>
    <w:p>
      <w:pPr>
        <w:spacing w:after="0" w:line="187" w:lineRule="exact"/>
        <w:rPr>
          <w:sz w:val="20"/>
          <w:szCs w:val="20"/>
          <w:color w:val="auto"/>
        </w:rPr>
      </w:pPr>
    </w:p>
    <w:p>
      <w:pPr>
        <w:jc w:val="both"/>
        <w:ind w:right="339"/>
        <w:spacing w:after="0" w:line="264" w:lineRule="auto"/>
        <w:rPr>
          <w:sz w:val="20"/>
          <w:szCs w:val="20"/>
          <w:color w:val="auto"/>
        </w:rPr>
      </w:pPr>
      <w:r>
        <w:rPr>
          <w:rFonts w:ascii="Arial" w:cs="Arial" w:eastAsia="Arial" w:hAnsi="Arial"/>
          <w:sz w:val="18"/>
          <w:szCs w:val="18"/>
          <w:b w:val="1"/>
          <w:bCs w:val="1"/>
          <w:i w:val="1"/>
          <w:iCs w:val="1"/>
          <w:color w:val="auto"/>
        </w:rPr>
        <w:t xml:space="preserve">Stockholder Return Performance Graph and Other Information: </w:t>
      </w:r>
      <w:r>
        <w:rPr>
          <w:rFonts w:ascii="Arial" w:cs="Arial" w:eastAsia="Arial" w:hAnsi="Arial"/>
          <w:sz w:val="18"/>
          <w:szCs w:val="18"/>
          <w:color w:val="auto"/>
        </w:rPr>
        <w:t>The following information in this Item 5 shall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ind w:right="39"/>
        <w:spacing w:after="0" w:line="259"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end and measures the performance of this investment as of the last trading day in the month of December for each of the five years ended December 31, 2016. The graph is a historical representation of past performance only and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5205730" cy="385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05730" cy="385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hanging="297"/>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invested on December 31, 2011 in stock or index, including reinvestment of dividends.</w:t>
      </w:r>
    </w:p>
    <w:p>
      <w:pPr>
        <w:spacing w:after="0" w:line="225"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Trading volume averaged 279,852 shares a day in 2016, compared with 240,996 shares a day in 2015 and 273,309 shares a day in 2014.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58" w:lineRule="auto"/>
        <w:rPr>
          <w:sz w:val="20"/>
          <w:szCs w:val="20"/>
          <w:color w:val="auto"/>
        </w:rPr>
      </w:pPr>
      <w:r>
        <w:rPr>
          <w:rFonts w:ascii="Arial" w:cs="Arial" w:eastAsia="Arial" w:hAnsi="Arial"/>
          <w:sz w:val="18"/>
          <w:szCs w:val="18"/>
          <w:color w:val="auto"/>
        </w:rPr>
        <w:t>The quarterly intra-day high and low sales prices and end of quarter closing prices, as reported by the New York Stock Exchange for each fiscal quarter during 2016 and 2015,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9"/>
              </w:rPr>
              <w:t>Dividends</w:t>
            </w: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Market Price</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960" w:type="dxa"/>
            <w:vAlign w:val="bottom"/>
          </w:tcPr>
          <w:p>
            <w:pPr>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Paid</w:t>
            </w:r>
          </w:p>
        </w:tc>
        <w:tc>
          <w:tcPr>
            <w:tcW w:w="16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2"/>
                <w:szCs w:val="12"/>
                <w:color w:val="auto"/>
              </w:rPr>
            </w:pPr>
          </w:p>
        </w:tc>
        <w:tc>
          <w:tcPr>
            <w:tcW w:w="7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9"/>
              </w:rPr>
              <w:t>Low</w:t>
            </w:r>
          </w:p>
        </w:tc>
        <w:tc>
          <w:tcPr>
            <w:tcW w:w="64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Close</w:t>
            </w:r>
          </w:p>
        </w:tc>
        <w:tc>
          <w:tcPr>
            <w:tcW w:w="40" w:type="dxa"/>
            <w:vAlign w:val="bottom"/>
          </w:tcPr>
          <w:p>
            <w:pPr>
              <w:spacing w:after="0"/>
              <w:rPr>
                <w:sz w:val="12"/>
                <w:szCs w:val="12"/>
                <w:color w:val="auto"/>
              </w:rPr>
            </w:pPr>
          </w:p>
        </w:tc>
      </w:tr>
      <w:tr>
        <w:trPr>
          <w:trHeight w:val="210"/>
        </w:trPr>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$ 43.24</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$ 34.55</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$ 40.17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Second Quarter</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$ 39.96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$ 30.54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$ 32.29</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$ 39.88</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Fourth Quarter</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$ 42.00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$ 28.79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$ 35.39</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$ 32.41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$ 42.16</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Second Quarter</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$ 43.84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$ 39.79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$ 42.04</w:t>
            </w:r>
          </w:p>
        </w:tc>
        <w:tc>
          <w:tcPr>
            <w:tcW w:w="4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$ 43.80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$ 35.03</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$ 38.49</w:t>
            </w:r>
          </w:p>
        </w:tc>
        <w:tc>
          <w:tcPr>
            <w:tcW w:w="40" w:type="dxa"/>
            <w:vAlign w:val="bottom"/>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Fourth Quarter</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$ 53.18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$ 38.27</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$ 42.63</w:t>
            </w:r>
          </w:p>
        </w:tc>
        <w:tc>
          <w:tcPr>
            <w:tcW w:w="40" w:type="dxa"/>
            <w:vAlign w:val="bottom"/>
          </w:tcPr>
          <w:p>
            <w:pPr>
              <w:spacing w:after="0"/>
              <w:rPr>
                <w:sz w:val="20"/>
                <w:szCs w:val="20"/>
                <w:color w:val="auto"/>
              </w:rPr>
            </w:pPr>
          </w:p>
        </w:tc>
      </w:tr>
    </w:tbl>
    <w:p>
      <w:pPr>
        <w:spacing w:after="0" w:line="106"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Dividends declared and paid per share of common stock by the Company for each fiscal quarter during 2016,</w:t>
      </w:r>
      <w:r>
        <w:rPr>
          <w:rFonts w:ascii="Arial" w:cs="Arial" w:eastAsia="Arial" w:hAnsi="Arial"/>
          <w:sz w:val="18"/>
          <w:szCs w:val="18"/>
          <w:i w:val="1"/>
          <w:iCs w:val="1"/>
          <w:color w:val="auto"/>
        </w:rPr>
        <w:t xml:space="preserve"> </w:t>
      </w:r>
      <w:r>
        <w:rPr>
          <w:rFonts w:ascii="Arial" w:cs="Arial" w:eastAsia="Arial" w:hAnsi="Arial"/>
          <w:sz w:val="18"/>
          <w:szCs w:val="18"/>
          <w:color w:val="auto"/>
        </w:rPr>
        <w:t>were as follows:</w:t>
      </w:r>
    </w:p>
    <w:tbl>
      <w:tblPr>
        <w:tblLayout w:type="fixed"/>
        <w:tblInd w:w="0" w:type="dxa"/>
        <w:tblCellMar>
          <w:top w:w="0" w:type="dxa"/>
          <w:left w:w="0" w:type="dxa"/>
          <w:bottom w:w="0" w:type="dxa"/>
          <w:right w:w="0" w:type="dxa"/>
        </w:tblCellMar>
      </w:tblPr>
      <w:tr>
        <w:trPr>
          <w:trHeight w:val="14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78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Dividends</w:t>
            </w:r>
          </w:p>
        </w:tc>
        <w:tc>
          <w:tcPr>
            <w:tcW w:w="164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Shareholders of</w:t>
            </w: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Date Paid</w:t>
            </w:r>
          </w:p>
        </w:tc>
        <w:tc>
          <w:tcPr>
            <w:tcW w:w="0" w:type="dxa"/>
            <w:vAlign w:val="bottom"/>
          </w:tcPr>
          <w:p>
            <w:pPr>
              <w:spacing w:after="0"/>
              <w:rPr>
                <w:sz w:val="1"/>
                <w:szCs w:val="1"/>
                <w:color w:val="auto"/>
              </w:rPr>
            </w:pPr>
          </w:p>
        </w:tc>
      </w:tr>
      <w:tr>
        <w:trPr>
          <w:trHeight w:val="171"/>
        </w:trPr>
        <w:tc>
          <w:tcPr>
            <w:tcW w:w="5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Record Date</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11, 2016</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3, 2016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May 12, 2016</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86"/>
              </w:rPr>
              <w:t>June 2, 2016</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2"/>
              </w:rPr>
              <w:t>August 4, 2016</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September 1, 2016</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20"/>
                <w:szCs w:val="20"/>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November 10, 2016</w:t>
            </w:r>
          </w:p>
        </w:tc>
        <w:tc>
          <w:tcPr>
            <w:tcW w:w="1500" w:type="dxa"/>
            <w:vAlign w:val="bottom"/>
            <w:gridSpan w:val="2"/>
          </w:tcPr>
          <w:p>
            <w:pPr>
              <w:jc w:val="center"/>
              <w:spacing w:after="0"/>
              <w:rPr>
                <w:sz w:val="20"/>
                <w:szCs w:val="20"/>
                <w:color w:val="auto"/>
              </w:rPr>
            </w:pPr>
            <w:r>
              <w:rPr>
                <w:rFonts w:ascii="Arial" w:cs="Arial" w:eastAsia="Arial" w:hAnsi="Arial"/>
                <w:sz w:val="18"/>
                <w:szCs w:val="18"/>
                <w:color w:val="auto"/>
                <w:w w:val="90"/>
              </w:rPr>
              <w:t>December 1, 2016</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Matson’s Board of Directors also declared a cash dividend of $0.19 per share for the first quarter 2017, payable on March 2, 2017 to shareholders of record on February 9, 2017. Although Matson expects to continue paying quarterly cash dividends on its common stock, the declaration and payment of dividends are subject to the discretion of the Board of Directors and will depend upon Matson’s financial condition, results of operations, cash requirements and other factors deemed relevant by the Board of Directors.</w:t>
      </w:r>
    </w:p>
    <w:p>
      <w:pPr>
        <w:spacing w:after="0" w:line="107" w:lineRule="exact"/>
        <w:rPr>
          <w:sz w:val="20"/>
          <w:szCs w:val="20"/>
          <w:color w:val="auto"/>
        </w:rPr>
      </w:pPr>
    </w:p>
    <w:p>
      <w:pPr>
        <w:ind w:right="300"/>
        <w:spacing w:after="0" w:line="258" w:lineRule="auto"/>
        <w:rPr>
          <w:sz w:val="20"/>
          <w:szCs w:val="20"/>
          <w:color w:val="auto"/>
        </w:rPr>
      </w:pPr>
      <w:r>
        <w:rPr>
          <w:rFonts w:ascii="Arial" w:cs="Arial" w:eastAsia="Arial" w:hAnsi="Arial"/>
          <w:sz w:val="18"/>
          <w:szCs w:val="18"/>
          <w:i w:val="1"/>
          <w:iCs w:val="1"/>
          <w:color w:val="auto"/>
        </w:rPr>
        <w:t xml:space="preserve">Share Repurchases: </w:t>
      </w:r>
      <w:r>
        <w:rPr>
          <w:rFonts w:ascii="Arial" w:cs="Arial" w:eastAsia="Arial" w:hAnsi="Arial"/>
          <w:sz w:val="18"/>
          <w:szCs w:val="18"/>
          <w:color w:val="auto"/>
        </w:rPr>
        <w:t>The following is a summary of Matson common stock repurchased by the Company during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December 31, 2016:</w:t>
      </w:r>
    </w:p>
    <w:tbl>
      <w:tblPr>
        <w:tblLayout w:type="fixed"/>
        <w:tblInd w:w="0" w:type="dxa"/>
        <w:tblCellMar>
          <w:top w:w="0" w:type="dxa"/>
          <w:left w:w="0" w:type="dxa"/>
          <w:bottom w:w="0" w:type="dxa"/>
          <w:right w:w="0" w:type="dxa"/>
        </w:tblCellMar>
      </w:tblPr>
      <w:tr>
        <w:trPr>
          <w:trHeight w:val="141"/>
        </w:trPr>
        <w:tc>
          <w:tcPr>
            <w:tcW w:w="2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Total Number of</w:t>
            </w:r>
          </w:p>
        </w:tc>
        <w:tc>
          <w:tcPr>
            <w:tcW w:w="140" w:type="dxa"/>
            <w:vAlign w:val="bottom"/>
          </w:tcPr>
          <w:p>
            <w:pPr>
              <w:spacing w:after="0"/>
              <w:rPr>
                <w:sz w:val="12"/>
                <w:szCs w:val="12"/>
                <w:color w:val="auto"/>
              </w:rPr>
            </w:pPr>
          </w:p>
        </w:tc>
        <w:tc>
          <w:tcPr>
            <w:tcW w:w="130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4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of Shares that May</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Average Price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14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Be Purchased</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4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71"/>
        </w:trPr>
        <w:tc>
          <w:tcPr>
            <w:tcW w:w="4020" w:type="dxa"/>
            <w:vAlign w:val="bottom"/>
            <w:gridSpan w:val="2"/>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Per-Share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Programs (1)</w:t>
            </w:r>
          </w:p>
        </w:tc>
        <w:tc>
          <w:tcPr>
            <w:tcW w:w="140" w:type="dxa"/>
            <w:vAlign w:val="bottom"/>
          </w:tcPr>
          <w:p>
            <w:pPr>
              <w:spacing w:after="0"/>
              <w:rPr>
                <w:sz w:val="14"/>
                <w:szCs w:val="14"/>
                <w:color w:val="auto"/>
              </w:rPr>
            </w:pPr>
          </w:p>
        </w:tc>
        <w:tc>
          <w:tcPr>
            <w:tcW w:w="13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October 1 — 31, 2016</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1,872,988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November 1 — 30, 2016</w:t>
            </w: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39.71</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1,872,388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31, 2016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1,869,388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w:t>
            </w:r>
          </w:p>
        </w:tc>
        <w:tc>
          <w:tcPr>
            <w:tcW w:w="1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20" w:right="140" w:hanging="217"/>
        <w:spacing w:after="0" w:line="238" w:lineRule="auto"/>
        <w:tabs>
          <w:tab w:leader="none" w:pos="2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November 4, 2015, the Company announced that Matson’s Board of Directors had approved a share repurchase program of up to 3.0 million shares of common stock through November 2, 2018. Shares will be repurchased in the open market from time to time, and may be made pursuant to a trading plan in accordance with Rule 10b5-1 of the Securities Exchange Act of 1934.</w:t>
      </w:r>
    </w:p>
    <w:p>
      <w:pPr>
        <w:spacing w:after="0" w:line="12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Securities Issued under Equity Compensation Plans: </w:t>
      </w:r>
      <w:r>
        <w:rPr>
          <w:rFonts w:ascii="Arial" w:cs="Arial" w:eastAsia="Arial" w:hAnsi="Arial"/>
          <w:sz w:val="18"/>
          <w:szCs w:val="18"/>
          <w:color w:val="auto"/>
        </w:rPr>
        <w:t>See the subsection captioned “Equity Compensation Plan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Matson’s 2017 Proxy Statement for information regarding securities authorized for issuance under the Company’s equity compensation plans, which subsection is incorporated herein by reference.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The comparative selected financial data of the Company is presented for the five years in the period ended December 31, 2016. The information should be read in conjunction with Item 8, “Financial Statements and Supplementary Data,” and Item 7, “Management’s Discussion and Analysis of Financial Condition and Results of Operations” (dollars and shares in millions, except shareholders of record and per-share amounts).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December 31, 2016 includes 53 weeks, while all other fiscal years include 52 weeks: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Ocean Transportation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1,541.1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1,498.0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1,278.4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1,229.4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 (2)</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Total Operating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1,941.6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1,714.2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1,637.2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1,560.0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Operating and Net Income: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Ocean Transportation (1)(3)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Logistics (2)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Loss - Discontinued Operations, net of income taxes</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Ocean Transportation (4)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1,722.2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1,601.0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1,313.9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1,168.6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1,097.2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2,015.5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1,669.8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1,401.8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1,248.3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Capital Expenditure - Continuing Operations (5):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Ocean Transportation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 Continuing Operations: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Ocean Transportation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Amortization - Ocean Transportation</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gridSpan w:val="3"/>
          </w:tcPr>
          <w:p>
            <w:pPr>
              <w:spacing w:after="0"/>
              <w:rPr>
                <w:sz w:val="20"/>
                <w:szCs w:val="20"/>
                <w:color w:val="auto"/>
              </w:rPr>
            </w:pPr>
            <w:r>
              <w:rPr>
                <w:rFonts w:ascii="Arial" w:cs="Arial" w:eastAsia="Arial" w:hAnsi="Arial"/>
                <w:sz w:val="18"/>
                <w:szCs w:val="18"/>
                <w:color w:val="auto"/>
              </w:rPr>
              <w:t>Total Depreciation and Amortization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136.0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Earnings Per Share in Income - Continuing operations: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in Net Income: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share declared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Shareholders of record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outstanding</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ind w:left="200"/>
              <w:spacing w:after="0"/>
              <w:rPr>
                <w:sz w:val="20"/>
                <w:szCs w:val="20"/>
                <w:color w:val="auto"/>
              </w:rPr>
            </w:pPr>
            <w:r>
              <w:rPr>
                <w:rFonts w:ascii="Arial" w:cs="Arial" w:eastAsia="Arial" w:hAnsi="Arial"/>
                <w:sz w:val="18"/>
                <w:szCs w:val="18"/>
                <w:color w:val="auto"/>
              </w:rPr>
              <w:t>Total debt obligations — including current portion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738.9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429.9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373.6</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286.1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2015 selected financial data includes the operations of Horizon acquired as of May 29, 2015.</w:t>
      </w:r>
    </w:p>
    <w:p>
      <w:pPr>
        <w:ind w:left="320" w:hanging="317"/>
        <w:spacing w:after="0" w:line="221" w:lineRule="auto"/>
        <w:tabs>
          <w:tab w:leader="none" w:pos="3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2016 selected financial data includes the operations of Span Alaska acquired as of August 4, 2016.</w:t>
      </w:r>
    </w:p>
    <w:p>
      <w:pPr>
        <w:ind w:left="220" w:right="140" w:hanging="217"/>
        <w:spacing w:after="0" w:line="221"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Ocean Transportation segment includes $15.8 million, $16.5 million, $6.6 million, $(2.0) million, and $3.2 million of equity in income/(loss) from the Company’s Terminal Joint Venture, SSAT, for 2016, 2015, 2014, 2013, and 2012, respectively.</w:t>
      </w:r>
    </w:p>
    <w:p>
      <w:pPr>
        <w:ind w:left="220" w:right="340" w:hanging="217"/>
        <w:spacing w:after="0" w:line="221"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Ocean Transportation segment includes $82.4 million, $66.4 million, $64.4 million, $57.6 million, and $59.6 million, related to the Company’s Terminal Joint Venture equity investment in SSAT as of December 31, 2016, 2015, 2014, 2013, and 2012, respectively.</w:t>
      </w:r>
    </w:p>
    <w:p>
      <w:pPr>
        <w:ind w:left="220" w:right="360" w:hanging="217"/>
        <w:spacing w:after="0" w:line="237"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expenditures related to Matson’s acquisitions which are classified as payments for acquisitions in Cash Flows used in Investing Activities within the Consolidated Statements of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RISK FACTORS</w:t>
      </w:r>
    </w:p>
    <w:p>
      <w:pPr>
        <w:spacing w:after="0" w:line="229"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Company, from time to time, may make or may have made certain forward-looking statements, whether orally or in writing, such as forecasts and projections of the Company’s future performance or statements of management’s plans and objectives. These statements are “forward-looking” statements as that term is defined in the Private Securities Litigation Reform Act of 1995. Such forward-looking statements may be contained in, among other things, SEC filings, such as the Forms 10-K, 10-Q and 8-K, the Annual Report to Shareholders, press releases made by the Company, the Company’s Internet websites (including websites of its subsidiaries), and oral statements made by the officers of the Company. Except for historical information contained in these written or oral communications, such communications contain forward-looking statements. These include, for example, all references to 2017 or future years. New risk factors emerge from time to time and it is not possible for the Company to predict all such risk factors, nor can it assess the impact of all such risk factors on the Company’s business or the extent to which any factor, or combination of factors, may cause actual results to differ materially from those contained in any forward-looking statements. Accordingly, forward-looking statements cannot be relied upon as a guarantee of future results and involve a number of risks and uncertainties that could cause actual results to differ materially from those projected in the statements, including but not limited to the factors that are described in Part I, Item 1A under the caption of “Risk Factors” of this Form 10-K, which section is incorporated herein by</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reference. The Company is not required, and undertakes no obligation, to revise or update forward-looking statements or any factors that may affect actual results, whether as a result of new information, future events, or circumstances occurring after the date of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discussion of the Company’s financial condition, results of operations, liquidity and certain other factors that may affect its future results from the perspective of management. The discussion that follows is intended to provide information that will assist in understanding the changes in the Company’s Consolidated Financial Statements from year to year, the primary factors that accounted for those changes, and how certain accounting principles, policies and estimates affect the Company’s Consolidated Financial Statements. MD&amp;A is provided as a supplement to, and should be read in conjunction with the Consolidated Financial Statements and the accompanying notes to the Consolidated Financial Statements in Item 8 of Part II below. MD&amp;A is presented in the following sections:</w:t>
      </w:r>
    </w:p>
    <w:p>
      <w:pPr>
        <w:spacing w:after="0" w:line="179" w:lineRule="exact"/>
        <w:rPr>
          <w:sz w:val="20"/>
          <w:szCs w:val="20"/>
          <w:color w:val="auto"/>
        </w:rPr>
      </w:pPr>
    </w:p>
    <w:p>
      <w:pPr>
        <w:ind w:left="400" w:hanging="397"/>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Business Outlook</w:t>
      </w:r>
    </w:p>
    <w:p>
      <w:pPr>
        <w:spacing w:after="0" w:line="23" w:lineRule="exact"/>
        <w:rPr>
          <w:rFonts w:ascii="Arial" w:cs="Arial" w:eastAsia="Arial" w:hAnsi="Arial"/>
          <w:sz w:val="18"/>
          <w:szCs w:val="18"/>
          <w:color w:val="auto"/>
        </w:rPr>
      </w:pPr>
    </w:p>
    <w:p>
      <w:pPr>
        <w:ind w:left="200" w:hanging="197"/>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140" w:hanging="137"/>
        <w:spacing w:after="0"/>
        <w:tabs>
          <w:tab w:leader="none" w:pos="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Analysis of Operating Revenue and Income by Segment</w:t>
      </w:r>
    </w:p>
    <w:p>
      <w:pPr>
        <w:spacing w:after="0" w:line="9" w:lineRule="exact"/>
        <w:rPr>
          <w:rFonts w:ascii="Arial" w:cs="Arial" w:eastAsia="Arial" w:hAnsi="Arial"/>
          <w:sz w:val="18"/>
          <w:szCs w:val="18"/>
          <w:color w:val="auto"/>
        </w:rPr>
      </w:pPr>
    </w:p>
    <w:p>
      <w:pPr>
        <w:ind w:left="240" w:hanging="237"/>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100" w:hanging="97"/>
        <w:spacing w:after="0"/>
        <w:tabs>
          <w:tab w:leader="none" w:pos="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Obligations, Commitments, Contingencies and Off-Balance Sheet Arrangements</w:t>
      </w:r>
    </w:p>
    <w:p>
      <w:pPr>
        <w:spacing w:after="0" w:line="9" w:lineRule="exact"/>
        <w:rPr>
          <w:rFonts w:ascii="Arial" w:cs="Arial" w:eastAsia="Arial" w:hAnsi="Arial"/>
          <w:sz w:val="18"/>
          <w:szCs w:val="18"/>
          <w:color w:val="auto"/>
        </w:rPr>
      </w:pPr>
    </w:p>
    <w:p>
      <w:pPr>
        <w:ind w:left="240" w:hanging="237"/>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9" w:lineRule="exact"/>
        <w:rPr>
          <w:rFonts w:ascii="Arial" w:cs="Arial" w:eastAsia="Arial" w:hAnsi="Arial"/>
          <w:sz w:val="18"/>
          <w:szCs w:val="18"/>
          <w:color w:val="auto"/>
        </w:rPr>
      </w:pPr>
    </w:p>
    <w:p>
      <w:pPr>
        <w:ind w:left="480" w:hanging="477"/>
        <w:spacing w:after="0"/>
        <w:tabs>
          <w:tab w:leader="none" w:pos="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fourth quarter 2016 discussion and 2017 Outlook: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Ocean Transportation: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Following the lull in market volumes during the third quarter 2016, the Hawaii trade resumed modest westbound market growth in the fourth quarter 2016 but, as expected, the Company’s container volume was lower than the fourth quarter 2015, which benefitted from volume gains associated with a competitor’s service reconfiguration and related issues that continued into the first quarter of 2016. The Company expects ongoing modest market growth in 2017 supported by the general Hawaii economy, the level of construction activity, and a stable market position. As a result, for the full year 2017, the Company expects its Hawaii container volume to approximate the level achieved in 2016.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China, the Company’s container volume in the fourth quarter 2016 was 27.3 percent higher year-over-year due to stronger demand for Matson’s expedited service following the bankruptcy of Hanjin and an additional sailing attributable to 2016 having a 53rd week. The Company realized a sizeable rate premium in the fourth quarter 2016, but as expected, average freight rates were lower than the fourth quarter 2015. In 2017, the Company expects continued strong demand for our highly differentiated expedited service and strong credit profile amid a chronically over-supplied international container shipping market. Longer-term, the Company views the consolidation of international carriers and formation of new alliances as potential sources for market improvement.</w:t>
      </w:r>
    </w:p>
    <w:p>
      <w:pPr>
        <w:spacing w:after="0" w:line="17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Guam, as expected, the Company’s container volume in the fourth quarter 2016 was modestly lower on a year-over-year basis, the result of competitive losses to a competitor’s U.S. flagged containership bi-weekly service that commenced in January 2016. For the full year 2017, the Company expects a heightened competitive environment and lower volume due to the addition of a second vessel by that competitor which increased its service frequency to weekly in December 2016.</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Alaska, the Company’s container volume for the fourth quarter 2016 was modestly higher year-over-year, primarily the result of 2016 having a 53rd week, partially offset by the continued energy sector related economic contraction. For the full year 2017, the Company expects modestly lower volume based on declining northbound freight due to ongoing contraction of Alaska’s energy-based economy, partially offset by improved southbound seafood volume. In addition, with the installation of exhaust gas scrubbers on its three diesel vessels serving Alaska now complete, the Company does not expect to regularly deploy its less efficient steamship reserve vessel in 2017, resulting in lower expected vessel operating and dry-dock relief expenses.</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a result, the Company expects Ocean Transportation operating income in 2017 to be lower than the $141.3 million achieved in 2016. In the first quarter 2017, the Company expects Ocean Transportation operating income expected to be approximately 50 percent lower than the $33.0 million achieved in the first quarter 2016 primarily due to the timing of fuel surcharge collections, higher vessel operating expenses related to the deployment of an additional vessel in Hawaii, and lower volume in Hawaii, Alaska and Guam.</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Logistics: </w:t>
      </w:r>
      <w:r>
        <w:rPr>
          <w:rFonts w:ascii="Arial" w:cs="Arial" w:eastAsia="Arial" w:hAnsi="Arial"/>
          <w:sz w:val="16"/>
          <w:szCs w:val="16"/>
          <w:color w:val="auto"/>
        </w:rPr>
        <w:t>The fourth quarter 2016 was the first quarter in which the Company’s Logistics results included a full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freight forwarding operating results from its acquired Span Alaska business, and the segment achieved operating income of $4.6 million and an operating income margin of 4.1 percent. For the full year 2017, the Company expects Logistics operating income to be approximately $20 million, up significantly from the 2016 level of $11.9 million, primarily due to the inclusion of Span Alaska’s freight forwarding business for a full year. In the first quarter 2017, the Company expects Logistics operating income to be approximately double the $1.6 million achieved in the first quarter 2016.</w:t>
      </w:r>
    </w:p>
    <w:p>
      <w:pPr>
        <w:spacing w:after="0" w:line="16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Depreciation, Amortization and EBITDA: </w:t>
      </w:r>
      <w:r>
        <w:rPr>
          <w:rFonts w:ascii="Arial" w:cs="Arial" w:eastAsia="Arial" w:hAnsi="Arial"/>
          <w:sz w:val="18"/>
          <w:szCs w:val="18"/>
          <w:color w:val="auto"/>
        </w:rPr>
        <w:t>For the full year 2017, the Company expects depreciation and amortization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to increase by approximately $15 million to $150 million, inclusive of dry-docking amortization of approximately $50 million, primarily due to the higher levels of maintenance capital and vessel dry-docking expenditures in 2016 and planned for 2017. As a result, the Company expects full year 2017 EBITDA to approximate the $288.6 million achieved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The Company expects its interest expense in 2017 to be approximately $25 million.</w:t>
      </w:r>
    </w:p>
    <w:p>
      <w:pPr>
        <w:spacing w:after="0" w:line="22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The Company’s effective tax rate for the fourth quarter and full year 2016 was 34.5 percent and 37.6</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respectively. For the full year 2017, the Company expects its effective tax rate 2017 to be approximately 39 percent.</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Capital Spending and Vessel Dry-docking: </w:t>
      </w:r>
      <w:r>
        <w:rPr>
          <w:rFonts w:ascii="Arial" w:cs="Arial" w:eastAsia="Arial" w:hAnsi="Arial"/>
          <w:sz w:val="18"/>
          <w:szCs w:val="18"/>
          <w:color w:val="auto"/>
        </w:rPr>
        <w:t>For the full year 2016, the Company made maintenance capital expenditure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of $84.9 million, capitalized vessel construction expenditures of $94.5 million, and dry-docking payments of $59.2 million. For the full year 2017, the Company expects to make maintenance capital expenditure payments of approximately $50 million, capitalized vessel construction expenditures of approximately $210 million, and dry-docking payments of approximately $60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analysis of the financial condition and results of operations of Matson should be read in conjunction with the Consolidated Financial Statements in Item 8 of Part II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2016 compared with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7"/>
          </w:tcPr>
          <w:p>
            <w:pPr>
              <w:jc w:val="right"/>
              <w:ind w:right="55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4"/>
              </w:rPr>
              <w:t>(1,788.4)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(1,688.6)</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30.3 %</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(27.4)%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(35.0)%</w:t>
            </w:r>
          </w:p>
        </w:tc>
        <w:tc>
          <w:tcPr>
            <w:tcW w:w="0" w:type="dxa"/>
            <w:vAlign w:val="bottom"/>
          </w:tcPr>
          <w:p>
            <w:pPr>
              <w:spacing w:after="0"/>
              <w:rPr>
                <w:sz w:val="1"/>
                <w:szCs w:val="1"/>
                <w:color w:val="auto"/>
              </w:rPr>
            </w:pPr>
          </w:p>
        </w:tc>
      </w:tr>
      <w:tr>
        <w:trPr>
          <w:trHeight w:val="230"/>
        </w:trPr>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(21.8)</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6240" w:type="dxa"/>
            <w:vAlign w:val="bottom"/>
          </w:tcPr>
          <w:p>
            <w:pPr>
              <w:spacing w:after="0" w:line="203" w:lineRule="exact"/>
              <w:rPr>
                <w:sz w:val="20"/>
                <w:szCs w:val="20"/>
                <w:color w:val="auto"/>
              </w:rPr>
            </w:pPr>
            <w:r>
              <w:rPr>
                <w:rFonts w:ascii="Arial" w:cs="Arial" w:eastAsia="Arial" w:hAnsi="Arial"/>
                <w:sz w:val="18"/>
                <w:szCs w:val="18"/>
                <w:color w:val="auto"/>
              </w:rPr>
              <w:t>Basic earnings per-share</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33"/>
              <w:spacing w:after="0" w:line="203" w:lineRule="exact"/>
              <w:rPr>
                <w:sz w:val="20"/>
                <w:szCs w:val="20"/>
                <w:color w:val="auto"/>
              </w:rPr>
            </w:pPr>
            <w:r>
              <w:rPr>
                <w:rFonts w:ascii="Arial" w:cs="Arial" w:eastAsia="Arial" w:hAnsi="Arial"/>
                <w:sz w:val="18"/>
                <w:szCs w:val="18"/>
                <w:color w:val="auto"/>
              </w:rPr>
              <w:t>1.87</w:t>
            </w:r>
          </w:p>
        </w:tc>
        <w:tc>
          <w:tcPr>
            <w:tcW w:w="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2.37</w:t>
            </w:r>
          </w:p>
        </w:tc>
        <w:tc>
          <w:tcPr>
            <w:tcW w:w="16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8"/>
              </w:rPr>
              <w:t>(21.1)%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 ended December 31, 2016 and 2015 include 53 weeks and 52 weeks, respectively.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2016 increased $56.7 million, or 3.0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due to increases of $43.1 million and $13.6 million in Ocean Transportation and Logistics revenues, respectively.</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for the year ended December 31, 2016 increased $99.8 million, or 5.9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increase was due to an increase of $89.6 million and $10.2 million in operating costs and expenses for Ocean Transportation and Logistics, respectively.</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during the year ended December 31, 2016 decreased $43.1 million, or 22.0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decrease was due to a decrease of $46.5 million for Ocean Transportation, partially offset by an increase of $3.4 million for Logistics in operating income.</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during the year ended December 31, 2016 was $24.1 million compared to $18.5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2015. The increase in interest expense was due to higher borrowings as a result of recent acquisitions and increased capital and dry-docking related expenditures.</w:t>
      </w:r>
    </w:p>
    <w:p>
      <w:pPr>
        <w:spacing w:after="0" w:line="18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during the year ended December 31, 2016 was $48.6 million, or 37.6 percent of income before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as compared to $74.8 million, or 42.1 percent of income before income taxes, in the prior year. The decrease in the income tax rate was primarily due to deferred tax charges recorded in 2015 that did not reoccur in 2016. In addition, the 2016 income tax rate was favorably impacted by the release of unrecognized tax benefit reserves.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during the year ended December 31, 2016 decreased $22.5 million, or 21.8 percent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2015 compared with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 except per-share amounts)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7"/>
          </w:tcPr>
          <w:p>
            <w:pPr>
              <w:jc w:val="right"/>
              <w:ind w:right="47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(1,688.6)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(1,574.2)</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30"/>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6300" w:type="dxa"/>
            <w:vAlign w:val="bottom"/>
          </w:tcPr>
          <w:p>
            <w:pPr>
              <w:spacing w:after="0" w:line="203" w:lineRule="exact"/>
              <w:rPr>
                <w:sz w:val="20"/>
                <w:szCs w:val="20"/>
                <w:color w:val="auto"/>
              </w:rPr>
            </w:pPr>
            <w:r>
              <w:rPr>
                <w:rFonts w:ascii="Arial" w:cs="Arial" w:eastAsia="Arial" w:hAnsi="Arial"/>
                <w:sz w:val="18"/>
                <w:szCs w:val="18"/>
                <w:color w:val="auto"/>
              </w:rPr>
              <w:t>Basic earnings per-share</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2.37</w:t>
            </w:r>
          </w:p>
        </w:tc>
        <w:tc>
          <w:tcPr>
            <w:tcW w:w="1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1.65</w:t>
            </w: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43.6</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43.6 %</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Fiscal year ended December 31, 2015 and 2014 include 52 weeks each.</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Consolidated Operating Revenue </w:t>
      </w:r>
      <w:r>
        <w:rPr>
          <w:rFonts w:ascii="Arial" w:cs="Arial" w:eastAsia="Arial" w:hAnsi="Arial"/>
          <w:sz w:val="18"/>
          <w:szCs w:val="18"/>
          <w:color w:val="auto"/>
        </w:rPr>
        <w:t>for the year ended December 31, 2015 increased $170.7 million, or 10.0 percent,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prior year. This increase was due to an increase of $219.6 million for Ocean Transportation, partially offset by a decrease of $48.9 million for Logistics.</w:t>
      </w:r>
    </w:p>
    <w:p>
      <w:pPr>
        <w:spacing w:after="0" w:line="16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for the year ended December 31, 2015 increased $114.4 million, or 7.3 percent,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The increase was due to an increase of $162.9 million for Ocean Transportation, partially offset by a decrease of $48.5 million for Logistics.</w:t>
      </w:r>
    </w:p>
    <w:p>
      <w:pPr>
        <w:spacing w:after="0" w:line="16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during the year ended December 31, 2015 increased $56.3 million, or 40.2 percent, compared to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increase was due to an increase of $56.7 million for Ocean Transportation, partially offset by a decrease of $0.4 million for Logistics.</w:t>
      </w:r>
    </w:p>
    <w:p>
      <w:pPr>
        <w:spacing w:after="0" w:line="16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reasons for changes in operating revenue, operating costs and expenses, and operating income are described below, by business segment, in the Analysis of Operating Revenue and Income by Segment.</w:t>
      </w:r>
    </w:p>
    <w:p>
      <w:pPr>
        <w:spacing w:after="0" w:line="15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during the year ended December 31, 2015 was $74.8 million, or 42.1 percent, of income before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taxes, as compared to $51.9 million, or 42.3 percent of income before income taxes, in the prior year.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Income </w:t>
      </w:r>
      <w:r>
        <w:rPr>
          <w:rFonts w:ascii="Arial" w:cs="Arial" w:eastAsia="Arial" w:hAnsi="Arial"/>
          <w:sz w:val="16"/>
          <w:szCs w:val="16"/>
          <w:color w:val="auto"/>
        </w:rPr>
        <w:t>during the year ended December 31, 2015 increased $32.2 million, or 45.5 percent, compared to the prior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OPERATING REVENUE AND INCOME BY SEGMENT</w:t>
      </w:r>
    </w:p>
    <w:p>
      <w:pPr>
        <w:spacing w:after="0" w:line="2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 detailed information related to the operations and financial performance of the Company’s Reportable Segments is included in Part II Item 6 and Note 15 to the Consolidated Financial Statements in Item 8 of Part II below. The following information should be read in relation to the information contained in those sections.</w:t>
      </w:r>
    </w:p>
    <w:p>
      <w:pPr>
        <w:sectPr>
          <w:pgSz w:w="11900" w:h="16838" w:orient="portrait"/>
          <w:cols w:equalWidth="0" w:num="1">
            <w:col w:w="9060"/>
          </w:cols>
          <w:pgMar w:left="1420" w:top="125" w:right="141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2016 compared with 2015:</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75437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Ocean Transportation revenue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137" w:lineRule="exact"/>
        <w:rPr>
          <w:sz w:val="20"/>
          <w:szCs w:val="20"/>
          <w:color w:val="auto"/>
        </w:rPr>
      </w:pPr>
    </w:p>
    <w:p>
      <w:pPr>
        <w:ind w:left="220" w:right="380" w:hanging="215"/>
        <w:spacing w:after="0" w:line="258" w:lineRule="auto"/>
        <w:rPr>
          <w:sz w:val="20"/>
          <w:szCs w:val="20"/>
          <w:color w:val="auto"/>
        </w:rPr>
      </w:pPr>
      <w:r>
        <w:rPr>
          <w:rFonts w:ascii="Arial" w:cs="Arial" w:eastAsia="Arial" w:hAnsi="Arial"/>
          <w:sz w:val="18"/>
          <w:szCs w:val="18"/>
          <w:color w:val="auto"/>
        </w:rPr>
        <w:t>Volume (Forty-foot equivalent units (FEU) except for automobiles) (1)(3) Hawaii containers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575437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Hawaii automobiles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Alaska containers (2)</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China containers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Guam containers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Micronesia/South Pacific Containers</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Change</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1,541.1</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1,498.0</w:t>
            </w:r>
          </w:p>
        </w:tc>
        <w:tc>
          <w:tcPr>
            <w:tcW w:w="160" w:type="dxa"/>
            <w:vAlign w:val="bottom"/>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rPr>
              <w:t>2.9</w:t>
            </w:r>
          </w:p>
        </w:tc>
        <w:tc>
          <w:tcPr>
            <w:tcW w:w="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(1,399.8)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4"/>
              </w:rPr>
              <w:t>(1,310.2)</w:t>
            </w:r>
          </w:p>
        </w:tc>
        <w:tc>
          <w:tcPr>
            <w:tcW w:w="16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141.3</w:t>
            </w: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187.8</w:t>
            </w:r>
          </w:p>
        </w:tc>
        <w:tc>
          <w:tcPr>
            <w:tcW w:w="160" w:type="dxa"/>
            <w:vAlign w:val="bottom"/>
          </w:tcPr>
          <w:p>
            <w:pPr>
              <w:spacing w:after="0"/>
              <w:rPr>
                <w:sz w:val="16"/>
                <w:szCs w:val="16"/>
                <w:color w:val="auto"/>
              </w:rPr>
            </w:pPr>
          </w:p>
        </w:tc>
        <w:tc>
          <w:tcPr>
            <w:tcW w:w="5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7"/>
              </w:rPr>
              <w:t>(24.8)</w:t>
            </w: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9.2 %</w:t>
            </w:r>
          </w:p>
        </w:tc>
        <w:tc>
          <w:tcPr>
            <w:tcW w:w="1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12.5 %</w:t>
            </w: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160,200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159,200</w:t>
            </w:r>
          </w:p>
        </w:tc>
        <w:tc>
          <w:tcPr>
            <w:tcW w:w="160" w:type="dxa"/>
            <w:vAlign w:val="bottom"/>
          </w:tcPr>
          <w:p>
            <w:pPr>
              <w:spacing w:after="0"/>
              <w:rPr>
                <w:sz w:val="24"/>
                <w:szCs w:val="24"/>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42,500</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60.9 %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62,700</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25,500</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8,600</w:t>
            </w:r>
          </w:p>
        </w:tc>
        <w:tc>
          <w:tcPr>
            <w:tcW w:w="16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00" w:space="720"/>
            <w:col w:w="2640"/>
          </w:cols>
          <w:pgMar w:left="1420" w:top="125" w:right="1419" w:bottom="1440" w:gutter="0" w:footer="0" w:header="0"/>
          <w:type w:val="continuous"/>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14408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0" w:right="60" w:hanging="217"/>
        <w:spacing w:after="0" w:line="248" w:lineRule="auto"/>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Approximate container volumes included for the period are based on the voyage departure date, but revenue and operating income are adjusted to reflect the percentage of revenue and operating income earned during the reporting period for voyages in transit at the end of each reporting period.</w:t>
      </w:r>
    </w:p>
    <w:p>
      <w:pPr>
        <w:ind w:left="420" w:hanging="417"/>
        <w:spacing w:after="0" w:line="221"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Alaska container volumes represent operations from May 29, 2015.</w:t>
      </w:r>
    </w:p>
    <w:p>
      <w:pPr>
        <w:ind w:left="580" w:hanging="577"/>
        <w:spacing w:after="0"/>
        <w:tabs>
          <w:tab w:leader="none" w:pos="5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2016 volume includes the benefit of a 53</w:t>
      </w:r>
      <w:r>
        <w:rPr>
          <w:rFonts w:ascii="Arial" w:cs="Arial" w:eastAsia="Arial" w:hAnsi="Arial"/>
          <w:sz w:val="14"/>
          <w:szCs w:val="14"/>
          <w:color w:val="auto"/>
          <w:vertAlign w:val="superscript"/>
        </w:rPr>
        <w:t>rd</w:t>
      </w:r>
      <w:r>
        <w:rPr>
          <w:rFonts w:ascii="Arial" w:cs="Arial" w:eastAsia="Arial" w:hAnsi="Arial"/>
          <w:sz w:val="14"/>
          <w:szCs w:val="14"/>
          <w:color w:val="auto"/>
        </w:rPr>
        <w:t xml:space="preserve"> week.</w:t>
      </w:r>
    </w:p>
    <w:p>
      <w:pPr>
        <w:spacing w:after="0" w:line="196"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Ocean Transportation revenue increased $43.1 million, or 2.9 percent, during the year ended December 31, 2016 compared with the year ended December 31, 2015. This increase was primarily due to the inclusion of revenue from the Company’s acquired Alaska service for the full year period, partially offset by lower freight rates in the Company’s China service and lower fuel surcharge revenue.</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year-over-year FEU basis, Hawaii container volume increased by 0.6 percent as modest market growth was offset by the absence of volume gains attributed to a competitor's service reconfiguration and vessel mechanical failure in the prior year; Alaska volume was higher due to the inclusion of a full year period in 2016; China volume declined by 1.8 percent; and Guam volume was 2.7 percent lower as competitive losses associated with the launch of a competitor’s bi-weekly U.S. flagged containership service in January 2016 were partially offset by modest market growth.</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Ocean Transportation operating income decreased $46.5 million, or 24.8 percent, during the year ended December 31, 2016 compared with the year ended December 31, 2015. The decrease was primarily due to lower freight rates in the Company’s China service, higher vessel operating expenses related to the deployment of additional vessels in the Hawaii trade in the first half of 2016, unfavorable timing of fuel surcharge collections, higher terminal handling expenses, and higher vessel dry-docking amortization. Partially offsetting these unfavorable items were the absence of general and administrative expenses related to the Horizon Acquisition and costs related to the Molasses Settlement, and container yield improvements in Hawaii.</w:t>
      </w:r>
    </w:p>
    <w:p>
      <w:pPr>
        <w:spacing w:after="0" w:line="16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SSAT terminal joint venture investment contributed $15.8 million during the year ended December 31, 2016, compared to $16.5 million in the year ended December 31, 2015. On a year-over-year basis, SSAT’s lift volume improved during 2016; however, the positive impact of lift volume was offset by the absence of the benefits related to the clearing of international cargo volume after the U.S. West Coast labor disruptions in the first half 2015 and by an increase in SSAT’s allowance for doubtful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Ocean Transportation: 2015 compared with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7"/>
          </w:tcPr>
          <w:p>
            <w:pPr>
              <w:jc w:val="right"/>
              <w:ind w:right="51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Ocean Transportation revenue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1,498.0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1,278.4</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(1,310.2)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(1,147.3)</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10.3 %</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Volume (Forty-foot equivalent units (FEU) except for automobiles) (1)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Hawaii containers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159,200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146,500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Hawaii automobiles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70,600</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Alaska containers (2)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China containers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65,200</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Guam containers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Micronesia/South Pacific Containers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8,500</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0" w:lineRule="exact"/>
        <w:rPr>
          <w:sz w:val="20"/>
          <w:szCs w:val="20"/>
          <w:color w:val="auto"/>
        </w:rPr>
      </w:pPr>
    </w:p>
    <w:p>
      <w:pPr>
        <w:ind w:left="220" w:right="60" w:hanging="217"/>
        <w:spacing w:after="0" w:line="227" w:lineRule="auto"/>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Approximate container volumes included for the period are based on the voyage departure date, but revenue and operating income are adjusted to reflect the percentage of revenue and operating income earned during the reporting period for voyages that straddle the beginning or end of each reporting period.</w:t>
      </w:r>
    </w:p>
    <w:p>
      <w:pPr>
        <w:ind w:left="420" w:hanging="417"/>
        <w:spacing w:after="0"/>
        <w:tabs>
          <w:tab w:leader="none" w:pos="4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Alaska container volumes represent operations from May 29, 2015.</w:t>
      </w:r>
    </w:p>
    <w:p>
      <w:pPr>
        <w:spacing w:after="0" w:line="19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Ocean Transportation revenue increased $219.6 million, or 17.2 percent, during the year ended December 31, 2015 compared with the year ended December 31, 2014. This increase was primarily due to the inclusion of revenue from the Company’s acquired Alaska operations, higher container volume and yield in Hawaii, and higher freight rates in the Company’s China service, partially offset by lower fuel surcharge revenue and lower volume in the South Pacific and China.</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Alaska volume included in the Company results reflects operations from May 29, 2015. On a year over year basis, Hawaii container volume increased by 8.7 percent primarily due to volume gains resulting from a competitor’s service reconfiguration, and modest market growth; China volume was 3.8 percent lower due to one fewer sailing, the absence of the extraordinarily high demand experienced in the fourth quarter 2014 during the U.S. West Coast labor disruptions, and market softness in the fourth quarter 2015; Guam volume declined by 1.9 percent due to the timing of select shipments; and Hawaii automobile volume was essentially flat.</w:t>
      </w:r>
    </w:p>
    <w:p>
      <w:pPr>
        <w:spacing w:after="0" w:line="19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Ocean Transportation operating income increased $56.7 million during the year ended December 31, 2015 compared with the year ended December 31, 2014. The increase was primarily due to higher freight rates in China, container volume and yield improvements in Hawaii, the inclusion of operating results for the Alaska trade, and improved results at SSAT. Partially offsetting these favorable operating income items were additional selling, general and administrative expenses primarily due to the Horizon Acquisition, higher vessel operating expenses related to the deployment of additional vessels in the Hawaii trade, higher terminal handling expenses, lower China container volume, and costs related to the Company’s settlement with the State of Hawaii (the “Molasses Settlement”).</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SSAT terminal joint venture investment contributed $16.5 million during the year ended December 31, 2015, compared to a $6.6 million contribution in the year ended December 31, 2014. The increase was primarily attributable to the clearing of international carrier cargo backlog and improved lift volume.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2016 compared with 2015: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7"/>
          </w:tcPr>
          <w:p>
            <w:pPr>
              <w:jc w:val="right"/>
              <w:ind w:right="390"/>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 (1)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costs and expenses (1)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(388.6)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(378.4)</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0"/>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Operating income margin (1)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(1)  Logistics operating results include Span Alaska operating results from the date of acquisition on August 4, 2016.</w:t>
      </w:r>
    </w:p>
    <w:p>
      <w:pPr>
        <w:spacing w:after="0" w:line="20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Logistics revenue increased $13.6 million, or 3.5 percent, during the year ended December 31, 2016 compared to the year ended December 31, 2015. This increase was primarily due to the inclusion of freight forwarding revenue from the acquired Span Alaska business, partially offset by lower fuel surcharge revenue.</w:t>
      </w:r>
    </w:p>
    <w:p>
      <w:pPr>
        <w:spacing w:after="0" w:line="18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Logistics operating income increased $3.4 million during the year ended December 31, 2016 compared to the year ended December 31, 2015. The increase was primarily due to the inclusion of freight forwarding operating results attributable to the acquired Span Alaska business and higher intermodal volume, partially offset by lower intermodal yield.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2015 compared with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9"/>
              </w:rPr>
              <w:t>Years Ended December 31,</w:t>
            </w:r>
          </w:p>
        </w:tc>
        <w:tc>
          <w:tcPr>
            <w:tcW w:w="0" w:type="dxa"/>
            <w:vAlign w:val="bottom"/>
          </w:tcPr>
          <w:p>
            <w:pPr>
              <w:spacing w:after="0"/>
              <w:rPr>
                <w:sz w:val="1"/>
                <w:szCs w:val="1"/>
                <w:color w:val="auto"/>
              </w:rPr>
            </w:pPr>
          </w:p>
        </w:tc>
      </w:tr>
      <w:tr>
        <w:trPr>
          <w:trHeight w:val="142"/>
        </w:trPr>
        <w:tc>
          <w:tcPr>
            <w:tcW w:w="648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Logistics Revenue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(426.9)</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6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8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 margin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Logistics revenue decreased $48.9 million, or 11.2 percent, during the year ended December 31, 2015 compared to the year ended December 31, 2014. This decrease was primarily the result of lower intermodal and highway volume and lower fuel surcharge revenue, partially offset by favorable changes in business mix and increased warehouse revenue.</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Logistics operating income decreased $0.4 million during the year ended December 31, 2015 compared to the year ended December 31, 2014. The decrease was primarily due to lower intermodal and highway volume, partially offset by warehouse operating improvements and improved yield.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Sources of liquidity available to the Company at December 31, 2016 compared to December 31,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Sources of Liquidity (in millions)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8"/>
          </w:tcPr>
          <w:p>
            <w:pPr>
              <w:ind w:left="4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460" w:type="dxa"/>
            <w:vAlign w:val="bottom"/>
            <w:tcBorders>
              <w:bottom w:val="single" w:sz="8" w:color="auto"/>
            </w:tcBorders>
            <w:gridSpan w:val="2"/>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Change</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Accounts receivable, net (1)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189.5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192.8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Construction Fund - cash on deposit (2)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240" w:hanging="237"/>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Eligible accounts receivable of $174.7 million and $176.6 million at December 31, 2016 and 2015, respectively, were assigned to the CCF.</w:t>
      </w:r>
    </w:p>
    <w:p>
      <w:pPr>
        <w:jc w:val="both"/>
        <w:ind w:left="220" w:right="80" w:hanging="217"/>
        <w:spacing w:after="0" w:line="232" w:lineRule="auto"/>
        <w:tabs>
          <w:tab w:leader="none" w:pos="2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increase in cash on deposit in the CCF deposits relates to excess deposits paid into the CCF over withdrawals from the CCF. Such amounts will be used to pay future progress payments for new vessels under construction (see Note 7 to the Consolidated Financial Statements in Item 8 of Part II below for additional information about CCF).</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As of December 31, 2016, the Company had $333.8 million of availability under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(see Note 8 to the Consolidated Financial Statements in Item 8 of Part II below for additional information about debt).</w:t>
      </w:r>
    </w:p>
    <w:p>
      <w:pPr>
        <w:spacing w:after="0" w:line="17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Changes in the Cash and Cash Equivalents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changes in the Company’s cash and cash equivalents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2016, compared to December 31, 2015 are as follows:</w:t>
      </w: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w w:val="90"/>
              </w:rPr>
              <w:t>As of December 31,</w:t>
            </w: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2015</w:t>
            </w:r>
          </w:p>
        </w:tc>
        <w:tc>
          <w:tcPr>
            <w:tcW w:w="76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5"/>
          </w:tcPr>
          <w:p>
            <w:pPr>
              <w:jc w:val="right"/>
              <w:ind w:right="430"/>
              <w:spacing w:after="0" w:line="142" w:lineRule="exact"/>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2016-2015</w:t>
            </w:r>
          </w:p>
        </w:tc>
        <w:tc>
          <w:tcPr>
            <w:tcW w:w="16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2"/>
              </w:rPr>
              <w:t>2015-2014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 (1)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Net cash used in investing activities (2)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(63.8)</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(256.9)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 (3)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(449.4)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(267.9)</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the period</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(267.9)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Cash and cash equivalents, end of the period</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r>
              <w:rPr>
                <w:rFonts w:ascii="Arial" w:cs="Arial" w:eastAsia="Arial" w:hAnsi="Arial"/>
                <w:sz w:val="18"/>
                <w:szCs w:val="18"/>
                <w:u w:val="single" w:color="auto"/>
                <w:color w:val="auto"/>
              </w:rPr>
              <w:t>5</w:t>
            </w:r>
          </w:p>
        </w:tc>
        <w:tc>
          <w:tcPr>
            <w:tcW w:w="16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$ 293.4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hanging="437"/>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Changes in Net Cash Provided by Operating Activities:</w:t>
      </w:r>
    </w:p>
    <w:p>
      <w:pPr>
        <w:spacing w:after="0" w:line="225"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Changes in net cash provided by operating activities for the year ended December 31, 2016 compared to the prior year are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2016-2015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2015-2014</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net income from operations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non-cash deferred income taxes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non-cash related charges, net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(Decrease) increase in distributions received from terminal joint venture SSAT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dry-docking payments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accounts receivable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prepaid expenses and other assets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accounts payable, accruals and other liabilities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other liabilities</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7"/>
        </w:trPr>
        <w:tc>
          <w:tcPr>
            <w:tcW w:w="6740" w:type="dxa"/>
            <w:vAlign w:val="bottom"/>
          </w:tcPr>
          <w:p>
            <w:pPr>
              <w:ind w:left="22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r>
              <w:rPr>
                <w:rFonts w:ascii="Arial" w:cs="Arial" w:eastAsia="Arial" w:hAnsi="Arial"/>
                <w:sz w:val="18"/>
                <w:szCs w:val="18"/>
                <w:u w:val="single" w:color="auto"/>
                <w:color w:val="auto"/>
              </w:rPr>
              <w:t>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Decrease in distributions from the Company’s terminal joint venture, SSAT, was due to no distributions received during the year ended December 31, 2016, compared to $14.0 million of distributions received in the prior year. Increase in deferred dry-docking payments was due to the increased number of vessels in dry-docking during the year ended December 31, 2016, compared with prior year. Changes in accounts receivable are due to the timing of billings and collections, and changes in prepaid expenses and other assets are due to the timing of income tax and other advanced payments during the year ended December 31, 2016, compared with prior year. Changes in accounts payable, accruals and other liabilities, and other liabilities for the year ended December 31, 2016, compared to prior year is due to the impact of liabilities associated with the Horizon and Span Alaska acquisitions, and the timing of collections and payments associated with those liabilities.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480" w:hanging="477"/>
        <w:spacing w:after="0"/>
        <w:tabs>
          <w:tab w:leader="none" w:pos="4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Changes in Net Cash Used in Investing Activities:</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Changes in net cash used in investing activities for the year ended December 31, 2016, compared to prior year are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2016-2015</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5"/>
              </w:rPr>
              <w:t>2015-2014</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capital expenditures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Increase in capitalized vessel construction expenditures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deposits into CCF</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(Decrease) increase in cash withdrawals from CCF</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Payments for membership interests in Span Alaska, net of cash acquired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Payments for the Horizon and other acquisitions, net of cash acquired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proceeds from disposal of property and equipment</w:t>
            </w: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7"/>
        </w:trPr>
        <w:tc>
          <w:tcPr>
            <w:tcW w:w="6760" w:type="dxa"/>
            <w:vAlign w:val="bottom"/>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(256.9)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Capital expenditures (excluding capitalized vessel construction expenditures) increased from $46.5 million in 2015 to $84.9 million in 2016. The increase was partially due to the acquisition of new containers and terminal equipment, and capital expenditures on vessels including the installation of scrubbers on vessels acquired as part of the Horizon Acquisition. The increase in payments for new vessel construction during 2016, compared to prior year primarily related to the schedule of progress payments as construction activity increases. Changes in deposits into the CCF, and withdrawals from the CCF during the year ended December 31, 2016, compared to prior year are due to the expected future qualified withdrawals from the CCF related to scheduled vessel construction payments.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2016, the Company paid $112.6 million related to the acquisition of Span Alaska, compared to $29.0 million paid during the year ended December 31, 2015, related to the Horizon Acquisition and other acquisitions (see Note 3 to the Consolidated Financial Statements in Item 8 of Part II below for additional information on the Company’s acquisitions).</w:t>
      </w:r>
    </w:p>
    <w:p>
      <w:pPr>
        <w:spacing w:after="0" w:line="187" w:lineRule="exact"/>
        <w:rPr>
          <w:sz w:val="20"/>
          <w:szCs w:val="20"/>
          <w:color w:val="auto"/>
        </w:rPr>
      </w:pPr>
    </w:p>
    <w:p>
      <w:pPr>
        <w:ind w:left="520" w:hanging="517"/>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Changes Net Cash Used in Financing Activities:</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Changes in net cash used in financing activities for the year ended December 31, 2016, compared to prior year are due to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2016-2015</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5"/>
              </w:rPr>
              <w:t>2015-2014</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Payments of Horizon debt and redemption of warrants,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Payments of Span Alaska debt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proceeds received from issuance of debt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Increase in repayments of debt and capital leases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 in borrowings under revolving credit facility,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Matson stock repurchase payments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Decrease in proceeds received from issuance of capital stock</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other payments, net</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r>
              <w:rPr>
                <w:rFonts w:ascii="Arial" w:cs="Arial" w:eastAsia="Arial" w:hAnsi="Arial"/>
                <w:sz w:val="18"/>
                <w:szCs w:val="18"/>
                <w:u w:val="single" w:color="auto"/>
                <w:color w:val="auto"/>
              </w:rPr>
              <w:t>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year ended December 31, 2016, the Company repaid all of Span Alaska’s outstanding debt of $81.9 million, and during the year ended December 31, 2015, the Company repaid all of Horizon’s outstanding debt and redeemed the warrants of $466.0 million related to the Horizon Acquisition (see Note 3 to the Consolidated Financial Statements in Item 8 of Part II below for additional information on the Company’s acquisitions).</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year ended December 31, 2016, the Company borrowed $275.0 million in long-term debt and increased borrowings under the revolving credit facility to fund the Span Alaska acquisition, increased dry-docking and capital expenditures, and stock repurchases, compared to $75.0 million borrowed in the prior year. During the year ended December 31, 2016, the Company paid $38.0 million in Matson stock repurchases, compared to $4.9 million in the prior year.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Company had negative working capital of $5.0 million at December 31, 2016, compared to negative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working capital of $19.7 million at December 31,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CONTRACTUAL OBLIGATIONS, COMMITMENTS, CONTINGENCIES AND 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the Company had the following estimated contractual obligations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7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2017</w:t>
            </w:r>
          </w:p>
        </w:tc>
        <w:tc>
          <w:tcPr>
            <w:tcW w:w="1700" w:type="dxa"/>
            <w:vAlign w:val="bottom"/>
            <w:gridSpan w:val="7"/>
          </w:tcPr>
          <w:p>
            <w:pPr>
              <w:ind w:left="160"/>
              <w:spacing w:after="0"/>
              <w:rPr>
                <w:sz w:val="20"/>
                <w:szCs w:val="20"/>
                <w:color w:val="auto"/>
              </w:rPr>
            </w:pPr>
            <w:r>
              <w:rPr>
                <w:rFonts w:ascii="Arial" w:cs="Arial" w:eastAsia="Arial" w:hAnsi="Arial"/>
                <w:sz w:val="14"/>
                <w:szCs w:val="14"/>
                <w:b w:val="1"/>
                <w:bCs w:val="1"/>
                <w:color w:val="auto"/>
                <w:w w:val="96"/>
              </w:rPr>
              <w:t>Payment Due By Period</w:t>
            </w:r>
          </w:p>
        </w:tc>
        <w:tc>
          <w:tcPr>
            <w:tcW w:w="8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9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2018-2019</w:t>
            </w:r>
          </w:p>
        </w:tc>
        <w:tc>
          <w:tcPr>
            <w:tcW w:w="80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w w:val="89"/>
              </w:rPr>
              <w:t>2020-2021</w:t>
            </w:r>
          </w:p>
        </w:tc>
        <w:tc>
          <w:tcPr>
            <w:tcW w:w="10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Construction of vessels obligations (1)</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Other capital expenditure obligations (2)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obligations (3)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Estimated interest on debt (4)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 (5)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Qualified defined benefit pension obligations (6)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Non-qualified pension obligations (7)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Post-retirement benefit obligations (8)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Multi-employer withdrawal obligation (9)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lease obligations (10)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9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366.5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810.3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2,257.2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60" w:hanging="257"/>
        <w:spacing w:after="0"/>
        <w:tabs>
          <w:tab w:leader="none" w:pos="2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Construction of vessels obligations represents contractual agreements entered into for the construction of four new vessels.</w:t>
      </w:r>
    </w:p>
    <w:p>
      <w:pPr>
        <w:spacing w:after="0" w:line="217" w:lineRule="exact"/>
        <w:rPr>
          <w:rFonts w:ascii="Arial" w:cs="Arial" w:eastAsia="Arial" w:hAnsi="Arial"/>
          <w:sz w:val="14"/>
          <w:szCs w:val="14"/>
          <w:color w:val="auto"/>
        </w:rPr>
      </w:pPr>
    </w:p>
    <w:p>
      <w:pPr>
        <w:ind w:left="220" w:hanging="217"/>
        <w:spacing w:after="0"/>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Other capital expenditure obligations include: (i) contractual capital project payments (excluding construction of vessels obligations shown above); and</w:t>
      </w:r>
    </w:p>
    <w:p>
      <w:pPr>
        <w:spacing w:after="0" w:line="39" w:lineRule="exact"/>
        <w:rPr>
          <w:rFonts w:ascii="Arial" w:cs="Arial" w:eastAsia="Arial" w:hAnsi="Arial"/>
          <w:sz w:val="13"/>
          <w:szCs w:val="13"/>
          <w:color w:val="auto"/>
        </w:rPr>
      </w:pPr>
    </w:p>
    <w:p>
      <w:pPr>
        <w:ind w:left="440" w:hanging="221"/>
        <w:spacing w:after="0"/>
        <w:tabs>
          <w:tab w:leader="none" w:pos="440" w:val="left"/>
        </w:tabs>
        <w:numPr>
          <w:ilvl w:val="1"/>
          <w:numId w:val="25"/>
        </w:numPr>
        <w:rPr>
          <w:rFonts w:ascii="Arial" w:cs="Arial" w:eastAsia="Arial" w:hAnsi="Arial"/>
          <w:sz w:val="14"/>
          <w:szCs w:val="14"/>
          <w:color w:val="auto"/>
        </w:rPr>
      </w:pPr>
      <w:r>
        <w:rPr>
          <w:rFonts w:ascii="Arial" w:cs="Arial" w:eastAsia="Arial" w:hAnsi="Arial"/>
          <w:sz w:val="14"/>
          <w:szCs w:val="14"/>
          <w:color w:val="auto"/>
        </w:rPr>
        <w:t>other dry-docking related obligations.</w:t>
      </w:r>
    </w:p>
    <w:p>
      <w:pPr>
        <w:spacing w:after="0" w:line="217" w:lineRule="exact"/>
        <w:rPr>
          <w:rFonts w:ascii="Arial" w:cs="Arial" w:eastAsia="Arial" w:hAnsi="Arial"/>
          <w:sz w:val="14"/>
          <w:szCs w:val="14"/>
          <w:color w:val="auto"/>
        </w:rPr>
      </w:pPr>
    </w:p>
    <w:p>
      <w:pPr>
        <w:ind w:left="220" w:right="60" w:hanging="217"/>
        <w:spacing w:after="0" w:line="313"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debt obligations include principal repayments of outstanding debt and capital leases (see Note 8 to the Consolidated Financial Statements in Item 8 of Part II below for additional information about debt).</w:t>
      </w:r>
    </w:p>
    <w:p>
      <w:pPr>
        <w:spacing w:after="0" w:line="133" w:lineRule="exact"/>
        <w:rPr>
          <w:rFonts w:ascii="Arial" w:cs="Arial" w:eastAsia="Arial" w:hAnsi="Arial"/>
          <w:sz w:val="14"/>
          <w:szCs w:val="14"/>
          <w:color w:val="auto"/>
        </w:rPr>
      </w:pPr>
    </w:p>
    <w:p>
      <w:pPr>
        <w:ind w:left="220" w:right="280" w:hanging="217"/>
        <w:spacing w:after="0" w:line="313"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Estimated interest on debt is determined based on: (i) the stated interest rate for fixed debt, and (ii) the estimated variable interest on revolving credit facility assuming the balance at December 31, 2016 remains outstanding until maturity.</w:t>
      </w:r>
    </w:p>
    <w:p>
      <w:pPr>
        <w:spacing w:after="0" w:line="120" w:lineRule="exact"/>
        <w:rPr>
          <w:rFonts w:ascii="Arial" w:cs="Arial" w:eastAsia="Arial" w:hAnsi="Arial"/>
          <w:sz w:val="14"/>
          <w:szCs w:val="14"/>
          <w:color w:val="auto"/>
        </w:rPr>
      </w:pPr>
    </w:p>
    <w:p>
      <w:pPr>
        <w:ind w:left="220" w:right="200" w:hanging="217"/>
        <w:spacing w:after="0" w:line="234"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Purchase obligations include only non-cancellable contractual obligations for the purchases of goods and services. Arrangements are considered purchase obligations if a contract specifies all significant terms, including fixed or minimum quantities to be purchased, a pricing structure and approximate timing of the transaction. Any amounts reflected in the consolidated balance sheets as accounts payable, accruals and other liabilities are excluded from the table above.</w:t>
      </w:r>
    </w:p>
    <w:p>
      <w:pPr>
        <w:spacing w:after="0" w:line="141" w:lineRule="exact"/>
        <w:rPr>
          <w:rFonts w:ascii="Arial" w:cs="Arial" w:eastAsia="Arial" w:hAnsi="Arial"/>
          <w:sz w:val="14"/>
          <w:szCs w:val="14"/>
          <w:color w:val="auto"/>
        </w:rPr>
      </w:pPr>
    </w:p>
    <w:p>
      <w:pPr>
        <w:ind w:left="220" w:right="140" w:hanging="217"/>
        <w:spacing w:after="0" w:line="238"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Qualified defined benefit pension benefit obligations include estimated payments for the next ten years. The $73.0 million noted in the column labeled “Thereafter” comprises estimated benefit payments for 2022 through 2026 (see Note 11 to the Consolidated Financial Statements in Item 8 of Part II below, for additional information about the Company’s qualified defined benefit pension plans).</w:t>
      </w:r>
    </w:p>
    <w:p>
      <w:pPr>
        <w:spacing w:after="0" w:line="142" w:lineRule="exact"/>
        <w:rPr>
          <w:rFonts w:ascii="Arial" w:cs="Arial" w:eastAsia="Arial" w:hAnsi="Arial"/>
          <w:sz w:val="14"/>
          <w:szCs w:val="14"/>
          <w:color w:val="auto"/>
        </w:rPr>
      </w:pPr>
    </w:p>
    <w:p>
      <w:pPr>
        <w:ind w:left="220" w:right="60" w:hanging="217"/>
        <w:spacing w:after="0" w:line="264" w:lineRule="auto"/>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Non-qualified pension obligations include estimated payments to executives and directors under the Company’s four non-qualified plans for the next ten years. The $2.7 million noted in the column labeled “Thereafter” comprises estimated benefit payments for 2022 through 2026 (see Note 11 to the Consolidated Financial Statements in Item 8 of Part II below, for additional information about the Company’s non-qualified pension plans).</w:t>
      </w:r>
    </w:p>
    <w:p>
      <w:pPr>
        <w:spacing w:after="0" w:line="127" w:lineRule="exact"/>
        <w:rPr>
          <w:rFonts w:ascii="Arial" w:cs="Arial" w:eastAsia="Arial" w:hAnsi="Arial"/>
          <w:sz w:val="13"/>
          <w:szCs w:val="13"/>
          <w:color w:val="auto"/>
        </w:rPr>
      </w:pPr>
    </w:p>
    <w:p>
      <w:pPr>
        <w:ind w:left="220" w:right="180" w:hanging="217"/>
        <w:spacing w:after="0" w:line="234"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Post-retirement benefit obligations include estimated payments to medical service providers in connection with providing benefits to the Company’s employees and retirees for the next ten years. The $16.7 million noted in the column labeled “Thereafter” comprises estimated post-retirement benefit payments for 2022 through 2026 (see Note 11 to the Consolidated Financial Statements in Item 8 of Part II below, for additional information about the Company’s post-retirement benefit obligations).</w:t>
      </w:r>
    </w:p>
    <w:p>
      <w:pPr>
        <w:spacing w:after="0" w:line="141" w:lineRule="exact"/>
        <w:rPr>
          <w:rFonts w:ascii="Arial" w:cs="Arial" w:eastAsia="Arial" w:hAnsi="Arial"/>
          <w:sz w:val="14"/>
          <w:szCs w:val="14"/>
          <w:color w:val="auto"/>
        </w:rPr>
      </w:pPr>
    </w:p>
    <w:p>
      <w:pPr>
        <w:ind w:left="220" w:right="60" w:hanging="217"/>
        <w:spacing w:after="0" w:line="238"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Multi-employer withdrawal obligation relates to the discounted liability associated with the Horizon’s mass withdrawal from Puerto Rico’s the multi-employer ILA-PRSSA (see Note 12 to the Consolidated Financial Statements in Item 8 of Part II below, for additional information about the Company’s multi-employer withdrawal liability).</w:t>
      </w:r>
    </w:p>
    <w:p>
      <w:pPr>
        <w:spacing w:after="0" w:line="115" w:lineRule="exact"/>
        <w:rPr>
          <w:rFonts w:ascii="Arial" w:cs="Arial" w:eastAsia="Arial" w:hAnsi="Arial"/>
          <w:sz w:val="14"/>
          <w:szCs w:val="14"/>
          <w:color w:val="auto"/>
        </w:rPr>
      </w:pPr>
    </w:p>
    <w:p>
      <w:pPr>
        <w:ind w:left="280" w:right="200" w:hanging="277"/>
        <w:spacing w:after="0" w:line="238" w:lineRule="auto"/>
        <w:tabs>
          <w:tab w:leader="none" w:pos="2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Operating lease obligations include principally land, office and terminal facilities, containers and equipment under non-cancellable, long-term lease arrangements that do not transfer the rights and risks of ownership to the Company (see Note 9 to the Consolidated Financial Statements in Item 8 of Part II below, for additional information about the Company’s leases).</w:t>
      </w:r>
    </w:p>
    <w:p>
      <w:pPr>
        <w:spacing w:after="0" w:line="1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Estimated timing and amount of payments related to uncertain tax position liabilities of $20.4 million as of December 31, 2016, are excluded from the table due to the uncertainty of such timing and payments, if 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Off-Balance Sheet Arrangements:</w:t>
      </w:r>
    </w:p>
    <w:p>
      <w:pPr>
        <w:spacing w:after="0" w:line="229" w:lineRule="exact"/>
        <w:rPr>
          <w:sz w:val="20"/>
          <w:szCs w:val="20"/>
          <w:color w:val="auto"/>
        </w:rPr>
      </w:pPr>
    </w:p>
    <w:p>
      <w:pPr>
        <w:ind w:right="579"/>
        <w:spacing w:after="0" w:line="342" w:lineRule="auto"/>
        <w:rPr>
          <w:sz w:val="20"/>
          <w:szCs w:val="20"/>
          <w:color w:val="auto"/>
        </w:rPr>
      </w:pPr>
      <w:r>
        <w:rPr>
          <w:rFonts w:ascii="Arial" w:cs="Arial" w:eastAsia="Arial" w:hAnsi="Arial"/>
          <w:sz w:val="16"/>
          <w:szCs w:val="16"/>
          <w:i w:val="1"/>
          <w:iCs w:val="1"/>
          <w:color w:val="auto"/>
        </w:rPr>
        <w:t xml:space="preserve">Capital spending and Vessel Dry-docking: </w:t>
      </w:r>
      <w:r>
        <w:rPr>
          <w:rFonts w:ascii="Arial" w:cs="Arial" w:eastAsia="Arial" w:hAnsi="Arial"/>
          <w:sz w:val="16"/>
          <w:szCs w:val="16"/>
          <w:color w:val="auto"/>
        </w:rPr>
        <w:t>For the full year 2017, the Company expects to make maintenance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expenditures of approximately $50 million, and deferred dry-docking payments of approximately $60 million.</w:t>
      </w:r>
    </w:p>
    <w:p>
      <w:pPr>
        <w:spacing w:after="0" w:line="124"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color w:val="auto"/>
        </w:rPr>
        <w:t>A description of commitments and contingencies (including benefit plan withdrawal obligations for multi-employer pension plans in which the Company is a participant) is set forth in Note 14 to the Consolidated Financial Statements in Item 8 of Part II below, and is incorporated herein by reference.</w:t>
      </w:r>
    </w:p>
    <w:p>
      <w:pPr>
        <w:spacing w:after="0" w:line="181" w:lineRule="exact"/>
        <w:rPr>
          <w:sz w:val="20"/>
          <w:szCs w:val="20"/>
          <w:color w:val="auto"/>
        </w:rPr>
      </w:pPr>
    </w:p>
    <w:p>
      <w:pPr>
        <w:ind w:right="399"/>
        <w:spacing w:after="0" w:line="308" w:lineRule="auto"/>
        <w:rPr>
          <w:sz w:val="20"/>
          <w:szCs w:val="20"/>
          <w:color w:val="auto"/>
        </w:rPr>
      </w:pPr>
      <w:r>
        <w:rPr>
          <w:rFonts w:ascii="Arial" w:cs="Arial" w:eastAsia="Arial" w:hAnsi="Arial"/>
          <w:sz w:val="17"/>
          <w:szCs w:val="17"/>
          <w:color w:val="auto"/>
        </w:rPr>
        <w:t>The Company is not party to any off-balance sheet arrangements that have, or are reasonably likely to have, a current or future effect on the Company’s financial condition, results in operations or cash flows that are material.</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19"/>
        <w:spacing w:after="0" w:line="272" w:lineRule="auto"/>
        <w:rPr>
          <w:sz w:val="20"/>
          <w:szCs w:val="20"/>
          <w:color w:val="auto"/>
        </w:rPr>
      </w:pPr>
      <w:r>
        <w:rPr>
          <w:rFonts w:ascii="Arial" w:cs="Arial" w:eastAsia="Arial" w:hAnsi="Arial"/>
          <w:sz w:val="17"/>
          <w:szCs w:val="17"/>
          <w:color w:val="auto"/>
        </w:rPr>
        <w:t>The Company’s significant accounting policies are described in Note 2 to the Consolidated Financial Statements. The preparation of Consolidated Financial Statements in conformity with accounting principles generally accepted in the United States of America, upon which the Company’s Management Discussion and Analysis of Financial Condition and Results of Operations is based, requires that management exercise judgment when making estimates and assumptions about future events that may affect the amounts reported in the Consolidated Financial Statements and accompanying notes. Future events and their effects cannot be determined with certainty and actual results will, inevitably, differ from those critical accounting estimates. These differences could be material.</w:t>
      </w:r>
    </w:p>
    <w:p>
      <w:pPr>
        <w:spacing w:after="0" w:line="178" w:lineRule="exact"/>
        <w:rPr>
          <w:sz w:val="20"/>
          <w:szCs w:val="20"/>
          <w:color w:val="auto"/>
        </w:rPr>
      </w:pPr>
    </w:p>
    <w:p>
      <w:pPr>
        <w:ind w:right="39"/>
        <w:spacing w:after="0" w:line="271" w:lineRule="auto"/>
        <w:rPr>
          <w:sz w:val="20"/>
          <w:szCs w:val="20"/>
          <w:color w:val="auto"/>
        </w:rPr>
      </w:pPr>
      <w:r>
        <w:rPr>
          <w:rFonts w:ascii="Arial" w:cs="Arial" w:eastAsia="Arial" w:hAnsi="Arial"/>
          <w:sz w:val="17"/>
          <w:szCs w:val="17"/>
          <w:color w:val="auto"/>
        </w:rPr>
        <w:t>The Company considers an accounting estimate to be critical if: (i)(a) the accounting estimate requires the Company to make assumptions that are difficult or subjective about matters that were highly uncertain at the time that the accounting estimate was made, (b) changes in the estimate are reasonably likely to occur in periods after the period in which the estimate was made, or (c) use of different estimates by the Company could have been used, and (ii) changes in those assumptions or estimates would have had a material impact on the financial condition or results of operations of the Company. The critical accounting estimates inherent in the preparation of the Company’s Consolidated Financial Statements are described below. Management has discussed the development and selection of these critical accounting estimates with the Audit Committee of our Board of Directors.</w:t>
      </w:r>
    </w:p>
    <w:p>
      <w:pPr>
        <w:spacing w:after="0" w:line="175" w:lineRule="exact"/>
        <w:rPr>
          <w:sz w:val="20"/>
          <w:szCs w:val="20"/>
          <w:color w:val="auto"/>
        </w:rPr>
      </w:pPr>
    </w:p>
    <w:p>
      <w:pPr>
        <w:ind w:right="139"/>
        <w:spacing w:after="0" w:line="288" w:lineRule="auto"/>
        <w:rPr>
          <w:sz w:val="20"/>
          <w:szCs w:val="20"/>
          <w:color w:val="auto"/>
        </w:rPr>
      </w:pPr>
      <w:r>
        <w:rPr>
          <w:rFonts w:ascii="Arial" w:cs="Arial" w:eastAsia="Arial" w:hAnsi="Arial"/>
          <w:sz w:val="16"/>
          <w:szCs w:val="16"/>
          <w:b w:val="1"/>
          <w:bCs w:val="1"/>
          <w:color w:val="auto"/>
        </w:rPr>
        <w:t xml:space="preserve">Business Combinations: </w:t>
      </w:r>
      <w:r>
        <w:rPr>
          <w:rFonts w:ascii="Arial" w:cs="Arial" w:eastAsia="Arial" w:hAnsi="Arial"/>
          <w:sz w:val="16"/>
          <w:szCs w:val="16"/>
          <w:color w:val="auto"/>
        </w:rPr>
        <w:t>The Company accounts for acquired businesses when it obtains control of the business using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method of accounting. Assets acquired and liabilities assumed are recorded based upon the estimated fair value as of the acquisition date. Estimated fair values are generally determined using a market-based income approach which determines the estimated price that would be paid by a third party market participant based upon the highest and best use of the assets acquired or liabilities assumed. The determination of the fair value of assets acquired and liabilities assumed requires significant judgment and estimates. In making such judgments and estimates, the Company utilizes inputs from various independent third-party valuation specialists, industry experts and other sources. Any excess of the purchase price over the estimated fair values of the net assets acquired and liabilities assumed is recorded as goodwill. Acquisition-related expenses and related restructuring costs are expensed as incurred. During 2016 and 2015, the Company acquired the businesses of Span Alaska and Horizon, respectively. A detailed discussion of the Company’s Span Alaska and Horizon acquisitions is contained in Note 3 to the Consolidated Financial Statements included in Item 8 of Part II below.</w:t>
      </w:r>
    </w:p>
    <w:p>
      <w:pPr>
        <w:spacing w:after="0" w:line="164" w:lineRule="exact"/>
        <w:rPr>
          <w:sz w:val="20"/>
          <w:szCs w:val="20"/>
          <w:color w:val="auto"/>
        </w:rPr>
      </w:pPr>
    </w:p>
    <w:p>
      <w:pPr>
        <w:ind w:right="99"/>
        <w:spacing w:after="0" w:line="269" w:lineRule="auto"/>
        <w:rPr>
          <w:sz w:val="20"/>
          <w:szCs w:val="20"/>
          <w:color w:val="auto"/>
        </w:rPr>
      </w:pPr>
      <w:r>
        <w:rPr>
          <w:rFonts w:ascii="Arial" w:cs="Arial" w:eastAsia="Arial" w:hAnsi="Arial"/>
          <w:sz w:val="17"/>
          <w:szCs w:val="17"/>
          <w:b w:val="1"/>
          <w:bCs w:val="1"/>
          <w:color w:val="auto"/>
        </w:rPr>
        <w:t xml:space="preserve">Impairment of Terminal Joint Venture Investments: </w:t>
      </w:r>
      <w:r>
        <w:rPr>
          <w:rFonts w:ascii="Arial" w:cs="Arial" w:eastAsia="Arial" w:hAnsi="Arial"/>
          <w:sz w:val="17"/>
          <w:szCs w:val="17"/>
          <w:color w:val="auto"/>
        </w:rPr>
        <w:t>The Company’s investment in its terminal joint venture, SSAT, a</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party, is reviewed for impairment annually and whenever there is evidence that fair value may be below carrying cost. An investment is written down to fair value if fair value is below carrying cost and the impairment is other-than-temporary. In evaluating the fair value of an investment and whether any identified impairment is other-than-temporary, significant estimates and considerable judgments are involved. These estimates and judgments are based, in part, on the Company’s current and future evaluation of economic conditions in general, as well as the terminal joint venture SSAT’s current and future plans. These fair value calculations are highly subjective because they require management to make assumptions and apply judgments to estimates regarding the timing and amount of future cash flows, probabilities related to various cash flow scenarios, and appropriate discount rates based on the perceived risks, among others. In evaluating whether an impairment is other-than-temporary, the Company considers all available information, including the length of time and extent of the impairment, the financial condition and near-term prospects of the terminal joint venture, SSAT, the Company’s ability and intent to hold the investment for a period of time</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sufficient to allow for any anticipated recovery in market value, and projected industry and economic trends, among others. Changes in these and other assumptions could affect the projected operational results and fair value of the terminal joint venture SSAT, and accordingly, may require valuation adjustments to the Company’s investment that may materially impact the Company’s financial condition or its future operating results.</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evaluated its investment in its Terminal Joint Venture SSAT for impairment and no impairment charges were recorded for the years ended December 31, 2016, 2015, and 2014.</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Impairment of Long-Lived Assets, Intangible Assets and Goodwill: </w:t>
      </w:r>
      <w:r>
        <w:rPr>
          <w:rFonts w:ascii="Arial" w:cs="Arial" w:eastAsia="Arial" w:hAnsi="Arial"/>
          <w:sz w:val="17"/>
          <w:szCs w:val="17"/>
          <w:color w:val="auto"/>
        </w:rPr>
        <w:t>The Company evaluates its long-lived assets,</w:t>
      </w:r>
      <w:r>
        <w:rPr>
          <w:rFonts w:ascii="Arial" w:cs="Arial" w:eastAsia="Arial" w:hAnsi="Arial"/>
          <w:sz w:val="17"/>
          <w:szCs w:val="17"/>
          <w:b w:val="1"/>
          <w:bCs w:val="1"/>
          <w:color w:val="auto"/>
        </w:rPr>
        <w:t xml:space="preserve"> </w:t>
      </w:r>
      <w:r>
        <w:rPr>
          <w:rFonts w:ascii="Arial" w:cs="Arial" w:eastAsia="Arial" w:hAnsi="Arial"/>
          <w:sz w:val="17"/>
          <w:szCs w:val="17"/>
          <w:color w:val="auto"/>
        </w:rPr>
        <w:t>intangible assets and goodwill for possible impairment in the fourth quarter, or whenever events or changes in circumstances indicate that it is more likely than not that the fair value is less than its carrying amount. The Company has reporting units with the Ocean Transportation and Logistics reportable segments. Long-lived assets and finite-lived intangible assets are grouped at the lowest level reporting unit for which identifiable cash flows are available.</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Long-lived Assets and Finite-lived Intangible Assets: </w:t>
      </w:r>
      <w:r>
        <w:rPr>
          <w:rFonts w:ascii="Arial" w:cs="Arial" w:eastAsia="Arial" w:hAnsi="Arial"/>
          <w:sz w:val="16"/>
          <w:szCs w:val="16"/>
          <w:color w:val="auto"/>
        </w:rPr>
        <w:t>In evaluating impairment, the estimated future undiscounted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by each of these asset groups is compared with the carrying value recorded for each asset group to determine if its carrying value is not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uncertainty about future events, including changes in economic conditions, changes in operating performance, changes in the use of the assets, and ongoing costs of maintenance and improvements of the assets, and thus, the accounting estimates may change from period to period. If management uses different assumptions or if different conditions occur in future periods, the Company’s financial condition or its future operating results could be materially impacted.</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 impairment charges were recorded for the years ended December 31, 2016, and 2014. During the year ended December 31, 2015, the Company recorded an impairment charge of $2.1 million related to the write-down of inactive vessels from its recorded net book value to its estimated fair value of zero. The impairment expense is included in operating costs in the Consolidated Statements of Income and Comprehensive Income. No impairment changes for finite-lived intangible assets were recorded for the years ended December 31, 2016, 2015 and 2014.</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 information about Matson’s vessels included in property and equipment as of December 31, 2016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Vessel Name (1)</w:t>
            </w:r>
          </w:p>
        </w:tc>
        <w:tc>
          <w:tcPr>
            <w:tcW w:w="140" w:type="dxa"/>
            <w:vAlign w:val="bottom"/>
          </w:tcPr>
          <w:p>
            <w:pPr>
              <w:spacing w:after="0"/>
              <w:rPr>
                <w:sz w:val="14"/>
                <w:szCs w:val="14"/>
                <w:color w:val="auto"/>
              </w:rPr>
            </w:pP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Purchase Date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7"/>
              </w:rPr>
              <w:t>Net Book Value</w:t>
            </w:r>
          </w:p>
        </w:tc>
      </w:tr>
      <w:tr>
        <w:trPr>
          <w:trHeight w:val="210"/>
        </w:trPr>
        <w:tc>
          <w:tcPr>
            <w:tcW w:w="5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MAUNALEI</w:t>
            </w:r>
          </w:p>
        </w:tc>
        <w:tc>
          <w:tcPr>
            <w:tcW w:w="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September 2006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MANULANI</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June 2005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95.9</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MAUNAWILI</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September 2004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MANUKAI</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w w:val="90"/>
              </w:rPr>
              <w:t>September 2003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MATSON KODIAK</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May 2015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MATSON TACOMA</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May 2015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42.2</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R.J. PFEIFFER</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August 1992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MATSON ANCHORAGE</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May 2015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MOKIHANA</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January 1996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MANOA</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January 1996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MAHIMAHI</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January 1996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KAUAI</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w w:val="90"/>
              </w:rPr>
              <w:t>September 1980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MATSON CONSUMER</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May 2015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MAUI</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June 1978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WAIALEALE</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November 1991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LIHUE</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January 1996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MATSONIA</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October 1987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OLOMANA</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January 2013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MATSON PRODUCER</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May 2015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MAUNA KEA</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August 1988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HALEAKALA</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December 1984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18"/>
                <w:szCs w:val="18"/>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MATSON NAVIGATOR</w:t>
            </w:r>
          </w:p>
        </w:tc>
        <w:tc>
          <w:tcPr>
            <w:tcW w:w="1360" w:type="dxa"/>
            <w:vAlign w:val="bottom"/>
            <w:gridSpan w:val="2"/>
          </w:tcPr>
          <w:p>
            <w:pPr>
              <w:ind w:left="140"/>
              <w:spacing w:after="0"/>
              <w:rPr>
                <w:sz w:val="20"/>
                <w:szCs w:val="20"/>
                <w:color w:val="auto"/>
              </w:rPr>
            </w:pPr>
            <w:r>
              <w:rPr>
                <w:rFonts w:ascii="Arial" w:cs="Arial" w:eastAsia="Arial" w:hAnsi="Arial"/>
                <w:sz w:val="18"/>
                <w:szCs w:val="18"/>
                <w:color w:val="auto"/>
              </w:rPr>
              <w:t>May 2015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MAUNA LOA</w:t>
            </w:r>
          </w:p>
        </w:tc>
        <w:tc>
          <w:tcPr>
            <w:tcW w:w="1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3"/>
              </w:rPr>
              <w:t>December 1984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8"/>
                <w:szCs w:val="18"/>
                <w:color w:val="auto"/>
              </w:rPr>
            </w:pPr>
          </w:p>
        </w:tc>
      </w:tr>
      <w:tr>
        <w:trPr>
          <w:trHeight w:val="217"/>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1,416.1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w:t>
            </w:r>
          </w:p>
        </w:tc>
        <w:tc>
          <w:tcPr>
            <w:tcW w:w="4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9" w:lineRule="exact"/>
        <w:rPr>
          <w:sz w:val="20"/>
          <w:szCs w:val="20"/>
          <w:color w:val="auto"/>
        </w:rPr>
      </w:pPr>
    </w:p>
    <w:p>
      <w:pPr>
        <w:ind w:left="440" w:hanging="437"/>
        <w:spacing w:after="0"/>
        <w:tabs>
          <w:tab w:leader="none" w:pos="4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inactive vessel to be recycled, with no net book value.</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Indefinite-life Intangible Assets and Goodwill: </w:t>
      </w:r>
      <w:r>
        <w:rPr>
          <w:rFonts w:ascii="Arial" w:cs="Arial" w:eastAsia="Arial" w:hAnsi="Arial"/>
          <w:sz w:val="16"/>
          <w:szCs w:val="16"/>
          <w:color w:val="auto"/>
        </w:rPr>
        <w:t>The Company’s intangible assets include goodwill, customer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and trade name. In estimating the fair value of a reporting unit, the Company uses a combination of a discounted cash flow model and fair value based on market multiples of EBITDA. The discounted cash flow approach requires the Company to use a number of assumptions, including market factors specific to the business, the amount and timing of estimated future cash flows to be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must make judgments about the comparability of those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w:t>
      </w:r>
    </w:p>
    <w:p>
      <w:pPr>
        <w:spacing w:after="0" w:line="17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 has evaluated its goodwill and indefinite-life intangible assets for impairment and determined that the fair value of each reporting unit substantially exceeds book value. No impairment charges were recorded for the years ended December 31, 2016, 2015 and 2014, respectively.</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Deferred Dry-docking Costs: </w:t>
      </w:r>
      <w:r>
        <w:rPr>
          <w:rFonts w:ascii="Arial" w:cs="Arial" w:eastAsia="Arial" w:hAnsi="Arial"/>
          <w:sz w:val="18"/>
          <w:szCs w:val="18"/>
          <w:color w:val="auto"/>
        </w:rPr>
        <w:t>The Company’s U.S. flagged vessels must meet specified seaworthiness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by U.S. Coast Guard rules and Classification society requirements. These standards require that the Company’s vessels undergo two dry-docking inspections within a five-year period. However, the majority of the Company’s U.S. flagged vessels are enrolled in the U.S. Coast Guard’s Underwater Survey in Lieu of Dry-docking (“UWILD”) program. The UWILD program allows eligible vessels to have their intermediate dry-docking requirement met with a less costly underwater inspection.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operates six non-U.S. flag vessels (one owned; one under a bareboat charter arrangement; and the remaining on time charter) in the Pacific Islands. The Company is responsible for ensuring that the owned and bareboat chartered vessels meet international standards for seaworthiness, which among other requirements generally mandate that the Company perform two dry-docking inspections every five years. The dry-dockings of the Company’s time chartered vessels are the responsibility of the vessels’ owners.</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As costs associated with dry-docking inspections provide future economic benefits to the Company through continued operation of the vessels, the costs are deferred and amortized until the next regulatory scheduled dry-docking, which is usually over a two to five-year period. Routine vessel maintenance and repairs that do not improve or extend asset lives are charged to expense as incurred. Amortized amounts are charged to operating expenses of the Ocean Transportation segment in the Consolidated Statements of Income and Comprehensive Income.</w:t>
      </w:r>
    </w:p>
    <w:p>
      <w:pPr>
        <w:spacing w:after="0" w:line="16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b w:val="1"/>
          <w:bCs w:val="1"/>
          <w:color w:val="auto"/>
        </w:rPr>
        <w:t xml:space="preserve">Legal Contingencies: </w:t>
      </w:r>
      <w:r>
        <w:rPr>
          <w:rFonts w:ascii="Arial" w:cs="Arial" w:eastAsia="Arial" w:hAnsi="Arial"/>
          <w:sz w:val="17"/>
          <w:szCs w:val="17"/>
          <w:color w:val="auto"/>
        </w:rPr>
        <w:t>The Company’s results of operations could be affected by significant litigation adverse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including, but not limited to, liability claims, antitrust claims, claims related to coastwise trading matters, lawsuits involving private plaintiffs or government agencies, and environment related matters.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outside legal counsel and other information and events that may pertain to a particular matter. Predicting the outcome of claims and lawsuits and estimating related costs and exposure involves substantial uncertainties that could cause actual costs to vary materially from those estimates. In making determinations of likely outcomes of litigation matters, the Company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detailed discussion of significant litigation matters is contained in Note 14 to the Consolidated Financial Statements included in Item 8 of Part II below.</w:t>
      </w:r>
    </w:p>
    <w:p>
      <w:pPr>
        <w:spacing w:after="0" w:line="166"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b w:val="1"/>
          <w:bCs w:val="1"/>
          <w:color w:val="auto"/>
        </w:rPr>
        <w:t xml:space="preserve">Uninsured Claims and Related Liabilities: </w:t>
      </w:r>
      <w:r>
        <w:rPr>
          <w:rFonts w:ascii="Arial" w:cs="Arial" w:eastAsia="Arial" w:hAnsi="Arial"/>
          <w:sz w:val="16"/>
          <w:szCs w:val="16"/>
          <w:color w:val="auto"/>
        </w:rPr>
        <w:t>The Company is uninsured for certain claims including, but not limited to,</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health, workers’ compensation, general liability, real and personal property. Where feasible, the Company obtains third-party excess insurance coverage to limit its exposure to these claims. When estimating its uninsured claims and related liabilities, the Company considers a number of factors, including historical claims experience, demographic factors, current trends, and analyses provided by independent third-parties. Periodically, management reviews its assumptions and the analyses provided by independent third-parties to determine the adequacy of the Company’s uninsured claims and related liabilities. The Company’s uninsured claims and related liabilities contain uncertainties because management is required</w:t>
      </w:r>
    </w:p>
    <w:p>
      <w:pPr>
        <w:spacing w:after="0" w:line="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to apply judgment and make long-term assumptions to estimate the ultimate cost to settle reported claims, and of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51"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Pension and Post-Retirement Estimates: </w:t>
      </w:r>
      <w:r>
        <w:rPr>
          <w:rFonts w:ascii="Arial" w:cs="Arial" w:eastAsia="Arial" w:hAnsi="Arial"/>
          <w:sz w:val="16"/>
          <w:szCs w:val="16"/>
          <w:color w:val="auto"/>
        </w:rPr>
        <w:t>The estimation of the Company’s pension and post-retirement benefit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and liabilities requires that the 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Additionally, these unamortized gains and losses are amortized and reclassified to income (loss) over future periods.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 information about the Company’s benefit plans and assumptions used is included in Note 11 to the Consolidated Financial Statements in Item 8 of Part II below.</w:t>
      </w:r>
    </w:p>
    <w:p>
      <w:pPr>
        <w:spacing w:after="0" w:line="16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makes certain estimates and judgments in determining income tax expense for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purposes. These estimates and judgments are applied in the calculation of tax credits, tax benefits and deductions, and in the calculation of certain deferred tax assets and liabilities, which arise from differences in the timing of recognition of revenue and expense for tax and consolidated financial statement purposes. In addition, judgment is required in determining if, based on the weight of available evidence, management believes that it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is more likely than not that some portion or all of a recorded deferred tax asset would not be realized in future periods. A valuation allowance would be established if, based on the weight of available evidence, management believes that it is more likely than not that some portion or all of a recorded deferred tax asset would not be realized in future periods. Significant changes to these estimates may result in an increase or decrease to the Company’s tax provision in a subsequent period.</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recorded a valuation allowance against deferred tax assets related to accumulated operating losses of a foreign subsidiary and State net operating losses of $11.9 million at December 31, 2016, that the Company determined may not be realized in future periods.</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calculation of tax liabilities may be impacted by various factors include, but are not limited to changes in tax rates; changes in tax laws, regulations, and rulings; changes in interpretations of existing tax laws, regulations and rulings; changes in the evaluation of the Company’s ability to realize deferred tax assets including operating loss and tax credit carrryforwards. These factors could materially affect the Company’s financial condition or its future operating results.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calculation of tax liabilities involves significant judgment in estimating the impact of uncertain tax positions taken or expected to be taken with respect to the application of complex tax laws. Resolution of these uncertainties in a manner inconsistent with management’s expectations could materially affect the Company’s financial condition or its future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New Accounting Pronouncements: </w:t>
      </w:r>
      <w:r>
        <w:rPr>
          <w:rFonts w:ascii="Arial" w:cs="Arial" w:eastAsia="Arial" w:hAnsi="Arial"/>
          <w:sz w:val="18"/>
          <w:szCs w:val="18"/>
          <w:color w:val="auto"/>
        </w:rPr>
        <w:t>See Note 2 to the Consolidated Financial Statements in Item 8 of Part II below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on new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Debt and Interest Rate Risks: </w:t>
      </w:r>
      <w:r>
        <w:rPr>
          <w:rFonts w:ascii="Arial" w:cs="Arial" w:eastAsia="Arial" w:hAnsi="Arial"/>
          <w:sz w:val="18"/>
          <w:szCs w:val="18"/>
          <w:color w:val="auto"/>
        </w:rPr>
        <w:t>Matson is exposed to changes in interest rates, primarily as a result of its borrowing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activities used to maintain liquidity and to fund business operations, including borrowings under its revolving credit facility. In order to manage its exposure to changes in interest rates, Matson utilizes a balanced mix of both fixed-rate and variable-rate debt. The nature and amount of Matson’s long-term and short-term debt can be expected to fluctuate as a result of future business requirements, market conditions and other factors. Matson’s variable and fixed rate debt was $55.0 million and $683.9 million as of December 31, 2016, respectively.</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Other than in certain events of default, the Company does not have an obligation to prepay its fixed-rate debt prior to maturity and, as a result, interest rate fluctuations and the resulting changes in fair value would not have an impact on the Company’s financial condition or results of operations unless the Company was required to refinance such debt. Additional information about the Company’s debt is included in Note 8 to the Consolidated Financial Statements in Item 8 of Part II below.</w:t>
      </w:r>
    </w:p>
    <w:p>
      <w:pPr>
        <w:spacing w:after="0" w:line="18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Investment Risks: </w:t>
      </w:r>
      <w:r>
        <w:rPr>
          <w:rFonts w:ascii="Arial" w:cs="Arial" w:eastAsia="Arial" w:hAnsi="Arial"/>
          <w:sz w:val="16"/>
          <w:szCs w:val="16"/>
          <w:color w:val="auto"/>
        </w:rPr>
        <w:t>From time to time, Matson may invest its excess cash in short-term money market funds that purchase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securities or corporate debt securities, or in other deposit products allowed under Matson’s Cash Investment Policy. These money market funds and deposits maintain a weighted average maturity of less than 90 days, and accordingly, a one percent change in interest rates is not expected to have a material impact on the fair value of these investments or on interest income. The Company had a nominal amount on deposit in money market funds as of December 31, 2016.</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Through its Capital Construction Fund, the Company may, from time to time, invest in money market funds or other eligible investments. The Company’s cash deposits in the CCF at December 31, 2016 were $31.2 million.</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Foreign Currency Risks: </w:t>
      </w:r>
      <w:r>
        <w:rPr>
          <w:rFonts w:ascii="Arial" w:cs="Arial" w:eastAsia="Arial" w:hAnsi="Arial"/>
          <w:sz w:val="16"/>
          <w:szCs w:val="16"/>
          <w:color w:val="auto"/>
        </w:rPr>
        <w:t>Matson has no material exposure to foreign currency risks, although it is indirectly affected by</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currency rates to the extent that changes in rates affect tourism in Hawaii and other locations. Transactions related to its China service are primarily denominated in U.S. dollars, and therefore, a one percent change in the Chinese Yuan exchange rate would not have a material effect on the Company’s results of operations. Transactions related to Matson’s South Pacific service are primarily denominated in New Zealand dollars. However, a one percent change in the New Zealand dollar exchange rate is not expected to have a material effect on the Company’s results of operations.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6"/>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6880" w:type="dxa"/>
            <w:vAlign w:val="bottom"/>
            <w:gridSpan w:val="21"/>
          </w:tcPr>
          <w:p>
            <w:pPr>
              <w:spacing w:after="0"/>
              <w:rPr>
                <w:sz w:val="17"/>
                <w:szCs w:val="17"/>
                <w:color w:val="auto"/>
              </w:rPr>
            </w:pPr>
          </w:p>
        </w:tc>
        <w:tc>
          <w:tcPr>
            <w:tcW w:w="900" w:type="dxa"/>
            <w:vAlign w:val="bottom"/>
          </w:tcPr>
          <w:p>
            <w:pPr>
              <w:spacing w:after="0"/>
              <w:rPr>
                <w:sz w:val="17"/>
                <w:szCs w:val="17"/>
                <w:color w:val="auto"/>
              </w:rPr>
            </w:pPr>
          </w:p>
        </w:tc>
      </w:tr>
      <w:tr>
        <w:trPr>
          <w:trHeight w:val="777"/>
        </w:trPr>
        <w:tc>
          <w:tcPr>
            <w:tcW w:w="8160" w:type="dxa"/>
            <w:vAlign w:val="bottom"/>
            <w:gridSpan w:val="2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00" w:type="dxa"/>
            <w:vAlign w:val="bottom"/>
          </w:tcPr>
          <w:p>
            <w:pPr>
              <w:spacing w:after="0"/>
              <w:rPr>
                <w:sz w:val="24"/>
                <w:szCs w:val="24"/>
                <w:color w:val="auto"/>
              </w:rPr>
            </w:pPr>
          </w:p>
        </w:tc>
      </w:tr>
      <w:tr>
        <w:trPr>
          <w:trHeight w:val="446"/>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372"/>
        </w:trPr>
        <w:tc>
          <w:tcPr>
            <w:tcW w:w="8160" w:type="dxa"/>
            <w:vAlign w:val="bottom"/>
            <w:gridSpan w:val="2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Annual Report on Internal Control Over Financial Reporting</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99"/>
        </w:trPr>
        <w:tc>
          <w:tcPr>
            <w:tcW w:w="5480" w:type="dxa"/>
            <w:vAlign w:val="bottom"/>
            <w:tcBorders>
              <w:top w:val="single" w:sz="8" w:color="0000EE"/>
            </w:tcBorders>
            <w:gridSpan w:val="2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Report of Independent Registered Public Accounting Firm</w:t>
              </w:r>
            </w:hyperlink>
          </w:p>
        </w:tc>
        <w:tc>
          <w:tcPr>
            <w:tcW w:w="26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4640" w:type="dxa"/>
            <w:vAlign w:val="bottom"/>
            <w:tcBorders>
              <w:bottom w:val="single" w:sz="8" w:color="0000EE"/>
            </w:tcBorders>
            <w:gridSpan w:val="25"/>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Consolidated Statements of Income and Comprehensive Income</w:t>
              </w:r>
            </w:hyperlink>
          </w:p>
        </w:tc>
        <w:tc>
          <w:tcPr>
            <w:tcW w:w="35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99"/>
        </w:trPr>
        <w:tc>
          <w:tcPr>
            <w:tcW w:w="21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Consolidated Balance Sheets</w:t>
              </w:r>
            </w:hyperlink>
          </w:p>
        </w:tc>
        <w:tc>
          <w:tcPr>
            <w:tcW w:w="606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99"/>
        </w:trPr>
        <w:tc>
          <w:tcPr>
            <w:tcW w:w="28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Cash Flows</w:t>
              </w:r>
            </w:hyperlink>
          </w:p>
        </w:tc>
        <w:tc>
          <w:tcPr>
            <w:tcW w:w="528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99"/>
        </w:trPr>
        <w:tc>
          <w:tcPr>
            <w:tcW w:w="356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Consolidated Statements of Shareholders’ Equity</w:t>
              </w:r>
            </w:hyperlink>
          </w:p>
        </w:tc>
        <w:tc>
          <w:tcPr>
            <w:tcW w:w="460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99"/>
        </w:trPr>
        <w:tc>
          <w:tcPr>
            <w:tcW w:w="316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Notes to Consolidated Financial Statements</w:t>
              </w:r>
            </w:hyperlink>
          </w:p>
        </w:tc>
        <w:tc>
          <w:tcPr>
            <w:tcW w:w="50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99"/>
        </w:trPr>
        <w:tc>
          <w:tcPr>
            <w:tcW w:w="100" w:type="dxa"/>
            <w:vAlign w:val="bottom"/>
          </w:tcPr>
          <w:p>
            <w:pPr>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1.</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20" w:type="dxa"/>
            <w:vAlign w:val="bottom"/>
            <w:gridSpan w:val="2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Description of the 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49">
              <w:r>
                <w:rPr>
                  <w:rFonts w:ascii="Arial" w:cs="Arial" w:eastAsia="Arial" w:hAnsi="Arial"/>
                  <w:sz w:val="10"/>
                  <w:szCs w:val="10"/>
                  <w:color w:val="0000EE"/>
                  <w:w w:val="71"/>
                </w:rPr>
                <w:t>2.</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Significant Accounting Policies</w:t>
              </w:r>
            </w:hyperlink>
          </w:p>
        </w:tc>
        <w:tc>
          <w:tcPr>
            <w:tcW w:w="53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99"/>
        </w:trPr>
        <w:tc>
          <w:tcPr>
            <w:tcW w:w="100" w:type="dxa"/>
            <w:vAlign w:val="bottom"/>
          </w:tcPr>
          <w:p>
            <w:pPr>
              <w:spacing w:after="0"/>
              <w:rPr>
                <w:rFonts w:ascii="Arial" w:cs="Arial" w:eastAsia="Arial" w:hAnsi="Arial"/>
                <w:sz w:val="10"/>
                <w:szCs w:val="10"/>
                <w:color w:val="0000EE"/>
                <w:w w:val="71"/>
              </w:rPr>
            </w:pPr>
            <w:hyperlink w:anchor="page56">
              <w:r>
                <w:rPr>
                  <w:rFonts w:ascii="Arial" w:cs="Arial" w:eastAsia="Arial" w:hAnsi="Arial"/>
                  <w:sz w:val="10"/>
                  <w:szCs w:val="10"/>
                  <w:color w:val="0000EE"/>
                  <w:w w:val="71"/>
                </w:rPr>
                <w:t>3</w:t>
              </w:r>
            </w:hyperlink>
            <w:r>
              <w:rPr>
                <w:rFonts w:ascii="Arial" w:cs="Arial" w:eastAsia="Arial" w:hAnsi="Arial"/>
                <w:sz w:val="10"/>
                <w:szCs w:val="10"/>
                <w:color w:val="000000"/>
                <w:w w:val="71"/>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20" w:type="dxa"/>
            <w:vAlign w:val="bottom"/>
            <w:gridSpan w:val="2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Business Combination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59">
              <w:r>
                <w:rPr>
                  <w:rFonts w:ascii="Arial" w:cs="Arial" w:eastAsia="Arial" w:hAnsi="Arial"/>
                  <w:sz w:val="10"/>
                  <w:szCs w:val="10"/>
                  <w:color w:val="0000EE"/>
                  <w:w w:val="71"/>
                </w:rPr>
                <w:t>4.</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Investment in Terminal Joint Venture</w:t>
              </w:r>
            </w:hyperlink>
          </w:p>
        </w:tc>
        <w:tc>
          <w:tcPr>
            <w:tcW w:w="49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99"/>
        </w:trPr>
        <w:tc>
          <w:tcPr>
            <w:tcW w:w="100" w:type="dxa"/>
            <w:vAlign w:val="bottom"/>
          </w:tcPr>
          <w:p>
            <w:pPr>
              <w:spacing w:after="0"/>
              <w:rPr>
                <w:rFonts w:ascii="Arial" w:cs="Arial" w:eastAsia="Arial" w:hAnsi="Arial"/>
                <w:sz w:val="10"/>
                <w:szCs w:val="10"/>
                <w:color w:val="0000EE"/>
                <w:w w:val="71"/>
              </w:rPr>
            </w:pPr>
            <w:hyperlink w:anchor="page60">
              <w:r>
                <w:rPr>
                  <w:rFonts w:ascii="Arial" w:cs="Arial" w:eastAsia="Arial" w:hAnsi="Arial"/>
                  <w:sz w:val="10"/>
                  <w:szCs w:val="10"/>
                  <w:color w:val="0000EE"/>
                  <w:w w:val="71"/>
                </w:rPr>
                <w:t>5.</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20" w:type="dxa"/>
            <w:vAlign w:val="bottom"/>
            <w:gridSpan w:val="2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Property and Equipment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61">
              <w:r>
                <w:rPr>
                  <w:rFonts w:ascii="Arial" w:cs="Arial" w:eastAsia="Arial" w:hAnsi="Arial"/>
                  <w:sz w:val="10"/>
                  <w:szCs w:val="10"/>
                  <w:color w:val="0000EE"/>
                  <w:w w:val="71"/>
                </w:rPr>
                <w:t>6.</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Goodwill and Intangible Assets</w:t>
              </w:r>
            </w:hyperlink>
          </w:p>
        </w:tc>
        <w:tc>
          <w:tcPr>
            <w:tcW w:w="534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99"/>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62">
              <w:r>
                <w:rPr>
                  <w:rFonts w:ascii="Arial" w:cs="Arial" w:eastAsia="Arial" w:hAnsi="Arial"/>
                  <w:sz w:val="10"/>
                  <w:szCs w:val="10"/>
                  <w:color w:val="0000EE"/>
                  <w:w w:val="71"/>
                </w:rPr>
                <w:t>7.</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Capital Construction Fund</w:t>
              </w:r>
            </w:hyperlink>
          </w:p>
        </w:tc>
        <w:tc>
          <w:tcPr>
            <w:tcW w:w="56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99"/>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63">
              <w:r>
                <w:rPr>
                  <w:rFonts w:ascii="Arial" w:cs="Arial" w:eastAsia="Arial" w:hAnsi="Arial"/>
                  <w:sz w:val="10"/>
                  <w:szCs w:val="10"/>
                  <w:color w:val="0000EE"/>
                  <w:w w:val="71"/>
                </w:rPr>
                <w:t>8.</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0000EE"/>
            </w:tcBorders>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Debt</w:t>
              </w:r>
            </w:hyperlink>
          </w:p>
        </w:tc>
        <w:tc>
          <w:tcPr>
            <w:tcW w:w="7260" w:type="dxa"/>
            <w:vAlign w:val="bottom"/>
            <w:gridSpan w:val="2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99"/>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65">
              <w:r>
                <w:rPr>
                  <w:rFonts w:ascii="Arial" w:cs="Arial" w:eastAsia="Arial" w:hAnsi="Arial"/>
                  <w:sz w:val="10"/>
                  <w:szCs w:val="10"/>
                  <w:color w:val="0000EE"/>
                  <w:w w:val="71"/>
                </w:rPr>
                <w:t>9.</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w w:val="82"/>
              </w:rPr>
            </w:pPr>
            <w:hyperlink w:anchor="page65">
              <w:r>
                <w:rPr>
                  <w:rFonts w:ascii="Arial" w:cs="Arial" w:eastAsia="Arial" w:hAnsi="Arial"/>
                  <w:sz w:val="18"/>
                  <w:szCs w:val="18"/>
                  <w:color w:val="0000EE"/>
                  <w:w w:val="82"/>
                </w:rPr>
                <w:t>Leases</w:t>
              </w:r>
            </w:hyperlink>
          </w:p>
        </w:tc>
        <w:tc>
          <w:tcPr>
            <w:tcW w:w="7120" w:type="dxa"/>
            <w:vAlign w:val="bottom"/>
            <w:gridSpan w:val="2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99"/>
        </w:trPr>
        <w:tc>
          <w:tcPr>
            <w:tcW w:w="220" w:type="dxa"/>
            <w:vAlign w:val="bottom"/>
            <w:gridSpan w:val="2"/>
          </w:tcPr>
          <w:p>
            <w:pPr>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10.</w:t>
              </w:r>
            </w:hyperlink>
          </w:p>
        </w:tc>
        <w:tc>
          <w:tcPr>
            <w:tcW w:w="320" w:type="dxa"/>
            <w:vAlign w:val="bottom"/>
          </w:tcPr>
          <w:p>
            <w:pPr>
              <w:spacing w:after="0"/>
              <w:rPr>
                <w:sz w:val="24"/>
                <w:szCs w:val="24"/>
                <w:color w:val="auto"/>
              </w:rPr>
            </w:pPr>
          </w:p>
        </w:tc>
        <w:tc>
          <w:tcPr>
            <w:tcW w:w="7620" w:type="dxa"/>
            <w:vAlign w:val="bottom"/>
            <w:gridSpan w:val="2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Income Taxes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22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68">
              <w:r>
                <w:rPr>
                  <w:rFonts w:ascii="Arial" w:cs="Arial" w:eastAsia="Arial" w:hAnsi="Arial"/>
                  <w:sz w:val="18"/>
                  <w:szCs w:val="18"/>
                  <w:color w:val="0000EE"/>
                  <w:w w:val="79"/>
                </w:rPr>
                <w:t>11.</w:t>
              </w:r>
            </w:hyperlink>
          </w:p>
        </w:tc>
        <w:tc>
          <w:tcPr>
            <w:tcW w:w="320" w:type="dxa"/>
            <w:vAlign w:val="bottom"/>
          </w:tcPr>
          <w:p>
            <w:pPr>
              <w:spacing w:after="0"/>
              <w:rPr>
                <w:sz w:val="24"/>
                <w:szCs w:val="24"/>
                <w:color w:val="auto"/>
              </w:rPr>
            </w:pPr>
          </w:p>
        </w:tc>
        <w:tc>
          <w:tcPr>
            <w:tcW w:w="25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Pension and Post-Retirement Plans</w:t>
              </w:r>
            </w:hyperlink>
          </w:p>
        </w:tc>
        <w:tc>
          <w:tcPr>
            <w:tcW w:w="508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99"/>
        </w:trPr>
        <w:tc>
          <w:tcPr>
            <w:tcW w:w="220" w:type="dxa"/>
            <w:vAlign w:val="bottom"/>
            <w:gridSpan w:val="2"/>
          </w:tcPr>
          <w:p>
            <w:pPr>
              <w:spacing w:after="0"/>
              <w:rPr>
                <w:rFonts w:ascii="Arial" w:cs="Arial" w:eastAsia="Arial" w:hAnsi="Arial"/>
                <w:sz w:val="18"/>
                <w:szCs w:val="18"/>
                <w:color w:val="0000EE"/>
                <w:w w:val="79"/>
              </w:rPr>
            </w:pPr>
            <w:hyperlink w:anchor="page75">
              <w:r>
                <w:rPr>
                  <w:rFonts w:ascii="Arial" w:cs="Arial" w:eastAsia="Arial" w:hAnsi="Arial"/>
                  <w:sz w:val="18"/>
                  <w:szCs w:val="18"/>
                  <w:color w:val="0000EE"/>
                  <w:w w:val="79"/>
                </w:rPr>
                <w:t>12.</w:t>
              </w:r>
            </w:hyperlink>
          </w:p>
        </w:tc>
        <w:tc>
          <w:tcPr>
            <w:tcW w:w="320" w:type="dxa"/>
            <w:vAlign w:val="bottom"/>
          </w:tcPr>
          <w:p>
            <w:pPr>
              <w:spacing w:after="0"/>
              <w:rPr>
                <w:sz w:val="24"/>
                <w:szCs w:val="24"/>
                <w:color w:val="auto"/>
              </w:rPr>
            </w:pPr>
          </w:p>
        </w:tc>
        <w:tc>
          <w:tcPr>
            <w:tcW w:w="7620" w:type="dxa"/>
            <w:vAlign w:val="bottom"/>
            <w:gridSpan w:val="2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Multi-Employer Withdrawal Liability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99"/>
        </w:trPr>
        <w:tc>
          <w:tcPr>
            <w:tcW w:w="220" w:type="dxa"/>
            <w:vAlign w:val="bottom"/>
            <w:tcBorders>
              <w:top w:val="single" w:sz="8" w:color="0000EE"/>
            </w:tcBorders>
            <w:gridSpan w:val="2"/>
          </w:tcPr>
          <w:p>
            <w:pPr>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13.</w:t>
              </w:r>
            </w:hyperlink>
          </w:p>
        </w:tc>
        <w:tc>
          <w:tcPr>
            <w:tcW w:w="320" w:type="dxa"/>
            <w:vAlign w:val="bottom"/>
          </w:tcPr>
          <w:p>
            <w:pPr>
              <w:spacing w:after="0"/>
              <w:rPr>
                <w:sz w:val="24"/>
                <w:szCs w:val="24"/>
                <w:color w:val="auto"/>
              </w:rPr>
            </w:pPr>
          </w:p>
        </w:tc>
        <w:tc>
          <w:tcPr>
            <w:tcW w:w="2720" w:type="dxa"/>
            <w:vAlign w:val="bottom"/>
            <w:tcBorders>
              <w:top w:val="single" w:sz="8" w:color="0000EE"/>
            </w:tcBorders>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Share-Based Awards</w:t>
              </w:r>
            </w:hyperlink>
          </w:p>
        </w:tc>
        <w:tc>
          <w:tcPr>
            <w:tcW w:w="490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99"/>
        </w:trPr>
        <w:tc>
          <w:tcPr>
            <w:tcW w:w="220" w:type="dxa"/>
            <w:vAlign w:val="bottom"/>
            <w:gridSpan w:val="2"/>
          </w:tcPr>
          <w:p>
            <w:pPr>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14.</w:t>
              </w:r>
            </w:hyperlink>
          </w:p>
        </w:tc>
        <w:tc>
          <w:tcPr>
            <w:tcW w:w="320" w:type="dxa"/>
            <w:vAlign w:val="bottom"/>
          </w:tcPr>
          <w:p>
            <w:pPr>
              <w:spacing w:after="0"/>
              <w:rPr>
                <w:sz w:val="24"/>
                <w:szCs w:val="24"/>
                <w:color w:val="auto"/>
              </w:rPr>
            </w:pPr>
          </w:p>
        </w:tc>
        <w:tc>
          <w:tcPr>
            <w:tcW w:w="7620" w:type="dxa"/>
            <w:vAlign w:val="bottom"/>
            <w:gridSpan w:val="2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Commitments and Contingencies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99"/>
        </w:trPr>
        <w:tc>
          <w:tcPr>
            <w:tcW w:w="2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15.</w:t>
              </w:r>
            </w:hyperlink>
          </w:p>
        </w:tc>
        <w:tc>
          <w:tcPr>
            <w:tcW w:w="320" w:type="dxa"/>
            <w:vAlign w:val="bottom"/>
          </w:tcPr>
          <w:p>
            <w:pPr>
              <w:spacing w:after="0"/>
              <w:rPr>
                <w:sz w:val="24"/>
                <w:szCs w:val="24"/>
                <w:color w:val="auto"/>
              </w:rPr>
            </w:pPr>
          </w:p>
        </w:tc>
        <w:tc>
          <w:tcPr>
            <w:tcW w:w="15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Reportable Segments</w:t>
              </w:r>
            </w:hyperlink>
          </w:p>
        </w:tc>
        <w:tc>
          <w:tcPr>
            <w:tcW w:w="860" w:type="dxa"/>
            <w:vAlign w:val="bottom"/>
            <w:tcBorders>
              <w:top w:val="single" w:sz="8" w:color="0000EE"/>
            </w:tcBorders>
            <w:gridSpan w:val="8"/>
          </w:tcPr>
          <w:p>
            <w:pPr>
              <w:spacing w:after="0"/>
              <w:rPr>
                <w:sz w:val="24"/>
                <w:szCs w:val="24"/>
                <w:color w:val="auto"/>
              </w:rPr>
            </w:pPr>
          </w:p>
        </w:tc>
        <w:tc>
          <w:tcPr>
            <w:tcW w:w="522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99"/>
        </w:trPr>
        <w:tc>
          <w:tcPr>
            <w:tcW w:w="220" w:type="dxa"/>
            <w:vAlign w:val="bottom"/>
            <w:tcBorders>
              <w:bottom w:val="single" w:sz="8" w:color="0000EE"/>
            </w:tcBorders>
            <w:gridSpan w:val="2"/>
          </w:tcPr>
          <w:p>
            <w:pPr>
              <w:spacing w:after="0"/>
              <w:rPr>
                <w:rFonts w:ascii="Arial" w:cs="Arial" w:eastAsia="Arial" w:hAnsi="Arial"/>
                <w:sz w:val="18"/>
                <w:szCs w:val="18"/>
                <w:color w:val="0000EE"/>
                <w:w w:val="79"/>
              </w:rPr>
            </w:pPr>
            <w:hyperlink w:anchor="page80">
              <w:r>
                <w:rPr>
                  <w:rFonts w:ascii="Arial" w:cs="Arial" w:eastAsia="Arial" w:hAnsi="Arial"/>
                  <w:sz w:val="18"/>
                  <w:szCs w:val="18"/>
                  <w:color w:val="0000EE"/>
                  <w:w w:val="79"/>
                </w:rPr>
                <w:t>16.</w:t>
              </w:r>
            </w:hyperlink>
          </w:p>
        </w:tc>
        <w:tc>
          <w:tcPr>
            <w:tcW w:w="320" w:type="dxa"/>
            <w:vAlign w:val="bottom"/>
          </w:tcPr>
          <w:p>
            <w:pPr>
              <w:spacing w:after="0"/>
              <w:rPr>
                <w:sz w:val="24"/>
                <w:szCs w:val="24"/>
                <w:color w:val="auto"/>
              </w:rPr>
            </w:pPr>
          </w:p>
        </w:tc>
        <w:tc>
          <w:tcPr>
            <w:tcW w:w="252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80">
              <w:r>
                <w:rPr>
                  <w:rFonts w:ascii="Arial" w:cs="Arial" w:eastAsia="Arial" w:hAnsi="Arial"/>
                  <w:sz w:val="18"/>
                  <w:szCs w:val="18"/>
                  <w:color w:val="0000EE"/>
                  <w:w w:val="93"/>
                </w:rPr>
                <w:t>Quarterly Information (Unaudited)</w:t>
              </w:r>
            </w:hyperlink>
          </w:p>
        </w:tc>
        <w:tc>
          <w:tcPr>
            <w:tcW w:w="510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696"/>
        </w:trPr>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gridSpan w:val="22"/>
          </w:tcPr>
          <w:p>
            <w:pPr>
              <w:ind w:left="3900"/>
              <w:spacing w:after="0"/>
              <w:rPr>
                <w:sz w:val="20"/>
                <w:szCs w:val="20"/>
                <w:color w:val="auto"/>
              </w:rPr>
            </w:pPr>
            <w:r>
              <w:rPr>
                <w:rFonts w:ascii="Arial" w:cs="Arial" w:eastAsia="Arial" w:hAnsi="Arial"/>
                <w:sz w:val="18"/>
                <w:szCs w:val="18"/>
                <w:color w:val="auto"/>
                <w:w w:val="89"/>
              </w:rPr>
              <w:t>38</w:t>
            </w:r>
          </w:p>
        </w:tc>
        <w:tc>
          <w:tcPr>
            <w:tcW w:w="8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9"/>
        </w:trPr>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management of Matson, Inc. and subsidiaries (the “Company”) has the responsibility for establishing and maintaining adequate internal control over financial reporting. Internal control over financial reporting is defined in Rule 13a-15(f) and 15d-15(f)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178" w:lineRule="exact"/>
        <w:rPr>
          <w:sz w:val="20"/>
          <w:szCs w:val="20"/>
          <w:color w:val="auto"/>
        </w:rPr>
      </w:pPr>
    </w:p>
    <w:p>
      <w:pPr>
        <w:ind w:left="80" w:right="40" w:hanging="77"/>
        <w:spacing w:after="0" w:line="277" w:lineRule="auto"/>
        <w:tabs>
          <w:tab w:leader="none" w:pos="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assets of the company;</w:t>
      </w:r>
    </w:p>
    <w:p>
      <w:pPr>
        <w:spacing w:after="0" w:line="170" w:lineRule="exact"/>
        <w:rPr>
          <w:rFonts w:ascii="Arial" w:cs="Arial" w:eastAsia="Arial" w:hAnsi="Arial"/>
          <w:sz w:val="18"/>
          <w:szCs w:val="18"/>
          <w:color w:val="auto"/>
        </w:rPr>
      </w:pPr>
    </w:p>
    <w:p>
      <w:pPr>
        <w:ind w:left="80" w:right="320" w:hanging="77"/>
        <w:spacing w:after="0" w:line="259" w:lineRule="auto"/>
        <w:tabs>
          <w:tab w:leader="none" w:pos="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6" w:lineRule="exact"/>
        <w:rPr>
          <w:rFonts w:ascii="Arial" w:cs="Arial" w:eastAsia="Arial" w:hAnsi="Arial"/>
          <w:sz w:val="18"/>
          <w:szCs w:val="18"/>
          <w:color w:val="auto"/>
        </w:rPr>
      </w:pPr>
    </w:p>
    <w:p>
      <w:pPr>
        <w:ind w:left="80" w:right="60" w:hanging="77"/>
        <w:spacing w:after="0" w:line="277" w:lineRule="auto"/>
        <w:tabs>
          <w:tab w:leader="none" w:pos="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only provides reasonable assurance with respect to financial statement presentation and preparation.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2016. In making this assessment, management used the criteria set forth by the Committee of Sponsoring Organizations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its assessment,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 believes that, as of December 31, 2016, the Company’s internal control over financial reporting is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effective. The Company’s independent registered public accounting firm, Deloitte &amp; Touche LLP, has issued an attestation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report on the Company’s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Management’s assessment of and conclusion on the effectiveness of internal control over financial reporting as of</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December 31, 2016, did not include the internal controls of Span Intermediate, LLC (“Span Alaska”) because it was acquired by the Company in a business combination on August 4, 2016 (see Note 3). Span Alaska’s total assets, operating revenues and net profit before taxes represented approximately 10.0 percent, 1.2 percent, and 2.7 percent, respectively, of the related consolidated financial statements as of and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/s/ Matthew J. Cox</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 Joel M. Wine</w:t>
            </w:r>
          </w:p>
        </w:tc>
      </w:tr>
      <w:tr>
        <w:trPr>
          <w:trHeight w:val="195"/>
        </w:trPr>
        <w:tc>
          <w:tcPr>
            <w:tcW w:w="20" w:type="dxa"/>
            <w:vAlign w:val="bottom"/>
          </w:tcPr>
          <w:p>
            <w:pPr>
              <w:spacing w:after="0"/>
              <w:rPr>
                <w:sz w:val="16"/>
                <w:szCs w:val="16"/>
                <w:color w:val="auto"/>
              </w:rPr>
            </w:pPr>
          </w:p>
        </w:tc>
        <w:tc>
          <w:tcPr>
            <w:tcW w:w="3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Cox</w:t>
            </w: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Joel M. Wine</w:t>
            </w: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February 24, 2017</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February 24, 2017</w:t>
            </w:r>
          </w:p>
        </w:tc>
      </w:tr>
      <w:tr>
        <w:trPr>
          <w:trHeight w:val="87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44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35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21" w:lineRule="auto"/>
        <w:rPr>
          <w:sz w:val="20"/>
          <w:szCs w:val="20"/>
          <w:color w:val="auto"/>
        </w:rPr>
      </w:pPr>
      <w:r>
        <w:rPr>
          <w:rFonts w:ascii="Arial" w:cs="Arial" w:eastAsia="Arial" w:hAnsi="Arial"/>
          <w:sz w:val="18"/>
          <w:szCs w:val="18"/>
          <w:b w:val="1"/>
          <w:bCs w:val="1"/>
          <w:color w:val="auto"/>
        </w:rPr>
        <w:t>Matson,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Honolulu, Hawaii</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audited the accompanying consolidated balance sheets of Matson, Inc. and subsidiaries (the "Company") as of December 31, 2016 and 2015, and the related consolidated statements of income and comprehensive income, shareholders' equity, and cash flows for each of the three years in the period ended December 31, 2016. We also have audited the Company's internal control over financial reporting as of December 31, 2016, based on criteria established in Internal Control</w:t>
      </w:r>
    </w:p>
    <w:p>
      <w:pPr>
        <w:spacing w:after="0" w:line="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 Integrated Framework (2013) issued by the Committee of Sponsoring Organizations of the Treadway Commission. As described in Management’s Annual Report on Internal Control Over Financial Reporting, management excluded from its assessment the internal control over financial reporting at Span Intermediate, LLC (“Span Alaska”), which was acquired on August 4, 2016 and whose consolidated financial statements constitute 10.0 percent, 1.2 percent, and 2.7 percent of total assets, operating revenues, and net income before taxes, respectively, of the consolidated financial statement amounts as of and for the year ended December 31, 2016. Accordingly, our audit did not include the internal control over financial reporting at Span Alaska. 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these financial statements and an opinion on the Company's internal control over financial reporting based on our audits.</w:t>
      </w:r>
    </w:p>
    <w:p>
      <w:pPr>
        <w:spacing w:after="0" w:line="156"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60"/>
        <w:spacing w:after="0" w:line="228"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5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Matson, Inc. and subsidiaries as of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the criteria established in Internal Control — Integrated Framework (2013) issued by the Committee of Sponsoring Organizations of the Treadway Commission.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19" w:lineRule="auto"/>
        <w:rPr>
          <w:sz w:val="20"/>
          <w:szCs w:val="20"/>
          <w:color w:val="auto"/>
        </w:rPr>
      </w:pPr>
      <w:r>
        <w:rPr>
          <w:rFonts w:ascii="Arial" w:cs="Arial" w:eastAsia="Arial" w:hAnsi="Arial"/>
          <w:sz w:val="18"/>
          <w:szCs w:val="18"/>
          <w:color w:val="auto"/>
        </w:rPr>
        <w:t>Honolulu, Hawaii</w:t>
      </w:r>
    </w:p>
    <w:p>
      <w:pPr>
        <w:spacing w:after="0"/>
        <w:rPr>
          <w:sz w:val="20"/>
          <w:szCs w:val="20"/>
          <w:color w:val="auto"/>
        </w:rPr>
      </w:pPr>
      <w:r>
        <w:rPr>
          <w:rFonts w:ascii="Arial" w:cs="Arial" w:eastAsia="Arial" w:hAnsi="Arial"/>
          <w:sz w:val="18"/>
          <w:szCs w:val="18"/>
          <w:color w:val="auto"/>
        </w:rPr>
        <w:t>February 24, 2017</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1,541.1</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1,498.0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1,278.4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1,941.6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1,884.9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1,714.2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costs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Equity in income of related party Terminal Joint Venture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Costs and Expenses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1,788.4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1,688.6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1,574.2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7"/>
        </w:trPr>
        <w:tc>
          <w:tcPr>
            <w:tcW w:w="59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 (loss) in prior service cost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Arial" w:cs="Arial" w:eastAsia="Arial" w:hAnsi="Arial"/>
                <w:sz w:val="18"/>
                <w:szCs w:val="18"/>
                <w:color w:val="auto"/>
              </w:rPr>
              <w:t>Amortization of prior service cost included in net periodic pension cost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of net loss included in net periodic pension cost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Arial" w:cs="Arial" w:eastAsia="Arial" w:hAnsi="Arial"/>
                <w:sz w:val="18"/>
                <w:szCs w:val="18"/>
                <w:color w:val="auto"/>
              </w:rPr>
              <w:t>Foreign currency translation and other adjustments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comprehensive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Other Comprehensive Income (Loss)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Comprehensive Income</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Per-Share: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Diluted Earnings Per-Share: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per-share amount)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Investment in related party Terminal Joint Venture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Capital Construction Fund - cash on deposit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dry-docking costs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2,015.5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1,669.8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debt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Accruals and other liabilities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Employee benefit plans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Uninsured claims and related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Multi-employer withdrawal liability</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1,264.8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20" w:type="dxa"/>
            <w:vAlign w:val="bottom"/>
          </w:tcPr>
          <w:p>
            <w:pPr>
              <w:ind w:left="200"/>
              <w:spacing w:after="0" w:line="201" w:lineRule="exact"/>
              <w:rPr>
                <w:sz w:val="20"/>
                <w:szCs w:val="20"/>
                <w:color w:val="auto"/>
              </w:rPr>
            </w:pPr>
            <w:r>
              <w:rPr>
                <w:rFonts w:ascii="Arial" w:cs="Arial" w:eastAsia="Arial" w:hAnsi="Arial"/>
                <w:sz w:val="18"/>
                <w:szCs w:val="18"/>
                <w:color w:val="auto"/>
                <w:w w:val="93"/>
              </w:rPr>
              <w:t>Common stock — common stock without par value; authorized, 150.0 million shares ($0.75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4"/>
              </w:rPr>
              <w:t>stated value per share); outstanding, 42.9 million shares in 2016 and 43.5 million shares in</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2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Accumulated other comprehensive loss, net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2,015.5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1,669.8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6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12"/>
                <w:szCs w:val="12"/>
                <w:color w:val="auto"/>
              </w:rPr>
            </w:pPr>
          </w:p>
        </w:tc>
      </w:tr>
      <w:tr>
        <w:trPr>
          <w:trHeight w:val="142"/>
        </w:trPr>
        <w:tc>
          <w:tcPr>
            <w:tcW w:w="76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80.5</w:t>
            </w:r>
          </w:p>
        </w:tc>
        <w:tc>
          <w:tcPr>
            <w:tcW w:w="24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103.0</w:t>
            </w: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Reconciling adjustments: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34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97.1</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69.7</w:t>
            </w: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340"/>
              <w:spacing w:after="0" w:line="149" w:lineRule="exact"/>
              <w:rPr>
                <w:sz w:val="20"/>
                <w:szCs w:val="20"/>
                <w:color w:val="auto"/>
              </w:rPr>
            </w:pPr>
            <w:r>
              <w:rPr>
                <w:rFonts w:ascii="Arial" w:cs="Arial" w:eastAsia="Arial" w:hAnsi="Arial"/>
                <w:sz w:val="14"/>
                <w:szCs w:val="14"/>
                <w:color w:val="auto"/>
              </w:rPr>
              <w:t>Loss (gain) on disposal of property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w:t>
            </w:r>
          </w:p>
        </w:tc>
      </w:tr>
      <w:tr>
        <w:trPr>
          <w:trHeight w:val="149"/>
        </w:trPr>
        <w:tc>
          <w:tcPr>
            <w:tcW w:w="7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Post-retirement (income) expense</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w:t>
            </w:r>
          </w:p>
        </w:tc>
      </w:tr>
      <w:tr>
        <w:trPr>
          <w:trHeight w:val="149"/>
        </w:trPr>
        <w:tc>
          <w:tcPr>
            <w:tcW w:w="7660" w:type="dxa"/>
            <w:vAlign w:val="bottom"/>
          </w:tcPr>
          <w:p>
            <w:pPr>
              <w:ind w:left="340"/>
              <w:spacing w:after="0" w:line="149" w:lineRule="exact"/>
              <w:rPr>
                <w:sz w:val="20"/>
                <w:szCs w:val="20"/>
                <w:color w:val="auto"/>
              </w:rPr>
            </w:pPr>
            <w:r>
              <w:rPr>
                <w:rFonts w:ascii="Arial" w:cs="Arial" w:eastAsia="Arial" w:hAnsi="Arial"/>
                <w:sz w:val="14"/>
                <w:szCs w:val="14"/>
                <w:color w:val="auto"/>
              </w:rPr>
              <w:t>Share-based compensation expense</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Equity in income of related party Terminal Joint Venture</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(16.5)</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w:t>
            </w:r>
          </w:p>
        </w:tc>
      </w:tr>
      <w:tr>
        <w:trPr>
          <w:trHeight w:val="149"/>
        </w:trPr>
        <w:tc>
          <w:tcPr>
            <w:tcW w:w="7660" w:type="dxa"/>
            <w:vAlign w:val="bottom"/>
          </w:tcPr>
          <w:p>
            <w:pPr>
              <w:ind w:left="340"/>
              <w:spacing w:after="0" w:line="149" w:lineRule="exact"/>
              <w:rPr>
                <w:sz w:val="20"/>
                <w:szCs w:val="20"/>
                <w:color w:val="auto"/>
              </w:rPr>
            </w:pPr>
            <w:r>
              <w:rPr>
                <w:rFonts w:ascii="Arial" w:cs="Arial" w:eastAsia="Arial" w:hAnsi="Arial"/>
                <w:sz w:val="14"/>
                <w:szCs w:val="14"/>
                <w:color w:val="auto"/>
              </w:rPr>
              <w:t>Distributions from Terminal Joint Venture</w:t>
            </w:r>
          </w:p>
        </w:tc>
        <w:tc>
          <w:tcPr>
            <w:tcW w:w="1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Tax benefit from equity issuance</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340"/>
              <w:spacing w:after="0" w:line="149" w:lineRule="exact"/>
              <w:rPr>
                <w:sz w:val="20"/>
                <w:szCs w:val="20"/>
                <w:color w:val="auto"/>
              </w:rPr>
            </w:pPr>
            <w:r>
              <w:rPr>
                <w:rFonts w:ascii="Arial" w:cs="Arial" w:eastAsia="Arial" w:hAnsi="Arial"/>
                <w:sz w:val="14"/>
                <w:szCs w:val="14"/>
                <w:color w:val="auto"/>
              </w:rPr>
              <w:t>Excess tax benefit from stock-based compensation</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(0.3)</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(0.9)</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w:t>
            </w:r>
          </w:p>
        </w:tc>
      </w:tr>
      <w:tr>
        <w:trPr>
          <w:trHeight w:val="149"/>
        </w:trPr>
        <w:tc>
          <w:tcPr>
            <w:tcW w:w="7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Deferred dry-docking payments</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(25.7)</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w:t>
            </w:r>
          </w:p>
        </w:tc>
      </w:tr>
      <w:tr>
        <w:trPr>
          <w:trHeight w:val="149"/>
        </w:trPr>
        <w:tc>
          <w:tcPr>
            <w:tcW w:w="7660" w:type="dxa"/>
            <w:vAlign w:val="bottom"/>
          </w:tcPr>
          <w:p>
            <w:pPr>
              <w:ind w:left="340"/>
              <w:spacing w:after="0" w:line="149" w:lineRule="exact"/>
              <w:rPr>
                <w:sz w:val="20"/>
                <w:szCs w:val="20"/>
                <w:color w:val="auto"/>
              </w:rPr>
            </w:pPr>
            <w:r>
              <w:rPr>
                <w:rFonts w:ascii="Arial" w:cs="Arial" w:eastAsia="Arial" w:hAnsi="Arial"/>
                <w:sz w:val="14"/>
                <w:szCs w:val="14"/>
                <w:color w:val="auto"/>
              </w:rPr>
              <w:t>Deferred dry-docking amortization</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 accruals and other liabilities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(9.4)</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2"/>
                <w:szCs w:val="12"/>
                <w:color w:val="auto"/>
              </w:rPr>
            </w:pPr>
          </w:p>
        </w:tc>
      </w:tr>
      <w:tr>
        <w:trPr>
          <w:trHeight w:val="142"/>
        </w:trPr>
        <w:tc>
          <w:tcPr>
            <w:tcW w:w="76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157.8</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245.3</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165.7</w:t>
            </w:r>
          </w:p>
        </w:tc>
        <w:tc>
          <w:tcPr>
            <w:tcW w:w="120" w:type="dxa"/>
            <w:vAlign w:val="bottom"/>
            <w:tcBorders>
              <w:bottom w:val="single" w:sz="8" w:color="CCEEFF"/>
            </w:tcBorders>
          </w:tcPr>
          <w:p>
            <w:pPr>
              <w:spacing w:after="0"/>
              <w:rPr>
                <w:sz w:val="12"/>
                <w:szCs w:val="12"/>
                <w:color w:val="auto"/>
              </w:rPr>
            </w:pPr>
          </w:p>
        </w:tc>
      </w:tr>
      <w:tr>
        <w:trPr>
          <w:trHeight w:val="142"/>
        </w:trPr>
        <w:tc>
          <w:tcPr>
            <w:tcW w:w="7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Capital expenditures</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(84.9)</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(46.5)</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(27.5)</w:t>
            </w: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Capitalized vessel construction expenditure</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(94.5)</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(0.4)</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disposal of property and equipment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Cash deposits into Capital Construction Fund</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(123.4)</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(77.9)</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Withdrawals from Capital Construction Fund</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Payments for membership interests in Span Alaska, net of cash acquired</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(112.6)</w:t>
            </w: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Payments for Horizon's common stock, net of cash acquired, and other acquisitions</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2"/>
        </w:trPr>
        <w:tc>
          <w:tcPr>
            <w:tcW w:w="76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(320.7)</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(63.8)</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(50.5)</w:t>
            </w:r>
          </w:p>
        </w:tc>
        <w:tc>
          <w:tcPr>
            <w:tcW w:w="120" w:type="dxa"/>
            <w:vAlign w:val="bottom"/>
            <w:tcBorders>
              <w:bottom w:val="single" w:sz="8" w:color="CCEEFF"/>
            </w:tcBorders>
          </w:tcPr>
          <w:p>
            <w:pPr>
              <w:spacing w:after="0"/>
              <w:rPr>
                <w:sz w:val="12"/>
                <w:szCs w:val="12"/>
                <w:color w:val="auto"/>
              </w:rPr>
            </w:pPr>
          </w:p>
        </w:tc>
      </w:tr>
      <w:tr>
        <w:trPr>
          <w:trHeight w:val="142"/>
        </w:trPr>
        <w:tc>
          <w:tcPr>
            <w:tcW w:w="7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issuance of debt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Repayments of debt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(20.5)</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(20.5)</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(11.4)</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Repayment of capital leases</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Proceeds from revolving credit facility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1,103.0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588.0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Repayments of revolving credit facility</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(1,048.0)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(588.0)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Payment of financing costs</w:t>
            </w:r>
          </w:p>
        </w:tc>
        <w:tc>
          <w:tcPr>
            <w:tcW w:w="16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(0.9)</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Proceeds from issuance of common stock</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(32.2)</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(30.8)</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(28.7)</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Repurchased of common stock</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(38.0)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Tax withholding related to net share settlements of restricted stock units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Excess tax benefit from stock-based compensation</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Payments of Span Alaska debt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(81.9)</w:t>
            </w:r>
          </w:p>
        </w:tc>
        <w:tc>
          <w:tcPr>
            <w:tcW w:w="14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Payments of Horizon debt and redemption of warrants, net</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(466.0)</w:t>
            </w: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2"/>
        </w:trPr>
        <w:tc>
          <w:tcPr>
            <w:tcW w:w="76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151.3</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(449.4)</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63.7</w:t>
            </w:r>
          </w:p>
        </w:tc>
        <w:tc>
          <w:tcPr>
            <w:tcW w:w="120" w:type="dxa"/>
            <w:vAlign w:val="bottom"/>
            <w:tcBorders>
              <w:bottom w:val="single" w:sz="8" w:color="CCEEFF"/>
            </w:tcBorders>
          </w:tcPr>
          <w:p>
            <w:pPr>
              <w:spacing w:after="0"/>
              <w:rPr>
                <w:sz w:val="12"/>
                <w:szCs w:val="12"/>
                <w:color w:val="auto"/>
              </w:rPr>
            </w:pPr>
          </w:p>
        </w:tc>
      </w:tr>
      <w:tr>
        <w:trPr>
          <w:trHeight w:val="142"/>
        </w:trPr>
        <w:tc>
          <w:tcPr>
            <w:tcW w:w="7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0"/>
              <w:spacing w:after="0" w:line="149" w:lineRule="exact"/>
              <w:rPr>
                <w:sz w:val="20"/>
                <w:szCs w:val="20"/>
                <w:color w:val="auto"/>
              </w:rPr>
            </w:pPr>
            <w:r>
              <w:rPr>
                <w:rFonts w:ascii="Arial" w:cs="Arial" w:eastAsia="Arial" w:hAnsi="Arial"/>
                <w:sz w:val="14"/>
                <w:szCs w:val="14"/>
                <w:color w:val="auto"/>
              </w:rPr>
              <w:t>Net (Decrease) Increase in Cash and Cash Equivalents</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(11.6)</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(267.9)</w:t>
            </w: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178.9</w:t>
            </w: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Cash Equivalents, Beginning of the Year</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293.4</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and Cash Equivalents, End of the Year</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25.5</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293.4</w:t>
            </w:r>
          </w:p>
        </w:tc>
        <w:tc>
          <w:tcPr>
            <w:tcW w:w="120" w:type="dxa"/>
            <w:vAlign w:val="bottom"/>
            <w:tcBorders>
              <w:bottom w:val="single" w:sz="8" w:color="CCEEFF"/>
            </w:tcBorders>
          </w:tcPr>
          <w:p>
            <w:pPr>
              <w:spacing w:after="0"/>
              <w:rPr>
                <w:sz w:val="12"/>
                <w:szCs w:val="12"/>
                <w:color w:val="auto"/>
              </w:rPr>
            </w:pPr>
          </w:p>
        </w:tc>
      </w:tr>
      <w:tr>
        <w:trPr>
          <w:trHeight w:val="149"/>
        </w:trPr>
        <w:tc>
          <w:tcPr>
            <w:tcW w:w="7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0"/>
              <w:spacing w:after="0" w:line="149" w:lineRule="exact"/>
              <w:rPr>
                <w:sz w:val="20"/>
                <w:szCs w:val="20"/>
                <w:color w:val="auto"/>
              </w:rPr>
            </w:pPr>
            <w:r>
              <w:rPr>
                <w:rFonts w:ascii="Arial" w:cs="Arial" w:eastAsia="Arial" w:hAnsi="Arial"/>
                <w:sz w:val="14"/>
                <w:szCs w:val="14"/>
                <w:color w:val="auto"/>
              </w:rPr>
              <w:t>Supplemental Cash Flow Information: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paid, net of capitalized interest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20"/>
              <w:spacing w:after="0" w:line="149" w:lineRule="exact"/>
              <w:rPr>
                <w:sz w:val="20"/>
                <w:szCs w:val="20"/>
                <w:color w:val="auto"/>
              </w:rPr>
            </w:pPr>
            <w:r>
              <w:rPr>
                <w:rFonts w:ascii="Arial" w:cs="Arial" w:eastAsia="Arial" w:hAnsi="Arial"/>
                <w:sz w:val="14"/>
                <w:szCs w:val="14"/>
                <w:color w:val="auto"/>
              </w:rPr>
              <w:t>Income tax paid</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c>
          <w:tcPr>
            <w:tcW w:w="24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220" w:type="dxa"/>
            <w:vAlign w:val="bottom"/>
          </w:tcPr>
          <w:p>
            <w:pPr>
              <w:spacing w:after="0"/>
              <w:rPr>
                <w:sz w:val="12"/>
                <w:szCs w:val="12"/>
                <w:color w:val="auto"/>
              </w:rPr>
            </w:pP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30.2</w:t>
            </w: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7660" w:type="dxa"/>
            <w:vAlign w:val="bottom"/>
          </w:tcPr>
          <w:p>
            <w:pPr>
              <w:ind w:left="20"/>
              <w:spacing w:after="0" w:line="149" w:lineRule="exact"/>
              <w:rPr>
                <w:sz w:val="20"/>
                <w:szCs w:val="20"/>
                <w:color w:val="auto"/>
              </w:rPr>
            </w:pPr>
            <w:r>
              <w:rPr>
                <w:rFonts w:ascii="Arial" w:cs="Arial" w:eastAsia="Arial" w:hAnsi="Arial"/>
                <w:sz w:val="14"/>
                <w:szCs w:val="14"/>
                <w:color w:val="auto"/>
              </w:rPr>
              <w:t>Non-cash Information:</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Capital expenditures included in accounts payable, accruals and other liabilities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r>
      <w:tr>
        <w:trPr>
          <w:trHeight w:val="182"/>
        </w:trPr>
        <w:tc>
          <w:tcPr>
            <w:tcW w:w="7660" w:type="dxa"/>
            <w:vAlign w:val="bottom"/>
          </w:tcPr>
          <w:p>
            <w:pPr>
              <w:ind w:left="220"/>
              <w:spacing w:after="0"/>
              <w:rPr>
                <w:sz w:val="20"/>
                <w:szCs w:val="20"/>
                <w:color w:val="auto"/>
              </w:rPr>
            </w:pPr>
            <w:r>
              <w:rPr>
                <w:rFonts w:ascii="Arial" w:cs="Arial" w:eastAsia="Arial" w:hAnsi="Arial"/>
                <w:sz w:val="14"/>
                <w:szCs w:val="14"/>
                <w:color w:val="auto"/>
              </w:rPr>
              <w:t>Capital lease obligations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bl>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61225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40" w:top="125" w:right="75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 xml:space="preserve">MATSON, INC. AND SUBSIDIARIES CONSOLIDATED STATEMENTS OF SHAREHOLDERS’ EQUITY For the three years ended December 31, 2016 </w:t>
      </w:r>
      <w:r>
        <w:rPr>
          <w:rFonts w:ascii="Arial" w:cs="Arial" w:eastAsia="Arial" w:hAnsi="Arial"/>
          <w:sz w:val="18"/>
          <w:szCs w:val="18"/>
          <w:color w:val="auto"/>
        </w:rPr>
        <w:t>(In millions, except per-share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6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4"/>
                <w:szCs w:val="14"/>
                <w:color w:val="auto"/>
              </w:rPr>
            </w:pPr>
          </w:p>
        </w:tc>
        <w:tc>
          <w:tcPr>
            <w:tcW w:w="108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Stated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Paid In</w:t>
            </w:r>
          </w:p>
        </w:tc>
        <w:tc>
          <w:tcPr>
            <w:tcW w:w="140" w:type="dxa"/>
            <w:vAlign w:val="bottom"/>
          </w:tcPr>
          <w:p>
            <w:pPr>
              <w:spacing w:after="0"/>
              <w:rPr>
                <w:sz w:val="10"/>
                <w:szCs w:val="10"/>
                <w:color w:val="auto"/>
              </w:rPr>
            </w:pPr>
          </w:p>
        </w:tc>
        <w:tc>
          <w:tcPr>
            <w:tcW w:w="9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7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$ 32.1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 net of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Excess tax benefit and share withholding</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Shares issued</w:t>
            </w: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($0.66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240" w:type="dxa"/>
            <w:vAlign w:val="bottom"/>
            <w:gridSpan w:val="2"/>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Other comprehensive income, net of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 and share withholding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Shares repurchased</w:t>
            </w: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($0.70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240" w:type="dxa"/>
            <w:vAlign w:val="bottom"/>
            <w:gridSpan w:val="2"/>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177.0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Other comprehensive income, net of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 and share withholding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 issued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Shares repurchased</w:t>
            </w:r>
          </w:p>
        </w:tc>
        <w:tc>
          <w:tcPr>
            <w:tcW w:w="420" w:type="dxa"/>
            <w:vAlign w:val="bottom"/>
          </w:tcPr>
          <w:p>
            <w:pPr>
              <w:jc w:val="right"/>
              <w:spacing w:after="0"/>
              <w:rPr>
                <w:sz w:val="20"/>
                <w:szCs w:val="20"/>
                <w:color w:val="auto"/>
              </w:rPr>
            </w:pPr>
            <w:r>
              <w:rPr>
                <w:rFonts w:ascii="Arial" w:cs="Arial" w:eastAsia="Arial" w:hAnsi="Arial"/>
                <w:sz w:val="18"/>
                <w:szCs w:val="18"/>
                <w:color w:val="auto"/>
              </w:rPr>
              <w:t>(0.9)</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($0.74 per share)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$ 32.1</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195.7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MATSON,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80" w:hanging="677"/>
        <w:spacing w:after="0"/>
        <w:tabs>
          <w:tab w:leader="none" w:pos="6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Matson, Inc., a holding company incorporated in January 2012 in the State of Hawaii, and its subsidiaries (“Matson” or the “Company”), is a leading provider of ocean transportation and logistics services. The Company consists of two segments, Ocean Transportation and Logistics. For financial information by segment for the three years ended December 31, 2016, see Note 15.</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Ocean Transportation: </w:t>
      </w:r>
      <w:r>
        <w:rPr>
          <w:rFonts w:ascii="Arial" w:cs="Arial" w:eastAsia="Arial" w:hAnsi="Arial"/>
          <w:sz w:val="17"/>
          <w:szCs w:val="17"/>
          <w:color w:val="auto"/>
        </w:rPr>
        <w:t>Matson’s Ocean Transportation business is conducted through Matson Navigation Company, Inc.</w:t>
      </w:r>
      <w:r>
        <w:rPr>
          <w:rFonts w:ascii="Arial" w:cs="Arial" w:eastAsia="Arial" w:hAnsi="Arial"/>
          <w:sz w:val="17"/>
          <w:szCs w:val="17"/>
          <w:i w:val="1"/>
          <w:iCs w:val="1"/>
          <w:color w:val="auto"/>
        </w:rPr>
        <w:t xml:space="preserve"> </w:t>
      </w:r>
      <w:r>
        <w:rPr>
          <w:rFonts w:ascii="Arial" w:cs="Arial" w:eastAsia="Arial" w:hAnsi="Arial"/>
          <w:sz w:val="17"/>
          <w:szCs w:val="17"/>
          <w:color w:val="auto"/>
        </w:rPr>
        <w:t>(“MatNav”), a wholly-owned subsidiary of Matson, Inc. Founded in 1882, MatNav provides a vital lifeline of ocean freight transportation services to the domestic non-contiguous economies of Hawaii, Alaska and Guam, and to other island economies in Micronesia. MatNav also operates a premium, expedited service from China to Long Beach, California, and provides services to various islands in the South Pacific. In addition, subsidiaries of MatNav provide container stevedoring, container equipment maintenance and other terminal services for MatNav and other ocean carriers on the Hawaiian islands of Oahu, Hawaii, Maui and Kauai, and in the Alaska locations of Anchorage, Kodiak and Dutch Harbor. Matson’s fleet of 22 owned vessels and five chartered vessels includes containerships, combination container and roll-on/roll-off ships and custom-designed barges.</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Matson has a 35 percent ownership interest in SSA Terminals, LLC (“SSAT”), a joint venture between Matson Ventures, Inc., a wholly-owned subsidiary of MatNav, and SSA Ventures, Inc. (“SSA”), a subsidiary of Carrix, Inc. SSAT provides terminal and stevedoring services to various carriers at six terminal facilities on the U.S. West Coast, including to MatNav at three of those facilities (“Terminal Joint Venture”). Matson records its share of income in the Terminal Joint Venture in operating costs in the Consolidated Statements of Income and Comprehensive Income, and within the Ocean Transportation segment due to the nature of SSAT’s operations.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 xml:space="preserve">Logistics: </w:t>
      </w:r>
      <w:r>
        <w:rPr>
          <w:rFonts w:ascii="Arial" w:cs="Arial" w:eastAsia="Arial" w:hAnsi="Arial"/>
          <w:sz w:val="17"/>
          <w:szCs w:val="17"/>
          <w:color w:val="auto"/>
        </w:rPr>
        <w:t>Matson’s Logistics business is conducted through Matson Logistics, Inc. (“Matson Logistics”), a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of MatNav. Established in 1987, Matson Logistics is an asset-light business that provides a variety of logistic services to its customers including: (i) multimodal transportation brokerage of domestic and international rail intermodal services, long-haul and regional highway trucking services, specialized hauling, flat-bed and project services, less-than-truckload services, and expedited freight services (collectively “Transportation Brokerage Services”); (ii) less-than-container load consolidation (“LCL”) and freight forwarding services (collectively “Freight Forwarding Services”); (iii) warehousing and distribution services; and (iv) supply chain management and other services.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Recent Acquisitions: </w:t>
      </w:r>
      <w:r>
        <w:rPr>
          <w:rFonts w:ascii="Arial" w:cs="Arial" w:eastAsia="Arial" w:hAnsi="Arial"/>
          <w:sz w:val="18"/>
          <w:szCs w:val="18"/>
          <w:color w:val="auto"/>
        </w:rPr>
        <w:t>On August 4, 2016, Matson Logistics completed its acquisition of Span Intermediate, LLC (“Span</w:t>
      </w:r>
      <w:r>
        <w:rPr>
          <w:rFonts w:ascii="Arial" w:cs="Arial" w:eastAsia="Arial" w:hAnsi="Arial"/>
          <w:sz w:val="18"/>
          <w:szCs w:val="18"/>
          <w:i w:val="1"/>
          <w:iCs w:val="1"/>
          <w:color w:val="auto"/>
        </w:rPr>
        <w:t xml:space="preserve"> </w:t>
      </w:r>
      <w:r>
        <w:rPr>
          <w:rFonts w:ascii="Arial" w:cs="Arial" w:eastAsia="Arial" w:hAnsi="Arial"/>
          <w:sz w:val="18"/>
          <w:szCs w:val="18"/>
          <w:color w:val="auto"/>
        </w:rPr>
        <w:t>Alaska”), a market leading provider of LCL consolidation and freight forwarding services to Alaska (the “Span Alaska Acquisition”). On May 29, 2015, Matson completed its acquisition of Horizon Lines, Inc. (“Horizon”). As a result, Matson acquired Horizon’s Alaska operations and assumed all of Horizon’s non-Hawaii assets and liabilities (the “Horizon Acquisition”) (see Note 3).</w:t>
      </w:r>
    </w:p>
    <w:p>
      <w:pPr>
        <w:spacing w:after="0" w:line="184" w:lineRule="exact"/>
        <w:rPr>
          <w:sz w:val="20"/>
          <w:szCs w:val="20"/>
          <w:color w:val="auto"/>
        </w:rPr>
      </w:pPr>
    </w:p>
    <w:p>
      <w:pPr>
        <w:ind w:left="680" w:hanging="677"/>
        <w:spacing w:after="0"/>
        <w:tabs>
          <w:tab w:leader="none" w:pos="6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Matson, Inc. and all wholly-owned subsidiaries, after elimination of significant intercompany amounts and transactions. Significant investments in businesses, partnerships, and limited liability companies in which the Company does not have a controlling financial interest, but has the ability to exercise significant influence, are accounted for under the equity method. A controlling financial interest is one in which the Company has a majority voting interest or one in which the Company is the primary beneficiary of a variable interest entity. The Company accounts for its investment in the Terminal Joint Venture using the equity method of accounting (see Note 4). The Consolidated Financial Statements include the accounts and activities of Horizon from acquisition date on May 29, 2015, and Span Alaska from acquisition date on August 4, 2016 (see Note 3).</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Fiscal Year: </w:t>
      </w:r>
      <w:r>
        <w:rPr>
          <w:rFonts w:ascii="Arial" w:cs="Arial" w:eastAsia="Arial" w:hAnsi="Arial"/>
          <w:sz w:val="18"/>
          <w:szCs w:val="18"/>
          <w:color w:val="auto"/>
        </w:rPr>
        <w:t>The period end for Matson, Inc. is December 31. The period end for MatNav occurred on the last Friday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except for Matson Logistics Warehousing, Inc. whose period closed on December 31. Included in these Consolidated Financial Statements are 53 weeks in the 2016 fiscal year, and 52 weeks in the 2015 and 2014 fiscal years for MatNav.</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i w:val="1"/>
          <w:iCs w:val="1"/>
          <w:color w:val="auto"/>
        </w:rPr>
        <w:t xml:space="preserve">Foreign Currency Transactions: </w:t>
      </w:r>
      <w:r>
        <w:rPr>
          <w:rFonts w:ascii="Arial" w:cs="Arial" w:eastAsia="Arial" w:hAnsi="Arial"/>
          <w:sz w:val="18"/>
          <w:szCs w:val="18"/>
          <w:color w:val="auto"/>
        </w:rPr>
        <w:t>The United States (U.S.) dollar is the functional currency for substantially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of the Company’s foreign subsidiaries. Foreign currency denominated assets and liabilities of the Company’s foreign subsidiaries are translated into U.S. dollars at exchange rates existing at the respective balance sheet dates. Translation adjustments resulting from fluctuations in exchange rates are recorded as a component of Accumulated Other Comprehensive Loss within shareholders’ equity. The Company translates the result of operations of its foreign subsidiaries at the average exchange rate during the respective periods. Gains and losses resulting from foreign currency transactions are included in selling, general and administrative costs in the Consolidated Statements of Income and Comprehensive Income.</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the Consolidated Financial Statements in conformity with accounting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accepted in the U.S. requires management to make estimates and assumptions that affect the amounts reported. Estimates and assumptions are used for, but not limited to: impairment of investments, long-lived vessel and equipment impairment, capitalized interest, allowance for doubtful accounts, goodwill and other finite-lived intangible assets impairment, legal contingencies, uninsured liabilities, accrual estimates, pension and post-retirement estimates, multi-employer withdrawal liabilities, and income taxes. Future results could be materially affected if actual results differ from these estimates and assumptions.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Reclassification: </w:t>
      </w:r>
      <w:r>
        <w:rPr>
          <w:rFonts w:ascii="Arial" w:cs="Arial" w:eastAsia="Arial" w:hAnsi="Arial"/>
          <w:sz w:val="18"/>
          <w:szCs w:val="18"/>
          <w:color w:val="auto"/>
        </w:rPr>
        <w:t>Other receivables of $21.5 million have been reclassified from net accounts receivable to prepaid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assets in the Company’s Consolidated Balance Sheet at December 31, 2015 to conform to the current year presentation.</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equivalents consist of highly liquid investments with an original maturity of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at the date of purchase. The Company carries these investments at cost, which approximates fair value. Outstanding checks in excess of funds on deposit totaled $21.3 million and $13.8 million at December 31, 2016 and 2015, respectively, and are reflected as current liabilities in the consolidated balance sheets.</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The Company values its financial instruments based on the fair value hierarchy of</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techniques for fair value measurements. Level 1 inputs are unadjusted, quoted prices in active markets for identical assets or liabilities at the measurement date. Level 2 inputs include quoted prices for similar assets and liabilities in active markets and inputs other than quoted prices observable for the asset or liability. Level 3 inputs are unobservable inputs for the asset or liability. If the technique used to measure fair value includes inputs from multiple levels of the fair value hierarchy, the lowest level of significant input determines the placement of the entire fair value measurement in the hierarchy.</w:t>
      </w:r>
    </w:p>
    <w:p>
      <w:pPr>
        <w:spacing w:after="0" w:line="165"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The Company uses Level 1 inputs for the fair values of its cash and cash equivalents, and Level 2 inputs for its accounts receivable, capital construction fund – cash on deposit, and variable and fixed rate debt. The fair values of cash and cash equivalents, accounts receivable and variable rate debt approximate their carrying values due to the nature of the instruments. The fair value of fixed rate debt is calculated based upon interest rates available for debt with terms and maturities similar to the Company’s existing debt arrangements. The carrying value and fair value of the Company’s financial instruments as of December 31, 2016 and 2015 are as follows (in millions).</w:t>
      </w:r>
    </w:p>
    <w:tbl>
      <w:tblPr>
        <w:tblLayout w:type="fixed"/>
        <w:tblInd w:w="0" w:type="dxa"/>
        <w:tblCellMar>
          <w:top w:w="0" w:type="dxa"/>
          <w:left w:w="0" w:type="dxa"/>
          <w:bottom w:w="0" w:type="dxa"/>
          <w:right w:w="0" w:type="dxa"/>
        </w:tblCellMar>
      </w:tblPr>
      <w:tr>
        <w:trPr>
          <w:trHeight w:val="141"/>
        </w:trPr>
        <w:tc>
          <w:tcPr>
            <w:tcW w:w="2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2"/>
          </w:tcPr>
          <w:p>
            <w:pPr>
              <w:jc w:val="center"/>
              <w:ind w:left="2"/>
              <w:spacing w:after="0" w:line="141" w:lineRule="exact"/>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2"/>
                <w:szCs w:val="12"/>
                <w:color w:val="auto"/>
              </w:rPr>
            </w:pPr>
          </w:p>
        </w:tc>
        <w:tc>
          <w:tcPr>
            <w:tcW w:w="1260" w:type="dxa"/>
            <w:vAlign w:val="bottom"/>
          </w:tcPr>
          <w:p>
            <w:pPr>
              <w:jc w:val="center"/>
              <w:ind w:right="135"/>
              <w:spacing w:after="0" w:line="141" w:lineRule="exact"/>
              <w:rPr>
                <w:sz w:val="20"/>
                <w:szCs w:val="20"/>
                <w:color w:val="auto"/>
              </w:rPr>
            </w:pPr>
            <w:r>
              <w:rPr>
                <w:rFonts w:ascii="Arial" w:cs="Arial" w:eastAsia="Arial" w:hAnsi="Arial"/>
                <w:sz w:val="14"/>
                <w:szCs w:val="14"/>
                <w:b w:val="1"/>
                <w:bCs w:val="1"/>
                <w:color w:val="auto"/>
                <w:w w:val="94"/>
              </w:rPr>
              <w:t>Significant</w:t>
            </w:r>
          </w:p>
        </w:tc>
        <w:tc>
          <w:tcPr>
            <w:tcW w:w="260" w:type="dxa"/>
            <w:vAlign w:val="bottom"/>
          </w:tcPr>
          <w:p>
            <w:pPr>
              <w:spacing w:after="0"/>
              <w:rPr>
                <w:sz w:val="12"/>
                <w:szCs w:val="12"/>
                <w:color w:val="auto"/>
              </w:rPr>
            </w:pPr>
          </w:p>
        </w:tc>
        <w:tc>
          <w:tcPr>
            <w:tcW w:w="94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Active Markets</w:t>
            </w:r>
          </w:p>
        </w:tc>
        <w:tc>
          <w:tcPr>
            <w:tcW w:w="240" w:type="dxa"/>
            <w:vAlign w:val="bottom"/>
          </w:tcPr>
          <w:p>
            <w:pPr>
              <w:spacing w:after="0"/>
              <w:rPr>
                <w:sz w:val="12"/>
                <w:szCs w:val="12"/>
                <w:color w:val="auto"/>
              </w:rPr>
            </w:pPr>
          </w:p>
        </w:tc>
        <w:tc>
          <w:tcPr>
            <w:tcW w:w="1260" w:type="dxa"/>
            <w:vAlign w:val="bottom"/>
          </w:tcPr>
          <w:p>
            <w:pPr>
              <w:jc w:val="center"/>
              <w:ind w:right="155"/>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Carrying 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center"/>
              <w:ind w:right="192"/>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93"/>
              </w:rPr>
              <w:t>Inputs (Level 2)</w:t>
            </w:r>
          </w:p>
        </w:tc>
        <w:tc>
          <w:tcPr>
            <w:tcW w:w="1200" w:type="dxa"/>
            <w:vAlign w:val="bottom"/>
            <w:gridSpan w:val="4"/>
          </w:tcPr>
          <w:p>
            <w:pPr>
              <w:ind w:left="12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142"/>
        </w:trPr>
        <w:tc>
          <w:tcPr>
            <w:tcW w:w="26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December 31, 2016</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3060" w:type="dxa"/>
            <w:vAlign w:val="bottom"/>
            <w:tcBorders>
              <w:top w:val="single" w:sz="8" w:color="auto"/>
              <w:bottom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w w:val="95"/>
              </w:rPr>
              <w:t>Fair Value Measurements at December 31, 2016</w:t>
            </w:r>
          </w:p>
        </w:tc>
        <w:tc>
          <w:tcPr>
            <w:tcW w:w="8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189.5</w:t>
            </w:r>
          </w:p>
        </w:tc>
        <w:tc>
          <w:tcPr>
            <w:tcW w:w="3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189.5</w:t>
            </w:r>
          </w:p>
        </w:tc>
        <w:tc>
          <w:tcPr>
            <w:tcW w:w="260" w:type="dxa"/>
            <w:vAlign w:val="bottom"/>
          </w:tcPr>
          <w:p>
            <w:pPr>
              <w:spacing w:after="0"/>
              <w:rPr>
                <w:sz w:val="18"/>
                <w:szCs w:val="18"/>
                <w:color w:val="auto"/>
              </w:rPr>
            </w:pP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Capital Construction Fund - cash</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on deposit</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Variable rate debt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w:t>
            </w:r>
          </w:p>
        </w:tc>
        <w:tc>
          <w:tcPr>
            <w:tcW w:w="3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55.0</w:t>
            </w:r>
          </w:p>
        </w:tc>
        <w:tc>
          <w:tcPr>
            <w:tcW w:w="260" w:type="dxa"/>
            <w:vAlign w:val="bottom"/>
          </w:tcPr>
          <w:p>
            <w:pPr>
              <w:spacing w:after="0"/>
              <w:rPr>
                <w:sz w:val="18"/>
                <w:szCs w:val="18"/>
                <w:color w:val="auto"/>
              </w:rPr>
            </w:pP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685.2</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26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2015</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5"/>
              </w:rPr>
              <w:t>Fair Value Measurements at December 31, 2015</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192.8</w:t>
            </w:r>
          </w:p>
        </w:tc>
        <w:tc>
          <w:tcPr>
            <w:tcW w:w="360" w:type="dxa"/>
            <w:vAlign w:val="bottom"/>
          </w:tcPr>
          <w:p>
            <w:pPr>
              <w:spacing w:after="0"/>
              <w:rPr>
                <w:sz w:val="18"/>
                <w:szCs w:val="18"/>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192.8</w:t>
            </w:r>
          </w:p>
        </w:tc>
        <w:tc>
          <w:tcPr>
            <w:tcW w:w="260" w:type="dxa"/>
            <w:vAlign w:val="bottom"/>
          </w:tcPr>
          <w:p>
            <w:pPr>
              <w:spacing w:after="0"/>
              <w:rPr>
                <w:sz w:val="18"/>
                <w:szCs w:val="18"/>
                <w:color w:val="auto"/>
              </w:rPr>
            </w:pPr>
          </w:p>
        </w:tc>
        <w:tc>
          <w:tcPr>
            <w:tcW w:w="940" w:type="dxa"/>
            <w:vAlign w:val="bottom"/>
            <w:gridSpan w:val="3"/>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443.8</w:t>
            </w: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64"/>
        </w:trPr>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ind w:right="352"/>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represents amounts due from trade customers arising in the normal course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Accounts receivable are shown net of allowance for doubtful accounts receivable in the Consolidated Balance Sheets. At December 31, 2016, and 2015, the Company had assigned $174.7 million and $176.6 million of eligible accounts receivable, respectively, to the Capital Construction Fund (see Note 7).</w:t>
      </w:r>
    </w:p>
    <w:p>
      <w:pPr>
        <w:spacing w:after="0" w:line="18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Allowance for Doubtful Accounts</w:t>
      </w:r>
      <w:r>
        <w:rPr>
          <w:rFonts w:ascii="Arial" w:cs="Arial" w:eastAsia="Arial" w:hAnsi="Arial"/>
          <w:sz w:val="18"/>
          <w:szCs w:val="18"/>
          <w:color w:val="auto"/>
        </w:rPr>
        <w:t>: Allowances for doubtful accounts receivable are established by management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of collectability. Estimates of collectability are principally based on an evaluation of the current financial condition of the Company’s customers and potential risks to collection, payment history and other factors which are regularly monitored by the Company. The changes in the allowance for doubtful accounts receivable for the three years ended December 31, 2016 were as follows (in millions):</w:t>
      </w:r>
    </w:p>
    <w:tbl>
      <w:tblPr>
        <w:tblLayout w:type="fixed"/>
        <w:tblInd w:w="0" w:type="dxa"/>
        <w:tblCellMar>
          <w:top w:w="0" w:type="dxa"/>
          <w:left w:w="0" w:type="dxa"/>
          <w:bottom w:w="0" w:type="dxa"/>
          <w:right w:w="0" w:type="dxa"/>
        </w:tblCellMar>
      </w:tblPr>
      <w:tr>
        <w:trPr>
          <w:trHeight w:val="143"/>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174"/>
              <w:spacing w:after="0" w:line="143" w:lineRule="exact"/>
              <w:rPr>
                <w:sz w:val="20"/>
                <w:szCs w:val="20"/>
                <w:color w:val="auto"/>
              </w:rPr>
            </w:pPr>
            <w:r>
              <w:rPr>
                <w:rFonts w:ascii="Arial" w:cs="Arial" w:eastAsia="Arial" w:hAnsi="Arial"/>
                <w:sz w:val="14"/>
                <w:szCs w:val="14"/>
                <w:b w:val="1"/>
                <w:bCs w:val="1"/>
                <w:color w:val="auto"/>
                <w:w w:val="99"/>
              </w:rPr>
              <w:t>Balance at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4"/>
              <w:spacing w:after="0" w:line="143" w:lineRule="exact"/>
              <w:rPr>
                <w:sz w:val="20"/>
                <w:szCs w:val="20"/>
                <w:color w:val="auto"/>
              </w:rPr>
            </w:pPr>
            <w:r>
              <w:rPr>
                <w:rFonts w:ascii="Arial" w:cs="Arial" w:eastAsia="Arial" w:hAnsi="Arial"/>
                <w:sz w:val="14"/>
                <w:szCs w:val="14"/>
                <w:b w:val="1"/>
                <w:bCs w:val="1"/>
                <w:color w:val="auto"/>
                <w:w w:val="90"/>
              </w:rPr>
              <w:t>Expense</w:t>
            </w:r>
          </w:p>
        </w:tc>
        <w:tc>
          <w:tcPr>
            <w:tcW w:w="160" w:type="dxa"/>
            <w:vAlign w:val="bottom"/>
          </w:tcPr>
          <w:p>
            <w:pPr>
              <w:spacing w:after="0"/>
              <w:rPr>
                <w:sz w:val="12"/>
                <w:szCs w:val="12"/>
                <w:color w:val="auto"/>
              </w:rPr>
            </w:pPr>
          </w:p>
        </w:tc>
        <w:tc>
          <w:tcPr>
            <w:tcW w:w="74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Write-offs</w:t>
            </w:r>
          </w:p>
        </w:tc>
        <w:tc>
          <w:tcPr>
            <w:tcW w:w="140" w:type="dxa"/>
            <w:vAlign w:val="bottom"/>
          </w:tcPr>
          <w:p>
            <w:pPr>
              <w:spacing w:after="0"/>
              <w:rPr>
                <w:sz w:val="12"/>
                <w:szCs w:val="12"/>
                <w:color w:val="auto"/>
              </w:rPr>
            </w:pPr>
          </w:p>
        </w:tc>
        <w:tc>
          <w:tcPr>
            <w:tcW w:w="840" w:type="dxa"/>
            <w:vAlign w:val="bottom"/>
            <w:gridSpan w:val="3"/>
          </w:tcPr>
          <w:p>
            <w:pPr>
              <w:jc w:val="center"/>
              <w:ind w:right="40"/>
              <w:spacing w:after="0" w:line="143"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Beginning of Year</w:t>
            </w:r>
          </w:p>
        </w:tc>
        <w:tc>
          <w:tcPr>
            <w:tcW w:w="1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(Recovery)</w:t>
            </w:r>
          </w:p>
        </w:tc>
        <w:tc>
          <w:tcPr>
            <w:tcW w:w="1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and Other</w:t>
            </w:r>
          </w:p>
        </w:tc>
        <w:tc>
          <w:tcPr>
            <w:tcW w:w="14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End of Year</w:t>
            </w: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 (1)</w:t>
            </w:r>
          </w:p>
        </w:tc>
        <w:tc>
          <w:tcPr>
            <w:tcW w:w="2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2015</w:t>
            </w:r>
          </w:p>
        </w:tc>
        <w:tc>
          <w:tcPr>
            <w:tcW w:w="2720" w:type="dxa"/>
            <w:vAlign w:val="bottom"/>
          </w:tcPr>
          <w:p>
            <w:pPr>
              <w:spacing w:after="0"/>
              <w:rPr>
                <w:sz w:val="18"/>
                <w:szCs w:val="18"/>
                <w:color w:val="auto"/>
              </w:rPr>
            </w:pP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440" w:type="dxa"/>
            <w:vAlign w:val="bottom"/>
            <w:gridSpan w:val="2"/>
          </w:tcPr>
          <w:p>
            <w:pPr>
              <w:jc w:val="right"/>
              <w:ind w:right="12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4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40" w:hanging="337"/>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2016 expense includes amounts recovered from previously reserved doubtful accounts.</w:t>
      </w:r>
    </w:p>
    <w:p>
      <w:pPr>
        <w:spacing w:after="0" w:line="208"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i w:val="1"/>
          <w:iCs w:val="1"/>
          <w:color w:val="auto"/>
        </w:rPr>
        <w:t xml:space="preserve">Prepaid Expenses and Other Assets: </w:t>
      </w:r>
      <w:r>
        <w:rPr>
          <w:rFonts w:ascii="Arial" w:cs="Arial" w:eastAsia="Arial" w:hAnsi="Arial"/>
          <w:sz w:val="18"/>
          <w:szCs w:val="18"/>
          <w:color w:val="auto"/>
        </w:rPr>
        <w:t>Prepaid expenses and other assets consist of the following at December 31, 2016 and</w:t>
      </w:r>
      <w:r>
        <w:rPr>
          <w:rFonts w:ascii="Arial" w:cs="Arial" w:eastAsia="Arial" w:hAnsi="Arial"/>
          <w:sz w:val="18"/>
          <w:szCs w:val="18"/>
          <w:i w:val="1"/>
          <w:iCs w:val="1"/>
          <w:color w:val="auto"/>
        </w:rPr>
        <w:t xml:space="preserve"> </w:t>
      </w:r>
      <w:r>
        <w:rPr>
          <w:rFonts w:ascii="Arial" w:cs="Arial" w:eastAsia="Arial" w:hAnsi="Arial"/>
          <w:sz w:val="18"/>
          <w:szCs w:val="18"/>
          <w:color w:val="auto"/>
        </w:rPr>
        <w:t>2015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00" w:type="dxa"/>
            <w:vAlign w:val="bottom"/>
            <w:vMerge w:val="restart"/>
          </w:tcPr>
          <w:p>
            <w:pPr>
              <w:spacing w:after="0"/>
              <w:rPr>
                <w:sz w:val="20"/>
                <w:szCs w:val="20"/>
                <w:color w:val="auto"/>
              </w:rPr>
            </w:pPr>
            <w:r>
              <w:rPr>
                <w:rFonts w:ascii="Arial" w:cs="Arial" w:eastAsia="Arial" w:hAnsi="Arial"/>
                <w:sz w:val="14"/>
                <w:szCs w:val="14"/>
                <w:b w:val="1"/>
                <w:bCs w:val="1"/>
                <w:color w:val="auto"/>
              </w:rPr>
              <w:t>Prepaid Expenses and Other Assets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Insurance related receivables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Prepaid fuel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 xml:space="preserve">Impairment of Terminal Joint Venture Investment: </w:t>
      </w:r>
      <w:r>
        <w:rPr>
          <w:rFonts w:ascii="Arial" w:cs="Arial" w:eastAsia="Arial" w:hAnsi="Arial"/>
          <w:sz w:val="16"/>
          <w:szCs w:val="16"/>
          <w:color w:val="auto"/>
        </w:rPr>
        <w:t>The Company’s investment in its Terminal Joint Venture, a related party,</w:t>
      </w:r>
      <w:r>
        <w:rPr>
          <w:rFonts w:ascii="Arial" w:cs="Arial" w:eastAsia="Arial" w:hAnsi="Arial"/>
          <w:sz w:val="16"/>
          <w:szCs w:val="16"/>
          <w:i w:val="1"/>
          <w:iCs w:val="1"/>
          <w:color w:val="auto"/>
        </w:rPr>
        <w:t xml:space="preserve"> </w:t>
      </w:r>
      <w:r>
        <w:rPr>
          <w:rFonts w:ascii="Arial" w:cs="Arial" w:eastAsia="Arial" w:hAnsi="Arial"/>
          <w:sz w:val="16"/>
          <w:szCs w:val="16"/>
          <w:color w:val="auto"/>
        </w:rPr>
        <w:t>is reviewed for impairment annually, or whenever there is evidence that fair value may be below carrying cost. An investment is written down to fair value if fair value is below carrying cost and the impairment is other-than-temporary. In evaluating the fair value of an investment and whether any identified impairment is other-than-temporary, significant estimates and considerable judgments are involved. These estimates and judgments are based, in part, on the Company’s current and future evaluation of economic conditions in general, as well as the Terminal Joint Venture’s current and future plans. These fair value calculations are highly subjective because they require management to make assumptions and apply judgments to estimates regarding the timing and amount of future cash flows, probabilities related to various cash flow scenarios, and appropriate discount rates based on the perceived risks, among others. In evaluating whether an impairment is other-than-temporary, the Company considers all available information, including the length of time and extent of the impairment, the financial condition and near-term prospects of the Terminal Joint Venture, the Company’s ability and intent to hold the investment for a period of time sufficient to allow for any anticipated recovery in market value, and projected industry and economic trends, among others. Changes in these and other assumptions could affect the projected operational results and fair value of the Terminal Joint Venture, and accordingly, may require valuation adjustments to the Company’s investment that may materially impact the Company’s financial condition or its future operating results.</w:t>
      </w:r>
    </w:p>
    <w:p>
      <w:pPr>
        <w:spacing w:after="0" w:line="1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has evaluated its investment in its related party Terminal Joint Venture for impairment and no impairment charges were recorded for the years ended December 31, 2016, 2015, and 2014.</w:t>
      </w:r>
    </w:p>
    <w:p>
      <w:pPr>
        <w:spacing w:after="0" w:line="17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Property and equipment are stated at cost. Certain costs incurred in the development of internal-use software are capitalized. Property and equipment is depreciated using the straight-line method over the estimated useful lives of the assets. The estimated useful lives of property and equipment range up to the following maximum life: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Arial" w:cs="Arial" w:eastAsia="Arial" w:hAnsi="Arial"/>
                <w:sz w:val="14"/>
                <w:szCs w:val="14"/>
                <w:b w:val="1"/>
                <w:bCs w:val="1"/>
                <w:color w:val="auto"/>
              </w:rPr>
              <w:t>Classification</w:t>
            </w:r>
          </w:p>
        </w:tc>
        <w:tc>
          <w:tcPr>
            <w:tcW w:w="4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4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20 years</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Terminal facilities</w:t>
            </w:r>
          </w:p>
        </w:tc>
        <w:tc>
          <w:tcPr>
            <w:tcW w:w="4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35 years</w:t>
            </w:r>
          </w:p>
        </w:tc>
      </w:tr>
      <w:tr>
        <w:trPr>
          <w:trHeight w:val="864"/>
        </w:trPr>
        <w:tc>
          <w:tcPr>
            <w:tcW w:w="3160" w:type="dxa"/>
            <w:vAlign w:val="bottom"/>
          </w:tcPr>
          <w:p>
            <w:pPr>
              <w:spacing w:after="0"/>
              <w:rPr>
                <w:sz w:val="24"/>
                <w:szCs w:val="24"/>
                <w:color w:val="auto"/>
              </w:rPr>
            </w:pPr>
          </w:p>
        </w:tc>
        <w:tc>
          <w:tcPr>
            <w:tcW w:w="4740" w:type="dxa"/>
            <w:vAlign w:val="bottom"/>
          </w:tcPr>
          <w:p>
            <w:pPr>
              <w:jc w:val="right"/>
              <w:ind w:right="319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3160" w:type="dxa"/>
            <w:vAlign w:val="bottom"/>
            <w:tcBorders>
              <w:bottom w:val="single" w:sz="8" w:color="auto"/>
            </w:tcBorders>
          </w:tcPr>
          <w:p>
            <w:pPr>
              <w:spacing w:after="0"/>
              <w:rPr>
                <w:sz w:val="11"/>
                <w:szCs w:val="11"/>
                <w:color w:val="auto"/>
              </w:rPr>
            </w:pPr>
          </w:p>
        </w:tc>
        <w:tc>
          <w:tcPr>
            <w:tcW w:w="4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spacing w:after="0" w:line="279" w:lineRule="auto"/>
        <w:rPr>
          <w:sz w:val="20"/>
          <w:szCs w:val="20"/>
          <w:color w:val="auto"/>
        </w:rPr>
      </w:pPr>
      <w:r>
        <w:rPr>
          <w:rFonts w:ascii="Arial" w:cs="Arial" w:eastAsia="Arial" w:hAnsi="Arial"/>
          <w:sz w:val="17"/>
          <w:szCs w:val="17"/>
          <w:i w:val="1"/>
          <w:iCs w:val="1"/>
          <w:color w:val="auto"/>
        </w:rPr>
        <w:t xml:space="preserve">Capitalized Interest: </w:t>
      </w:r>
      <w:r>
        <w:rPr>
          <w:rFonts w:ascii="Arial" w:cs="Arial" w:eastAsia="Arial" w:hAnsi="Arial"/>
          <w:sz w:val="17"/>
          <w:szCs w:val="17"/>
          <w:color w:val="auto"/>
        </w:rPr>
        <w:t>The Company entered into agreements with shipyards for the construction of four new vessels to be</w:t>
      </w:r>
      <w:r>
        <w:rPr>
          <w:rFonts w:ascii="Arial" w:cs="Arial" w:eastAsia="Arial" w:hAnsi="Arial"/>
          <w:sz w:val="17"/>
          <w:szCs w:val="17"/>
          <w:i w:val="1"/>
          <w:iCs w:val="1"/>
          <w:color w:val="auto"/>
        </w:rPr>
        <w:t xml:space="preserve"> </w:t>
      </w:r>
      <w:r>
        <w:rPr>
          <w:rFonts w:ascii="Arial" w:cs="Arial" w:eastAsia="Arial" w:hAnsi="Arial"/>
          <w:sz w:val="17"/>
          <w:szCs w:val="17"/>
          <w:color w:val="auto"/>
        </w:rPr>
        <w:t>utilized within the Company’s operations (see Note 5). The Company is funding the construction of these vessels through borrowings and cash flows generated by the Company. The Company determined that the construction of these vessels are considered qualifying assets for the purposes of capitalizing interest on these assets.</w:t>
      </w:r>
    </w:p>
    <w:p>
      <w:pPr>
        <w:spacing w:after="0" w:line="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policy is to capitalize interest costs during the period the qualified assets are being readied for their intended use. The amount of capitalized interest is calculated based on the amount of payments incurred related to the construction of these vessels using a weighted average interest rate. The weighted average interest rate is determined using the Company’s average borrowings outstanding during the period. Capitalized interest is included in vessel construction in progress in property and equipment in the Company’s Consolidated Balance Sheet (see Note 5). During the three years ended December 31, 2016, 2015 and 2014, the Company capitalized $2.1 million, $0.4 million and $0.4 million of interest related to the construction of new vessels.</w:t>
      </w:r>
    </w:p>
    <w:p>
      <w:pPr>
        <w:spacing w:after="0" w:line="5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Deferred Dry-docking Costs: </w:t>
      </w:r>
      <w:r>
        <w:rPr>
          <w:rFonts w:ascii="Arial" w:cs="Arial" w:eastAsia="Arial" w:hAnsi="Arial"/>
          <w:sz w:val="18"/>
          <w:szCs w:val="18"/>
          <w:color w:val="auto"/>
        </w:rPr>
        <w:t>The Company’s U.S. flagged vessels must meet specified seaworthiness standards established</w:t>
      </w:r>
      <w:r>
        <w:rPr>
          <w:rFonts w:ascii="Arial" w:cs="Arial" w:eastAsia="Arial" w:hAnsi="Arial"/>
          <w:sz w:val="18"/>
          <w:szCs w:val="18"/>
          <w:i w:val="1"/>
          <w:iCs w:val="1"/>
          <w:color w:val="auto"/>
        </w:rPr>
        <w:t xml:space="preserve"> </w:t>
      </w:r>
      <w:r>
        <w:rPr>
          <w:rFonts w:ascii="Arial" w:cs="Arial" w:eastAsia="Arial" w:hAnsi="Arial"/>
          <w:sz w:val="18"/>
          <w:szCs w:val="18"/>
          <w:color w:val="auto"/>
        </w:rPr>
        <w:t>by U.S. Coast Guard rules and classification society requirements. These standards require that the Company’s vessels undergo two dry-docking inspections within a five-year period. However, the majority of the Company’s U.S. flagged vessels are enrolled in the U.S. Coast Guard’s Underwater Survey in Lieu of Dry-docking (“UWILD”) program. The UWILD program allows eligible vessels to have their intermediate dry-docking requirement met with far less costly underwater inspection.</w:t>
      </w:r>
    </w:p>
    <w:p>
      <w:pPr>
        <w:spacing w:after="0" w:line="193"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The Company operates six non-U.S. flag vessels (one owned; one under a bareboat charter arrangement; and the remaining on time charter) in the Pacific Islands. The Company is responsible for ensuring that the owned and bareboat chartered vessels meet international standards for seaworthiness, which among other requirements generally mandate that the Company perform two dry</w:t>
      </w:r>
      <w:r>
        <w:rPr>
          <w:rFonts w:ascii="MS PGothic" w:cs="MS PGothic" w:eastAsia="MS PGothic" w:hAnsi="MS PGothic"/>
          <w:sz w:val="18"/>
          <w:szCs w:val="18"/>
          <w:color w:val="auto"/>
        </w:rPr>
        <w:t>‑</w:t>
      </w:r>
      <w:r>
        <w:rPr>
          <w:rFonts w:ascii="Arial" w:cs="Arial" w:eastAsia="Arial" w:hAnsi="Arial"/>
          <w:sz w:val="18"/>
          <w:szCs w:val="18"/>
          <w:color w:val="auto"/>
        </w:rPr>
        <w:t>docking inspections every five years. The dry-dockings of the Company’s time chartered vessels are the responsibility of the vessels’ owners.</w:t>
      </w:r>
    </w:p>
    <w:p>
      <w:pPr>
        <w:spacing w:after="0" w:line="206"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costs associated with dry-docking inspections provide future economic benefits to the Company through continued operation of the vessels, the costs are deferred and amortized until the next regulatory scheduled dry-docking, which is usually over a two to five-year period. Routine vessel maintenance and repairs that do not improve or extend asset lives are charged to expense as incurred. Deferred dry-docking amortization amounts are charged to operating expenses of the Ocean Transportation segment in the Consolidated Statements of Income and Comprehensive Income.</w:t>
      </w:r>
    </w:p>
    <w:p>
      <w:pPr>
        <w:spacing w:after="0" w:line="158"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i w:val="1"/>
          <w:iCs w:val="1"/>
          <w:color w:val="auto"/>
        </w:rPr>
        <w:t xml:space="preserve">Goodwill and Intangible Assets: </w:t>
      </w:r>
      <w:r>
        <w:rPr>
          <w:rFonts w:ascii="Arial" w:cs="Arial" w:eastAsia="Arial" w:hAnsi="Arial"/>
          <w:sz w:val="16"/>
          <w:szCs w:val="16"/>
          <w:color w:val="auto"/>
        </w:rPr>
        <w:t>Goodwill and intangible assets arise as a result of acquisitions made by the Company (see</w:t>
      </w:r>
      <w:r>
        <w:rPr>
          <w:rFonts w:ascii="Arial" w:cs="Arial" w:eastAsia="Arial" w:hAnsi="Arial"/>
          <w:sz w:val="16"/>
          <w:szCs w:val="16"/>
          <w:i w:val="1"/>
          <w:iCs w:val="1"/>
          <w:color w:val="auto"/>
        </w:rPr>
        <w:t xml:space="preserve"> </w:t>
      </w:r>
      <w:r>
        <w:rPr>
          <w:rFonts w:ascii="Arial" w:cs="Arial" w:eastAsia="Arial" w:hAnsi="Arial"/>
          <w:sz w:val="16"/>
          <w:szCs w:val="16"/>
          <w:color w:val="auto"/>
        </w:rPr>
        <w:t>Notes 3 and 6). Intangible assets consisted of customer relationships which are being amortized using the straight-line method over the expected useful lives ranging from 3 to 21 years, and a trade name that has an indefinite life.</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Impairment of Long-Lived Assets, Intangible Assets and Goodwill</w:t>
      </w:r>
      <w:r>
        <w:rPr>
          <w:rFonts w:ascii="Arial" w:cs="Arial" w:eastAsia="Arial" w:hAnsi="Arial"/>
          <w:sz w:val="17"/>
          <w:szCs w:val="17"/>
          <w:color w:val="auto"/>
        </w:rPr>
        <w:t>: The Company evaluates its long-lived assets,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 assets and goodwill for possible impairment in the fourth quarter, or whenever events or changes in circumstances indicate that it is more likely than not that the fair value is less than its carrying amount. The Company has reporting units with the Ocean Transportation and Logistics reportable segments. Long-lived assets and finite-lived intangible assets are group at the lowest level reporting unit for which identifiable cash flows are available.</w:t>
      </w:r>
    </w:p>
    <w:p>
      <w:pPr>
        <w:spacing w:after="0" w:line="17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Long-lived Assets and Finite-lived Intangible Assets: In evaluating impairment, the estimated future undiscounted cash flows generated by each of these asset groups is compared with the amount recorded for each asset group to determine if its carrying value is not recoverable. If this review determines that the amount recorded will not be recovered, the amount recorded for the asset group is reduced to its estimated fair value. These asset impairment analyses are highly subjective because they require management to make assumptions and apply considerable judgments to, among other things, estimates of the timing and amount of future cash flows, expected useful lives of the assets, uncertainty about future events, including changes in economic conditions, changes in operating performance, changes in the use of the assets, and ongoing costs of maintenance and improvements of the assets, and thus, the accounting estimates may change from period to period. If management uses different assumptions or if different conditions occur in future periods, the Company’s financial condition or its future operating results could be materially impacted.</w:t>
      </w:r>
    </w:p>
    <w:p>
      <w:pPr>
        <w:spacing w:after="0" w:line="169"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color w:val="auto"/>
        </w:rPr>
        <w:t>No impairment charges of long-lived assets were recorded for the years ended December 31, 2016, and 2014. During the year ended December 31, 2015, the Company recorded an impairment charge of $2.1 million related to the write-down of inactive vessels from its recorded net book value to its estimated fair value of zero. The impairment expense is included in Ocean Transportation operating costs on the Consolidated Statements of Income and Comprehensive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Income. No impairment charges of finite-lived intangible assets was recorded for the years ended December 31, 2016, 2015 and 2014.</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Indefinite-life Intangible Assets and Goodwill: In estimating the fair value of a reporting unit, the Company uses a combination of a discounted cash flow model and fair value based on market multiples of earnings before interest, taxes, depreciation and amortization (“EBITDA”). The discounted cash flow approach requires the Company to use a number of assumptions, including market factors specific to the business, the amount and timing of estimated future cash flows to be generated by the business over an extended period of time, long-term growth rates for the business, and a discount rate that considers the risks related to the amount and timing of the cash flows. Although the assumptions used by the Company in its discounted cash flow model are consistent with the assumptions the Company used to generate its internal strategic plans and forecasts, significant judgment is required to estimate the amount and timing of future cash flows from the reporting unit and the risk of achieving those cash flows. When using market multiples of EBITDA, the Company must make judgments about the comparability of those multiples in closed and proposed transactions. Accordingly, changes in assumptions and estimates, including, but not limited to, changes driven by external factors, such as industry and economic trends, and those driven by internal factors, such as changes in the Company’s business strategy and its internal forecasts, could have a material effect on the Company’s financial condition or its future operating results.</w:t>
      </w:r>
    </w:p>
    <w:p>
      <w:pPr>
        <w:spacing w:after="0" w:line="17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Company has evaluated its indefinite-life intangible assets and goodwill for impairment and determined that the fair value of each reporting unit substantially exceeds book value. No impairment charges were recorded for the years ended December 31, 2016, 2015 and 2014, respectively.</w:t>
      </w:r>
    </w:p>
    <w:p>
      <w:pPr>
        <w:spacing w:after="0" w:line="181"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i w:val="1"/>
          <w:iCs w:val="1"/>
          <w:color w:val="auto"/>
        </w:rPr>
        <w:t xml:space="preserve">Accruals and other liabilities: </w:t>
      </w:r>
      <w:r>
        <w:rPr>
          <w:rFonts w:ascii="Arial" w:cs="Arial" w:eastAsia="Arial" w:hAnsi="Arial"/>
          <w:sz w:val="18"/>
          <w:szCs w:val="18"/>
          <w:color w:val="auto"/>
        </w:rPr>
        <w:t>Accruals and other liabilities consist of the following at December 31, 2016 and 2015 (in</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20" w:type="dxa"/>
            <w:vAlign w:val="bottom"/>
            <w:vMerge w:val="restart"/>
          </w:tcPr>
          <w:p>
            <w:pPr>
              <w:spacing w:after="0"/>
              <w:rPr>
                <w:sz w:val="20"/>
                <w:szCs w:val="20"/>
                <w:color w:val="auto"/>
              </w:rPr>
            </w:pPr>
            <w:r>
              <w:rPr>
                <w:rFonts w:ascii="Arial" w:cs="Arial" w:eastAsia="Arial" w:hAnsi="Arial"/>
                <w:sz w:val="14"/>
                <w:szCs w:val="14"/>
                <w:b w:val="1"/>
                <w:bCs w:val="1"/>
                <w:color w:val="auto"/>
              </w:rPr>
              <w:t>Accruals and Other Liabilities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2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Payroll and vacation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Uninsured claims and related liabilities - short term</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Incentives and other benefits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Molasses tank farm removal accrual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severance accruals related to Horizon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Interest on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Multi-employer withdrawal liability - short-term (see Note 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110.</w:t>
            </w:r>
            <w:r>
              <w:rPr>
                <w:rFonts w:ascii="Arial" w:cs="Arial" w:eastAsia="Arial" w:hAnsi="Arial"/>
                <w:sz w:val="18"/>
                <w:szCs w:val="18"/>
                <w:u w:val="single" w:color="auto"/>
                <w:color w:val="auto"/>
                <w:w w:val="93"/>
              </w:rPr>
              <w:t>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Pension and Post-Retirement Plans: </w:t>
      </w:r>
      <w:r>
        <w:rPr>
          <w:rFonts w:ascii="Arial" w:cs="Arial" w:eastAsia="Arial" w:hAnsi="Arial"/>
          <w:sz w:val="17"/>
          <w:szCs w:val="17"/>
          <w:color w:val="auto"/>
        </w:rPr>
        <w:t>Certain Ocean Transportation subsidiaries are members of the Pacific Maritime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(“PMA”) and the Hawaii Stevedoring Industry Committee, which negotiate multi-employer pension plans covering certain shoreside bargaining unit personnel. The subsidiaries directly negotiate multi-employer pension plans covering other bargaining unit personnel. Pension costs are accrued in accordance with contribution rates established by the PMA, the parties to a plan or the trustees of a plan. Several trusteed, non-contributory, single-employer defined benefit plans and defined contribution plans cover substantially all other employees.</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estimation of the Company’s pension and post-retirement benefit expenses and liabilities requires that the Company make various assumptions. These assumptions include factors such as discount rates, expected long-term rate of return on pension plan assets, salary growth, health care cost trend rates, inflation, retirement rates, mortality rates, and expected contributions. Actual results that differ from the assumptions made could materially affect the Company’s financial condition or its future operating results. The effects of changing assumptions are included in unamortized net gains and losses, which directly affect accumulated other comprehensive income (loss). Additionally, these unamortized gains and losses are amortized and reclassified to income (loss) over future periods. Additional information about the Company’s pension and post-retirement plans is included in Note 11.</w:t>
      </w:r>
    </w:p>
    <w:p>
      <w:pPr>
        <w:spacing w:after="0" w:line="1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Uninsured Claims and Related Liabilities: </w:t>
      </w:r>
      <w:r>
        <w:rPr>
          <w:rFonts w:ascii="Arial" w:cs="Arial" w:eastAsia="Arial" w:hAnsi="Arial"/>
          <w:sz w:val="16"/>
          <w:szCs w:val="16"/>
          <w:color w:val="auto"/>
        </w:rPr>
        <w:t>The Company is uninsured for certain claims including, but not limited to,</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health, workers’ compensation, general liability, real and personal property. Where feasible, the Company obtains third-party excess insurance coverage to limit its exposure to these claims. When estimating its uninsured claims and related liabilities, the Company considers a number of factors, including historical claims experience, demographic factors, current trends, and analyses provided by indepeCan yndent third-parties. Periodically, management reviews its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assumptions and the analyses provided by independent third-parties to determine the adequacy of the Company’s uninsured claims and related liabilities. The Company’s uninsured claims and related liabilities contain uncertainties because management is required to apply judgment and make long-term assumptions to estimate the ultimate cost to settle reported claims, and of claims incurred but not reported, as of the balance sheet date. If management uses different assumptions or if different conditions occur in future periods, the Company’s financial condition or its future operating results could be materially impacted.</w:t>
      </w:r>
    </w:p>
    <w:p>
      <w:pPr>
        <w:spacing w:after="0" w:line="19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Legal Contingencies: </w:t>
      </w:r>
      <w:r>
        <w:rPr>
          <w:rFonts w:ascii="Arial" w:cs="Arial" w:eastAsia="Arial" w:hAnsi="Arial"/>
          <w:sz w:val="17"/>
          <w:szCs w:val="17"/>
          <w:color w:val="auto"/>
        </w:rPr>
        <w:t>The Company’s results of operations could be affected by significant litigation adverse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including, but not limited to, liability claims, antitrust claims, claims related to coastwise trading matters, lawsuits involving private plaintiffs or government agencies, and environmental related matters. The Company records accruals for legal matters when the information available indicates that it is probable that a liability has been incurred and the amount of the loss can be reasonably estimated. Management makes adjustments to these accruals to reflect the impact and status of negotiations, settlements, rulings, advice of outside legal counsel and other information and events that may pertain to a particular matter. Predicting the outcome of claims and lawsuits and estimating related costs and exposure involves substantial uncertainties that could cause actual costs to vary materially from those estimates. In making determinations of likely outcomes of litigation matters, the Company considers many factors. These factors include, but are not limited to, the nature of specific claims including un-asserted claims, the Company’s experience with similar types of claims, the jurisdiction in which the matter is filed, input from outside legal counsel, the likelihood of resolving the matter through alternative dispute resolution mechanisms and the matter’s current status.</w:t>
      </w:r>
    </w:p>
    <w:p>
      <w:pPr>
        <w:spacing w:after="0" w:line="18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Recognition of Revenues and Expenses: </w:t>
      </w:r>
      <w:r>
        <w:rPr>
          <w:rFonts w:ascii="Arial" w:cs="Arial" w:eastAsia="Arial" w:hAnsi="Arial"/>
          <w:sz w:val="18"/>
          <w:szCs w:val="18"/>
          <w:color w:val="auto"/>
        </w:rPr>
        <w:t>Ocean Transportation services revenue is recognized ratably over the duration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voyage based on the relative transit time completed in each reporting period. Vessel operating costs are recognized as incurred. Other ocean transportation operating costs such as terminal operating overhead and general and administrative expenses are charged to operating costs as incurred. Revenues and costs from terminal and other related services are recognized upon completion of the services. Revenues and costs from ship management services are recognized in proportion to the services performed.</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Hawaii, Alaska, Guam and certain Pacific island service freight rates are provided in tariffs filed with the Surface Transportation Board of the U.S. Department of Transportation; for other Pacific island services, the rates are filed with the Federal Maritime Commission. The Alaska and China service rates are predominately established by individual contracts with customers.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Logistics transportation brokerage services revenue consists of amounts billed to customers for transportation brokerage services provided. The primary costs include third-party purchased transportation services. Revenue and the related purchased third-party transportation costs are recognized over the duration of a delivery based upon the relative transit time completed in each reporting period. The Company reports revenue on a gross basis as the Company serves as principal in transactions because it is responsible for the contractual relationship with the customer, has latitude in establishing prices, has discretion in supplier selection, and retains credit risk.</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Logistics warehousing and distribution services revenue consist of amounts billed to customers for storage, handling, and value-added packaging of customer merchandise. For customer dedicated warehouses, storage revenue is recognized as earned over the life of the contract. Storage revenue generated by the public warehouses is recognized in the month the service is provided according to the terms of the contract. Storage expenses are recognized as incurred. Handling and value-added packaging revenue and expense are recognized in proportion to the services completed. Logistics supply chain management and other services, and related costs are recognized in proportion to the services performed.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Company recognizes dividends as a liability when approved by the Board of Directors.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i w:val="1"/>
          <w:iCs w:val="1"/>
          <w:color w:val="auto"/>
        </w:rPr>
        <w:t xml:space="preserve">Share-Based Compensation: </w:t>
      </w:r>
      <w:r>
        <w:rPr>
          <w:rFonts w:ascii="Arial" w:cs="Arial" w:eastAsia="Arial" w:hAnsi="Arial"/>
          <w:sz w:val="17"/>
          <w:szCs w:val="17"/>
          <w:color w:val="auto"/>
        </w:rPr>
        <w:t>The Company records compensation expense for all share-based payment awards made to</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directors. The Company’s various equity plans are more fully described in Note 13.</w:t>
      </w:r>
    </w:p>
    <w:p>
      <w:pPr>
        <w:spacing w:after="0" w:line="14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Deferred income taxes are provided for the tax effect of temporary differences between the tax basis of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liabilities and their reported amounts in the Consolidated Financial Statements. Deferred tax assets and deferred tax liabilities are adjusted to the extent necessary to reflect tax rates expected to be in effect when the temporary differences reverse. Adjustments may be required to deferred tax assets and deferred tax liabilities due to changes in tax laws and audit adjustments by tax authorities. To the extent adjustments are required in any given period, the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adjustments would be included within the tax provision in the Consolidated Statements of Income and Comprehensive Income and/or Consolidated Balance Sheets.</w:t>
      </w:r>
    </w:p>
    <w:p>
      <w:pPr>
        <w:spacing w:after="0" w:line="1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makes certain estimates and judgments in determining income tax expense for Consolidated Financial Statement purposes. These estimates and judgments are applied in the calculation of tax credits, tax benefits and deductions, and in the calculation of certain deferred tax assets and liabilities, which arise from differences in the timing of recognition of revenue and expense for tax and Consolidated Financial Statement purposes. In addition, judgment is required in determining if, based on the weight of available evidence, management believes that it is more likely than not that some portion or all of a recorded deferred tax asset would not be realized in future periods. A valuation allowance would be established if, based on the weight of available evidence, management believes that it is more likely than not that some portion or all of a recorded deferred tax asset would not be realized in future periods (see Note 10). Significant changes to these estimates may result in an increase or decrease to the Company’s tax provision in a subsequent period.</w:t>
      </w:r>
    </w:p>
    <w:p>
      <w:pPr>
        <w:spacing w:after="0" w:line="1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the calculation of tax liabilities involves significant judgment in estimating the impact of uncertain tax positions taken or expected to be taken with respect to the application of complex tax laws. Resolution of these uncertainties in a manner inconsistent with management’s expectations could materially affect the Company’s financial condition or its future operating results.</w:t>
      </w:r>
    </w:p>
    <w:p>
      <w:pPr>
        <w:spacing w:after="0" w:line="173"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i w:val="1"/>
          <w:iCs w:val="1"/>
          <w:color w:val="auto"/>
        </w:rPr>
        <w:t xml:space="preserve">Comprehensive Income (Loss): </w:t>
      </w:r>
      <w:r>
        <w:rPr>
          <w:rFonts w:ascii="Arial" w:cs="Arial" w:eastAsia="Arial" w:hAnsi="Arial"/>
          <w:sz w:val="17"/>
          <w:szCs w:val="17"/>
          <w:color w:val="auto"/>
        </w:rPr>
        <w:t>Comprehensive income (loss) includes all changes in Shareholders’ Equity, except those</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common stock transactions. Other comprehensive income (loss) in the Consolidated Statements of Income and Comprehensive Income are shown net of tax benefit (expense) of $0.7 million, $(5.0) million and $19.4 million for the years ended December 2016, 2015, and 2014, respectively. Changes in accumulated other comprehensive income (loss) by component, net of tax, are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Post</w:t>
            </w: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Qualified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Interest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Pensions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Currency</w:t>
            </w: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2"/>
              </w:rPr>
              <w:t>Retirement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Plans</w:t>
            </w:r>
          </w:p>
        </w:tc>
        <w:tc>
          <w:tcPr>
            <w:tcW w:w="1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Hedge</w:t>
            </w: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(0.7)</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Net gain (loss) in prior service costs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Amortization of net loss (gain)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Foreign currency translation adjustment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Net gain (loss) in prior service costs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prior service cost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Amortization of net loss (gain)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Foreign currency translation adjustment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Basic and Diluted Earnings per Share (“EPS”) of Common Stock: </w:t>
      </w:r>
      <w:r>
        <w:rPr>
          <w:rFonts w:ascii="Arial" w:cs="Arial" w:eastAsia="Arial" w:hAnsi="Arial"/>
          <w:sz w:val="18"/>
          <w:szCs w:val="18"/>
          <w:color w:val="auto"/>
        </w:rPr>
        <w:t>Basic earnings per share are determined by dividing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by the weighted-average common shares outstanding during the year. The calculation of diluted earnings per share includes the dilutive effect of unexercised non-qualified stock options and non-vested stock units. The computation of weighted average dilutive shares outstanding excluded a nominal amount of anti-dilutive non-qualified stock options for each of the years 2016, 2015, and 2014.</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denominator used to compute basic and diluted earnings per share for the three years ended December 31, 2016, were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2000" w:type="dxa"/>
            <w:vAlign w:val="bottom"/>
            <w:gridSpan w:val="8"/>
          </w:tcPr>
          <w:p>
            <w:pPr>
              <w:spacing w:after="0"/>
              <w:rPr>
                <w:sz w:val="20"/>
                <w:szCs w:val="20"/>
                <w:color w:val="auto"/>
              </w:rPr>
            </w:pPr>
            <w:r>
              <w:rPr>
                <w:rFonts w:ascii="Arial" w:cs="Arial" w:eastAsia="Arial" w:hAnsi="Arial"/>
                <w:sz w:val="14"/>
                <w:szCs w:val="14"/>
                <w:b w:val="1"/>
                <w:bCs w:val="1"/>
                <w:color w:val="auto"/>
                <w:w w:val="95"/>
              </w:rPr>
              <w:t>Year Ended December 31, 2016</w:t>
            </w:r>
          </w:p>
        </w:tc>
        <w:tc>
          <w:tcPr>
            <w:tcW w:w="80" w:type="dxa"/>
            <w:vAlign w:val="bottom"/>
          </w:tcPr>
          <w:p>
            <w:pPr>
              <w:spacing w:after="0"/>
              <w:rPr>
                <w:sz w:val="14"/>
                <w:szCs w:val="14"/>
                <w:color w:val="auto"/>
              </w:rPr>
            </w:pPr>
          </w:p>
        </w:tc>
        <w:tc>
          <w:tcPr>
            <w:tcW w:w="2020" w:type="dxa"/>
            <w:vAlign w:val="bottom"/>
            <w:gridSpan w:val="7"/>
          </w:tcPr>
          <w:p>
            <w:pPr>
              <w:spacing w:after="0"/>
              <w:rPr>
                <w:sz w:val="20"/>
                <w:szCs w:val="20"/>
                <w:color w:val="auto"/>
              </w:rPr>
            </w:pPr>
            <w:r>
              <w:rPr>
                <w:rFonts w:ascii="Arial" w:cs="Arial" w:eastAsia="Arial" w:hAnsi="Arial"/>
                <w:sz w:val="14"/>
                <w:szCs w:val="14"/>
                <w:b w:val="1"/>
                <w:bCs w:val="1"/>
                <w:color w:val="auto"/>
                <w:w w:val="96"/>
              </w:rPr>
              <w:t>Year Ended December 31, 2015</w:t>
            </w:r>
          </w:p>
        </w:tc>
        <w:tc>
          <w:tcPr>
            <w:tcW w:w="60" w:type="dxa"/>
            <w:vAlign w:val="bottom"/>
          </w:tcPr>
          <w:p>
            <w:pPr>
              <w:spacing w:after="0"/>
              <w:rPr>
                <w:sz w:val="14"/>
                <w:szCs w:val="14"/>
                <w:color w:val="auto"/>
              </w:rPr>
            </w:pPr>
          </w:p>
        </w:tc>
        <w:tc>
          <w:tcPr>
            <w:tcW w:w="2000" w:type="dxa"/>
            <w:vAlign w:val="bottom"/>
            <w:gridSpan w:val="8"/>
          </w:tcPr>
          <w:p>
            <w:pPr>
              <w:ind w:left="20"/>
              <w:spacing w:after="0"/>
              <w:rPr>
                <w:sz w:val="20"/>
                <w:szCs w:val="20"/>
                <w:color w:val="auto"/>
              </w:rPr>
            </w:pPr>
            <w:r>
              <w:rPr>
                <w:rFonts w:ascii="Arial" w:cs="Arial" w:eastAsia="Arial" w:hAnsi="Arial"/>
                <w:sz w:val="14"/>
                <w:szCs w:val="14"/>
                <w:b w:val="1"/>
                <w:bCs w:val="1"/>
                <w:color w:val="auto"/>
                <w:w w:val="94"/>
              </w:rPr>
              <w:t>Year Ended December 31, 2014</w:t>
            </w:r>
          </w:p>
        </w:tc>
        <w:tc>
          <w:tcPr>
            <w:tcW w:w="0" w:type="dxa"/>
            <w:vAlign w:val="bottom"/>
          </w:tcPr>
          <w:p>
            <w:pPr>
              <w:spacing w:after="0"/>
              <w:rPr>
                <w:sz w:val="1"/>
                <w:szCs w:val="1"/>
                <w:color w:val="auto"/>
              </w:rPr>
            </w:pPr>
          </w:p>
        </w:tc>
      </w:tr>
      <w:tr>
        <w:trPr>
          <w:trHeight w:val="119"/>
        </w:trPr>
        <w:tc>
          <w:tcPr>
            <w:tcW w:w="2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w w:val="95"/>
              </w:rPr>
              <w:t>Per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Per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ind w:right="29"/>
              <w:spacing w:after="0" w:line="119" w:lineRule="exact"/>
              <w:rPr>
                <w:sz w:val="20"/>
                <w:szCs w:val="20"/>
                <w:color w:val="auto"/>
              </w:rPr>
            </w:pPr>
            <w:r>
              <w:rPr>
                <w:rFonts w:ascii="Arial" w:cs="Arial" w:eastAsia="Arial" w:hAnsi="Arial"/>
                <w:sz w:val="13"/>
                <w:szCs w:val="13"/>
                <w:b w:val="1"/>
                <w:bCs w:val="1"/>
                <w:color w:val="auto"/>
              </w:rPr>
              <w:t>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Net</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w:t>
            </w: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Share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Income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6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6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2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Basic:</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80.5</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8"/>
              </w:rPr>
              <w:t>$ 103.0</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70.8</w:t>
            </w:r>
          </w:p>
        </w:tc>
        <w:tc>
          <w:tcPr>
            <w:tcW w:w="1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line="149" w:lineRule="exact"/>
              <w:rPr>
                <w:sz w:val="20"/>
                <w:szCs w:val="20"/>
                <w:color w:val="auto"/>
              </w:rPr>
            </w:pPr>
            <w:r>
              <w:rPr>
                <w:rFonts w:ascii="Arial" w:cs="Arial" w:eastAsia="Arial" w:hAnsi="Arial"/>
                <w:sz w:val="14"/>
                <w:szCs w:val="14"/>
                <w:color w:val="auto"/>
              </w:rPr>
              <w:t>Effect of Dilutive Securities: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(0.02)</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Diluted:</w:t>
            </w: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98"/>
              </w:rPr>
              <w:t>$ 103.0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i w:val="1"/>
          <w:iCs w:val="1"/>
          <w:color w:val="auto"/>
        </w:rPr>
        <w:t xml:space="preserve">Rounding: </w:t>
      </w:r>
      <w:r>
        <w:rPr>
          <w:rFonts w:ascii="Arial" w:cs="Arial" w:eastAsia="Arial" w:hAnsi="Arial"/>
          <w:sz w:val="18"/>
          <w:szCs w:val="18"/>
          <w:color w:val="auto"/>
        </w:rPr>
        <w:t>Amounts in the Consolidated Financial Statements and Notes to the Consolidated Financial Statements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rounded to millions, except for per-share calculations and percentages which were determined based on amounts before rounding. Accordingly, a recalculation of some per-share amounts and percentages, if based on the reported data, may be slightly different.</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New Accounting Pronouncements</w:t>
      </w:r>
      <w:r>
        <w:rPr>
          <w:rFonts w:ascii="Arial" w:cs="Arial" w:eastAsia="Arial" w:hAnsi="Arial"/>
          <w:sz w:val="18"/>
          <w:szCs w:val="18"/>
          <w:color w:val="auto"/>
        </w:rPr>
        <w:t>:</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In May 2014, the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Board (“FASB”) issued Accounting Standards Update (“ASU”) ASU 2014-09, “Revenue from Contracts with Customers (Topic 606)” (“ASU 2014-09”). The guidance establishes principles regarding the nature, timing, and uncertainty of revenue from contracts with customers. It removes inconsistencies in existing revenue requirements, provides a more robust framework for addressing revenue issues and improves comparability of revenue recognition practices across entities, industries, jurisdictions and capital markets. The new standard will be effective for interim and annual reporting periods beginning after December 15, 2016.</w:t>
      </w:r>
    </w:p>
    <w:p>
      <w:pPr>
        <w:spacing w:after="0" w:line="18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is in the process of evaluating the impact of adopting ASU 2014-19 on its Consolidated Financial Statements. The Company is currently reviewing customer contracts in each of its operating segments for all services provided, assessing the impact of applying ASU 2014-19, and comparing this to the Company’s historical revenue recognition criteria. Based upon the preliminary review of customer contracts, the Company believes that the Company’s revenue recognition policies are consistent with the requirements of ASU 2014-19. While the Company continues to assess all potential impacts of adopting ASU 2014-19, based upon information available to date, the Company does not expect the adoption of ASU 2014-19 to have a significant impact either on the timing or recognition of Ocean Transportation and Logistics revenues.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which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lessees to record most leases in their balance sheets but recognize the expenses on their income statements in a manner similar to current practice. ASU 2016-02 states that a lessee would recognize a lease liability for the obligation to make lease payments, and a right-of-use asset for the underlying leased asset for the period of the lease term. The new standard is effective for interim and annual periods beginning after December 15, 2018 and early adoption is permitted. The Company is in the process of evaluating this guidance.</w:t>
      </w:r>
    </w:p>
    <w:p>
      <w:pPr>
        <w:spacing w:after="0" w:line="1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Share-Based Awards: </w:t>
      </w:r>
      <w:r>
        <w:rPr>
          <w:rFonts w:ascii="Arial" w:cs="Arial" w:eastAsia="Arial" w:hAnsi="Arial"/>
          <w:sz w:val="17"/>
          <w:szCs w:val="17"/>
          <w:color w:val="auto"/>
        </w:rPr>
        <w:t>In March 2016, the FASB issued ASU 2016-09, “</w:t>
      </w:r>
      <w:r>
        <w:rPr>
          <w:rFonts w:ascii="Arial" w:cs="Arial" w:eastAsia="Arial" w:hAnsi="Arial"/>
          <w:sz w:val="17"/>
          <w:szCs w:val="17"/>
          <w:i w:val="1"/>
          <w:iCs w:val="1"/>
          <w:color w:val="auto"/>
        </w:rPr>
        <w:t>Compensation - Stock Compensation (Topic 718): Improvements to Employee Share-Based Payment Accounting</w:t>
      </w:r>
      <w:r>
        <w:rPr>
          <w:rFonts w:ascii="Arial" w:cs="Arial" w:eastAsia="Arial" w:hAnsi="Arial"/>
          <w:sz w:val="17"/>
          <w:szCs w:val="17"/>
          <w:color w:val="auto"/>
        </w:rPr>
        <w:t>” (“ASU 2016-19”). The amendments are effective for interim</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reporting periods beginning after December 15, 2016. Several aspects of the accounting for share-based payment award transactions are simplified, including: (a) income tax consequences; (b) classification of awards as either equity or liabilities; and (c) classification on the statement of cash flows. The Company believes the adoption of ASU 2016-09 will not have a material impact on the Company’s Consolidated Financial Statements.</w:t>
      </w:r>
    </w:p>
    <w:p>
      <w:pPr>
        <w:spacing w:after="0" w:line="174" w:lineRule="exact"/>
        <w:rPr>
          <w:sz w:val="20"/>
          <w:szCs w:val="20"/>
          <w:color w:val="auto"/>
        </w:rPr>
      </w:pPr>
    </w:p>
    <w:p>
      <w:pPr>
        <w:ind w:left="680" w:hanging="677"/>
        <w:spacing w:after="0"/>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Span Alaska Acquisition: </w:t>
      </w:r>
      <w:r>
        <w:rPr>
          <w:rFonts w:ascii="Arial" w:cs="Arial" w:eastAsia="Arial" w:hAnsi="Arial"/>
          <w:sz w:val="18"/>
          <w:szCs w:val="18"/>
          <w:color w:val="auto"/>
        </w:rPr>
        <w:t>On August 4, 2016 (the “Effective Date”), Matson Logistics completed the purchase of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 of the membership interests of Span Alaska pursuant to the terms of the Membership Interest Purchase Agreement, dated July 18, 2016. At the Effective Date, Span Alaska became a wholly-owned subsidiary of Matson Logistics. Span Alaska is an asset-light logistics company providing freight forwarding services primarily to the Alaska market. Span Alaska consolidates freight in Auburn, Washington, for shipment to Alaska and distribution through a network of terminals in Anchorage, Fairbanks, Wasilla, Kenai, Juneau and Kodiak. Span Alaska’s operations are recorded within the Logistics segment of the Company.</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consideration paid by the Company on the Effective Date for the membership interests in Span Alaska including the repayment of Span Alaska’s debt and accrued interest,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20"/>
                <w:szCs w:val="20"/>
                <w:color w:val="auto"/>
              </w:rPr>
            </w:pPr>
            <w:r>
              <w:rPr>
                <w:rFonts w:ascii="Arial" w:cs="Arial" w:eastAsia="Arial" w:hAnsi="Arial"/>
                <w:sz w:val="14"/>
                <w:szCs w:val="14"/>
                <w:b w:val="1"/>
                <w:bCs w:val="1"/>
                <w:color w:val="auto"/>
              </w:rPr>
              <w:t>Span Alaska Consideration</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r>
      <w:tr>
        <w:trPr>
          <w:trHeight w:val="210"/>
        </w:trPr>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Membership interests</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Span Alaska’s debt</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60" w:type="dxa"/>
            <w:vAlign w:val="bottom"/>
            <w:tcBorders>
              <w:bottom w:val="single" w:sz="8" w:color="CCEEFF"/>
            </w:tcBorders>
          </w:tcPr>
          <w:p>
            <w:pPr>
              <w:spacing w:after="0"/>
              <w:rPr>
                <w:sz w:val="18"/>
                <w:szCs w:val="18"/>
                <w:color w:val="auto"/>
              </w:rPr>
            </w:pPr>
          </w:p>
        </w:tc>
      </w:tr>
      <w:tr>
        <w:trPr>
          <w:trHeight w:val="217"/>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 xml:space="preserve">The Span Alaska Acquisition was accounted for as a business combination in accordance with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(“ASU 805”). The assets acquired and liabilities assumed in the Span Alaska Acquisition were recorded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based on fair value estimates as of the Effective Date, with the remaining unallocated purchase price recorded as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goodwill. Such fair value estimates require significant judgment, and include estimates used in the valuation of property and equipment, and intangible assets. As of December 31, 2016, the Company has finalized the purchase accounting for the Span Alaska Acquisition.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values assigned to Span Alaska’s assets acquired and liabilities assumed at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gridSpan w:val="2"/>
          </w:tcPr>
          <w:p>
            <w:pPr>
              <w:spacing w:after="0"/>
              <w:rPr>
                <w:sz w:val="20"/>
                <w:szCs w:val="20"/>
                <w:color w:val="auto"/>
              </w:rPr>
            </w:pPr>
            <w:r>
              <w:rPr>
                <w:rFonts w:ascii="Arial" w:cs="Arial" w:eastAsia="Arial" w:hAnsi="Arial"/>
                <w:sz w:val="14"/>
                <w:szCs w:val="14"/>
                <w:b w:val="1"/>
                <w:bCs w:val="1"/>
                <w:color w:val="auto"/>
              </w:rPr>
              <w:t>Purchase Price Allocation (in millions)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 Customer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Intangibles – Trade name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Span Alaska’s debt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r>
      <w:tr>
        <w:trPr>
          <w:trHeight w:val="210"/>
        </w:trPr>
        <w:tc>
          <w:tcPr>
            <w:tcW w:w="8100" w:type="dxa"/>
            <w:vAlign w:val="bottom"/>
            <w:gridSpan w:val="2"/>
          </w:tcPr>
          <w:p>
            <w:pPr>
              <w:spacing w:after="0"/>
              <w:rPr>
                <w:sz w:val="20"/>
                <w:szCs w:val="20"/>
                <w:color w:val="auto"/>
              </w:rPr>
            </w:pPr>
            <w:r>
              <w:rPr>
                <w:rFonts w:ascii="Arial" w:cs="Arial" w:eastAsia="Arial" w:hAnsi="Arial"/>
                <w:sz w:val="18"/>
                <w:szCs w:val="18"/>
                <w:color w:val="auto"/>
              </w:rPr>
              <w:t>Total identifiable assets less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r>
      <w:tr>
        <w:trPr>
          <w:trHeight w:val="216"/>
        </w:trPr>
        <w:tc>
          <w:tcPr>
            <w:tcW w:w="8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consideration for membership interests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8"/>
                <w:szCs w:val="18"/>
                <w:color w:val="auto"/>
              </w:rPr>
            </w:pPr>
          </w:p>
        </w:tc>
      </w:tr>
      <w:tr>
        <w:trPr>
          <w:trHeight w:val="217"/>
        </w:trPr>
        <w:tc>
          <w:tcPr>
            <w:tcW w:w="81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18"/>
                <w:szCs w:val="18"/>
                <w:color w:val="auto"/>
              </w:rPr>
            </w:pP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amounts above include $0.4 million of purchase price adjustments recorded to the preliminary purchase price allocation initially recorded in the Company’s interim Condensed Consolidated Financial Statements for the three and nine-months ended September 30, 2016.</w:t>
      </w:r>
    </w:p>
    <w:p>
      <w:pPr>
        <w:spacing w:after="0" w:line="18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of $8.1 million includes the fair value of terminal and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(trucks, forklifts, trailers and containers) and other warehouse equipment, leasehold improvements and other office equipment.</w:t>
      </w:r>
    </w:p>
    <w:p>
      <w:pPr>
        <w:spacing w:after="0" w:line="18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i w:val="1"/>
          <w:iCs w:val="1"/>
          <w:color w:val="auto"/>
        </w:rPr>
        <w:t xml:space="preserve">Intangibles - </w:t>
      </w:r>
      <w:r>
        <w:rPr>
          <w:rFonts w:ascii="Arial" w:cs="Arial" w:eastAsia="Arial" w:hAnsi="Arial"/>
          <w:sz w:val="16"/>
          <w:szCs w:val="16"/>
          <w:color w:val="auto"/>
        </w:rPr>
        <w:t>The customer relationships and trade name intangible assets were recorded using information obtained from</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specialists engaged by the Company to assist management with estimating the fair value of these intangible assets.</w:t>
      </w:r>
    </w:p>
    <w:p>
      <w:pPr>
        <w:spacing w:after="0" w:line="12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Customer relationships: Intangibles of $79.3 million related to customer relationships, and are being amortized using the straight-line method over 20 years. In determining the amortization period, the Company considered the historical trends of Span Alaska’s customers and related attrition rates. The Company also considered potential future attrition risks, existing competition, the costs associated with establishing a freight forwarding business including the need to develop a broad base of customer relationships over a period of time. Furthermore, the Company considered existing relationships with ocean transportation service providers in Alaska, and the potential impact of competition. As a result, the Company believes that Span Alaska’s customers are considered less vulnerable to attrition.</w:t>
      </w:r>
    </w:p>
    <w:p>
      <w:pPr>
        <w:spacing w:after="0" w:line="17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Trade name: Intangibles of $27.3 million related to the Span Alaska trade name, which was determined to have an indefinite life. Span Alaska has operated for a period in excess of 38 years, and its trade name is widely known in Alaska for high quality and reliable freight forwarding services. The Span Alaska operations will continue to be operated under the Span Alaska trade name, independent of Matson’s ocean transportation operation in Alaska.</w:t>
      </w:r>
    </w:p>
    <w:p>
      <w:pPr>
        <w:spacing w:after="0" w:line="17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Span Alaska’s debt: </w:t>
      </w:r>
      <w:r>
        <w:rPr>
          <w:rFonts w:ascii="Arial" w:cs="Arial" w:eastAsia="Arial" w:hAnsi="Arial"/>
          <w:sz w:val="18"/>
          <w:szCs w:val="18"/>
          <w:color w:val="auto"/>
        </w:rPr>
        <w:t>The Company repaid all of Span Alaska’s debt including accrued interest of $81.9 million,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Company recorded goodwill of $78.6 million from the Span Alaska Acquisition, which represents the excess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fair value of consideration paid by the Company over the fair value of the underlying identifiable assets acquired and liabilities assumed. In accordance with ASC 805, goodwill will not be amortized, but instead will be tested for impairment at least annually, or whenever events or circumstances have occurred that may indicate a possible impairment.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Goodwill arises as a result of several factors including: (i) the Span Alaska Acquisition significantly expands Matson’s Logistics’ platform and Matson’s long-term commitment in the Alaska market; (ii) Span Alaska is a leading freight forwarding business and continues to be led by an experienced management team and assembled workforce with knowledge of the Alaska industry and of its customers; and (iii) the additional growth potential of Span Alaska.</w:t>
      </w:r>
    </w:p>
    <w:p>
      <w:pPr>
        <w:spacing w:after="0" w:line="171"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color w:val="auto"/>
        </w:rPr>
        <w:t>The Company's Consolidated Statements of Income and Comprehensive Income for the year ended December 31, 2016 include operating revenue of $22.8 million (after elimination of intercompany revenue), and operating income of $3.5 million, respectively, from Span Alaska’s operations, and in the Logistics segment. One-time acquisition related costs of approximately $3.0 million incurred as a result of the Span Alaska Acquisition, is included in selling, general and administrative costs in the Consolidated Statements of Income and Comprehensive Income.</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Horizon Acquisition: </w:t>
      </w:r>
      <w:r>
        <w:rPr>
          <w:rFonts w:ascii="Arial" w:cs="Arial" w:eastAsia="Arial" w:hAnsi="Arial"/>
          <w:sz w:val="16"/>
          <w:szCs w:val="16"/>
          <w:color w:val="auto"/>
        </w:rPr>
        <w:t>On May 29, 2015, Matson completed its acquisition of Horizon whereby MatNav acquired Horizon’s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Alaska operations and assumed all of Horizon’s non-Hawaii assets and liabilities (the “Horizon Acquisition”). Immediately before the completion of the Horizon Acquisition, Horizon sold certain of its subsidiaries to the Pasha Group (the “Pasha Transaction”) that: (i) conducted Horizon’s Hawaii operations (including owning the assets used to conduct such Hawaii operations and being responsible for the liabilities related thereto), and (ii) employed the Horizon employees who conducted its Hawaii operations. Horizon also completed the termination of its Puerto Rico operations during the first quarter of 2015. The Alaska operations are recorded within the Ocean Transportation segment of the Company.</w:t>
      </w:r>
    </w:p>
    <w:p>
      <w:pPr>
        <w:spacing w:after="0" w:line="167" w:lineRule="exact"/>
        <w:rPr>
          <w:sz w:val="20"/>
          <w:szCs w:val="20"/>
          <w:color w:val="auto"/>
        </w:rPr>
      </w:pPr>
    </w:p>
    <w:p>
      <w:pPr>
        <w:ind w:right="520"/>
        <w:spacing w:after="0" w:line="291" w:lineRule="auto"/>
        <w:rPr>
          <w:sz w:val="20"/>
          <w:szCs w:val="20"/>
          <w:color w:val="auto"/>
        </w:rPr>
      </w:pPr>
      <w:r>
        <w:rPr>
          <w:rFonts w:ascii="Arial" w:cs="Arial" w:eastAsia="Arial" w:hAnsi="Arial"/>
          <w:sz w:val="16"/>
          <w:szCs w:val="16"/>
          <w:color w:val="auto"/>
        </w:rPr>
        <w:t>Total consideration for the Horizon Acquisition was $495.4 million based on the fair value of common shares of $29.4 million, warrants of $37.1 million, and Horizon’s debt including accrued interest and breakage fees of $428.9</w:t>
      </w:r>
    </w:p>
    <w:p>
      <w:pPr>
        <w:ind w:right="200"/>
        <w:spacing w:after="0" w:line="261" w:lineRule="auto"/>
        <w:rPr>
          <w:sz w:val="20"/>
          <w:szCs w:val="20"/>
          <w:color w:val="auto"/>
        </w:rPr>
      </w:pPr>
      <w:r>
        <w:rPr>
          <w:rFonts w:ascii="Arial" w:cs="Arial" w:eastAsia="Arial" w:hAnsi="Arial"/>
          <w:sz w:val="18"/>
          <w:szCs w:val="18"/>
          <w:color w:val="auto"/>
        </w:rPr>
        <w:t>million. Immediately following the close of the Horizon Acquisition, the Company repaid the assumed debt and redeemed all of Horizon’s outstanding warrants.</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Horizon Acquisition was accounted for as a business combination in accordance with ASC 805. Assets acquired and liabilities assumed were recorded at estimated fair value at May 29, 2015, with the remaining unallocated purchase price of $217.7 million recorded as goodwill. The Company finalized its purchase accounting for the Horizon Acquisition as of June 30, 2016. The following table summarizes the fair values assigned to Horizon's assets acquired and liabilities assumed that were recognized as of the acquisition date, with purchase price allocation adjustments since the preliminary purchase price allocation previously disclosed as of December 31,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Purchase Price Allocation (in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Preliminary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Final</w:t>
            </w: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2"/>
              <w:spacing w:after="0"/>
              <w:rPr>
                <w:sz w:val="20"/>
                <w:szCs w:val="20"/>
                <w:color w:val="auto"/>
              </w:rPr>
            </w:pPr>
            <w:r>
              <w:rPr>
                <w:rFonts w:ascii="Arial" w:cs="Arial" w:eastAsia="Arial" w:hAnsi="Arial"/>
                <w:sz w:val="14"/>
                <w:szCs w:val="14"/>
                <w:b w:val="1"/>
                <w:bCs w:val="1"/>
                <w:color w:val="auto"/>
              </w:rPr>
              <w:t>Estimates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Intangibles - Customer relationships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Multi-employer withdrawal liability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Horizon's debt and warrants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assets less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cash paid for common shares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Purchase price allocation adjustments related primarily to the receipt of additional information that increased the fair value of the Puerto Rico multi-employer withdrawal liability, offset by fair value adjustments to deferred tax assets, and to accruals and other current liabilities.</w:t>
      </w:r>
    </w:p>
    <w:p>
      <w:pPr>
        <w:spacing w:after="0" w:line="18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Company's Consolidated Statements of Income and Comprehensive Income for the year ended December 31, 2016 include operating revenue and operating income from Horizon’s operations of $277.6 million and $20.0 million,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respectively. One-time acquisition costs related to the Horizon Acquisition incurred during the year ended December 31, 2016 were not material and were $19.0 million during the year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unaudited pro forma financial information presents the combined operating results of the Company, and those of Horizon (excluding its Hawaii operations) and Span Alaska, as if the Horizon and Span Alaska acquisitions had been completed at the beginning of each period presented below. The unaudited pro forma financial information includes the accounting effects of the business combination, including the amortization of intangible assets, depreciation of property and equipment, and interest expense. Unaudited pro forma operating revenue is presented after elimination of intercompany revenue.</w:t>
      </w:r>
    </w:p>
    <w:p>
      <w:pPr>
        <w:spacing w:after="0" w:line="193"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The unaudited pro forma financial information is presented for informational purposes only and is not indicative of the result of operations that would have been achieved if the Horizon and Span Alaska acquisitions had taken place at the beginning of the periods presented, nor should it be taken as an indication of our future consolidated results of operations.</w:t>
      </w:r>
    </w:p>
    <w:tbl>
      <w:tblPr>
        <w:tblLayout w:type="fixed"/>
        <w:tblInd w:w="0" w:type="dxa"/>
        <w:tblCellMar>
          <w:top w:w="0" w:type="dxa"/>
          <w:left w:w="0" w:type="dxa"/>
          <w:bottom w:w="0" w:type="dxa"/>
          <w:right w:w="0" w:type="dxa"/>
        </w:tblCellMar>
      </w:tblPr>
      <w:tr>
        <w:trPr>
          <w:trHeight w:val="162"/>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per-share 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 Forma Combined: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Operating revenue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1,974.2</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2,076.4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Basic Earnings Per-Share: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Per-Share: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Weighted-Average Number of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80" w:hanging="677"/>
        <w:spacing w:after="0"/>
        <w:tabs>
          <w:tab w:leader="none" w:pos="6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TERMINAL JOINT VENTURE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accounts for its 35 percent ownership interest in the related party Terminal Joint Venture using the equity method of accounting. The Company records its share of income in the Terminal Joint Venture in operating costs within the Ocean Transportation segment, due to operations of the Terminal Joint Venture being an integral part of the Company’s Ocean Transportation business. The Company’s investment in the Terminal Joint Venture was $82.4 million and $66.4 million at December 31, 2016 and 2015, respectively.</w:t>
      </w:r>
    </w:p>
    <w:p>
      <w:pPr>
        <w:spacing w:after="0" w:line="18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Company’s share of incomes recorded in the Consolidated Statements of Income and Comprehensive Income, and dividends received by the Company during the years ended December 31, 2016, 2015 and 2014 is as follows (in millions):</w:t>
      </w:r>
    </w:p>
    <w:tbl>
      <w:tblPr>
        <w:tblLayout w:type="fixed"/>
        <w:tblInd w:w="0" w:type="dxa"/>
        <w:tblCellMar>
          <w:top w:w="0" w:type="dxa"/>
          <w:left w:w="0" w:type="dxa"/>
          <w:bottom w:w="0" w:type="dxa"/>
          <w:right w:w="0" w:type="dxa"/>
        </w:tblCellMar>
      </w:tblPr>
      <w:tr>
        <w:trPr>
          <w:trHeight w:val="162"/>
        </w:trPr>
        <w:tc>
          <w:tcPr>
            <w:tcW w:w="6760" w:type="dxa"/>
            <w:vAlign w:val="bottom"/>
            <w:vMerge w:val="restart"/>
          </w:tcPr>
          <w:p>
            <w:pPr>
              <w:spacing w:after="0"/>
              <w:rPr>
                <w:sz w:val="20"/>
                <w:szCs w:val="20"/>
                <w:color w:val="auto"/>
              </w:rPr>
            </w:pPr>
            <w:r>
              <w:rPr>
                <w:rFonts w:ascii="Arial" w:cs="Arial" w:eastAsia="Arial" w:hAnsi="Arial"/>
                <w:sz w:val="14"/>
                <w:szCs w:val="14"/>
                <w:color w:val="auto"/>
              </w:rPr>
              <w:t>Terminal Joint Venture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7"/>
          </w:tcPr>
          <w:p>
            <w:pPr>
              <w:jc w:val="center"/>
              <w:ind w:right="240"/>
              <w:spacing w:after="0"/>
              <w:rPr>
                <w:sz w:val="20"/>
                <w:szCs w:val="20"/>
                <w:color w:val="auto"/>
              </w:rPr>
            </w:pPr>
            <w:r>
              <w:rPr>
                <w:rFonts w:ascii="Arial" w:cs="Arial" w:eastAsia="Arial" w:hAnsi="Arial"/>
                <w:sz w:val="14"/>
                <w:szCs w:val="14"/>
                <w:color w:val="auto"/>
                <w:w w:val="91"/>
              </w:rPr>
              <w:t>Years Ended December 31,</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0"/>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Company Share of Net Income</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
              <w:spacing w:after="0" w:line="237" w:lineRule="exact"/>
              <w:rPr>
                <w:sz w:val="20"/>
                <w:szCs w:val="20"/>
                <w:color w:val="auto"/>
              </w:rPr>
            </w:pPr>
            <w:r>
              <w:rPr>
                <w:rFonts w:ascii="Arial" w:cs="Arial" w:eastAsia="Arial" w:hAnsi="Arial"/>
                <w:sz w:val="22"/>
                <w:szCs w:val="22"/>
                <w:color w:val="auto"/>
                <w:w w:val="93"/>
              </w:rPr>
              <w:t>15.8</w:t>
            </w: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jc w:val="center"/>
              <w:spacing w:after="0" w:line="237" w:lineRule="exact"/>
              <w:rPr>
                <w:sz w:val="20"/>
                <w:szCs w:val="20"/>
                <w:color w:val="auto"/>
              </w:rPr>
            </w:pPr>
            <w:r>
              <w:rPr>
                <w:rFonts w:ascii="Arial" w:cs="Arial" w:eastAsia="Arial" w:hAnsi="Arial"/>
                <w:sz w:val="18"/>
                <w:szCs w:val="18"/>
                <w:color w:val="auto"/>
                <w:w w:val="89"/>
              </w:rPr>
              <w:t xml:space="preserve">$ </w:t>
            </w:r>
            <w:r>
              <w:rPr>
                <w:rFonts w:ascii="Arial" w:cs="Arial" w:eastAsia="Arial" w:hAnsi="Arial"/>
                <w:sz w:val="21"/>
                <w:szCs w:val="21"/>
                <w:color w:val="auto"/>
                <w:w w:val="89"/>
              </w:rPr>
              <w:t>16.5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30"/>
              <w:spacing w:after="0" w:line="237" w:lineRule="exact"/>
              <w:rPr>
                <w:sz w:val="20"/>
                <w:szCs w:val="20"/>
                <w:color w:val="auto"/>
              </w:rPr>
            </w:pPr>
            <w:r>
              <w:rPr>
                <w:rFonts w:ascii="Arial" w:cs="Arial" w:eastAsia="Arial" w:hAnsi="Arial"/>
                <w:sz w:val="22"/>
                <w:szCs w:val="22"/>
                <w:color w:val="auto"/>
                <w:w w:val="84"/>
              </w:rPr>
              <w:t>6.6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760" w:type="dxa"/>
            <w:vAlign w:val="bottom"/>
          </w:tcPr>
          <w:p>
            <w:pPr>
              <w:spacing w:after="0"/>
              <w:rPr>
                <w:sz w:val="20"/>
                <w:szCs w:val="20"/>
                <w:color w:val="auto"/>
              </w:rPr>
            </w:pPr>
            <w:r>
              <w:rPr>
                <w:rFonts w:ascii="Arial" w:cs="Arial" w:eastAsia="Arial" w:hAnsi="Arial"/>
                <w:sz w:val="18"/>
                <w:szCs w:val="18"/>
                <w:color w:val="auto"/>
              </w:rPr>
              <w:t>Distributions Received</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 xml:space="preserve">$ </w:t>
            </w:r>
            <w:r>
              <w:rPr>
                <w:rFonts w:ascii="Arial" w:cs="Arial" w:eastAsia="Arial" w:hAnsi="Arial"/>
                <w:sz w:val="21"/>
                <w:szCs w:val="21"/>
                <w:color w:val="auto"/>
                <w:w w:val="89"/>
              </w:rPr>
              <w:t>14.0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Company’s Ocean Transportation segment operating costs include $177.8 million, $174.1 million and $164.8 million for the years ended December 31, 2016, 2015 and 2014, respectively, for terminal services provided by SSAT. Accounts payable and accrued liabilities in the Consolidated Balance Sheets include $16.7 million and $19.5 million for terminal services payable to the Terminal Joint Venture at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A summary of unaudited condensed financial information for the Terminal Joint Venture at December 31, 2016 and 2015 is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Balance Sheets (Unaudited)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9"/>
          </w:tcPr>
          <w:p>
            <w:pPr>
              <w:ind w:left="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3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$ 147.7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Non-current assets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121.2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$ 286.2</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228.2</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Total Liabilities and Equity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$ 286.2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Condensed Statements of Operating Income (Loss) and Net Income (Unaudited)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12"/>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3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740.9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586.2</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costs and expenses</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706.5</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610.2</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589.7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60" w:type="dxa"/>
            <w:vAlign w:val="bottom"/>
            <w:gridSpan w:val="2"/>
          </w:tcPr>
          <w:p>
            <w:pPr>
              <w:ind w:left="100"/>
              <w:spacing w:after="0"/>
              <w:rPr>
                <w:sz w:val="20"/>
                <w:szCs w:val="20"/>
                <w:color w:val="auto"/>
              </w:rPr>
            </w:pPr>
            <w:r>
              <w:rPr>
                <w:rFonts w:ascii="Arial" w:cs="Arial" w:eastAsia="Arial" w:hAnsi="Arial"/>
                <w:sz w:val="18"/>
                <w:szCs w:val="18"/>
                <w:color w:val="auto"/>
              </w:rPr>
              <w:t>Net Income (1)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0" w:hanging="357"/>
        <w:spacing w:after="0"/>
        <w:tabs>
          <w:tab w:leader="none" w:pos="3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earnings from equity method investments held by the Terminal Joint Venture.</w:t>
      </w:r>
    </w:p>
    <w:p>
      <w:pPr>
        <w:spacing w:after="0" w:line="245" w:lineRule="exact"/>
        <w:rPr>
          <w:sz w:val="20"/>
          <w:szCs w:val="20"/>
          <w:color w:val="auto"/>
        </w:rPr>
      </w:pPr>
    </w:p>
    <w:p>
      <w:pPr>
        <w:ind w:left="680" w:hanging="677"/>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Property and equipment at December 31, 2016 and 2015, and depreciation expense in the three years ended December 31, 2016 includes the following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10"/>
          </w:tcPr>
          <w:p>
            <w:pPr>
              <w:jc w:val="center"/>
              <w:ind w:left="356"/>
              <w:spacing w:after="0"/>
              <w:rPr>
                <w:sz w:val="20"/>
                <w:szCs w:val="20"/>
                <w:color w:val="auto"/>
              </w:rPr>
            </w:pPr>
            <w:r>
              <w:rPr>
                <w:rFonts w:ascii="Arial" w:cs="Arial" w:eastAsia="Arial" w:hAnsi="Arial"/>
                <w:sz w:val="14"/>
                <w:szCs w:val="14"/>
                <w:b w:val="1"/>
                <w:bCs w:val="1"/>
                <w:color w:val="auto"/>
                <w:w w:val="90"/>
              </w:rPr>
              <w:t>As of December 31, 2016</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0"/>
                <w:szCs w:val="10"/>
                <w:color w:val="auto"/>
              </w:rPr>
            </w:pPr>
          </w:p>
        </w:tc>
        <w:tc>
          <w:tcPr>
            <w:tcW w:w="9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Depreciation</w:t>
            </w: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1,416.1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Containers and equipment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Terminal facilities and other property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Vessel construction in progress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construction in progress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2,151.9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1,202.7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0"/>
          </w:tcPr>
          <w:p>
            <w:pPr>
              <w:jc w:val="center"/>
              <w:ind w:left="356"/>
              <w:spacing w:after="0"/>
              <w:rPr>
                <w:sz w:val="20"/>
                <w:szCs w:val="20"/>
                <w:color w:val="auto"/>
              </w:rPr>
            </w:pPr>
            <w:r>
              <w:rPr>
                <w:rFonts w:ascii="Arial" w:cs="Arial" w:eastAsia="Arial" w:hAnsi="Arial"/>
                <w:sz w:val="14"/>
                <w:szCs w:val="14"/>
                <w:b w:val="1"/>
                <w:bCs w:val="1"/>
                <w:color w:val="auto"/>
                <w:w w:val="90"/>
              </w:rPr>
              <w:t>As of December 31, 2015</w:t>
            </w: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0"/>
                <w:szCs w:val="10"/>
                <w:color w:val="auto"/>
              </w:rPr>
            </w:pPr>
          </w:p>
        </w:tc>
        <w:tc>
          <w:tcPr>
            <w:tcW w:w="98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9"/>
              </w:rPr>
              <w:t>Net Book Value</w:t>
            </w:r>
          </w:p>
        </w:tc>
        <w:tc>
          <w:tcPr>
            <w:tcW w:w="0" w:type="dxa"/>
            <w:vAlign w:val="bottom"/>
          </w:tcPr>
          <w:p>
            <w:pPr>
              <w:spacing w:after="0"/>
              <w:rPr>
                <w:sz w:val="1"/>
                <w:szCs w:val="1"/>
                <w:color w:val="auto"/>
              </w:rPr>
            </w:pPr>
          </w:p>
        </w:tc>
      </w:tr>
      <w:tr>
        <w:trPr>
          <w:trHeight w:val="171"/>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5"/>
          </w:tcPr>
          <w:p>
            <w:pPr>
              <w:ind w:left="20"/>
              <w:spacing w:after="0"/>
              <w:rPr>
                <w:sz w:val="20"/>
                <w:szCs w:val="20"/>
                <w:color w:val="auto"/>
              </w:rPr>
            </w:pPr>
            <w:r>
              <w:rPr>
                <w:rFonts w:ascii="Arial" w:cs="Arial" w:eastAsia="Arial" w:hAnsi="Arial"/>
                <w:sz w:val="14"/>
                <w:szCs w:val="14"/>
                <w:b w:val="1"/>
                <w:bCs w:val="1"/>
                <w:color w:val="auto"/>
              </w:rPr>
              <w:t>Depreciation</w:t>
            </w:r>
          </w:p>
        </w:tc>
        <w:tc>
          <w:tcPr>
            <w:tcW w:w="10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Vessels</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1,384.8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Containers and equipment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Terminal facilities and other property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Vessel construction in progress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construction in progress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20" w:type="dxa"/>
            <w:vAlign w:val="bottom"/>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1,988.9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860.3</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10"/>
          </w:tcPr>
          <w:p>
            <w:pPr>
              <w:jc w:val="center"/>
              <w:ind w:left="356"/>
              <w:spacing w:after="0"/>
              <w:rPr>
                <w:sz w:val="20"/>
                <w:szCs w:val="20"/>
                <w:color w:val="auto"/>
              </w:rPr>
            </w:pPr>
            <w:r>
              <w:rPr>
                <w:rFonts w:ascii="Arial" w:cs="Arial" w:eastAsia="Arial" w:hAnsi="Arial"/>
                <w:sz w:val="14"/>
                <w:szCs w:val="14"/>
                <w:b w:val="1"/>
                <w:bCs w:val="1"/>
                <w:color w:val="auto"/>
                <w:w w:val="92"/>
              </w:rPr>
              <w:t>Years Ended December 31,</w:t>
            </w: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entered into agreements for the construction of two new Aloha Class container vessels, and two new Kanaloa Class combination container and roll-on/roll-off vessels at an estimated combined cost of approximately $925.3 million. The vessels are expected to be delivered during the periods from 2018 to 2020. Vessel construction in progress represents progress payments to the shipyards in accordance with the terms of the vessel construction agreements, and other related costs. Vessel construction in progress costs include capitalized interest of $2.9 million and $0.8 million as of December 31,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Property and equipment includes assets subject to capital leases with a net book value of $6.4 million and $6.4 million, net of accumulated depreciation of $2.4 million and $1.1 million at December 31, 2016 and 2015, respectively. Amortization recorded in the Consolidated Statement of Income and Comprehensive Income was $1.2 million, $0.6 million and $0.3 million for the years ended December 31, 2016, 2015 and 2014, respectively.</w:t>
      </w:r>
    </w:p>
    <w:p>
      <w:pPr>
        <w:spacing w:after="0" w:line="18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Company’s goodwill for the years ended December 31, 2016 and 2015 consist of the following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Goodwill</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Ocean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5"/>
              </w:rPr>
              <w:t>Transportation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Additions - Horizon Acquisition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Additions - Horizon Acquisition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 Span Alaska Acquisition</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00" w:type="dxa"/>
            <w:vAlign w:val="bottom"/>
          </w:tcPr>
          <w:p>
            <w:pPr>
              <w:spacing w:after="0"/>
              <w:rPr>
                <w:sz w:val="20"/>
                <w:szCs w:val="20"/>
                <w:color w:val="auto"/>
              </w:rPr>
            </w:pPr>
            <w:r>
              <w:rPr>
                <w:rFonts w:ascii="Arial" w:cs="Arial" w:eastAsia="Arial" w:hAnsi="Arial"/>
                <w:sz w:val="18"/>
                <w:szCs w:val="18"/>
                <w:color w:val="auto"/>
                <w:w w:val="96"/>
              </w:rPr>
              <w:t>Intangible assets as of December 31, 2016 include the following (in millions):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w w:val="93"/>
              </w:rPr>
              <w:t>Intangible Assets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Ocean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5"/>
              </w:rPr>
              <w:t>Transportation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at December 31, 2015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Additions - Span Alaska Acquisition</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Amount at December 31, 2016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Arial" w:cs="Arial" w:eastAsia="Arial" w:hAnsi="Arial"/>
                <w:sz w:val="18"/>
                <w:szCs w:val="18"/>
                <w:color w:val="auto"/>
              </w:rPr>
              <w:t>Accumulated Amortization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7"/>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Amount at December 31, 2016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Additions to Logistics of $106.6 million during the year ended December 31, 2016, includes customer relationships and trade name intangible assets of $79.3 million and $27.3 million, respectively, acquired as part of the Span Alaska Acquisition (see Note 3). The Span Alaska customer relationships intangible assets are being amortized over 20 years. The trade name intangible asset has an indefinite useful life. Intangible assets as of December 31, 2016 consisted of customer relationships and trade name of $209.3 million, and $27.3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2015 include the following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93"/>
              </w:rPr>
              <w:t>Intangible Assets</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jc w:val="right"/>
              <w:ind w:right="195"/>
              <w:spacing w:after="0" w:line="119" w:lineRule="exact"/>
              <w:rPr>
                <w:sz w:val="20"/>
                <w:szCs w:val="20"/>
                <w:color w:val="auto"/>
              </w:rPr>
            </w:pPr>
            <w:r>
              <w:rPr>
                <w:rFonts w:ascii="Arial" w:cs="Arial" w:eastAsia="Arial" w:hAnsi="Arial"/>
                <w:sz w:val="13"/>
                <w:szCs w:val="13"/>
                <w:b w:val="1"/>
                <w:bCs w:val="1"/>
                <w:color w:val="auto"/>
              </w:rPr>
              <w:t>Ocean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Logistics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5"/>
              </w:rPr>
              <w:t>Transportation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at December 31, 2014</w:t>
            </w:r>
          </w:p>
        </w:tc>
        <w:tc>
          <w:tcPr>
            <w:tcW w:w="26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120"/>
              <w:spacing w:after="0"/>
              <w:rPr>
                <w:sz w:val="20"/>
                <w:szCs w:val="20"/>
                <w:color w:val="auto"/>
              </w:rPr>
            </w:pPr>
            <w:r>
              <w:rPr>
                <w:rFonts w:ascii="Arial" w:cs="Arial" w:eastAsia="Arial" w:hAnsi="Arial"/>
                <w:sz w:val="18"/>
                <w:szCs w:val="18"/>
                <w:color w:val="auto"/>
              </w:rPr>
              <w:t>Additions - Horizon Acquisition</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 Other Acquisitions</w:t>
            </w:r>
          </w:p>
        </w:tc>
        <w:tc>
          <w:tcPr>
            <w:tcW w:w="2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Gross Amount at December 31, 2015</w:t>
            </w: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Amortization</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7"/>
        </w:trPr>
        <w:tc>
          <w:tcPr>
            <w:tcW w:w="3560" w:type="dxa"/>
            <w:vAlign w:val="bottom"/>
          </w:tcPr>
          <w:p>
            <w:pPr>
              <w:spacing w:after="0"/>
              <w:rPr>
                <w:sz w:val="20"/>
                <w:szCs w:val="20"/>
                <w:color w:val="auto"/>
              </w:rPr>
            </w:pPr>
            <w:r>
              <w:rPr>
                <w:rFonts w:ascii="Arial" w:cs="Arial" w:eastAsia="Arial" w:hAnsi="Arial"/>
                <w:sz w:val="18"/>
                <w:szCs w:val="18"/>
                <w:color w:val="auto"/>
              </w:rPr>
              <w:t>Net Amount at December 31, 2015</w:t>
            </w:r>
          </w:p>
        </w:tc>
        <w:tc>
          <w:tcPr>
            <w:tcW w:w="26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560" w:type="dxa"/>
            <w:vAlign w:val="bottom"/>
          </w:tcPr>
          <w:p>
            <w:pPr>
              <w:spacing w:after="0"/>
              <w:rPr>
                <w:sz w:val="24"/>
                <w:szCs w:val="24"/>
                <w:color w:val="auto"/>
              </w:rPr>
            </w:pPr>
          </w:p>
        </w:tc>
        <w:tc>
          <w:tcPr>
            <w:tcW w:w="2620" w:type="dxa"/>
            <w:vAlign w:val="bottom"/>
          </w:tcPr>
          <w:p>
            <w:pPr>
              <w:jc w:val="right"/>
              <w:ind w:right="147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Additions to Ocean Transportation intangible assets of $140.0 million during the year ended December 31, 2015 related to customer relationships intangible assets acquired as part of the Horizon Acquisition, and are being amortized over 21 years (see Note 3).</w:t>
      </w:r>
    </w:p>
    <w:p>
      <w:pPr>
        <w:spacing w:after="0" w:line="18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Intangible asset related amortization expense was $9.1 million, $4.4 million and $1.3 million for 2016, 2015, and 2014, respectively. As of December 31, 2016, estimated amortization expenses related to intangible assets – customer relationships during the next five years and thereafter are as follows (in millions):</w:t>
      </w:r>
    </w:p>
    <w:tbl>
      <w:tblPr>
        <w:tblLayout w:type="fixed"/>
        <w:tblInd w:w="0" w:type="dxa"/>
        <w:tblCellMar>
          <w:top w:w="0" w:type="dxa"/>
          <w:left w:w="0" w:type="dxa"/>
          <w:bottom w:w="0" w:type="dxa"/>
          <w:right w:w="0" w:type="dxa"/>
        </w:tblCellMar>
      </w:tblPr>
      <w:tr>
        <w:trPr>
          <w:trHeight w:val="140"/>
        </w:trPr>
        <w:tc>
          <w:tcPr>
            <w:tcW w:w="76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94"/>
              </w:rPr>
              <w:t>Customer</w:t>
            </w:r>
          </w:p>
        </w:tc>
        <w:tc>
          <w:tcPr>
            <w:tcW w:w="0" w:type="dxa"/>
            <w:vAlign w:val="bottom"/>
          </w:tcPr>
          <w:p>
            <w:pPr>
              <w:spacing w:after="0"/>
              <w:rPr>
                <w:sz w:val="1"/>
                <w:szCs w:val="1"/>
                <w:color w:val="auto"/>
              </w:rPr>
            </w:pPr>
          </w:p>
        </w:tc>
      </w:tr>
      <w:tr>
        <w:trPr>
          <w:trHeight w:val="171"/>
        </w:trPr>
        <w:tc>
          <w:tcPr>
            <w:tcW w:w="7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Relationships</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80" w:hanging="677"/>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CONSTRUCTION FUND</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is party to an agreement with the U.S. Department of Transportation, Maritime Administration (“MARAD”) that established a Capital Construction Fund (“CCF”) program under provisions of the Merchant Marine Act of 1936, as amended (the “Merchant Marine Act”). The CCF program was created to assist owners and operators of U.S. flag vessels in raising capital necessary for the modernization and expansion of the U.S. merchant marine. CCF funds may be used for the acquisition, construction, or reconstruction of vessels, and for repayment of existing vessel indebtedness through the deferment of federal income taxes on certain deposits of monies and other property placed into the CCF. Qualified withdrawals from the CCF must be used for investment in vessels and certain related equipment built in the U.S., and for use between covered U.S. ports as described by the Merchant Marine Act (see Item 1 of Part 1 for additional information on Maritime Laws and the Jones Act). Participants of the CCF must also meet certain U.S. citizenship requirements.</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Deposits into the CCF are limited by certain applicable earnings and other conditions. Such deposits, once made, are available as tax deductions in the Company’s tax provision. Qualified withdrawals from the CCF do not give rise to a current tax liability, but reduce the depreciable basis of the vessels or certain related equipment for income tax purposes. However, if withdrawals are made from the CCF for general corporate purposes or other non-qualified purposes, or upon termination of the agreement, they are taxable with interest payable from the year of deposit.</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Amounts deposited into the CCF are a preference item for calculating federal alternative minimum taxable income. Deposits not committed for qualified purposes within 25 years from the date of deposit will be treated as non-qualified withdrawals over the subsequent five years. Under the terms of the CCF agreement, the Company may designate certain qualified earnings as “accrued deposits” or may designate, as obligations of the CCF, qualified withdrawals to reimburse qualified expenditures initially made with operating funds. Such accrued deposits to, and withdrawals from, the CCF are reflected in the consolidated balance sheets either as obligations of the Company’s current assets or as receivables from the CCF.</w:t>
      </w:r>
    </w:p>
    <w:p>
      <w:pPr>
        <w:spacing w:after="0" w:line="1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of December 31, 2016 and 2015, $174.7 million and $176.6 million of eligible accounts receivable were assigned to the CCF. Due to the nature of the assignment of eligible accounts receivables into the CCF, such assigned amounts are classified as part of accounts receivable in the consolidated balance sheets. At December 31, 2016 and 2015, the Company had $31.2 million and a nominal amount on deposit in the CCF invested in a money market fund, and is classified as a long-term asset in the Company’s Consolidated Balance Sheet, respectively.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8.</w:t>
            </w:r>
          </w:p>
        </w:tc>
        <w:tc>
          <w:tcPr>
            <w:tcW w:w="6880" w:type="dxa"/>
            <w:vAlign w:val="bottom"/>
          </w:tcPr>
          <w:p>
            <w:pPr>
              <w:ind w:left="500"/>
              <w:spacing w:after="0"/>
              <w:rPr>
                <w:sz w:val="20"/>
                <w:szCs w:val="20"/>
                <w:color w:val="auto"/>
              </w:rPr>
            </w:pPr>
            <w:r>
              <w:rPr>
                <w:rFonts w:ascii="Arial" w:cs="Arial" w:eastAsia="Arial" w:hAnsi="Arial"/>
                <w:sz w:val="18"/>
                <w:szCs w:val="18"/>
                <w:b w:val="1"/>
                <w:bCs w:val="1"/>
                <w:color w:val="auto"/>
              </w:rPr>
              <w:t>DEBT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w w:val="95"/>
              </w:rPr>
              <w:t>At December 31, 2016 and 2015, the Company’s debt consisted of the following (in millions):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Borders>
              <w:bottom w:val="single" w:sz="8" w:color="CCEEFF"/>
            </w:tcBorders>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5.79 %, payable through 2020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3.66 %, payable through 2023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4.16 %, payable through 2027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3.37 %, payable through 2027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3.14 %, payable through 2031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4.31 %, payable through 2032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4.35 %, payable through 2044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3.92 %, payable through 2045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Title XI Bonds: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6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5.34 %, payable through 2028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880" w:type="dxa"/>
            <w:vAlign w:val="bottom"/>
          </w:tcPr>
          <w:p>
            <w:pPr>
              <w:ind w:left="40"/>
              <w:spacing w:after="0"/>
              <w:rPr>
                <w:sz w:val="20"/>
                <w:szCs w:val="20"/>
                <w:color w:val="auto"/>
              </w:rPr>
            </w:pPr>
            <w:r>
              <w:rPr>
                <w:rFonts w:ascii="Arial" w:cs="Arial" w:eastAsia="Arial" w:hAnsi="Arial"/>
                <w:sz w:val="18"/>
                <w:szCs w:val="18"/>
                <w:color w:val="auto"/>
              </w:rPr>
              <w:t>5.27 %, payable through 2029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70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Debt: The following is a description of the Company’s debt:</w:t>
      </w:r>
    </w:p>
    <w:p>
      <w:pPr>
        <w:spacing w:after="0" w:line="22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 The 5.79 percent notes payable through 2020 are amortized by semi-annual principal payments of $3.5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plus interest.</w:t>
      </w:r>
    </w:p>
    <w:p>
      <w:pPr>
        <w:spacing w:after="0" w:line="17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During the second quarter of 2012, the Company issued new unsecured, fixed rate, amortizing long-term debt of $170.0 million, which funded in three tranches, $77.5 million at an interest rate of 3.66 percent, $55.0 million at an interest rate of 4.16 percent, and $37.5 million at an interest rate of 4.31 percent. Interest is payable semi-annually. The notes began to amortize in 2015 with aggregate semi-annual payments of $4.6 million which continued through 2016, followed by $8.4 million in 2017 through mid-year 2023, $3.8 million through mid-year 2027, and $1.2 million thereafter.</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2014, the Company issued $100 million of 30-year senior unsecured private placement notes (the “2014 Notes”). The 2014 Notes bear interest at a rate of 4.35 percent, payable semi-annually. The 2014 Notes will begin to amortize in 2021, with annual principal payments of $5.0 million in 2021, $7.5 million in 2022 and 2023, $10.0 million from 2024 to 2027, and $8.0 million in 2028. Starting in 2029, and in each year thereafter until 2044, annual principal payments will be $2.0 million.</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July 2015, the Company entered into a private placement note purchase agreement for the issuance of $75.0 million of 30-year senior unsecured notes (the “2015 Notes”). The 2015 Notes bear interest at a rate of 3.92 percent, payable semi-annually. The 2015 Notes will begin to amortize in 2017, with annual principal payments of approximately $1.8 million through 2019. During the years 2020 to 2026, the annual principal payments will range between approximately $1.3 million and $8.0 million. Starting in 2027, and in each year thereafter, the annual principal payments will be approximately $1.5 million.</w:t>
      </w:r>
    </w:p>
    <w:p>
      <w:pPr>
        <w:spacing w:after="0" w:line="19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September 14, 2016, the Company entered into an amended and restated private placement note purchase agreement (the “2016 Note Purchase Agreement”), pursuant to which the Company issued $200.0 million of 15-year final maturity senior unsecured notes (the “Series D Notes”). The Series D Notes bear interest at a rate of 3.14 percent, payable semi-annually. The Series D Notes will begin to amortize in March 2019, with semi-annual principal payments of $6.0 million in</w:t>
      </w:r>
    </w:p>
    <w:p>
      <w:pPr>
        <w:spacing w:after="0" w:line="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2019. During the years 2020 to 2023, the semi-annual principal payments will be $9.2 million. Starting in March 2024, and in each year thereafter through maturity in September 2031, the semi-annual principal payments will be $7.15 million.</w:t>
      </w:r>
    </w:p>
    <w:p>
      <w:pPr>
        <w:spacing w:after="0" w:line="13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On December 21, 2016, the Company entered into a private placement note purchase agreement pursuant to which the Company issued $75 million in 11-year final maturity senior unsecured notes (the "Series A Notes"). The Series A</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Notes bear interest at a rate of 3.37% percent, payable semi-annually. The Series A Notes will begin to amortize in December 2021, with principal payments of $5.8 million in 2021 and $11.5 million per year, paid semi-annually, from 2022 through 2027.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Title XI Bonds: </w:t>
      </w:r>
      <w:r>
        <w:rPr>
          <w:rFonts w:ascii="Arial" w:cs="Arial" w:eastAsia="Arial" w:hAnsi="Arial"/>
          <w:sz w:val="16"/>
          <w:szCs w:val="16"/>
          <w:color w:val="auto"/>
        </w:rPr>
        <w:t>In September 2003, the Company issued $55.0 million in U.S. Government guaranteed vessel finance bonds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(Title XI) to partially finance the delivery of the MV </w:t>
      </w:r>
      <w:r>
        <w:rPr>
          <w:rFonts w:ascii="Arial" w:cs="Arial" w:eastAsia="Arial" w:hAnsi="Arial"/>
          <w:sz w:val="17"/>
          <w:szCs w:val="17"/>
          <w:i w:val="1"/>
          <w:iCs w:val="1"/>
          <w:color w:val="auto"/>
        </w:rPr>
        <w:t>Manukai</w:t>
      </w:r>
      <w:r>
        <w:rPr>
          <w:rFonts w:ascii="Arial" w:cs="Arial" w:eastAsia="Arial" w:hAnsi="Arial"/>
          <w:sz w:val="17"/>
          <w:szCs w:val="17"/>
          <w:color w:val="auto"/>
        </w:rPr>
        <w:t>. The secured bonds have a final maturity in September 2028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with a coupon of 5.34 percent. The bonds are amortized by semi-annual payments of $1.1 million plus interest.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August 2004, the Company issued $55.0 million of U.S. Government guaranteed vessel finance bonds (Title XI) to partially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finance the delivery of the MV </w:t>
      </w:r>
      <w:r>
        <w:rPr>
          <w:rFonts w:ascii="Arial" w:cs="Arial" w:eastAsia="Arial" w:hAnsi="Arial"/>
          <w:sz w:val="17"/>
          <w:szCs w:val="17"/>
          <w:i w:val="1"/>
          <w:iCs w:val="1"/>
          <w:color w:val="auto"/>
        </w:rPr>
        <w:t>Maunawili</w:t>
      </w:r>
      <w:r>
        <w:rPr>
          <w:rFonts w:ascii="Arial" w:cs="Arial" w:eastAsia="Arial" w:hAnsi="Arial"/>
          <w:sz w:val="17"/>
          <w:szCs w:val="17"/>
          <w:color w:val="auto"/>
        </w:rPr>
        <w:t>. The secured bonds have a final maturity in July 2029, with a coupon of 5.27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percent. The bonds are amortized by semi-annual payments of $1.1 million plus interest.</w:t>
      </w:r>
    </w:p>
    <w:p>
      <w:pPr>
        <w:spacing w:after="0" w:line="211" w:lineRule="exact"/>
        <w:rPr>
          <w:sz w:val="20"/>
          <w:szCs w:val="20"/>
          <w:color w:val="auto"/>
        </w:rPr>
      </w:pPr>
    </w:p>
    <w:p>
      <w:pPr>
        <w:ind w:right="140"/>
        <w:spacing w:after="0" w:line="219" w:lineRule="exact"/>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In 2012, the Company entered into a $375.0 million, five</w:t>
      </w:r>
      <w:r>
        <w:rPr>
          <w:rFonts w:ascii="MS PGothic" w:cs="MS PGothic" w:eastAsia="MS PGothic" w:hAnsi="MS PGothic"/>
          <w:sz w:val="17"/>
          <w:szCs w:val="17"/>
          <w:color w:val="auto"/>
        </w:rPr>
        <w:t>‑</w:t>
      </w:r>
      <w:r>
        <w:rPr>
          <w:rFonts w:ascii="Arial" w:cs="Arial" w:eastAsia="Arial" w:hAnsi="Arial"/>
          <w:sz w:val="17"/>
          <w:szCs w:val="17"/>
          <w:color w:val="auto"/>
        </w:rPr>
        <w:t>year unsecured revolving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with a syndicate of banks to provide the Company with additional sources of liquidity for working capital requirements and investment opportunities (the “Credit Facility”). The Credit Facility includes a $100 million sub-limit for the issuance of standby and commercial letters of credit, and a $50 million sub-limit for swing line loans. The Credit Facility also includes an uncommitted option to increase the Credit Facility by $75 million.</w:t>
      </w:r>
    </w:p>
    <w:p>
      <w:pPr>
        <w:spacing w:after="0" w:line="2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On July 30, 2015, the Company entered into an amendment to the credit facility (the “Credit Facility Amendment”). The Credit Facility Amendment includes an increase in the borrowing capacity to $400 million, and a five year extension of the maturity date to July 30, 2020. In addition, the Credit Facility Amendment includes a number of amended terms, including modifications to certain definitions and covenants, and includes an uncommitted option to increase the borrowing capacity of the Credit Facility Amendment by an additional $150 million.</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Credit Facility is subject to commitment fees, letter of credit fees, and interest on borrowings based on the Company’s ratio of total debt to EBITDA (the “Leverage Ratio”). Commitment fees and letter of credit fees are computed using rates tied to a sliding scale, which range from 0.15 percent to 0.30 percent, and 1.00 percent to 1.75 percent, respectively, based on the Consolidated Net Leverage Ratio, as defined within the Credit Facility Amendment. Interest rates on borrowings are based upon the Eurodollar Rate (LIBOR) plus 1.00 percent to 1.75 percent using a sliding scale based on the Consolidated Net Leverage Ratio. The Company may also select an interest rate at a Base Rate as defined in the Credit Facility Amendment, plus a margin that ranges from zero percent to 0.75 percent. Based upon the Company’s Consolidated Net Leverage Ratio, the interest rate applicable to any borrowings would have been approximately 1.97 percent at December 31, 2016.</w:t>
      </w:r>
    </w:p>
    <w:p>
      <w:pPr>
        <w:spacing w:after="0" w:line="197"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The Company also entered into other amendments to its existing term loan agreements that included modifications to certain definitions and covenants, as defined within the agreements. Interest rates and other substantive terms remained unchanged.</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December 31, 2016, the Company had $55.0 million of borrowings outstanding under the Credit Facility, and there were no borrowings outstanding as of December 31, 2015. As of December 31, 2016, the Company had $333.8 million of availability under the Credit Facility. The Company used $11.2 million of the sub-limit for letters of credit outstanding as of December 31, 2016.</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Capital Leases: </w:t>
      </w:r>
      <w:r>
        <w:rPr>
          <w:rFonts w:ascii="Arial" w:cs="Arial" w:eastAsia="Arial" w:hAnsi="Arial"/>
          <w:sz w:val="18"/>
          <w:szCs w:val="18"/>
          <w:color w:val="auto"/>
        </w:rPr>
        <w:t>The Company’s capital lease obligations represent leasing of containers and other equipment, and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current and long-term debt in the Company’s Consolidated Balance Sheets.</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i w:val="1"/>
          <w:iCs w:val="1"/>
          <w:color w:val="auto"/>
        </w:rPr>
        <w:t xml:space="preserve">Debt Guarantees: </w:t>
      </w:r>
      <w:r>
        <w:rPr>
          <w:rFonts w:ascii="Arial" w:cs="Arial" w:eastAsia="Arial" w:hAnsi="Arial"/>
          <w:sz w:val="18"/>
          <w:szCs w:val="18"/>
          <w:color w:val="auto"/>
        </w:rPr>
        <w:t>All of the Company’s debt as of December 31, 2016 was unsecured, except for $55.0 million in Title XI</w:t>
      </w:r>
      <w:r>
        <w:rPr>
          <w:rFonts w:ascii="Arial" w:cs="Arial" w:eastAsia="Arial" w:hAnsi="Arial"/>
          <w:sz w:val="18"/>
          <w:szCs w:val="18"/>
          <w:i w:val="1"/>
          <w:iCs w:val="1"/>
          <w:color w:val="auto"/>
        </w:rPr>
        <w:t xml:space="preserve"> </w:t>
      </w:r>
      <w:r>
        <w:rPr>
          <w:rFonts w:ascii="Arial" w:cs="Arial" w:eastAsia="Arial" w:hAnsi="Arial"/>
          <w:sz w:val="18"/>
          <w:szCs w:val="18"/>
          <w:color w:val="auto"/>
        </w:rPr>
        <w:t>bonds, all of which are guaranteed by the Company’s significant subsidiaries. All of the Company’s debt is fixed rate debt except for borrowings under the Credit Facility.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Debt Covenants</w:t>
      </w:r>
      <w:r>
        <w:rPr>
          <w:rFonts w:ascii="Arial" w:cs="Arial" w:eastAsia="Arial" w:hAnsi="Arial"/>
          <w:sz w:val="18"/>
          <w:szCs w:val="18"/>
          <w:color w:val="auto"/>
        </w:rPr>
        <w:t>: Principal covenants contained in the Company’s Credit Facility and long-term fixed rate debt agreements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of December 31, 2016 include, but are not limited to:</w:t>
      </w:r>
    </w:p>
    <w:p>
      <w:pPr>
        <w:spacing w:after="0" w:line="170" w:lineRule="exact"/>
        <w:rPr>
          <w:sz w:val="20"/>
          <w:szCs w:val="20"/>
          <w:color w:val="auto"/>
        </w:rPr>
      </w:pPr>
    </w:p>
    <w:p>
      <w:pPr>
        <w:ind w:left="120" w:hanging="117"/>
        <w:spacing w:after="0" w:line="277" w:lineRule="auto"/>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 permit the ratio of debt to consolidated EBITDA to exceed 3.25 to 1.00 for each fiscal four quarter period, except under certain pre-defined circumstances;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20" w:right="260" w:hanging="117"/>
        <w:spacing w:after="0" w:line="277" w:lineRule="auto"/>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permit the ratio of consolidated EBITDA to interest expense as of the end of any fiscal four quarter period to be less than 3.50 to 1.00; and</w:t>
      </w:r>
    </w:p>
    <w:p>
      <w:pPr>
        <w:spacing w:after="0" w:line="62" w:lineRule="exact"/>
        <w:rPr>
          <w:rFonts w:ascii="Arial" w:cs="Arial" w:eastAsia="Arial" w:hAnsi="Arial"/>
          <w:sz w:val="18"/>
          <w:szCs w:val="18"/>
          <w:color w:val="auto"/>
        </w:rPr>
      </w:pPr>
    </w:p>
    <w:p>
      <w:pPr>
        <w:ind w:left="120" w:right="160" w:hanging="117"/>
        <w:spacing w:after="0" w:line="255" w:lineRule="auto"/>
        <w:tabs>
          <w:tab w:leader="none" w:pos="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permit the aggregate principal amount of Priority Debt (as defined in the 2016 Note Purchase Agreement) at any time to exceed 20 percent (subject to reduction to 17.5 percent upon the earlier of December 31, 2017 and upon the occurrence of certain events) of Consolidated Tangible Assets (as defined in the 2016 Note Purchase Agreement); and not permit the aggregate principal amount of Priority Debt that is not Title XI Priority Debt (as defined in the 2016 Note Purchase Agreement) at any time to exceed 10 percent of Consolidated Tangible Assets, as defined in the 2016 Note Purchase Agreement.</w:t>
      </w:r>
    </w:p>
    <w:p>
      <w:pPr>
        <w:spacing w:after="0" w:line="8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Principle covenants generally will restrict the incurrence of liens except for permitted liens, which include, without limitation, liens securing Title XI Debt up to certain thresholds, as defined within the agreements. The Company was in compliance with these covenants as of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Debt Maturities: </w:t>
      </w:r>
      <w:r>
        <w:rPr>
          <w:rFonts w:ascii="Arial" w:cs="Arial" w:eastAsia="Arial" w:hAnsi="Arial"/>
          <w:sz w:val="16"/>
          <w:szCs w:val="16"/>
          <w:color w:val="auto"/>
        </w:rPr>
        <w:t>At December 31, 2016, debt maturities during the next five years and thereafter are as follows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7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w:t>
            </w:r>
          </w:p>
        </w:tc>
        <w:tc>
          <w:tcPr>
            <w:tcW w:w="120" w:type="dxa"/>
            <w:vAlign w:val="bottom"/>
            <w:tcBorders>
              <w:bottom w:val="single" w:sz="8" w:color="CCEEFF"/>
            </w:tcBorders>
          </w:tcPr>
          <w:p>
            <w:pPr>
              <w:spacing w:after="0"/>
              <w:rPr>
                <w:sz w:val="18"/>
                <w:szCs w:val="18"/>
                <w:color w:val="auto"/>
              </w:rPr>
            </w:pPr>
          </w:p>
        </w:tc>
      </w:tr>
      <w:tr>
        <w:trPr>
          <w:trHeight w:val="217"/>
        </w:trPr>
        <w:tc>
          <w:tcPr>
            <w:tcW w:w="7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11" w:lineRule="exact"/>
        <w:rPr>
          <w:sz w:val="20"/>
          <w:szCs w:val="20"/>
          <w:color w:val="auto"/>
        </w:rPr>
      </w:pPr>
    </w:p>
    <w:p>
      <w:pPr>
        <w:ind w:left="680" w:hanging="677"/>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Company leases certain property and equipment, and other facilities under various operating lease agreements, with terms that range from 1 to 50 years. Such leases generally include provisions for the maintenance of the leased assets, options to purchase the assets at fair value, and renewal options to extend the lease agreements.</w:t>
      </w:r>
    </w:p>
    <w:p>
      <w:pPr>
        <w:spacing w:after="0" w:line="14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Rent expense recorded in costs and expenses in the Consolidated Statement of Income and Comprehensive Income from operating leases totaled $68.6 million, $65.6 million and $58.3 million for the years ended December 31, 2016, 2015 and 2014, respectively, and includes volume-based terminal rent. Additionally, rent expense for short-term and cancelable equipment rentals was $51.0 million, $39.9 million and $27.6 million in 2016, 2015, and 2014, respectively. Management expects that in the normal course of business most operating leases will be renewed or replaced by other similar 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operating leases as of December 31, 2016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42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2018</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2020</w:t>
            </w:r>
          </w:p>
        </w:tc>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minimum lease payments</w:t>
            </w:r>
          </w:p>
        </w:tc>
        <w:tc>
          <w:tcPr>
            <w:tcW w:w="4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r>
      <w:tr>
        <w:trPr>
          <w:trHeight w:val="865"/>
        </w:trPr>
        <w:tc>
          <w:tcPr>
            <w:tcW w:w="3400" w:type="dxa"/>
            <w:vAlign w:val="bottom"/>
          </w:tcPr>
          <w:p>
            <w:pPr>
              <w:spacing w:after="0"/>
              <w:rPr>
                <w:sz w:val="24"/>
                <w:szCs w:val="24"/>
                <w:color w:val="auto"/>
              </w:rPr>
            </w:pPr>
          </w:p>
        </w:tc>
        <w:tc>
          <w:tcPr>
            <w:tcW w:w="4200" w:type="dxa"/>
            <w:vAlign w:val="bottom"/>
          </w:tcPr>
          <w:p>
            <w:pPr>
              <w:jc w:val="right"/>
              <w:ind w:right="2890"/>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29"/>
        </w:trPr>
        <w:tc>
          <w:tcPr>
            <w:tcW w:w="340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20" w:hanging="717"/>
        <w:spacing w:after="0"/>
        <w:tabs>
          <w:tab w:leader="none" w:pos="7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for the years ended December 31, 2016, 2015 and 2014 consisted of the following (in millions):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9"/>
          </w:tcPr>
          <w:p>
            <w:pPr>
              <w:ind w:left="1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24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2016</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CEEFF"/>
            </w:tcBorders>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Federal</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2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r>
      <w:tr>
        <w:trPr>
          <w:trHeight w:val="210"/>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r>
      <w:tr>
        <w:trPr>
          <w:trHeight w:val="217"/>
        </w:trPr>
        <w:tc>
          <w:tcPr>
            <w:tcW w:w="4440" w:type="dxa"/>
            <w:vAlign w:val="bottom"/>
          </w:tcPr>
          <w:p>
            <w:pPr>
              <w:ind w:left="220"/>
              <w:spacing w:after="0"/>
              <w:rPr>
                <w:sz w:val="20"/>
                <w:szCs w:val="20"/>
                <w:color w:val="auto"/>
              </w:rPr>
            </w:pPr>
            <w:r>
              <w:rPr>
                <w:rFonts w:ascii="Arial" w:cs="Arial" w:eastAsia="Arial" w:hAnsi="Arial"/>
                <w:sz w:val="18"/>
                <w:szCs w:val="18"/>
                <w:color w:val="auto"/>
              </w:rPr>
              <w:t>Total income tax expense</w:t>
            </w:r>
          </w:p>
        </w:tc>
        <w:tc>
          <w:tcPr>
            <w:tcW w:w="2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Income tax expense for the years ended December 31, 2016, 2015, and 2014, differs from amounts computed by applying the statutory federal rate to income before income taxes for the following reasons: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2280" w:type="dxa"/>
            <w:vAlign w:val="bottom"/>
            <w:gridSpan w:val="6"/>
          </w:tcPr>
          <w:p>
            <w:pPr>
              <w:jc w:val="right"/>
              <w:ind w:right="31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Computed federal income tax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 income tax</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1.8 %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2.5 %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Foreign taxes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0.4 %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0.6 %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adjustment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0.4 %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 net</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17"/>
        </w:trPr>
        <w:tc>
          <w:tcPr>
            <w:tcW w:w="6780" w:type="dxa"/>
            <w:vAlign w:val="bottom"/>
          </w:tcPr>
          <w:p>
            <w:pPr>
              <w:ind w:left="120"/>
              <w:spacing w:after="0"/>
              <w:rPr>
                <w:sz w:val="20"/>
                <w:szCs w:val="20"/>
                <w:color w:val="auto"/>
              </w:rPr>
            </w:pPr>
            <w:r>
              <w:rPr>
                <w:rFonts w:ascii="Arial" w:cs="Arial" w:eastAsia="Arial" w:hAnsi="Arial"/>
                <w:sz w:val="18"/>
                <w:szCs w:val="18"/>
                <w:color w:val="auto"/>
              </w:rPr>
              <w:t>Effective income tax rate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Company recorded a valuation allowance against operating losses related to a foreign subsidiary of $0.4 million, $1.8 million and $4.1 million in 2016, 2015 and 2014, respectively, as the Company determined the tax benefits associated with such losses may not be realized in future periods. The tax effects of temporary differences that give rise to significant portions of the deferred tax assets and deferred tax liabilities at December 31, 2016 and 2015, were as follows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Benefit plans</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net operating losses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Insurance reserves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net operating losses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Foreign losses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Alternative minimum tax credits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Valuation allowance</w:t>
            </w:r>
          </w:p>
        </w:tc>
        <w:tc>
          <w:tcPr>
            <w:tcW w:w="3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Total Deferred tax assets, net of valuation allowance</w:t>
            </w:r>
          </w:p>
        </w:tc>
        <w:tc>
          <w:tcPr>
            <w:tcW w:w="3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Basis differences for property and equipment</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Construction Fund</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3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Joint ventures and other investments</w:t>
            </w:r>
          </w:p>
        </w:tc>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Reserves</w:t>
            </w:r>
          </w:p>
        </w:tc>
        <w:tc>
          <w:tcPr>
            <w:tcW w:w="3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liabilities</w:t>
            </w:r>
          </w:p>
        </w:tc>
        <w:tc>
          <w:tcPr>
            <w:tcW w:w="3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3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220" w:type="dxa"/>
            <w:vAlign w:val="bottom"/>
          </w:tcPr>
          <w:p>
            <w:pPr>
              <w:jc w:val="right"/>
              <w:ind w:right="273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c>
          <w:tcPr>
            <w:tcW w:w="3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Company’s income taxes payable has been reduced by the tax benefits from share-based compensation. The Company receives an income tax benefit for exercised stock options calculated as the difference between the fair market value of the stock issued at the time of exercise and the option exercise price, tax-effected. The Company also receives an income tax benefit for non-vested stock when it vests, measured as the fair market value of the stock at the time of vesting, tax-effected. The net tax benefits from share-based transactions were $2.2 million, $2.6 million and $0.8 million for 2016, 2015 and 2014, respectively, and the portion of the tax benefit related to the excess of the amount reported as the tax deduction over expense was reflected as an increase to additional paid-in-capital in the Consolidated Statements of Shareholders’ Equity.</w:t>
      </w:r>
    </w:p>
    <w:p>
      <w:pPr>
        <w:spacing w:after="0" w:line="19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i w:val="1"/>
          <w:iCs w:val="1"/>
          <w:color w:val="auto"/>
        </w:rPr>
        <w:t xml:space="preserve">Net Operating Losses and Tax Credit Carryforwards: </w:t>
      </w:r>
      <w:r>
        <w:rPr>
          <w:rFonts w:ascii="Arial" w:cs="Arial" w:eastAsia="Arial" w:hAnsi="Arial"/>
          <w:sz w:val="18"/>
          <w:szCs w:val="18"/>
          <w:color w:val="auto"/>
        </w:rPr>
        <w:t>The Company’s net operating losses (“NOLs”) and tax credit</w:t>
      </w:r>
      <w:r>
        <w:rPr>
          <w:rFonts w:ascii="Arial" w:cs="Arial" w:eastAsia="Arial" w:hAnsi="Arial"/>
          <w:sz w:val="18"/>
          <w:szCs w:val="18"/>
          <w:i w:val="1"/>
          <w:iCs w:val="1"/>
          <w:color w:val="auto"/>
        </w:rPr>
        <w:t xml:space="preserve"> </w:t>
      </w:r>
      <w:r>
        <w:rPr>
          <w:rFonts w:ascii="Arial" w:cs="Arial" w:eastAsia="Arial" w:hAnsi="Arial"/>
          <w:sz w:val="18"/>
          <w:szCs w:val="18"/>
          <w:color w:val="auto"/>
        </w:rPr>
        <w:t>carryforwards at December 31, 2016 and 2015,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34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Expiration Date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Arial" w:cs="Arial" w:eastAsia="Arial" w:hAnsi="Arial"/>
                <w:sz w:val="14"/>
                <w:szCs w:val="14"/>
                <w:b w:val="1"/>
                <w:bCs w:val="1"/>
                <w:color w:val="auto"/>
              </w:rPr>
              <w:t>2015</w:t>
            </w: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 income tax NOLs</w:t>
            </w:r>
          </w:p>
        </w:tc>
        <w:tc>
          <w:tcPr>
            <w:tcW w:w="1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Various dates through December 31, 2034</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U.S. State income tax NOLs</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w w:val="97"/>
              </w:rPr>
              <w:t>Various dates through December 31, 2034</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192.8</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Foreign income tax NOLs</w:t>
            </w:r>
          </w:p>
        </w:tc>
        <w:tc>
          <w:tcPr>
            <w:tcW w:w="3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 expiration date</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U.S. alternative minimum tax credit</w:t>
            </w:r>
          </w:p>
        </w:tc>
        <w:tc>
          <w:tcPr>
            <w:tcW w:w="3460" w:type="dxa"/>
            <w:vAlign w:val="bottom"/>
            <w:gridSpan w:val="2"/>
          </w:tcPr>
          <w:p>
            <w:pPr>
              <w:ind w:left="140"/>
              <w:spacing w:after="0"/>
              <w:rPr>
                <w:sz w:val="20"/>
                <w:szCs w:val="20"/>
                <w:color w:val="auto"/>
              </w:rPr>
            </w:pPr>
            <w:r>
              <w:rPr>
                <w:rFonts w:ascii="Arial" w:cs="Arial" w:eastAsia="Arial" w:hAnsi="Arial"/>
                <w:sz w:val="18"/>
                <w:szCs w:val="18"/>
                <w:color w:val="auto"/>
              </w:rPr>
              <w:t>No expiration date</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31.0</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18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Valuation allowances recorded against all of the Company’s foreign income tax NOLs and a portion of the state income tax NOLs were $11.9 million and $12.6 million as of December 31, 2016 and 2015, respectively. The Company believes that it is more likely than not that the benefit from these amounts will not be realized.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U.S. federal and state income tax NOLs in the Company’s filed income tax returns include unrecognized tax</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benefits. The deferred tax assets recognized for those NOLs are presented net of these unrecognized tax benefits. Because of the change of ownership provisions of the Tax Reform Act of 1986, use of a portion of the Company’s domestic NOL and tax credit carryforwards may be limited in future periods. Further, a portion of the federal and state income tax NOLs and tax credit carryforwards may expire before being applied to reduce future income tax liabilities.</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Unrecognized Tax Benefits: </w:t>
      </w:r>
      <w:r>
        <w:rPr>
          <w:rFonts w:ascii="Arial" w:cs="Arial" w:eastAsia="Arial" w:hAnsi="Arial"/>
          <w:sz w:val="18"/>
          <w:szCs w:val="18"/>
          <w:color w:val="auto"/>
        </w:rPr>
        <w:t>Total unrecognized benefits represent the amount that, if recognized, would favorably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effective tax rate in future periods. The Company does not expect a material change in gross unrecognized benefits in the next twelve months. A reconciliation of the beginning and ending amount of gross unrecognized tax benefits is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20"/>
                <w:szCs w:val="20"/>
                <w:color w:val="auto"/>
              </w:rPr>
            </w:pPr>
            <w:r>
              <w:rPr>
                <w:rFonts w:ascii="Arial" w:cs="Arial" w:eastAsia="Arial" w:hAnsi="Arial"/>
                <w:sz w:val="14"/>
                <w:szCs w:val="14"/>
                <w:b w:val="1"/>
                <w:bCs w:val="1"/>
                <w:color w:val="auto"/>
              </w:rPr>
              <w:t>Unrecognized Tax Benefits: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r>
      <w:tr>
        <w:trPr>
          <w:trHeight w:val="210"/>
        </w:trPr>
        <w:tc>
          <w:tcPr>
            <w:tcW w:w="7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Additions from unrecognized tax benefits acquired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r>
      <w:tr>
        <w:trPr>
          <w:trHeight w:val="210"/>
        </w:trPr>
        <w:tc>
          <w:tcPr>
            <w:tcW w:w="798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tax positions of prior years,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r>
      <w:tr>
        <w:trPr>
          <w:trHeight w:val="216"/>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Reductions for lapse of statute of limitations</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Borders>
              <w:bottom w:val="single" w:sz="8" w:color="CCEEFF"/>
            </w:tcBorders>
          </w:tcPr>
          <w:p>
            <w:pPr>
              <w:spacing w:after="0"/>
              <w:rPr>
                <w:sz w:val="18"/>
                <w:szCs w:val="18"/>
                <w:color w:val="auto"/>
              </w:rPr>
            </w:pPr>
          </w:p>
        </w:tc>
      </w:tr>
      <w:tr>
        <w:trPr>
          <w:trHeight w:val="217"/>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Included in the balance of unrecognized tax benefits at December 31, 2016 are potential benefits of $4.3 million that, if recognized, would affect the effective tax rate. The Company recognizes potential accrued interest and penalties related to unrecognized tax benefits in income tax expense. To the extent interest and penalties are not ultimately assessed with respect to the settlement of uncertain tax positions, amounts accrued will be reduced and reflected as a reduction of the overall income tax provision. Interest accrued related to the balance of unrecognized tax benefits totaled $0.4 million as of December 31, 2016 and 2015.</w:t>
      </w:r>
    </w:p>
    <w:p>
      <w:pPr>
        <w:spacing w:after="0" w:line="1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 is no longer subject to U.S. federal income tax audits for years before 2012. The Company is routinely involved in State, local income and excise tax audits, and foreign tax audits.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00" w:hanging="697"/>
        <w:spacing w:after="0"/>
        <w:tabs>
          <w:tab w:leader="none" w:pos="7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Non-bargaining Plans:</w:t>
      </w:r>
    </w:p>
    <w:p>
      <w:pPr>
        <w:spacing w:after="0" w:line="22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The Company has two funded qualified single-employer defined benefit pension plans that cover certain non</w:t>
      </w:r>
      <w:r>
        <w:rPr>
          <w:rFonts w:ascii="MS PGothic" w:cs="MS PGothic" w:eastAsia="MS PGothic" w:hAnsi="MS PGothic"/>
          <w:sz w:val="16"/>
          <w:szCs w:val="16"/>
          <w:color w:val="auto"/>
        </w:rPr>
        <w:t>‑</w:t>
      </w:r>
      <w:r>
        <w:rPr>
          <w:rFonts w:ascii="Arial" w:cs="Arial" w:eastAsia="Arial" w:hAnsi="Arial"/>
          <w:sz w:val="16"/>
          <w:szCs w:val="16"/>
          <w:color w:val="auto"/>
        </w:rPr>
        <w:t>bargaining unit employees and bargaining unit employees. In addition, the Company has plans that provide certain retiree health care and life insurance benefits to substantially all salaried, non-bargaining employees hired before 2008 and to certain bargaining unit employees. Employees are generally eligible for such benefits upon retirement and completion of a specified number of years of service. The Company does not pre-fund these health care and life insurance benefits, and has the right to modify or terminate certain of these plans in the future. Most non-bargaining retirees pay a portion of the benefit costs.</w:t>
      </w:r>
    </w:p>
    <w:p>
      <w:pPr>
        <w:spacing w:after="0" w:line="20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i w:val="1"/>
          <w:iCs w:val="1"/>
          <w:color w:val="auto"/>
        </w:rPr>
        <w:t xml:space="preserve">Plan Administration, Investments and Asset Allocations: </w:t>
      </w:r>
      <w:r>
        <w:rPr>
          <w:rFonts w:ascii="Arial" w:cs="Arial" w:eastAsia="Arial" w:hAnsi="Arial"/>
          <w:sz w:val="17"/>
          <w:szCs w:val="17"/>
          <w:color w:val="auto"/>
        </w:rPr>
        <w:t>The Company has an Investment Committee that meets regularly</w:t>
      </w:r>
      <w:r>
        <w:rPr>
          <w:rFonts w:ascii="Arial" w:cs="Arial" w:eastAsia="Arial" w:hAnsi="Arial"/>
          <w:sz w:val="17"/>
          <w:szCs w:val="17"/>
          <w:i w:val="1"/>
          <w:iCs w:val="1"/>
          <w:color w:val="auto"/>
        </w:rPr>
        <w:t xml:space="preserve"> </w:t>
      </w:r>
      <w:r>
        <w:rPr>
          <w:rFonts w:ascii="Arial" w:cs="Arial" w:eastAsia="Arial" w:hAnsi="Arial"/>
          <w:sz w:val="17"/>
          <w:szCs w:val="17"/>
          <w:color w:val="auto"/>
        </w:rPr>
        <w:t>with investment advisors to establish investment policies, direct investments and select investment options for the qualified plans. The Investment Committee is also responsible for appointing investment managers and monitoring their performance. The Company’s investment policy permits investments in marketable equity securities, such as domestic and foreign stocks, domestic and foreign bonds, venture capital, real estate investments, and cash equivalents. The Company’s investment policy does not permit direct investment in certain types of assets, such as options or commodities, or the use of certain strategies, such as short selling or the purchase of securities on margin.</w:t>
      </w:r>
    </w:p>
    <w:p>
      <w:pPr>
        <w:spacing w:after="0" w:line="17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Company’s investment strategy for its qualified pension plan assets is to achieve a diversified mix of investments that provides for long-term growth at an acceptable level of risk, and to provide sufficient liquidity to fund ongoing benefit payments. The Company has engaged a number of investment managers to implement various investment strategies to achieve the desired asset class mix, liquidity and risk diversification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Company’s target and actual asset allocations at December 31, 2016 and 2015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Asset Categories</w:t>
            </w:r>
          </w:p>
        </w:tc>
        <w:tc>
          <w:tcPr>
            <w:tcW w:w="70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Target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Domestic equity securities</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International equity securities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13 %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6 %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and cash</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17"/>
        </w:trPr>
        <w:tc>
          <w:tcPr>
            <w:tcW w:w="70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investments in equity securities primarily include domestic large-cap and mid-cap companies, but also includes an allocation to small-cap and international equity securities. Equity investments do not include any direct holdings of the Company’s stock but may include such holdings to the extent that the stock is included as part of certain mutual fund holdings. Debt securities include investment-grade and high-yield corporate bonds from diversified industries, mortgage-backed securities, and U.S. Treasuries. Other types of investments include funds that invest in commercial real estate assets, and to a lesser extent, private equity investments in technology companies. All assets within specific funds are allocated to the target asset allocation of the fund.</w:t>
      </w:r>
    </w:p>
    <w:p>
      <w:pPr>
        <w:spacing w:after="0" w:line="18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expected return on plan assets is principally based on the Company’s historical returns combined with the Company’s long-term future expectations regarding asset class returns, the mix of plan assets, and inflation assumptions.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Actual return on plan assets for the periods presented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Actual Return on Plan Assets</w:t>
            </w:r>
          </w:p>
        </w:tc>
        <w:tc>
          <w:tcPr>
            <w:tcW w:w="13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Returns</w:t>
            </w:r>
          </w:p>
        </w:tc>
      </w:tr>
      <w:tr>
        <w:trPr>
          <w:trHeight w:val="210"/>
        </w:trPr>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One-year return</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Three-year return</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4.0 %</w:t>
            </w: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Five-year return</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9.4 %</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Long-term average return (since plan inception in 1989)</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8.3 %</w:t>
            </w:r>
          </w:p>
        </w:tc>
      </w:tr>
    </w:tbl>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pension plan assets are held in a master trust and are stated at estimated fair values of the underlying investments. Purchases and sales of securities are recorded on a trade-date basis. Interest income is recorded on the accrual basis. Dividends are recorded on the ex-dividend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Domestic and international common stocks are valued by obtaining quoted prices on recognized and</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exchanges.</w:t>
      </w:r>
    </w:p>
    <w:p>
      <w:pPr>
        <w:spacing w:after="0" w:line="1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Fixed Income Securities: </w:t>
      </w:r>
      <w:r>
        <w:rPr>
          <w:rFonts w:ascii="Arial" w:cs="Arial" w:eastAsia="Arial" w:hAnsi="Arial"/>
          <w:sz w:val="17"/>
          <w:szCs w:val="17"/>
          <w:color w:val="auto"/>
        </w:rPr>
        <w:t>Corporate bonds and U.S. government treasury and agency securities are valued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price reported in the market in which the security is traded. U.S. government agency and corporate asset-backed securities may utilize models, such as a matrix pricing model, that incorporate other observable inputs when broker/dealer quotes are not available, such as cash flow, security structure, or market information.</w:t>
      </w:r>
    </w:p>
    <w:p>
      <w:pPr>
        <w:spacing w:after="0" w:line="17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i w:val="1"/>
          <w:iCs w:val="1"/>
          <w:color w:val="auto"/>
        </w:rPr>
        <w:t xml:space="preserve">Real Estate, Private Equity and Insurance Contract Interests: </w:t>
      </w:r>
      <w:r>
        <w:rPr>
          <w:rFonts w:ascii="Arial" w:cs="Arial" w:eastAsia="Arial" w:hAnsi="Arial"/>
          <w:sz w:val="17"/>
          <w:szCs w:val="17"/>
          <w:color w:val="auto"/>
        </w:rPr>
        <w:t>The fair value of real estate, private equity and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interests are determined by the issuer based on the unit values of the funds. Unit values are determined by dividing the fund’s net assets by the number of units outstanding at the valuation date. Fair value for underlying investments in real estate is determined through independent property appraisals. Fair value of underlying investments in private equity is determined based on information provided by the general partner taking into consideration the purchase price of the underlying securities, developments concerning the investee company subsequent to the acquisition of the investment, financial data and projections of the investee company provided by the general partner, and such other factors as the general partner deems relevant. Insurance contracts are principally invested in real estate assets, which are valued based upon independent appraisals.</w:t>
      </w:r>
    </w:p>
    <w:p>
      <w:pPr>
        <w:spacing w:after="0" w:line="182"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fair values of the Company’s pension plan assets at December 31, 2016 and 2015, by asset category,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20" w:type="dxa"/>
            <w:vAlign w:val="bottom"/>
            <w:gridSpan w:val="11"/>
          </w:tcPr>
          <w:p>
            <w:pPr>
              <w:ind w:left="20"/>
              <w:spacing w:after="0"/>
              <w:rPr>
                <w:sz w:val="20"/>
                <w:szCs w:val="20"/>
                <w:color w:val="auto"/>
              </w:rPr>
            </w:pPr>
            <w:r>
              <w:rPr>
                <w:rFonts w:ascii="Arial" w:cs="Arial" w:eastAsia="Arial" w:hAnsi="Arial"/>
                <w:sz w:val="14"/>
                <w:szCs w:val="14"/>
                <w:b w:val="1"/>
                <w:bCs w:val="1"/>
                <w:color w:val="auto"/>
              </w:rPr>
              <w:t>Fair Value Measurements at December 31, 2016</w:t>
            </w: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Active Markets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95"/>
              </w:rPr>
              <w:t>Inputs (Level 2)</w:t>
            </w:r>
          </w:p>
        </w:tc>
        <w:tc>
          <w:tcPr>
            <w:tcW w:w="1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Equity securities: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mid- and small-cap</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International small-cap</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Investment grade U.S. corporate bonds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High-yield U.S. corporate bonds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Emerging markets fixed income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types of investments: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Real estate partnership interests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equity partnership interests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7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20" w:type="dxa"/>
            <w:vAlign w:val="bottom"/>
            <w:gridSpan w:val="12"/>
          </w:tcPr>
          <w:p>
            <w:pPr>
              <w:ind w:left="20"/>
              <w:spacing w:after="0"/>
              <w:rPr>
                <w:sz w:val="20"/>
                <w:szCs w:val="20"/>
                <w:color w:val="auto"/>
              </w:rPr>
            </w:pPr>
            <w:r>
              <w:rPr>
                <w:rFonts w:ascii="Arial" w:cs="Arial" w:eastAsia="Arial" w:hAnsi="Arial"/>
                <w:sz w:val="14"/>
                <w:szCs w:val="14"/>
                <w:b w:val="1"/>
                <w:bCs w:val="1"/>
                <w:color w:val="auto"/>
              </w:rPr>
              <w:t>Fair Value Measurements at December 31, 2015</w:t>
            </w: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Quoted Prices in</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Significant</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Significant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Active Markets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Inputs (Level 2)</w:t>
            </w:r>
          </w:p>
        </w:tc>
        <w:tc>
          <w:tcPr>
            <w:tcW w:w="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U.S. mid- and small-cap</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large-cap</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International small-cap</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Investment grade U.S. corporate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High-yield U.S. corporate bonds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Emerging markets fixed income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types of investments: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Real estate partnership interests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Private equity partnership interests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6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table below presents a reconciliation of all pension plan investments measured at fair value on a recurring basis using significant unobservable inputs (Level 3) for the years ended December 31, 2016 and 2015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2"/>
              </w:rPr>
              <w:t>Fair Value Measurements Using Significant</w:t>
            </w:r>
          </w:p>
        </w:tc>
      </w:tr>
      <w:tr>
        <w:trPr>
          <w:trHeight w:val="171"/>
        </w:trPr>
        <w:tc>
          <w:tcPr>
            <w:tcW w:w="4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Unobservable Inputs (Level 3)</w:t>
            </w:r>
          </w:p>
        </w:tc>
      </w:tr>
      <w:tr>
        <w:trPr>
          <w:trHeight w:val="142"/>
        </w:trPr>
        <w:tc>
          <w:tcPr>
            <w:tcW w:w="448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Real Estate</w:t>
            </w:r>
          </w:p>
        </w:tc>
        <w:tc>
          <w:tcPr>
            <w:tcW w:w="20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Private Equity</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Actual return (loss) on plan assets: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at the reporting date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Assets sold during the period</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sales and settlements, net</w:t>
            </w:r>
          </w:p>
        </w:tc>
        <w:tc>
          <w:tcPr>
            <w:tcW w:w="1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r>
      <w:tr>
        <w:trPr>
          <w:trHeight w:val="210"/>
        </w:trPr>
        <w:tc>
          <w:tcPr>
            <w:tcW w:w="448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Actual return (loss) on plan assets: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Assets held at the reporting date</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sold during the period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shd w:val="clear" w:color="auto" w:fill="CCEEFF"/>
          </w:tcPr>
          <w:p>
            <w:pPr>
              <w:spacing w:after="0"/>
              <w:rPr>
                <w:sz w:val="18"/>
                <w:szCs w:val="18"/>
                <w:color w:val="auto"/>
              </w:rPr>
            </w:pPr>
          </w:p>
        </w:tc>
      </w:tr>
      <w:tr>
        <w:trPr>
          <w:trHeight w:val="216"/>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Purchases, sales and settlements, net</w:t>
            </w:r>
          </w:p>
        </w:tc>
        <w:tc>
          <w:tcPr>
            <w:tcW w:w="1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bottom w:val="single" w:sz="8" w:color="CCEEFF"/>
            </w:tcBorders>
          </w:tcPr>
          <w:p>
            <w:pPr>
              <w:spacing w:after="0"/>
              <w:rPr>
                <w:sz w:val="18"/>
                <w:szCs w:val="18"/>
                <w:color w:val="auto"/>
              </w:rPr>
            </w:pPr>
          </w:p>
        </w:tc>
      </w:tr>
      <w:tr>
        <w:trPr>
          <w:trHeight w:val="217"/>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8</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Contributions to each of the qualified single-employer defined benefit pension plans are determined annually by the Company’s pension administrative committee, based upon the actuarially determined minimum required contribution under the Employee Retirement Income Security Act of 1974 (“ERISA”), as amended, the Pension Protection Act of 2006, and the maximum deductible contribution allowed for tax purposes. In 2016, 2015 and 2014, the Company contributed $7.5 million, $4.7 million and $6.5 million, respectively, in pension contributions in these plans. The Company’s funding policy is to contribute cash to its pension plans so that it meets at least the minimum contribution requirements.</w:t>
      </w:r>
    </w:p>
    <w:p>
      <w:pPr>
        <w:spacing w:after="0" w:line="16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 benefit formulas for employees who are members of collective bargaining units are determined according to the collective bargaining agreements, either using final average pay as the base or a flat dollar amount per year of service.</w:t>
      </w:r>
    </w:p>
    <w:p>
      <w:pPr>
        <w:spacing w:after="0" w:line="12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Effective December 31, 2011, the Company froze benefit accruals under the final average pay formula for salaried, non-bargaining unit employees hired before January 1, 2008 and transitioned them to the same cash balance formula for employees hired on or after January 1, 2008. Retirement benefits under the cash balance formula are based on a fixed percentage of employee eligible compensation, plus interest. The plan interest credit rate will vary from year to year based on the ten-year U.S. Treasury rate.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Benefit Plan Assets and Obligations: </w:t>
      </w:r>
      <w:r>
        <w:rPr>
          <w:rFonts w:ascii="Arial" w:cs="Arial" w:eastAsia="Arial" w:hAnsi="Arial"/>
          <w:sz w:val="18"/>
          <w:szCs w:val="18"/>
          <w:color w:val="auto"/>
        </w:rPr>
        <w:t>The measurement date for the Company’s benefit plan disclosures is December 31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status of the funded qualified defined benefit pension plans and the unfunded post-retirement benefit plans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 are shown below (in millions):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w w:val="91"/>
              </w:rPr>
              <w:t>Pension Benefits</w:t>
            </w:r>
          </w:p>
        </w:tc>
        <w:tc>
          <w:tcPr>
            <w:tcW w:w="80" w:type="dxa"/>
            <w:vAlign w:val="bottom"/>
          </w:tcPr>
          <w:p>
            <w:pPr>
              <w:spacing w:after="0"/>
              <w:rPr>
                <w:sz w:val="12"/>
                <w:szCs w:val="12"/>
                <w:color w:val="auto"/>
              </w:rPr>
            </w:pPr>
          </w:p>
        </w:tc>
        <w:tc>
          <w:tcPr>
            <w:tcW w:w="154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Other 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left="253"/>
              <w:spacing w:after="0" w:line="149" w:lineRule="exact"/>
              <w:rPr>
                <w:sz w:val="20"/>
                <w:szCs w:val="20"/>
                <w:color w:val="auto"/>
              </w:rPr>
            </w:pPr>
            <w:r>
              <w:rPr>
                <w:rFonts w:ascii="Arial" w:cs="Arial" w:eastAsia="Arial" w:hAnsi="Arial"/>
                <w:sz w:val="14"/>
                <w:szCs w:val="14"/>
                <w:b w:val="1"/>
                <w:bCs w:val="1"/>
                <w:color w:val="auto"/>
                <w:w w:val="90"/>
              </w:rPr>
              <w:t>Benefits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220.2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237.4</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 cost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 participants’ contributions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Actuarial loss (gain)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Benefits paid, net of subsidies received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Expenses paid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220.2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178.9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Actual return on plan assets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Plan participants’ contributions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Employer contributions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00"/>
              <w:spacing w:after="0"/>
              <w:rPr>
                <w:sz w:val="20"/>
                <w:szCs w:val="20"/>
                <w:color w:val="auto"/>
              </w:rPr>
            </w:pPr>
            <w:r>
              <w:rPr>
                <w:rFonts w:ascii="Arial" w:cs="Arial" w:eastAsia="Arial" w:hAnsi="Arial"/>
                <w:sz w:val="18"/>
                <w:szCs w:val="18"/>
                <w:color w:val="auto"/>
              </w:rPr>
              <w:t>Benefits paid, net of subsidies received</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 paid</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of plan assets at end of year</w:t>
            </w:r>
          </w:p>
        </w:tc>
        <w:tc>
          <w:tcPr>
            <w:tcW w:w="13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178.8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168.9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Funded Status and Recognized Liability</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(60.5)</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Qualified pension and other-post retirement benefits plans obligations recognized in the consolidated balance sheets and expenses recognized in accumulated other comprehensive loss at December 31, 2016 and 2015 were as follows (in millions):</w:t>
      </w: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89"/>
              </w:rPr>
              <w:t>Pension Benefits</w:t>
            </w:r>
          </w:p>
        </w:tc>
        <w:tc>
          <w:tcPr>
            <w:tcW w:w="80" w:type="dxa"/>
            <w:vAlign w:val="bottom"/>
          </w:tcPr>
          <w:p>
            <w:pPr>
              <w:spacing w:after="0"/>
              <w:rPr>
                <w:sz w:val="12"/>
                <w:szCs w:val="12"/>
                <w:color w:val="auto"/>
              </w:rPr>
            </w:pPr>
          </w:p>
        </w:tc>
        <w:tc>
          <w:tcPr>
            <w:tcW w:w="1540" w:type="dxa"/>
            <w:vAlign w:val="bottom"/>
            <w:gridSpan w:val="7"/>
          </w:tcPr>
          <w:p>
            <w:pPr>
              <w:jc w:val="center"/>
              <w:ind w:right="60"/>
              <w:spacing w:after="0" w:line="140" w:lineRule="exact"/>
              <w:rPr>
                <w:sz w:val="20"/>
                <w:szCs w:val="20"/>
                <w:color w:val="auto"/>
              </w:rPr>
            </w:pPr>
            <w:r>
              <w:rPr>
                <w:rFonts w:ascii="Arial" w:cs="Arial" w:eastAsia="Arial" w:hAnsi="Arial"/>
                <w:sz w:val="14"/>
                <w:szCs w:val="14"/>
                <w:b w:val="1"/>
                <w:bCs w:val="1"/>
                <w:color w:val="auto"/>
                <w:w w:val="93"/>
              </w:rPr>
              <w:t>Other Post-retirement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jc w:val="center"/>
              <w:ind w:left="255"/>
              <w:spacing w:after="0" w:line="149" w:lineRule="exact"/>
              <w:rPr>
                <w:sz w:val="20"/>
                <w:szCs w:val="20"/>
                <w:color w:val="auto"/>
              </w:rPr>
            </w:pPr>
            <w:r>
              <w:rPr>
                <w:rFonts w:ascii="Arial" w:cs="Arial" w:eastAsia="Arial" w:hAnsi="Arial"/>
                <w:sz w:val="14"/>
                <w:szCs w:val="14"/>
                <w:b w:val="1"/>
                <w:bCs w:val="1"/>
                <w:color w:val="auto"/>
                <w:w w:val="90"/>
              </w:rPr>
              <w:t>Benefits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Current liabilities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 net</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(51.3)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loss, net of taxes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(50.8)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 net of taxes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 information for qualified pension plans with an accumulated benefit obligation in excess of plan assets at December 31, 2016 and 2015 is shown below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Borders>
              <w:bottom w:val="single" w:sz="8" w:color="CCEEFF"/>
            </w:tcBorders>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223.2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218.0</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80"/>
              <w:spacing w:after="0"/>
              <w:rPr>
                <w:sz w:val="20"/>
                <w:szCs w:val="20"/>
                <w:color w:val="auto"/>
              </w:rPr>
            </w:pPr>
            <w:r>
              <w:rPr>
                <w:rFonts w:ascii="Arial" w:cs="Arial" w:eastAsia="Arial" w:hAnsi="Arial"/>
                <w:sz w:val="18"/>
                <w:szCs w:val="18"/>
                <w:color w:val="auto"/>
                <w:w w:val="97"/>
              </w:rPr>
              <w:t>222.9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60"/>
              <w:spacing w:after="0"/>
              <w:rPr>
                <w:sz w:val="20"/>
                <w:szCs w:val="20"/>
                <w:color w:val="auto"/>
              </w:rPr>
            </w:pPr>
            <w:r>
              <w:rPr>
                <w:rFonts w:ascii="Arial" w:cs="Arial" w:eastAsia="Arial" w:hAnsi="Arial"/>
                <w:sz w:val="18"/>
                <w:szCs w:val="18"/>
                <w:color w:val="auto"/>
                <w:w w:val="97"/>
              </w:rPr>
              <w:t>217.7</w:t>
            </w:r>
          </w:p>
        </w:tc>
        <w:tc>
          <w:tcPr>
            <w:tcW w:w="10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175.9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166.2</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estimated net loss and prior service credit for the qualified pension plans that will be amortized from accumulated other comprehensive loss into net periodic benefit cost, net of tax, in 2017 is $1.7 million. The estimated net loss and prior service cost for the other post-retirement benefit plans that will be amortized from accumulated other comprehensive loss into net periodic benefit cost, net of tax, in 2017 is $0.9 million.</w:t>
      </w:r>
    </w:p>
    <w:p>
      <w:pPr>
        <w:spacing w:after="0" w:line="187"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Unrecognized gains and losses of the post-retirement benefit plans are amortized over five years. Although current health care costs are expected to increase, the Company attempts to mitigate these increases by maintaining caps on certain of its benefit plans, using lower cost health care plan options where possible, requiring that certain groups of</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23" w:lineRule="exact"/>
        <w:rPr>
          <w:sz w:val="20"/>
          <w:szCs w:val="20"/>
          <w:color w:val="auto"/>
        </w:rPr>
      </w:pPr>
      <w:r>
        <w:rPr>
          <w:rFonts w:ascii="Arial" w:cs="Arial" w:eastAsia="Arial" w:hAnsi="Arial"/>
          <w:sz w:val="18"/>
          <w:szCs w:val="18"/>
          <w:color w:val="auto"/>
        </w:rPr>
        <w:t>employees pay a portion of their benefit costs, self</w:t>
      </w:r>
      <w:r>
        <w:rPr>
          <w:rFonts w:ascii="MS PGothic" w:cs="MS PGothic" w:eastAsia="MS PGothic" w:hAnsi="MS PGothic"/>
          <w:sz w:val="18"/>
          <w:szCs w:val="18"/>
          <w:color w:val="auto"/>
        </w:rPr>
        <w:t>‑</w:t>
      </w:r>
      <w:r>
        <w:rPr>
          <w:rFonts w:ascii="Arial" w:cs="Arial" w:eastAsia="Arial" w:hAnsi="Arial"/>
          <w:sz w:val="18"/>
          <w:szCs w:val="18"/>
          <w:color w:val="auto"/>
        </w:rPr>
        <w:t>insuring for certain insurance plans, encouraging wellness programs for employees, and implementing measures to mitigate future benefit cost increases.</w:t>
      </w:r>
    </w:p>
    <w:p>
      <w:pPr>
        <w:spacing w:after="0" w:line="203"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Components of the net periodic benefit cost and other amounts recognized in other comprehensive income (loss) for the qualified pension plans and the other post-retirement benefit plans during 2016, 2015, and 2014 are shown below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center"/>
              <w:ind w:left="253"/>
              <w:spacing w:after="0"/>
              <w:rPr>
                <w:sz w:val="20"/>
                <w:szCs w:val="20"/>
                <w:color w:val="auto"/>
              </w:rPr>
            </w:pPr>
            <w:r>
              <w:rPr>
                <w:rFonts w:ascii="Arial" w:cs="Arial" w:eastAsia="Arial" w:hAnsi="Arial"/>
                <w:sz w:val="14"/>
                <w:szCs w:val="14"/>
                <w:b w:val="1"/>
                <w:bCs w:val="1"/>
                <w:color w:val="auto"/>
                <w:w w:val="88"/>
              </w:rPr>
              <w:t>Pension Benefits</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10"/>
          </w:tcPr>
          <w:p>
            <w:pPr>
              <w:jc w:val="center"/>
              <w:ind w:right="160"/>
              <w:spacing w:after="0"/>
              <w:rPr>
                <w:sz w:val="20"/>
                <w:szCs w:val="20"/>
                <w:color w:val="auto"/>
              </w:rPr>
            </w:pPr>
            <w:r>
              <w:rPr>
                <w:rFonts w:ascii="Arial" w:cs="Arial" w:eastAsia="Arial" w:hAnsi="Arial"/>
                <w:sz w:val="14"/>
                <w:szCs w:val="14"/>
                <w:b w:val="1"/>
                <w:bCs w:val="1"/>
                <w:color w:val="auto"/>
                <w:w w:val="92"/>
              </w:rPr>
              <w:t>Other Post-retirement Benefits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Components of Net Periodic Benefit Cost: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Service cost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Expected return on plan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Amortization of net loss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30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tcPr>
          <w:p>
            <w:pPr>
              <w:spacing w:after="0" w:line="201" w:lineRule="exact"/>
              <w:rPr>
                <w:sz w:val="20"/>
                <w:szCs w:val="20"/>
                <w:color w:val="auto"/>
              </w:rPr>
            </w:pPr>
            <w:r>
              <w:rPr>
                <w:rFonts w:ascii="Arial" w:cs="Arial" w:eastAsia="Arial" w:hAnsi="Arial"/>
                <w:sz w:val="18"/>
                <w:szCs w:val="18"/>
                <w:color w:val="auto"/>
                <w:w w:val="98"/>
              </w:rPr>
              <w:t>Other Changes in Plan Assets and Benefit Obligations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w w:val="95"/>
              </w:rPr>
              <w:t>Recognized in Other Comprehensive Income, net of tax:</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(gain)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New prior service cost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net loss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recognized in other comprehensive income</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spacing w:after="0" w:line="182" w:lineRule="exact"/>
              <w:rPr>
                <w:sz w:val="20"/>
                <w:szCs w:val="20"/>
                <w:color w:val="auto"/>
              </w:rPr>
            </w:pPr>
            <w:r>
              <w:rPr>
                <w:rFonts w:ascii="Arial" w:cs="Arial" w:eastAsia="Arial" w:hAnsi="Arial"/>
                <w:sz w:val="18"/>
                <w:szCs w:val="18"/>
                <w:color w:val="auto"/>
                <w:w w:val="99"/>
              </w:rPr>
              <w:t>Total recognized in net periodic benefit cost and other</w:t>
            </w:r>
          </w:p>
        </w:tc>
        <w:tc>
          <w:tcPr>
            <w:tcW w:w="22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w:t>
            </w:r>
          </w:p>
        </w:tc>
        <w:tc>
          <w:tcPr>
            <w:tcW w:w="1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24.3</w:t>
            </w:r>
          </w:p>
        </w:tc>
        <w:tc>
          <w:tcPr>
            <w:tcW w:w="140" w:type="dxa"/>
            <w:vAlign w:val="bottom"/>
            <w:vMerge w:val="restart"/>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8</w:t>
            </w:r>
          </w:p>
        </w:tc>
        <w:tc>
          <w:tcPr>
            <w:tcW w:w="4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0</w:t>
            </w:r>
          </w:p>
        </w:tc>
        <w:tc>
          <w:tcPr>
            <w:tcW w:w="160" w:type="dxa"/>
            <w:vAlign w:val="bottom"/>
          </w:tcPr>
          <w:p>
            <w:pPr>
              <w:spacing w:after="0"/>
              <w:rPr>
                <w:sz w:val="15"/>
                <w:szCs w:val="15"/>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gridSpan w:val="2"/>
            <w:vMerge w:val="continue"/>
          </w:tcPr>
          <w:p>
            <w:pPr>
              <w:spacing w:after="0"/>
              <w:rPr>
                <w:sz w:val="19"/>
                <w:szCs w:val="19"/>
                <w:color w:val="auto"/>
              </w:rPr>
            </w:pPr>
          </w:p>
        </w:tc>
        <w:tc>
          <w:tcPr>
            <w:tcW w:w="4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assumptions used to determine benefit information during 2016, 2015, and 2014,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20" w:type="dxa"/>
            <w:vAlign w:val="bottom"/>
            <w:gridSpan w:val="5"/>
          </w:tcPr>
          <w:p>
            <w:pPr>
              <w:jc w:val="center"/>
              <w:ind w:left="277"/>
              <w:spacing w:after="0"/>
              <w:rPr>
                <w:sz w:val="20"/>
                <w:szCs w:val="20"/>
                <w:color w:val="auto"/>
              </w:rPr>
            </w:pPr>
            <w:r>
              <w:rPr>
                <w:rFonts w:ascii="Arial" w:cs="Arial" w:eastAsia="Arial" w:hAnsi="Arial"/>
                <w:sz w:val="14"/>
                <w:szCs w:val="14"/>
                <w:b w:val="1"/>
                <w:bCs w:val="1"/>
                <w:color w:val="auto"/>
                <w:w w:val="89"/>
              </w:rPr>
              <w:t>Pension Benefits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Other Post-retirement Benefits</w:t>
            </w:r>
          </w:p>
        </w:tc>
      </w:tr>
      <w:tr>
        <w:trPr>
          <w:trHeight w:val="17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r>
      <w:tr>
        <w:trPr>
          <w:trHeight w:val="210"/>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Assumptions:</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20"/>
              <w:spacing w:after="0"/>
              <w:rPr>
                <w:sz w:val="20"/>
                <w:szCs w:val="20"/>
                <w:color w:val="auto"/>
              </w:rPr>
            </w:pPr>
            <w:r>
              <w:rPr>
                <w:rFonts w:ascii="Arial" w:cs="Arial" w:eastAsia="Arial" w:hAnsi="Arial"/>
                <w:sz w:val="18"/>
                <w:szCs w:val="18"/>
                <w:color w:val="auto"/>
              </w:rPr>
              <w:t>Discount rate (1)</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4.40 %</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4.50 %</w:t>
            </w:r>
          </w:p>
        </w:tc>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4.10 %</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4.60 %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4.60 %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4.20 %</w:t>
            </w:r>
          </w:p>
        </w:tc>
      </w:tr>
      <w:tr>
        <w:trPr>
          <w:trHeight w:val="216"/>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Expected return on plan assets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8.00 %</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8.00 %</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8.25 %</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20"/>
              <w:spacing w:after="0"/>
              <w:rPr>
                <w:sz w:val="20"/>
                <w:szCs w:val="20"/>
                <w:color w:val="auto"/>
              </w:rPr>
            </w:pPr>
            <w:r>
              <w:rPr>
                <w:rFonts w:ascii="Arial" w:cs="Arial" w:eastAsia="Arial" w:hAnsi="Arial"/>
                <w:sz w:val="18"/>
                <w:szCs w:val="18"/>
                <w:color w:val="auto"/>
              </w:rPr>
              <w:t>Rate of compensation increase</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3.00 %</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3.00 %</w:t>
            </w:r>
          </w:p>
        </w:tc>
        <w:tc>
          <w:tcPr>
            <w:tcW w:w="4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3.00 %</w:t>
            </w: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3.00 %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3.00 %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3.00 %</w:t>
            </w:r>
          </w:p>
        </w:tc>
      </w:tr>
      <w:tr>
        <w:trPr>
          <w:trHeight w:val="216"/>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Initial health care cost trend rate (2)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320"/>
              <w:spacing w:after="0"/>
              <w:rPr>
                <w:sz w:val="20"/>
                <w:szCs w:val="20"/>
                <w:color w:val="auto"/>
              </w:rPr>
            </w:pPr>
            <w:r>
              <w:rPr>
                <w:rFonts w:ascii="Arial" w:cs="Arial" w:eastAsia="Arial" w:hAnsi="Arial"/>
                <w:sz w:val="18"/>
                <w:szCs w:val="18"/>
                <w:color w:val="auto"/>
              </w:rPr>
              <w:t>Pre-65 group</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
              <w:spacing w:after="0"/>
              <w:rPr>
                <w:sz w:val="20"/>
                <w:szCs w:val="20"/>
                <w:color w:val="auto"/>
              </w:rPr>
            </w:pPr>
            <w:r>
              <w:rPr>
                <w:rFonts w:ascii="Arial" w:cs="Arial" w:eastAsia="Arial" w:hAnsi="Arial"/>
                <w:sz w:val="18"/>
                <w:szCs w:val="18"/>
                <w:color w:val="auto"/>
              </w:rPr>
              <w:t>6.60 %</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6.80 %</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Post-65 group</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7.20 %</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7.60 %</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120"/>
              <w:spacing w:after="0"/>
              <w:rPr>
                <w:sz w:val="20"/>
                <w:szCs w:val="20"/>
                <w:color w:val="auto"/>
              </w:rPr>
            </w:pPr>
            <w:r>
              <w:rPr>
                <w:rFonts w:ascii="Arial" w:cs="Arial" w:eastAsia="Arial" w:hAnsi="Arial"/>
                <w:sz w:val="18"/>
                <w:szCs w:val="18"/>
                <w:color w:val="auto"/>
              </w:rPr>
              <w:t>Ultimate health care cost trend rate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4"/>
          </w:tcPr>
          <w:p>
            <w:pPr>
              <w:jc w:val="right"/>
              <w:ind w:right="100"/>
              <w:spacing w:after="0"/>
              <w:rPr>
                <w:sz w:val="20"/>
                <w:szCs w:val="20"/>
                <w:color w:val="auto"/>
              </w:rPr>
            </w:pPr>
            <w:r>
              <w:rPr>
                <w:rFonts w:ascii="Arial" w:cs="Arial" w:eastAsia="Arial" w:hAnsi="Arial"/>
                <w:sz w:val="18"/>
                <w:szCs w:val="18"/>
                <w:color w:val="auto"/>
              </w:rPr>
              <w:t>4.40 %   4.40 %</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4.50 %</w:t>
            </w:r>
          </w:p>
        </w:tc>
      </w:tr>
      <w:tr>
        <w:trPr>
          <w:trHeight w:val="216"/>
        </w:trPr>
        <w:tc>
          <w:tcPr>
            <w:tcW w:w="4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Year ultimate health care cost trend rate is reached (2)</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ind w:left="320"/>
              <w:spacing w:after="0"/>
              <w:rPr>
                <w:sz w:val="20"/>
                <w:szCs w:val="20"/>
                <w:color w:val="auto"/>
              </w:rPr>
            </w:pPr>
            <w:r>
              <w:rPr>
                <w:rFonts w:ascii="Arial" w:cs="Arial" w:eastAsia="Arial" w:hAnsi="Arial"/>
                <w:sz w:val="18"/>
                <w:szCs w:val="18"/>
                <w:color w:val="auto"/>
              </w:rPr>
              <w:t>Pre-65 group</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2037</w:t>
            </w: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2037</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Post-65 group</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r>
    </w:tbl>
    <w:p>
      <w:pPr>
        <w:spacing w:after="0" w:line="89" w:lineRule="exact"/>
        <w:rPr>
          <w:sz w:val="20"/>
          <w:szCs w:val="20"/>
          <w:color w:val="auto"/>
        </w:rPr>
      </w:pPr>
    </w:p>
    <w:p>
      <w:pPr>
        <w:ind w:left="220" w:hanging="217"/>
        <w:spacing w:after="0"/>
        <w:tabs>
          <w:tab w:leader="none" w:pos="2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Company derives a single equivalent rate utilizing a yield curve constructed from a portfolio of high-quality corporate bonds with various maturities.</w:t>
      </w:r>
    </w:p>
    <w:p>
      <w:pPr>
        <w:spacing w:after="0" w:line="11" w:lineRule="exact"/>
        <w:rPr>
          <w:rFonts w:ascii="Arial" w:cs="Arial" w:eastAsia="Arial" w:hAnsi="Arial"/>
          <w:sz w:val="13"/>
          <w:szCs w:val="13"/>
          <w:color w:val="auto"/>
        </w:rPr>
      </w:pPr>
    </w:p>
    <w:p>
      <w:pPr>
        <w:ind w:left="240" w:hanging="237"/>
        <w:spacing w:after="0"/>
        <w:tabs>
          <w:tab w:leader="none" w:pos="2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Starting in 2015, initial and ultimate health care trend rates used to determine obligations are different for pre-65 and post-65 populations.</w:t>
      </w:r>
    </w:p>
    <w:p>
      <w:pPr>
        <w:spacing w:after="0" w:line="18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2014, the Company adopted a modified version of the new mortality table (RP-2014) issued by the Society of Actuaries in October 2014 along with a modified mortality improvement scale for the purposes of determining the Company’s mortality assumption used in its defined benefit and other post-retirement plan liability calculations. The use of the new table resulted in an increase of approximately $17.6 million and $3.9 million to the projected benefit obligation for pension and other post-retirement benefits, respectively as of December 31, 2014.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If the assumed health care cost trend rate were increased or decreased one percentage point, the accumulated post-retirement benefit obligation, as of December 31, 2016, 2015, and 2014 and the net periodic post-retirement benefit cost for 2016, 2015 and 2014, would have increased or decreased as follows (in millions):</w:t>
      </w:r>
    </w:p>
    <w:p>
      <w:pPr>
        <w:spacing w:after="0" w:line="173" w:lineRule="exact"/>
        <w:rPr>
          <w:sz w:val="20"/>
          <w:szCs w:val="20"/>
          <w:color w:val="auto"/>
        </w:rPr>
      </w:pPr>
    </w:p>
    <w:p>
      <w:pPr>
        <w:jc w:val="center"/>
        <w:ind w:left="5000"/>
        <w:spacing w:after="0"/>
        <w:rPr>
          <w:sz w:val="20"/>
          <w:szCs w:val="20"/>
          <w:color w:val="auto"/>
        </w:rPr>
      </w:pPr>
      <w:r>
        <w:rPr>
          <w:rFonts w:ascii="Arial" w:cs="Arial" w:eastAsia="Arial" w:hAnsi="Arial"/>
          <w:sz w:val="14"/>
          <w:szCs w:val="14"/>
          <w:b w:val="1"/>
          <w:bCs w:val="1"/>
          <w:color w:val="auto"/>
        </w:rPr>
        <w:t>Other Post-retirement Benefits</w:t>
      </w:r>
    </w:p>
    <w:p>
      <w:pPr>
        <w:jc w:val="center"/>
        <w:ind w:left="5000"/>
        <w:spacing w:after="0" w:line="236" w:lineRule="auto"/>
        <w:rPr>
          <w:sz w:val="20"/>
          <w:szCs w:val="20"/>
          <w:color w:val="auto"/>
        </w:rPr>
      </w:pPr>
      <w:r>
        <w:rPr>
          <w:rFonts w:ascii="Arial" w:cs="Arial" w:eastAsia="Arial" w:hAnsi="Arial"/>
          <w:sz w:val="14"/>
          <w:szCs w:val="14"/>
          <w:b w:val="1"/>
          <w:bCs w:val="1"/>
          <w:color w:val="auto"/>
        </w:rPr>
        <w:t>One Percentage Point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Increase</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Decrease</w:t>
            </w: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44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6"/>
              </w:rPr>
              <w:t>2014</w:t>
            </w:r>
          </w:p>
        </w:tc>
        <w:tc>
          <w:tcPr>
            <w:tcW w:w="40" w:type="dxa"/>
            <w:vAlign w:val="bottom"/>
            <w:tcBorders>
              <w:bottom w:val="single" w:sz="8" w:color="CCEEFF"/>
            </w:tcBorders>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8"/>
                <w:szCs w:val="18"/>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0"/>
                <w:szCs w:val="20"/>
                <w:color w:val="auto"/>
              </w:rPr>
            </w:pPr>
          </w:p>
        </w:tc>
      </w:tr>
    </w:tbl>
    <w:p>
      <w:pPr>
        <w:spacing w:after="0" w:line="17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i w:val="1"/>
          <w:iCs w:val="1"/>
          <w:color w:val="auto"/>
        </w:rPr>
        <w:t xml:space="preserve">Non-qualified Pension Plans: </w:t>
      </w:r>
      <w:r>
        <w:rPr>
          <w:rFonts w:ascii="Arial" w:cs="Arial" w:eastAsia="Arial" w:hAnsi="Arial"/>
          <w:sz w:val="16"/>
          <w:szCs w:val="16"/>
          <w:color w:val="auto"/>
        </w:rPr>
        <w:t>The Company has non-qualified supplemental pension plans covering certain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retirees, which provide for incremental pension payments from the Company’s general funds so that total pension benefits would be substantially equal to amounts that would have been payable from the Company’s qualified pension plans if it were not for limitations imposed by income tax law. A few employees and retirees receive additional supplemental pension benefits. Non-qualified pension plan obligations recognized in the Consolidated Balance Sheets and expenses recognized in accumulated other comprehensive loss at December 31, 2016 and 2015 are as follows (in millions):</w:t>
      </w:r>
    </w:p>
    <w:p>
      <w:pPr>
        <w:ind w:left="7500"/>
        <w:spacing w:after="0" w:line="238" w:lineRule="auto"/>
        <w:rPr>
          <w:sz w:val="20"/>
          <w:szCs w:val="20"/>
          <w:color w:val="auto"/>
        </w:rPr>
      </w:pPr>
      <w:r>
        <w:rPr>
          <w:rFonts w:ascii="Arial" w:cs="Arial" w:eastAsia="Arial" w:hAnsi="Arial"/>
          <w:sz w:val="14"/>
          <w:szCs w:val="14"/>
          <w:b w:val="1"/>
          <w:bCs w:val="1"/>
          <w:color w:val="auto"/>
        </w:rPr>
        <w:t>Non-qualified</w:t>
      </w:r>
    </w:p>
    <w:p>
      <w:pPr>
        <w:ind w:left="7420"/>
        <w:spacing w:after="0" w:line="221" w:lineRule="auto"/>
        <w:rPr>
          <w:sz w:val="20"/>
          <w:szCs w:val="20"/>
          <w:color w:val="auto"/>
        </w:rPr>
      </w:pPr>
      <w:r>
        <w:rPr>
          <w:rFonts w:ascii="Arial" w:cs="Arial" w:eastAsia="Arial" w:hAnsi="Arial"/>
          <w:sz w:val="14"/>
          <w:szCs w:val="14"/>
          <w:b w:val="1"/>
          <w:bCs w:val="1"/>
          <w:color w:val="auto"/>
        </w:rPr>
        <w:t>Pension Benefits</w:t>
      </w:r>
    </w:p>
    <w:p>
      <w:pPr>
        <w:ind w:left="7480"/>
        <w:spacing w:after="0" w:line="232"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liabilities, net</w:t>
            </w:r>
          </w:p>
        </w:tc>
        <w:tc>
          <w:tcPr>
            <w:tcW w:w="2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net of taxes</w:t>
            </w:r>
          </w:p>
        </w:tc>
        <w:tc>
          <w:tcPr>
            <w:tcW w:w="2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5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Prior service credit, net of taxes</w:t>
            </w:r>
          </w:p>
        </w:tc>
        <w:tc>
          <w:tcPr>
            <w:tcW w:w="2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 discount rate of 3.4 percent was used in determining both the 2016 and 2015 non-qualified pension plan obligations. The estimated net loss and prior service credit for the non-qualified pension plans that will be amortized from accumulated other comprehensive loss into net periodic benefit cost, net of tax, in 2017 is $0.1 million.</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Estimated Benefit Payments: </w:t>
      </w:r>
      <w:r>
        <w:rPr>
          <w:rFonts w:ascii="Arial" w:cs="Arial" w:eastAsia="Arial" w:hAnsi="Arial"/>
          <w:sz w:val="17"/>
          <w:szCs w:val="17"/>
          <w:color w:val="auto"/>
        </w:rPr>
        <w:t>The estimated future benefit payments for the next ten years are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Qualified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Non-qualified    Post-retirement</w:t>
            </w: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88"/>
              </w:rPr>
              <w:t>Pension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Benefits</w:t>
            </w:r>
          </w:p>
        </w:tc>
        <w:tc>
          <w:tcPr>
            <w:tcW w:w="14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Pension Benefits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Benefits (1)</w:t>
            </w:r>
          </w:p>
        </w:tc>
        <w:tc>
          <w:tcPr>
            <w:tcW w:w="0" w:type="dxa"/>
            <w:vAlign w:val="bottom"/>
          </w:tcPr>
          <w:p>
            <w:pPr>
              <w:spacing w:after="0"/>
              <w:rPr>
                <w:sz w:val="1"/>
                <w:szCs w:val="1"/>
                <w:color w:val="auto"/>
              </w:rPr>
            </w:pPr>
          </w:p>
        </w:tc>
      </w:tr>
      <w:tr>
        <w:trPr>
          <w:trHeight w:val="210"/>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3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2018</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2020</w:t>
            </w: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2022-2026</w:t>
            </w:r>
          </w:p>
        </w:tc>
        <w:tc>
          <w:tcPr>
            <w:tcW w:w="3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40" w:hanging="437"/>
        <w:spacing w:after="0"/>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Net of plan participants’ contributions and Medicare D subsidies.</w:t>
      </w:r>
    </w:p>
    <w:p>
      <w:pPr>
        <w:spacing w:after="0" w:line="14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Defined Contribution Plans: </w:t>
      </w:r>
      <w:r>
        <w:rPr>
          <w:rFonts w:ascii="Arial" w:cs="Arial" w:eastAsia="Arial" w:hAnsi="Arial"/>
          <w:sz w:val="17"/>
          <w:szCs w:val="17"/>
          <w:color w:val="auto"/>
        </w:rPr>
        <w:t>The Company sponsors defined contribution plans that qualify under Sections 401(a) and</w:t>
      </w:r>
      <w:r>
        <w:rPr>
          <w:rFonts w:ascii="Arial" w:cs="Arial" w:eastAsia="Arial" w:hAnsi="Arial"/>
          <w:sz w:val="17"/>
          <w:szCs w:val="17"/>
          <w:i w:val="1"/>
          <w:iCs w:val="1"/>
          <w:color w:val="auto"/>
        </w:rPr>
        <w:t xml:space="preserve"> </w:t>
      </w:r>
      <w:r>
        <w:rPr>
          <w:rFonts w:ascii="Arial" w:cs="Arial" w:eastAsia="Arial" w:hAnsi="Arial"/>
          <w:sz w:val="17"/>
          <w:szCs w:val="17"/>
          <w:color w:val="auto"/>
        </w:rPr>
        <w:t>401(k) of the Internal Revenue Code. The Company may make discretionary matching contributions equal to a specified percentage of each participant’s 401(k) contributions. For the plan year ended December 31, 2016, the Company provided matching contributions of up to 6 percent of eligible employee compensation. The Company’s matching contributions expensed under these plans totaled $2.1 million, $2.0 million and $1.6 million for years ended December 31, 2016, 2015 and 2014. The Company may also provide a discretionary profit sharing contribution under the qualified defined contribution plans, to salaried, non-bargaining unit employees, if both a minimum threshold of Company performance is achieved and the Board has approved the profit sharing contribution. For certain eligible employees, supplemental profit sharing contributions are credited under a non-qualified plan to be paid after separation from service from the Company’s general funds so that total profit sharing contributions would be substantially equal to amounts that would have been contributed to the Company’s qualified defined contribution plans if it were not for limitations imposed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by income tax law. There were no discretionary profit sharing contributions made in 2016. Profit sharing contributions expensed in 2015 and 2014 were $1.9 million and $1.6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Bargaining Plans:</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contributes to multi-employer defined benefit pension plans under the terms of collective-bargaining agreements that cover its bargaining unit employees. Contributions are generally based on amounts paid for union labor or cargo volume. The risks of participating in multi-employer plans are different from single-employer plans because assets contributed to the multi-employer plan by one employer may be used to provide benefits to employees of other participating employers. Additionally, if one employer stops contributing to the plan, the unfunded obligations of the plan may be borne by the remaining participating employers.</w:t>
      </w:r>
    </w:p>
    <w:p>
      <w:pPr>
        <w:spacing w:after="0" w:line="180"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multi-employer pension plans are subject to the plan termination insurance provisions of ERISA and are paying premiums to the Pension Benefit Guaranty Corporation (“PBGC”). The statutes provide that an employer who withdraws from, or significantly reduces its contribution obligation to, a multi-employer plan generally will be required to continue funding its proportional share of the plan’s unfunded vested benefits. As of December 31, 2016, the Company’s estimated benefit plan withdrawal obligations were $220.8 million. Except as described in Note 12, no withdrawal obligations have been recorded by the Company in the consolidated balance sheets at December 31, 2016 and 2015 as the Company has no present intention of withdrawing from and does not anticipate termination of any of these plans.</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Information regarding the Company’s participation in multi-employer pension plans is outlined in the table below. The “EIN/Pension Plan Number” column provides the Employer Identification Number (“EIN”) and the three-digit plan number, if applicable. Unless otherwise noted, the most recent Pension Protection Act zone status available in 2016 and 2015 is for the plan’s year-end at December 31, 2016 and 2015, respectively. The zone status is based on information that the Company received from the plan and is certified by the plan’s actuary. Among other factors, plans in the red zone are generally less than 65 percent funded, plans in the yellow zone are less than 80 percent funded, and plans in the green zone are at least 80 percent funded. The funding improvement plan (“FIP”) or rehabilitation plan (“RP”) column indicates the status which is either pending or has been implemented. The last column lists the expiration dates of the collective-bargaining agreements to which the plans are subject.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4"/>
              </w:rPr>
              <w:t>Pension</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Protection Act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Zone as of</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1"/>
              </w:rPr>
              <w:t>FIP/RP Status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8"/>
          </w:tcPr>
          <w:p>
            <w:pPr>
              <w:jc w:val="center"/>
              <w:spacing w:after="0" w:line="122" w:lineRule="exact"/>
              <w:rPr>
                <w:sz w:val="20"/>
                <w:szCs w:val="20"/>
                <w:color w:val="auto"/>
              </w:rPr>
            </w:pPr>
            <w:r>
              <w:rPr>
                <w:rFonts w:ascii="Arial" w:cs="Arial" w:eastAsia="Arial" w:hAnsi="Arial"/>
                <w:sz w:val="11"/>
                <w:szCs w:val="11"/>
                <w:b w:val="1"/>
                <w:bCs w:val="1"/>
                <w:color w:val="auto"/>
                <w:w w:val="89"/>
              </w:rPr>
              <w:t>Contributions of Matson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EIN/Pension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6"/>
              </w:rPr>
              <w:t>December 31,</w:t>
            </w: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Pending/</w:t>
            </w: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6"/>
          </w:tcPr>
          <w:p>
            <w:pPr>
              <w:jc w:val="center"/>
              <w:spacing w:after="0"/>
              <w:rPr>
                <w:sz w:val="20"/>
                <w:szCs w:val="20"/>
                <w:color w:val="auto"/>
              </w:rPr>
            </w:pPr>
            <w:r>
              <w:rPr>
                <w:rFonts w:ascii="Arial" w:cs="Arial" w:eastAsia="Arial" w:hAnsi="Arial"/>
                <w:sz w:val="11"/>
                <w:szCs w:val="11"/>
                <w:b w:val="1"/>
                <w:bCs w:val="1"/>
                <w:color w:val="auto"/>
                <w:w w:val="90"/>
              </w:rPr>
              <w:t>($ 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Surcharge</w:t>
            </w:r>
          </w:p>
        </w:tc>
        <w:tc>
          <w:tcPr>
            <w:tcW w:w="62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89"/>
              </w:rPr>
              <w:t>Expiration</w:t>
            </w:r>
          </w:p>
        </w:tc>
        <w:tc>
          <w:tcPr>
            <w:tcW w:w="0" w:type="dxa"/>
            <w:vAlign w:val="bottom"/>
          </w:tcPr>
          <w:p>
            <w:pPr>
              <w:spacing w:after="0"/>
              <w:rPr>
                <w:sz w:val="1"/>
                <w:szCs w:val="1"/>
                <w:color w:val="auto"/>
              </w:rPr>
            </w:pPr>
          </w:p>
        </w:tc>
      </w:tr>
      <w:tr>
        <w:trPr>
          <w:trHeight w:val="115"/>
        </w:trPr>
        <w:tc>
          <w:tcPr>
            <w:tcW w:w="248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Pension Funds</w:t>
            </w:r>
          </w:p>
        </w:tc>
        <w:tc>
          <w:tcPr>
            <w:tcW w:w="100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91"/>
              </w:rPr>
              <w:t>Plan Number</w:t>
            </w:r>
          </w:p>
        </w:tc>
        <w:tc>
          <w:tcPr>
            <w:tcW w:w="46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rPr>
              <w:t>Notes</w:t>
            </w:r>
          </w:p>
        </w:tc>
        <w:tc>
          <w:tcPr>
            <w:tcW w:w="380" w:type="dxa"/>
            <w:vAlign w:val="bottom"/>
            <w:tcBorders>
              <w:top w:val="single" w:sz="8" w:color="auto"/>
            </w:tcBorders>
          </w:tcPr>
          <w:p>
            <w:pPr>
              <w:jc w:val="right"/>
              <w:ind w:right="19"/>
              <w:spacing w:after="0" w:line="115" w:lineRule="exact"/>
              <w:rPr>
                <w:sz w:val="20"/>
                <w:szCs w:val="20"/>
                <w:color w:val="auto"/>
              </w:rPr>
            </w:pPr>
            <w:r>
              <w:rPr>
                <w:rFonts w:ascii="Arial" w:cs="Arial" w:eastAsia="Arial" w:hAnsi="Arial"/>
                <w:sz w:val="11"/>
                <w:szCs w:val="11"/>
                <w:b w:val="1"/>
                <w:bCs w:val="1"/>
                <w:color w:val="auto"/>
              </w:rPr>
              <w:t>2016</w:t>
            </w: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38"/>
              <w:spacing w:after="0" w:line="115" w:lineRule="exact"/>
              <w:rPr>
                <w:sz w:val="20"/>
                <w:szCs w:val="20"/>
                <w:color w:val="auto"/>
              </w:rPr>
            </w:pPr>
            <w:r>
              <w:rPr>
                <w:rFonts w:ascii="Arial" w:cs="Arial" w:eastAsia="Arial" w:hAnsi="Arial"/>
                <w:sz w:val="11"/>
                <w:szCs w:val="11"/>
                <w:b w:val="1"/>
                <w:bCs w:val="1"/>
                <w:color w:val="auto"/>
              </w:rPr>
              <w:t>2015</w:t>
            </w:r>
          </w:p>
        </w:tc>
        <w:tc>
          <w:tcPr>
            <w:tcW w:w="100" w:type="dxa"/>
            <w:vAlign w:val="bottom"/>
          </w:tcPr>
          <w:p>
            <w:pPr>
              <w:spacing w:after="0"/>
              <w:rPr>
                <w:sz w:val="10"/>
                <w:szCs w:val="10"/>
                <w:color w:val="auto"/>
              </w:rPr>
            </w:pPr>
          </w:p>
        </w:tc>
        <w:tc>
          <w:tcPr>
            <w:tcW w:w="80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1"/>
              </w:rPr>
              <w:t>Implemented</w:t>
            </w:r>
          </w:p>
        </w:tc>
        <w:tc>
          <w:tcPr>
            <w:tcW w:w="58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Contributor</w:t>
            </w:r>
          </w:p>
        </w:tc>
        <w:tc>
          <w:tcPr>
            <w:tcW w:w="120" w:type="dxa"/>
            <w:vAlign w:val="bottom"/>
          </w:tcPr>
          <w:p>
            <w:pPr>
              <w:spacing w:after="0"/>
              <w:rPr>
                <w:sz w:val="10"/>
                <w:szCs w:val="10"/>
                <w:color w:val="auto"/>
              </w:rPr>
            </w:pPr>
          </w:p>
        </w:tc>
        <w:tc>
          <w:tcPr>
            <w:tcW w:w="3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2016</w:t>
            </w:r>
          </w:p>
        </w:tc>
        <w:tc>
          <w:tcPr>
            <w:tcW w:w="500" w:type="dxa"/>
            <w:vAlign w:val="bottom"/>
            <w:tcBorders>
              <w:top w:val="single" w:sz="8" w:color="auto"/>
            </w:tcBorders>
            <w:gridSpan w:val="3"/>
          </w:tcPr>
          <w:p>
            <w:pPr>
              <w:jc w:val="center"/>
              <w:ind w:left="98"/>
              <w:spacing w:after="0" w:line="115" w:lineRule="exact"/>
              <w:rPr>
                <w:sz w:val="20"/>
                <w:szCs w:val="20"/>
                <w:color w:val="auto"/>
              </w:rPr>
            </w:pPr>
            <w:r>
              <w:rPr>
                <w:rFonts w:ascii="Arial" w:cs="Arial" w:eastAsia="Arial" w:hAnsi="Arial"/>
                <w:sz w:val="11"/>
                <w:szCs w:val="11"/>
                <w:b w:val="1"/>
                <w:bCs w:val="1"/>
                <w:color w:val="auto"/>
                <w:w w:val="89"/>
              </w:rPr>
              <w:t>2015</w:t>
            </w: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18"/>
              <w:spacing w:after="0" w:line="115" w:lineRule="exact"/>
              <w:rPr>
                <w:sz w:val="20"/>
                <w:szCs w:val="20"/>
                <w:color w:val="auto"/>
              </w:rPr>
            </w:pPr>
            <w:r>
              <w:rPr>
                <w:rFonts w:ascii="Arial" w:cs="Arial" w:eastAsia="Arial" w:hAnsi="Arial"/>
                <w:sz w:val="11"/>
                <w:szCs w:val="11"/>
                <w:b w:val="1"/>
                <w:bCs w:val="1"/>
                <w:color w:val="auto"/>
                <w:w w:val="81"/>
              </w:rPr>
              <w:t>2014</w:t>
            </w:r>
          </w:p>
        </w:tc>
        <w:tc>
          <w:tcPr>
            <w:tcW w:w="100" w:type="dxa"/>
            <w:vAlign w:val="bottom"/>
          </w:tcPr>
          <w:p>
            <w:pPr>
              <w:spacing w:after="0"/>
              <w:rPr>
                <w:sz w:val="10"/>
                <w:szCs w:val="10"/>
                <w:color w:val="auto"/>
              </w:rPr>
            </w:pPr>
          </w:p>
        </w:tc>
        <w:tc>
          <w:tcPr>
            <w:tcW w:w="60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8"/>
              </w:rPr>
              <w:t>Imposed</w:t>
            </w:r>
          </w:p>
        </w:tc>
        <w:tc>
          <w:tcPr>
            <w:tcW w:w="620" w:type="dxa"/>
            <w:vAlign w:val="bottom"/>
            <w:gridSpan w:val="2"/>
          </w:tcPr>
          <w:p>
            <w:pPr>
              <w:jc w:val="center"/>
              <w:ind w:right="20"/>
              <w:spacing w:after="0" w:line="115" w:lineRule="exact"/>
              <w:rPr>
                <w:sz w:val="20"/>
                <w:szCs w:val="20"/>
                <w:color w:val="auto"/>
              </w:rPr>
            </w:pPr>
            <w:r>
              <w:rPr>
                <w:rFonts w:ascii="Arial" w:cs="Arial" w:eastAsia="Arial" w:hAnsi="Arial"/>
                <w:sz w:val="11"/>
                <w:szCs w:val="11"/>
                <w:b w:val="1"/>
                <w:bCs w:val="1"/>
                <w:color w:val="auto"/>
                <w:w w:val="89"/>
              </w:rPr>
              <w:t>Date (5)</w:t>
            </w:r>
          </w:p>
        </w:tc>
        <w:tc>
          <w:tcPr>
            <w:tcW w:w="0" w:type="dxa"/>
            <w:vAlign w:val="bottom"/>
          </w:tcPr>
          <w:p>
            <w:pPr>
              <w:spacing w:after="0"/>
              <w:rPr>
                <w:sz w:val="1"/>
                <w:szCs w:val="1"/>
                <w:color w:val="auto"/>
              </w:rPr>
            </w:pPr>
          </w:p>
        </w:tc>
      </w:tr>
      <w:tr>
        <w:trPr>
          <w:trHeight w:val="114"/>
        </w:trPr>
        <w:tc>
          <w:tcPr>
            <w:tcW w:w="2360" w:type="dxa"/>
            <w:vAlign w:val="bottom"/>
            <w:tcBorders>
              <w:top w:val="single" w:sz="8" w:color="auto"/>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w w:val="99"/>
              </w:rPr>
              <w:t>Hawaii Terminals Multiemployer Pension</w:t>
            </w:r>
          </w:p>
        </w:tc>
        <w:tc>
          <w:tcPr>
            <w:tcW w:w="12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Plan</w:t>
            </w: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20-0389370-001</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3"/>
              </w:rPr>
              <w:t>Yellow</w:t>
            </w:r>
          </w:p>
        </w:tc>
        <w:tc>
          <w:tcPr>
            <w:tcW w:w="5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Yellow</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Implemented</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Yes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5.3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  4.9</w:t>
            </w:r>
          </w:p>
        </w:tc>
        <w:tc>
          <w:tcPr>
            <w:tcW w:w="120" w:type="dxa"/>
            <w:vAlign w:val="bottom"/>
            <w:shd w:val="clear" w:color="auto" w:fill="CCEEFF"/>
          </w:tcPr>
          <w:p>
            <w:pPr>
              <w:spacing w:after="0"/>
              <w:rPr>
                <w:sz w:val="12"/>
                <w:szCs w:val="12"/>
                <w:color w:val="auto"/>
              </w:rPr>
            </w:pP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6/30/2019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480" w:type="dxa"/>
            <w:vAlign w:val="bottom"/>
            <w:gridSpan w:val="3"/>
          </w:tcPr>
          <w:p>
            <w:pPr>
              <w:spacing w:after="0" w:line="121" w:lineRule="exact"/>
              <w:rPr>
                <w:sz w:val="20"/>
                <w:szCs w:val="20"/>
                <w:color w:val="auto"/>
              </w:rPr>
            </w:pPr>
            <w:r>
              <w:rPr>
                <w:rFonts w:ascii="Arial" w:cs="Arial" w:eastAsia="Arial" w:hAnsi="Arial"/>
                <w:sz w:val="13"/>
                <w:szCs w:val="13"/>
                <w:color w:val="auto"/>
              </w:rPr>
              <w:t>Hawaii Stevedoring Multiemployer</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3"/>
          </w:tcPr>
          <w:p>
            <w:pPr>
              <w:spacing w:after="0"/>
              <w:rPr>
                <w:sz w:val="20"/>
                <w:szCs w:val="20"/>
                <w:color w:val="auto"/>
              </w:rPr>
            </w:pPr>
            <w:r>
              <w:rPr>
                <w:rFonts w:ascii="Arial" w:cs="Arial" w:eastAsia="Arial" w:hAnsi="Arial"/>
                <w:sz w:val="13"/>
                <w:szCs w:val="13"/>
                <w:color w:val="auto"/>
              </w:rPr>
              <w:t>Retirement Plan</w:t>
            </w:r>
          </w:p>
        </w:tc>
        <w:tc>
          <w:tcPr>
            <w:tcW w:w="880" w:type="dxa"/>
            <w:vAlign w:val="bottom"/>
          </w:tcPr>
          <w:p>
            <w:pPr>
              <w:jc w:val="center"/>
              <w:spacing w:after="0"/>
              <w:rPr>
                <w:sz w:val="20"/>
                <w:szCs w:val="20"/>
                <w:color w:val="auto"/>
              </w:rPr>
            </w:pPr>
            <w:r>
              <w:rPr>
                <w:rFonts w:ascii="Arial" w:cs="Arial" w:eastAsia="Arial" w:hAnsi="Arial"/>
                <w:sz w:val="13"/>
                <w:szCs w:val="13"/>
                <w:color w:val="auto"/>
                <w:w w:val="88"/>
              </w:rPr>
              <w:t>99-0314293-001</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Yellow</w:t>
            </w:r>
          </w:p>
        </w:tc>
        <w:tc>
          <w:tcPr>
            <w:tcW w:w="50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Yellow</w:t>
            </w:r>
          </w:p>
        </w:tc>
        <w:tc>
          <w:tcPr>
            <w:tcW w:w="8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Implemented</w:t>
            </w:r>
          </w:p>
        </w:tc>
        <w:tc>
          <w:tcPr>
            <w:tcW w:w="580" w:type="dxa"/>
            <w:vAlign w:val="bottom"/>
          </w:tcPr>
          <w:p>
            <w:pPr>
              <w:jc w:val="center"/>
              <w:spacing w:after="0"/>
              <w:rPr>
                <w:sz w:val="20"/>
                <w:szCs w:val="20"/>
                <w:color w:val="auto"/>
              </w:rPr>
            </w:pPr>
            <w:r>
              <w:rPr>
                <w:rFonts w:ascii="Arial" w:cs="Arial" w:eastAsia="Arial" w:hAnsi="Arial"/>
                <w:sz w:val="13"/>
                <w:szCs w:val="13"/>
                <w:color w:val="auto"/>
                <w:w w:val="80"/>
              </w:rPr>
              <w:t>Yes</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2.8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rPr>
                <w:sz w:val="20"/>
                <w:szCs w:val="20"/>
                <w:color w:val="auto"/>
              </w:rPr>
            </w:pPr>
            <w:r>
              <w:rPr>
                <w:rFonts w:ascii="Arial" w:cs="Arial" w:eastAsia="Arial" w:hAnsi="Arial"/>
                <w:sz w:val="13"/>
                <w:szCs w:val="13"/>
                <w:color w:val="auto"/>
                <w:w w:val="89"/>
              </w:rPr>
              <w:t>6/30/2019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Master, Mates and Pilots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13-6372630-001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5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6/15/2023,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6/15/2027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3"/>
              </w:rPr>
              <w:t>Masters, Mates and Pilots Adjustable Pension</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Plan</w:t>
            </w:r>
          </w:p>
        </w:tc>
        <w:tc>
          <w:tcPr>
            <w:tcW w:w="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37-1719247-001</w:t>
            </w: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No</w:t>
            </w:r>
          </w:p>
        </w:tc>
        <w:tc>
          <w:tcPr>
            <w:tcW w:w="5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0"/>
              </w:rPr>
              <w:t>Yes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6/15/2023,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6/15/2027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w w:val="98"/>
              </w:rPr>
              <w:t>MEBA Pension Trust - Defined Benefit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51-6029896-001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Red</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Implemented</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5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3.2</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8/15/2018,</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6/15/2022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OCU Trust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26-1574440-001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5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rPr>
              <w:t>MFOW Supplementary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94-6201677-001</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120" w:type="dxa"/>
            <w:vAlign w:val="bottom"/>
          </w:tcPr>
          <w:p>
            <w:pPr>
              <w:spacing w:after="0"/>
              <w:rPr>
                <w:sz w:val="11"/>
                <w:szCs w:val="11"/>
                <w:color w:val="auto"/>
              </w:rPr>
            </w:pPr>
          </w:p>
        </w:tc>
        <w:tc>
          <w:tcPr>
            <w:tcW w:w="3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SIU Pacific District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94-6061923-001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6/30/2017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rPr>
              <w:t>Alaska Teamster - Employer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92-6003463-024</w:t>
            </w:r>
          </w:p>
        </w:tc>
        <w:tc>
          <w:tcPr>
            <w:tcW w:w="12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2"/>
              </w:rPr>
              <w:t>Red</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Red</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Implemented</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4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w:t>
            </w:r>
          </w:p>
        </w:tc>
        <w:tc>
          <w:tcPr>
            <w:tcW w:w="5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0"/>
              </w:rPr>
              <w:t>Yes</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91"/>
              </w:rPr>
              <w:t>6/30/2018,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6/30/2019,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All Alaska Longshore Pension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91-6085352-001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0"/>
              </w:rPr>
              <w:t>Yes</w:t>
            </w:r>
          </w:p>
        </w:tc>
        <w:tc>
          <w:tcPr>
            <w:tcW w:w="4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0.1</w:t>
            </w:r>
          </w:p>
        </w:tc>
        <w:tc>
          <w:tcPr>
            <w:tcW w:w="5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480" w:type="dxa"/>
            <w:vAlign w:val="bottom"/>
            <w:gridSpan w:val="3"/>
          </w:tcPr>
          <w:p>
            <w:pPr>
              <w:spacing w:after="0" w:line="121" w:lineRule="exact"/>
              <w:rPr>
                <w:sz w:val="20"/>
                <w:szCs w:val="20"/>
                <w:color w:val="auto"/>
              </w:rPr>
            </w:pPr>
            <w:r>
              <w:rPr>
                <w:rFonts w:ascii="Arial" w:cs="Arial" w:eastAsia="Arial" w:hAnsi="Arial"/>
                <w:sz w:val="13"/>
                <w:szCs w:val="13"/>
                <w:color w:val="auto"/>
                <w:w w:val="98"/>
              </w:rPr>
              <w:t>Western Conference of Teamsters Pension</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vMerge w:val="restart"/>
          </w:tcPr>
          <w:p>
            <w:pPr>
              <w:jc w:val="center"/>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480" w:type="dxa"/>
            <w:vAlign w:val="bottom"/>
            <w:gridSpan w:val="3"/>
            <w:vMerge w:val="restart"/>
          </w:tcPr>
          <w:p>
            <w:pPr>
              <w:spacing w:after="0"/>
              <w:rPr>
                <w:sz w:val="20"/>
                <w:szCs w:val="20"/>
                <w:color w:val="auto"/>
              </w:rPr>
            </w:pPr>
            <w:r>
              <w:rPr>
                <w:rFonts w:ascii="Arial" w:cs="Arial" w:eastAsia="Arial" w:hAnsi="Arial"/>
                <w:sz w:val="13"/>
                <w:szCs w:val="13"/>
                <w:color w:val="auto"/>
              </w:rPr>
              <w:t>Plan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8"/>
              </w:rPr>
              <w:t>91-6145047-001</w:t>
            </w:r>
          </w:p>
        </w:tc>
        <w:tc>
          <w:tcPr>
            <w:tcW w:w="1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8"/>
              </w:rPr>
              <w:t>Green</w:t>
            </w:r>
          </w:p>
        </w:tc>
        <w:tc>
          <w:tcPr>
            <w:tcW w:w="8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3"/>
              </w:rPr>
              <w:t>No</w:t>
            </w:r>
          </w:p>
        </w:tc>
        <w:tc>
          <w:tcPr>
            <w:tcW w:w="580" w:type="dxa"/>
            <w:vAlign w:val="bottom"/>
            <w:vMerge w:val="restart"/>
          </w:tcPr>
          <w:p>
            <w:pPr>
              <w:jc w:val="center"/>
              <w:spacing w:after="0"/>
              <w:rPr>
                <w:sz w:val="20"/>
                <w:szCs w:val="20"/>
                <w:color w:val="auto"/>
              </w:rPr>
            </w:pPr>
            <w:r>
              <w:rPr>
                <w:rFonts w:ascii="Arial" w:cs="Arial" w:eastAsia="Arial" w:hAnsi="Arial"/>
                <w:sz w:val="13"/>
                <w:szCs w:val="13"/>
                <w:color w:val="auto"/>
                <w:w w:val="83"/>
              </w:rPr>
              <w:t>No</w:t>
            </w:r>
          </w:p>
        </w:tc>
        <w:tc>
          <w:tcPr>
            <w:tcW w:w="440" w:type="dxa"/>
            <w:vAlign w:val="bottom"/>
            <w:gridSpan w:val="2"/>
            <w:vMerge w:val="restart"/>
          </w:tcPr>
          <w:p>
            <w:pPr>
              <w:jc w:val="right"/>
              <w:spacing w:after="0"/>
              <w:rPr>
                <w:sz w:val="20"/>
                <w:szCs w:val="20"/>
                <w:color w:val="auto"/>
              </w:rPr>
            </w:pPr>
            <w:r>
              <w:rPr>
                <w:rFonts w:ascii="Arial" w:cs="Arial" w:eastAsia="Arial" w:hAnsi="Arial"/>
                <w:sz w:val="13"/>
                <w:szCs w:val="13"/>
                <w:color w:val="auto"/>
              </w:rPr>
              <w:t>1.3</w:t>
            </w:r>
          </w:p>
        </w:tc>
        <w:tc>
          <w:tcPr>
            <w:tcW w:w="500" w:type="dxa"/>
            <w:vAlign w:val="bottom"/>
            <w:gridSpan w:val="3"/>
            <w:vMerge w:val="restart"/>
          </w:tcPr>
          <w:p>
            <w:pPr>
              <w:jc w:val="right"/>
              <w:spacing w:after="0"/>
              <w:rPr>
                <w:sz w:val="20"/>
                <w:szCs w:val="20"/>
                <w:color w:val="auto"/>
              </w:rPr>
            </w:pPr>
            <w:r>
              <w:rPr>
                <w:rFonts w:ascii="Arial" w:cs="Arial" w:eastAsia="Arial" w:hAnsi="Arial"/>
                <w:sz w:val="13"/>
                <w:szCs w:val="13"/>
                <w:color w:val="auto"/>
              </w:rPr>
              <w:t>0.8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600" w:type="dxa"/>
            <w:vAlign w:val="bottom"/>
            <w:gridSpan w:val="2"/>
            <w:vMerge w:val="restart"/>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vMerge w:val="restart"/>
          </w:tcPr>
          <w:p>
            <w:pPr>
              <w:jc w:val="center"/>
              <w:spacing w:after="0"/>
              <w:rPr>
                <w:sz w:val="20"/>
                <w:szCs w:val="20"/>
                <w:color w:val="auto"/>
              </w:rPr>
            </w:pPr>
            <w:r>
              <w:rPr>
                <w:rFonts w:ascii="Arial" w:cs="Arial" w:eastAsia="Arial" w:hAnsi="Arial"/>
                <w:sz w:val="13"/>
                <w:szCs w:val="13"/>
                <w:color w:val="auto"/>
                <w:w w:val="89"/>
              </w:rPr>
              <w:t>3/31/2018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480" w:type="dxa"/>
            <w:vAlign w:val="bottom"/>
            <w:gridSpan w:val="3"/>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48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Western Conference of Teamsters</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8"/>
              </w:rPr>
              <w:t>95-3746907-001</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3"/>
                <w:szCs w:val="13"/>
                <w:color w:val="auto"/>
                <w:w w:val="82"/>
              </w:rPr>
              <w:t>Green</w:t>
            </w:r>
          </w:p>
        </w:tc>
        <w:tc>
          <w:tcPr>
            <w:tcW w:w="5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8"/>
              </w:rPr>
              <w:t>Green</w:t>
            </w:r>
          </w:p>
        </w:tc>
        <w:tc>
          <w:tcPr>
            <w:tcW w:w="8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3"/>
              </w:rPr>
              <w:t>No</w:t>
            </w:r>
          </w:p>
        </w:tc>
        <w:tc>
          <w:tcPr>
            <w:tcW w:w="58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3"/>
              </w:rPr>
              <w:t>No</w:t>
            </w: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3"/>
                <w:szCs w:val="13"/>
                <w:color w:val="auto"/>
                <w:w w:val="83"/>
              </w:rPr>
              <w:t>No</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3"/>
                <w:szCs w:val="13"/>
                <w:color w:val="auto"/>
                <w:w w:val="89"/>
              </w:rPr>
              <w:t>3/31/2018</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480" w:type="dxa"/>
            <w:vAlign w:val="bottom"/>
            <w:tcBorders>
              <w:bottom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color w:val="auto"/>
              </w:rPr>
              <w:t>Supplemental Benefit Trust</w:t>
            </w:r>
          </w:p>
        </w:tc>
        <w:tc>
          <w:tcPr>
            <w:tcW w:w="88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vMerge w:val="continue"/>
            <w:shd w:val="clear" w:color="auto" w:fill="CCEEFF"/>
          </w:tcPr>
          <w:p>
            <w:pPr>
              <w:spacing w:after="0"/>
              <w:rPr>
                <w:sz w:val="11"/>
                <w:szCs w:val="11"/>
                <w:color w:val="auto"/>
              </w:rPr>
            </w:pPr>
          </w:p>
        </w:tc>
        <w:tc>
          <w:tcPr>
            <w:tcW w:w="500" w:type="dxa"/>
            <w:vAlign w:val="bottom"/>
            <w:tcBorders>
              <w:bottom w:val="single" w:sz="8" w:color="CCEEFF"/>
            </w:tcBorders>
            <w:gridSpan w:val="2"/>
            <w:vMerge w:val="continue"/>
            <w:shd w:val="clear" w:color="auto" w:fill="CCEEFF"/>
          </w:tcPr>
          <w:p>
            <w:pPr>
              <w:spacing w:after="0"/>
              <w:rPr>
                <w:sz w:val="11"/>
                <w:szCs w:val="11"/>
                <w:color w:val="auto"/>
              </w:rPr>
            </w:pPr>
          </w:p>
        </w:tc>
        <w:tc>
          <w:tcPr>
            <w:tcW w:w="800" w:type="dxa"/>
            <w:vAlign w:val="bottom"/>
            <w:tcBorders>
              <w:bottom w:val="single" w:sz="8" w:color="CCEEFF"/>
            </w:tcBorders>
            <w:gridSpan w:val="2"/>
            <w:vMerge w:val="continue"/>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600" w:type="dxa"/>
            <w:vAlign w:val="bottom"/>
            <w:tcBorders>
              <w:bottom w:val="single" w:sz="8" w:color="CCEEFF"/>
            </w:tcBorders>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tcPr>
          <w:p>
            <w:pPr>
              <w:spacing w:after="0" w:line="135" w:lineRule="exact"/>
              <w:rPr>
                <w:sz w:val="20"/>
                <w:szCs w:val="20"/>
                <w:color w:val="auto"/>
              </w:rPr>
            </w:pPr>
            <w:r>
              <w:rPr>
                <w:rFonts w:ascii="Arial" w:cs="Arial" w:eastAsia="Arial" w:hAnsi="Arial"/>
                <w:sz w:val="13"/>
                <w:szCs w:val="13"/>
                <w:color w:val="auto"/>
              </w:rPr>
              <w:t>OPEIU Local 153 Pension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13-2864289-001</w:t>
            </w:r>
          </w:p>
        </w:tc>
        <w:tc>
          <w:tcPr>
            <w:tcW w:w="12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50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2"/>
              </w:rPr>
              <w:t>Red</w:t>
            </w:r>
          </w:p>
        </w:tc>
        <w:tc>
          <w:tcPr>
            <w:tcW w:w="5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Red</w:t>
            </w:r>
          </w:p>
        </w:tc>
        <w:tc>
          <w:tcPr>
            <w:tcW w:w="8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Implemented</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3"/>
              </w:rPr>
              <w:t>No</w:t>
            </w:r>
          </w:p>
        </w:tc>
        <w:tc>
          <w:tcPr>
            <w:tcW w:w="4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0.1</w:t>
            </w:r>
          </w:p>
        </w:tc>
        <w:tc>
          <w:tcPr>
            <w:tcW w:w="5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0.1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0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tcPr>
          <w:p>
            <w:pPr>
              <w:jc w:val="center"/>
              <w:spacing w:after="0" w:line="135" w:lineRule="exact"/>
              <w:rPr>
                <w:sz w:val="20"/>
                <w:szCs w:val="20"/>
                <w:color w:val="auto"/>
              </w:rPr>
            </w:pPr>
            <w:r>
              <w:rPr>
                <w:rFonts w:ascii="Arial" w:cs="Arial" w:eastAsia="Arial" w:hAnsi="Arial"/>
                <w:sz w:val="13"/>
                <w:szCs w:val="13"/>
                <w:color w:val="auto"/>
                <w:w w:val="86"/>
              </w:rPr>
              <w:t>11/09/2017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Seafarers Pension Trust</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13-6100329-001</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(3) (4)</w:t>
            </w: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2"/>
              </w:rPr>
              <w:t>Green</w:t>
            </w:r>
          </w:p>
        </w:tc>
        <w:tc>
          <w:tcPr>
            <w:tcW w:w="5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Green</w:t>
            </w:r>
          </w:p>
        </w:tc>
        <w:tc>
          <w:tcPr>
            <w:tcW w:w="8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3"/>
              </w:rPr>
              <w:t>No</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3"/>
              </w:rPr>
              <w:t>No</w:t>
            </w:r>
          </w:p>
        </w:tc>
        <w:tc>
          <w:tcPr>
            <w:tcW w:w="6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6/30/2017</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80" w:type="dxa"/>
            <w:vAlign w:val="bottom"/>
            <w:gridSpan w:val="3"/>
          </w:tcPr>
          <w:p>
            <w:pPr>
              <w:ind w:left="220"/>
              <w:spacing w:after="0" w:line="129" w:lineRule="exact"/>
              <w:rPr>
                <w:sz w:val="20"/>
                <w:szCs w:val="20"/>
                <w:color w:val="auto"/>
              </w:rPr>
            </w:pPr>
            <w:r>
              <w:rPr>
                <w:rFonts w:ascii="Arial" w:cs="Arial" w:eastAsia="Arial" w:hAnsi="Arial"/>
                <w:sz w:val="13"/>
                <w:szCs w:val="13"/>
                <w:color w:val="auto"/>
              </w:rPr>
              <w:t>Total</w:t>
            </w: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$ 22.7</w:t>
            </w: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$ 17.8</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w w:val="77"/>
              </w:rPr>
              <w:t>$ 13.1</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tabs>
          <w:tab w:leader="none" w:pos="3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Plan is not subject to the PPA funding requirements under IRS Section 432 as the Plan was not in effect on July 16, 2006.</w:t>
      </w:r>
    </w:p>
    <w:p>
      <w:pPr>
        <w:spacing w:after="0" w:line="3" w:lineRule="exact"/>
        <w:rPr>
          <w:rFonts w:ascii="Arial" w:cs="Arial" w:eastAsia="Arial" w:hAnsi="Arial"/>
          <w:sz w:val="11"/>
          <w:szCs w:val="11"/>
          <w:color w:val="auto"/>
        </w:rPr>
      </w:pPr>
    </w:p>
    <w:p>
      <w:pPr>
        <w:ind w:left="240" w:right="20" w:hanging="237"/>
        <w:spacing w:after="0" w:line="230" w:lineRule="auto"/>
        <w:tabs>
          <w:tab w:leader="none" w:pos="2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In 2012, the Company agreed to contribute at least 11.7 percent of total wages paid to employees in covered Marine Engineer Benefits Association (“MEBA”) employment to the MEBA Pension Trust by a reallocation of the total labor cost under the collective bargaining agreement. The pension contribution rate was determined by the plan’s actuary to be necessary to maintain full funding of the pension plan and is fully offset by a reallocation of wages and other benefits.</w:t>
      </w:r>
    </w:p>
    <w:p>
      <w:pPr>
        <w:spacing w:after="0" w:line="1" w:lineRule="exact"/>
        <w:rPr>
          <w:rFonts w:ascii="Arial" w:cs="Arial" w:eastAsia="Arial" w:hAnsi="Arial"/>
          <w:sz w:val="11"/>
          <w:szCs w:val="11"/>
          <w:color w:val="auto"/>
        </w:rPr>
      </w:pPr>
    </w:p>
    <w:p>
      <w:pPr>
        <w:ind w:left="380" w:hanging="377"/>
        <w:spacing w:after="0" w:line="230" w:lineRule="auto"/>
        <w:tabs>
          <w:tab w:leader="none" w:pos="380" w:val="left"/>
        </w:tabs>
        <w:numPr>
          <w:ilvl w:val="0"/>
          <w:numId w:val="44"/>
        </w:numPr>
        <w:rPr>
          <w:rFonts w:ascii="Arial" w:cs="Arial" w:eastAsia="Arial" w:hAnsi="Arial"/>
          <w:sz w:val="11"/>
          <w:szCs w:val="11"/>
          <w:color w:val="auto"/>
        </w:rPr>
      </w:pPr>
      <w:r>
        <w:rPr>
          <w:rFonts w:ascii="Arial" w:cs="Arial" w:eastAsia="Arial" w:hAnsi="Arial"/>
          <w:sz w:val="11"/>
          <w:szCs w:val="11"/>
          <w:color w:val="auto"/>
        </w:rPr>
        <w:t>Matson's contributions to these plans commenced after the Horizon Acquisition on May 29, 2015.</w:t>
      </w:r>
    </w:p>
    <w:p>
      <w:pPr>
        <w:ind w:left="240" w:right="300" w:hanging="237"/>
        <w:spacing w:after="0" w:line="230" w:lineRule="auto"/>
        <w:tabs>
          <w:tab w:leader="none" w:pos="2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Company does not make contributions directly to the Seafarers Pension Plan. Instead, contributions are made to the Seafarers Health and Benefits Plan, and are subsequently re-allocated to the Seafarers Pension Plan at the discretion of the plan Trustee.</w:t>
      </w:r>
    </w:p>
    <w:p>
      <w:pPr>
        <w:ind w:left="480" w:hanging="477"/>
        <w:spacing w:after="0"/>
        <w:tabs>
          <w:tab w:leader="none" w:pos="480" w:val="left"/>
        </w:tabs>
        <w:numPr>
          <w:ilvl w:val="0"/>
          <w:numId w:val="44"/>
        </w:numPr>
        <w:rPr>
          <w:rFonts w:ascii="Arial" w:cs="Arial" w:eastAsia="Arial" w:hAnsi="Arial"/>
          <w:sz w:val="11"/>
          <w:szCs w:val="11"/>
          <w:color w:val="auto"/>
        </w:rPr>
      </w:pPr>
      <w:r>
        <w:rPr>
          <w:rFonts w:ascii="Arial" w:cs="Arial" w:eastAsia="Arial" w:hAnsi="Arial"/>
          <w:sz w:val="11"/>
          <w:szCs w:val="11"/>
          <w:color w:val="auto"/>
        </w:rPr>
        <w:t>Represents the expiration date of the collective bargaining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also contributes to multi-employer plans that provide health and other benefits other than pensions under the terms of collective-bargaining agreements. Benefits provided to active and retired employees and their eligible dependents under these plans include medical, dental, vision, hearing, prescription drug, death, accidental death and dismemberment, disability, legal aid, scholarship program, wage insurance and license insurance, although not all of these benefits are provided by each plan. These plans are not subject to the PBGC plan termination and withdrawal liability provisions of ERISA applicable to multi-employer defined benefit pension plans. Information related to the Company’s health and benefit plans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8"/>
          </w:tcPr>
          <w:p>
            <w:pPr>
              <w:jc w:val="center"/>
              <w:ind w:right="38"/>
              <w:spacing w:after="0"/>
              <w:rPr>
                <w:sz w:val="20"/>
                <w:szCs w:val="20"/>
                <w:color w:val="auto"/>
              </w:rPr>
            </w:pPr>
            <w:r>
              <w:rPr>
                <w:rFonts w:ascii="Arial" w:cs="Arial" w:eastAsia="Arial" w:hAnsi="Arial"/>
                <w:sz w:val="11"/>
                <w:szCs w:val="11"/>
                <w:b w:val="1"/>
                <w:bCs w:val="1"/>
                <w:color w:val="auto"/>
                <w:w w:val="89"/>
              </w:rPr>
              <w:t>Contributions of Matson</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1"/>
                <w:szCs w:val="11"/>
                <w:b w:val="1"/>
                <w:bCs w:val="1"/>
                <w:color w:val="auto"/>
                <w:w w:val="90"/>
              </w:rPr>
              <w:t>($ in millions)</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Surcharge</w:t>
            </w:r>
          </w:p>
        </w:tc>
        <w:tc>
          <w:tcPr>
            <w:tcW w:w="6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Expiration</w:t>
            </w:r>
          </w:p>
        </w:tc>
      </w:tr>
      <w:tr>
        <w:trPr>
          <w:trHeight w:val="115"/>
        </w:trPr>
        <w:tc>
          <w:tcPr>
            <w:tcW w:w="362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Health and Benefit Plans</w:t>
            </w:r>
          </w:p>
        </w:tc>
        <w:tc>
          <w:tcPr>
            <w:tcW w:w="106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95"/>
              </w:rPr>
              <w:t>EIN Number</w:t>
            </w:r>
          </w:p>
        </w:tc>
        <w:tc>
          <w:tcPr>
            <w:tcW w:w="500" w:type="dxa"/>
            <w:vAlign w:val="bottom"/>
            <w:gridSpan w:val="2"/>
          </w:tcPr>
          <w:p>
            <w:pPr>
              <w:ind w:left="40"/>
              <w:spacing w:after="0" w:line="115" w:lineRule="exact"/>
              <w:rPr>
                <w:sz w:val="20"/>
                <w:szCs w:val="20"/>
                <w:color w:val="auto"/>
              </w:rPr>
            </w:pPr>
            <w:r>
              <w:rPr>
                <w:rFonts w:ascii="Arial" w:cs="Arial" w:eastAsia="Arial" w:hAnsi="Arial"/>
                <w:sz w:val="11"/>
                <w:szCs w:val="11"/>
                <w:b w:val="1"/>
                <w:bCs w:val="1"/>
                <w:color w:val="auto"/>
              </w:rPr>
              <w:t>Notes</w:t>
            </w:r>
          </w:p>
        </w:tc>
        <w:tc>
          <w:tcPr>
            <w:tcW w:w="72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2"/>
              </w:rPr>
              <w:t>Contributor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jc w:val="right"/>
              <w:ind w:right="38"/>
              <w:spacing w:after="0" w:line="115" w:lineRule="exact"/>
              <w:rPr>
                <w:sz w:val="20"/>
                <w:szCs w:val="20"/>
                <w:color w:val="auto"/>
              </w:rPr>
            </w:pPr>
            <w:r>
              <w:rPr>
                <w:rFonts w:ascii="Arial" w:cs="Arial" w:eastAsia="Arial" w:hAnsi="Arial"/>
                <w:sz w:val="11"/>
                <w:szCs w:val="11"/>
                <w:b w:val="1"/>
                <w:bCs w:val="1"/>
                <w:color w:val="auto"/>
                <w:w w:val="89"/>
              </w:rPr>
              <w:t>2016</w:t>
            </w:r>
          </w:p>
        </w:tc>
        <w:tc>
          <w:tcPr>
            <w:tcW w:w="560" w:type="dxa"/>
            <w:vAlign w:val="bottom"/>
            <w:gridSpan w:val="3"/>
          </w:tcPr>
          <w:p>
            <w:pPr>
              <w:jc w:val="right"/>
              <w:ind w:right="17"/>
              <w:spacing w:after="0" w:line="115" w:lineRule="exact"/>
              <w:rPr>
                <w:sz w:val="20"/>
                <w:szCs w:val="20"/>
                <w:color w:val="auto"/>
              </w:rPr>
            </w:pPr>
            <w:r>
              <w:rPr>
                <w:rFonts w:ascii="Arial" w:cs="Arial" w:eastAsia="Arial" w:hAnsi="Arial"/>
                <w:sz w:val="11"/>
                <w:szCs w:val="11"/>
                <w:b w:val="1"/>
                <w:bCs w:val="1"/>
                <w:color w:val="auto"/>
              </w:rPr>
              <w:t>2015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line="115" w:lineRule="exact"/>
              <w:rPr>
                <w:sz w:val="20"/>
                <w:szCs w:val="20"/>
                <w:color w:val="auto"/>
              </w:rPr>
            </w:pPr>
            <w:r>
              <w:rPr>
                <w:rFonts w:ascii="Arial" w:cs="Arial" w:eastAsia="Arial" w:hAnsi="Arial"/>
                <w:sz w:val="11"/>
                <w:szCs w:val="11"/>
                <w:b w:val="1"/>
                <w:bCs w:val="1"/>
                <w:color w:val="auto"/>
              </w:rPr>
              <w:t>2014</w:t>
            </w:r>
          </w:p>
        </w:tc>
        <w:tc>
          <w:tcPr>
            <w:tcW w:w="160" w:type="dxa"/>
            <w:vAlign w:val="bottom"/>
          </w:tcPr>
          <w:p>
            <w:pPr>
              <w:spacing w:after="0"/>
              <w:rPr>
                <w:sz w:val="10"/>
                <w:szCs w:val="10"/>
                <w:color w:val="auto"/>
              </w:rPr>
            </w:pPr>
          </w:p>
        </w:tc>
        <w:tc>
          <w:tcPr>
            <w:tcW w:w="68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88"/>
              </w:rPr>
              <w:t>Imposed</w:t>
            </w:r>
          </w:p>
        </w:tc>
        <w:tc>
          <w:tcPr>
            <w:tcW w:w="62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auto"/>
                <w:w w:val="89"/>
              </w:rPr>
              <w:t>Date (3)</w:t>
            </w:r>
          </w:p>
        </w:tc>
      </w:tr>
      <w:tr>
        <w:trPr>
          <w:trHeight w:val="129"/>
        </w:trPr>
        <w:tc>
          <w:tcPr>
            <w:tcW w:w="34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Stevedore Industry Committee Welfare Benefit Plan</w:t>
            </w:r>
          </w:p>
        </w:tc>
        <w:tc>
          <w:tcPr>
            <w:tcW w:w="1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99-0313967-501</w:t>
            </w:r>
          </w:p>
        </w:tc>
        <w:tc>
          <w:tcPr>
            <w:tcW w:w="1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Yes</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77"/>
              </w:rPr>
              <w:t>4.9</w:t>
            </w: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2"/>
              </w:rPr>
              <w:t xml:space="preserve">$  </w:t>
            </w:r>
            <w:r>
              <w:rPr>
                <w:rFonts w:ascii="Arial" w:cs="Arial" w:eastAsia="Arial" w:hAnsi="Arial"/>
                <w:sz w:val="13"/>
                <w:szCs w:val="13"/>
                <w:color w:val="auto"/>
                <w:w w:val="92"/>
              </w:rPr>
              <w:t>3.8</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b w:val="1"/>
                <w:bCs w:val="1"/>
                <w:color w:val="auto"/>
                <w:w w:val="70"/>
              </w:rPr>
              <w:t>$</w:t>
            </w:r>
          </w:p>
        </w:tc>
        <w:tc>
          <w:tcPr>
            <w:tcW w:w="30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8"/>
              </w:rPr>
              <w:t>3.1</w:t>
            </w: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6"/>
              </w:rPr>
              <w:t>No</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6/30/2019</w:t>
            </w:r>
          </w:p>
        </w:tc>
        <w:tc>
          <w:tcPr>
            <w:tcW w:w="60" w:type="dxa"/>
            <w:vAlign w:val="bottom"/>
            <w:tcBorders>
              <w:top w:val="single" w:sz="8" w:color="CCEEFF"/>
            </w:tcBorders>
            <w:shd w:val="clear" w:color="auto" w:fill="CCEEFF"/>
          </w:tcPr>
          <w:p>
            <w:pPr>
              <w:spacing w:after="0"/>
              <w:rPr>
                <w:sz w:val="11"/>
                <w:szCs w:val="11"/>
                <w:color w:val="auto"/>
              </w:rPr>
            </w:pPr>
          </w:p>
        </w:tc>
      </w:tr>
      <w:tr>
        <w:trPr>
          <w:trHeight w:val="135"/>
        </w:trPr>
        <w:tc>
          <w:tcPr>
            <w:tcW w:w="3620" w:type="dxa"/>
            <w:vAlign w:val="bottom"/>
            <w:gridSpan w:val="3"/>
          </w:tcPr>
          <w:p>
            <w:pPr>
              <w:spacing w:after="0" w:line="135" w:lineRule="exact"/>
              <w:rPr>
                <w:sz w:val="20"/>
                <w:szCs w:val="20"/>
                <w:color w:val="auto"/>
              </w:rPr>
            </w:pPr>
            <w:r>
              <w:rPr>
                <w:rFonts w:ascii="Arial" w:cs="Arial" w:eastAsia="Arial" w:hAnsi="Arial"/>
                <w:sz w:val="13"/>
                <w:szCs w:val="13"/>
                <w:color w:val="auto"/>
              </w:rPr>
              <w:t>OCU Health and Welfare Trust</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26-1574455-501</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77"/>
              </w:rPr>
              <w:t>0.3</w:t>
            </w:r>
          </w:p>
        </w:tc>
        <w:tc>
          <w:tcPr>
            <w:tcW w:w="5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0.2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3"/>
                <w:szCs w:val="13"/>
                <w:color w:val="auto"/>
                <w:w w:val="88"/>
              </w:rPr>
              <w:t>0.2</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6/30/2023</w:t>
            </w:r>
          </w:p>
        </w:tc>
        <w:tc>
          <w:tcPr>
            <w:tcW w:w="60" w:type="dxa"/>
            <w:vAlign w:val="bottom"/>
          </w:tcPr>
          <w:p>
            <w:pPr>
              <w:spacing w:after="0"/>
              <w:rPr>
                <w:sz w:val="11"/>
                <w:szCs w:val="11"/>
                <w:color w:val="auto"/>
              </w:rPr>
            </w:pPr>
          </w:p>
        </w:tc>
      </w:tr>
      <w:tr>
        <w:trPr>
          <w:trHeight w:val="135"/>
        </w:trPr>
        <w:tc>
          <w:tcPr>
            <w:tcW w:w="36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SUP Welfare Plan, Inc.</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94-1243666-502</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Yes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77"/>
              </w:rPr>
              <w:t>3.1</w:t>
            </w:r>
          </w:p>
        </w:tc>
        <w:tc>
          <w:tcPr>
            <w:tcW w:w="5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2.9</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2.7</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6/30/2017</w:t>
            </w:r>
          </w:p>
        </w:tc>
        <w:tc>
          <w:tcPr>
            <w:tcW w:w="60" w:type="dxa"/>
            <w:vAlign w:val="bottom"/>
            <w:shd w:val="clear" w:color="auto" w:fill="CCEEFF"/>
          </w:tcPr>
          <w:p>
            <w:pPr>
              <w:spacing w:after="0"/>
              <w:rPr>
                <w:sz w:val="11"/>
                <w:szCs w:val="11"/>
                <w:color w:val="auto"/>
              </w:rPr>
            </w:pPr>
          </w:p>
        </w:tc>
      </w:tr>
      <w:tr>
        <w:trPr>
          <w:trHeight w:val="135"/>
        </w:trPr>
        <w:tc>
          <w:tcPr>
            <w:tcW w:w="3620" w:type="dxa"/>
            <w:vAlign w:val="bottom"/>
            <w:gridSpan w:val="3"/>
          </w:tcPr>
          <w:p>
            <w:pPr>
              <w:spacing w:after="0" w:line="135" w:lineRule="exact"/>
              <w:rPr>
                <w:sz w:val="20"/>
                <w:szCs w:val="20"/>
                <w:color w:val="auto"/>
              </w:rPr>
            </w:pPr>
            <w:r>
              <w:rPr>
                <w:rFonts w:ascii="Arial" w:cs="Arial" w:eastAsia="Arial" w:hAnsi="Arial"/>
                <w:sz w:val="13"/>
                <w:szCs w:val="13"/>
                <w:color w:val="auto"/>
              </w:rPr>
              <w:t>MEBA Medical and Benefits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13-5590515-501</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Yes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77"/>
              </w:rPr>
              <w:t>2.9</w:t>
            </w:r>
          </w:p>
        </w:tc>
        <w:tc>
          <w:tcPr>
            <w:tcW w:w="5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3"/>
                <w:szCs w:val="13"/>
                <w:color w:val="auto"/>
                <w:w w:val="88"/>
              </w:rPr>
              <w:t>1.8</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91"/>
              </w:rPr>
              <w:t>8/15/2018,</w:t>
            </w:r>
          </w:p>
        </w:tc>
        <w:tc>
          <w:tcPr>
            <w:tcW w:w="60" w:type="dxa"/>
            <w:vAlign w:val="bottom"/>
          </w:tcPr>
          <w:p>
            <w:pPr>
              <w:spacing w:after="0"/>
              <w:rPr>
                <w:sz w:val="11"/>
                <w:szCs w:val="11"/>
                <w:color w:val="auto"/>
              </w:rPr>
            </w:pPr>
          </w:p>
        </w:tc>
      </w:tr>
      <w:tr>
        <w:trPr>
          <w:trHeight w:val="135"/>
        </w:trPr>
        <w:tc>
          <w:tcPr>
            <w:tcW w:w="2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6/15/2022</w:t>
            </w:r>
          </w:p>
        </w:tc>
        <w:tc>
          <w:tcPr>
            <w:tcW w:w="60" w:type="dxa"/>
            <w:vAlign w:val="bottom"/>
            <w:shd w:val="clear" w:color="auto" w:fill="CCEEFF"/>
          </w:tcPr>
          <w:p>
            <w:pPr>
              <w:spacing w:after="0"/>
              <w:rPr>
                <w:sz w:val="11"/>
                <w:szCs w:val="11"/>
                <w:color w:val="auto"/>
              </w:rPr>
            </w:pPr>
          </w:p>
        </w:tc>
      </w:tr>
      <w:tr>
        <w:trPr>
          <w:trHeight w:val="135"/>
        </w:trPr>
        <w:tc>
          <w:tcPr>
            <w:tcW w:w="3620" w:type="dxa"/>
            <w:vAlign w:val="bottom"/>
            <w:gridSpan w:val="3"/>
          </w:tcPr>
          <w:p>
            <w:pPr>
              <w:spacing w:after="0" w:line="135" w:lineRule="exact"/>
              <w:rPr>
                <w:sz w:val="20"/>
                <w:szCs w:val="20"/>
                <w:color w:val="auto"/>
              </w:rPr>
            </w:pPr>
            <w:r>
              <w:rPr>
                <w:rFonts w:ascii="Arial" w:cs="Arial" w:eastAsia="Arial" w:hAnsi="Arial"/>
                <w:sz w:val="13"/>
                <w:szCs w:val="13"/>
                <w:color w:val="auto"/>
              </w:rPr>
              <w:t>MFOW Welfare Fund</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94-1254186-501</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Yes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77"/>
              </w:rPr>
              <w:t>1.4</w:t>
            </w:r>
          </w:p>
        </w:tc>
        <w:tc>
          <w:tcPr>
            <w:tcW w:w="5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3"/>
                <w:szCs w:val="13"/>
                <w:color w:val="auto"/>
                <w:w w:val="88"/>
              </w:rPr>
              <w:t>1.2</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6/30/2017</w:t>
            </w:r>
          </w:p>
        </w:tc>
        <w:tc>
          <w:tcPr>
            <w:tcW w:w="60" w:type="dxa"/>
            <w:vAlign w:val="bottom"/>
          </w:tcPr>
          <w:p>
            <w:pPr>
              <w:spacing w:after="0"/>
              <w:rPr>
                <w:sz w:val="11"/>
                <w:szCs w:val="11"/>
                <w:color w:val="auto"/>
              </w:rPr>
            </w:pPr>
          </w:p>
        </w:tc>
      </w:tr>
      <w:tr>
        <w:trPr>
          <w:trHeight w:val="135"/>
        </w:trPr>
        <w:tc>
          <w:tcPr>
            <w:tcW w:w="36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ARA Pension and Welfare Plan</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13-6083690-501</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Yes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77"/>
              </w:rPr>
              <w:t>0.7</w:t>
            </w:r>
          </w:p>
        </w:tc>
        <w:tc>
          <w:tcPr>
            <w:tcW w:w="5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0.5</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0.5</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8/15/2021</w:t>
            </w:r>
          </w:p>
        </w:tc>
        <w:tc>
          <w:tcPr>
            <w:tcW w:w="60" w:type="dxa"/>
            <w:vAlign w:val="bottom"/>
            <w:shd w:val="clear" w:color="auto" w:fill="CCEEFF"/>
          </w:tcPr>
          <w:p>
            <w:pPr>
              <w:spacing w:after="0"/>
              <w:rPr>
                <w:sz w:val="11"/>
                <w:szCs w:val="11"/>
                <w:color w:val="auto"/>
              </w:rPr>
            </w:pPr>
          </w:p>
        </w:tc>
      </w:tr>
      <w:tr>
        <w:trPr>
          <w:trHeight w:val="135"/>
        </w:trPr>
        <w:tc>
          <w:tcPr>
            <w:tcW w:w="3620" w:type="dxa"/>
            <w:vAlign w:val="bottom"/>
            <w:gridSpan w:val="3"/>
          </w:tcPr>
          <w:p>
            <w:pPr>
              <w:spacing w:after="0" w:line="135" w:lineRule="exact"/>
              <w:rPr>
                <w:sz w:val="20"/>
                <w:szCs w:val="20"/>
                <w:color w:val="auto"/>
              </w:rPr>
            </w:pPr>
            <w:r>
              <w:rPr>
                <w:rFonts w:ascii="Arial" w:cs="Arial" w:eastAsia="Arial" w:hAnsi="Arial"/>
                <w:sz w:val="13"/>
                <w:szCs w:val="13"/>
                <w:color w:val="auto"/>
              </w:rPr>
              <w:t>Masters, Mates and Pilots Health and Benefit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13-6696938-501</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Yes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77"/>
              </w:rPr>
              <w:t>2.9</w:t>
            </w:r>
          </w:p>
        </w:tc>
        <w:tc>
          <w:tcPr>
            <w:tcW w:w="5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jc w:val="center"/>
              <w:spacing w:after="0" w:line="135" w:lineRule="exact"/>
              <w:rPr>
                <w:sz w:val="20"/>
                <w:szCs w:val="20"/>
                <w:color w:val="auto"/>
              </w:rPr>
            </w:pPr>
            <w:r>
              <w:rPr>
                <w:rFonts w:ascii="Arial" w:cs="Arial" w:eastAsia="Arial" w:hAnsi="Arial"/>
                <w:sz w:val="13"/>
                <w:szCs w:val="13"/>
                <w:color w:val="auto"/>
                <w:w w:val="88"/>
              </w:rPr>
              <w:t>1.6</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91"/>
              </w:rPr>
              <w:t>6/15/2023,</w:t>
            </w:r>
          </w:p>
        </w:tc>
        <w:tc>
          <w:tcPr>
            <w:tcW w:w="60" w:type="dxa"/>
            <w:vAlign w:val="bottom"/>
          </w:tcPr>
          <w:p>
            <w:pPr>
              <w:spacing w:after="0"/>
              <w:rPr>
                <w:sz w:val="11"/>
                <w:szCs w:val="11"/>
                <w:color w:val="auto"/>
              </w:rPr>
            </w:pPr>
          </w:p>
        </w:tc>
      </w:tr>
      <w:tr>
        <w:trPr>
          <w:trHeight w:val="135"/>
        </w:trPr>
        <w:tc>
          <w:tcPr>
            <w:tcW w:w="2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6/15/2027</w:t>
            </w:r>
          </w:p>
        </w:tc>
        <w:tc>
          <w:tcPr>
            <w:tcW w:w="60" w:type="dxa"/>
            <w:vAlign w:val="bottom"/>
            <w:shd w:val="clear" w:color="auto" w:fill="CCEEFF"/>
          </w:tcPr>
          <w:p>
            <w:pPr>
              <w:spacing w:after="0"/>
              <w:rPr>
                <w:sz w:val="11"/>
                <w:szCs w:val="11"/>
                <w:color w:val="auto"/>
              </w:rPr>
            </w:pPr>
          </w:p>
        </w:tc>
      </w:tr>
      <w:tr>
        <w:trPr>
          <w:trHeight w:val="135"/>
        </w:trPr>
        <w:tc>
          <w:tcPr>
            <w:tcW w:w="3620" w:type="dxa"/>
            <w:vAlign w:val="bottom"/>
            <w:gridSpan w:val="3"/>
          </w:tcPr>
          <w:p>
            <w:pPr>
              <w:spacing w:after="0" w:line="135" w:lineRule="exact"/>
              <w:rPr>
                <w:sz w:val="20"/>
                <w:szCs w:val="20"/>
                <w:color w:val="auto"/>
              </w:rPr>
            </w:pPr>
            <w:r>
              <w:rPr>
                <w:rFonts w:ascii="Arial" w:cs="Arial" w:eastAsia="Arial" w:hAnsi="Arial"/>
                <w:sz w:val="13"/>
                <w:szCs w:val="13"/>
                <w:color w:val="auto"/>
              </w:rPr>
              <w:t>Seafarers Health and Benefits Plan</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13-5557534-501</w:t>
            </w:r>
          </w:p>
        </w:tc>
        <w:tc>
          <w:tcPr>
            <w:tcW w:w="18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90"/>
              </w:rPr>
              <w:t>(1) (2)</w:t>
            </w: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Yes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5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ind w:lef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6/30/2017</w:t>
            </w:r>
          </w:p>
        </w:tc>
        <w:tc>
          <w:tcPr>
            <w:tcW w:w="60" w:type="dxa"/>
            <w:vAlign w:val="bottom"/>
          </w:tcPr>
          <w:p>
            <w:pPr>
              <w:spacing w:after="0"/>
              <w:rPr>
                <w:sz w:val="11"/>
                <w:szCs w:val="11"/>
                <w:color w:val="auto"/>
              </w:rPr>
            </w:pPr>
          </w:p>
        </w:tc>
      </w:tr>
      <w:tr>
        <w:trPr>
          <w:trHeight w:val="135"/>
        </w:trPr>
        <w:tc>
          <w:tcPr>
            <w:tcW w:w="36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Alaska Teamster - Employer Welfare Trust</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91-6034674-501</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(2)</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Yes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77"/>
              </w:rPr>
              <w:t>2.0</w:t>
            </w:r>
          </w:p>
        </w:tc>
        <w:tc>
          <w:tcPr>
            <w:tcW w:w="5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1.2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6/30/2018,</w:t>
            </w:r>
          </w:p>
        </w:tc>
        <w:tc>
          <w:tcPr>
            <w:tcW w:w="60" w:type="dxa"/>
            <w:vAlign w:val="bottom"/>
            <w:shd w:val="clear" w:color="auto" w:fill="CCEEFF"/>
          </w:tcPr>
          <w:p>
            <w:pPr>
              <w:spacing w:after="0"/>
              <w:rPr>
                <w:sz w:val="11"/>
                <w:szCs w:val="11"/>
                <w:color w:val="auto"/>
              </w:rPr>
            </w:pPr>
          </w:p>
        </w:tc>
      </w:tr>
      <w:tr>
        <w:trPr>
          <w:trHeight w:val="135"/>
        </w:trPr>
        <w:tc>
          <w:tcPr>
            <w:tcW w:w="22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91"/>
              </w:rPr>
              <w:t>6/30/2019,</w:t>
            </w:r>
          </w:p>
        </w:tc>
        <w:tc>
          <w:tcPr>
            <w:tcW w:w="60" w:type="dxa"/>
            <w:vAlign w:val="bottom"/>
          </w:tcPr>
          <w:p>
            <w:pPr>
              <w:spacing w:after="0"/>
              <w:rPr>
                <w:sz w:val="11"/>
                <w:szCs w:val="11"/>
                <w:color w:val="auto"/>
              </w:rPr>
            </w:pPr>
          </w:p>
        </w:tc>
      </w:tr>
      <w:tr>
        <w:trPr>
          <w:trHeight w:val="135"/>
        </w:trPr>
        <w:tc>
          <w:tcPr>
            <w:tcW w:w="22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60" w:type="dxa"/>
            <w:vAlign w:val="bottom"/>
            <w:shd w:val="clear" w:color="auto" w:fill="CCEEFF"/>
          </w:tcPr>
          <w:p>
            <w:pPr>
              <w:spacing w:after="0"/>
              <w:rPr>
                <w:sz w:val="11"/>
                <w:szCs w:val="11"/>
                <w:color w:val="auto"/>
              </w:rPr>
            </w:pPr>
          </w:p>
        </w:tc>
      </w:tr>
      <w:tr>
        <w:trPr>
          <w:trHeight w:val="135"/>
        </w:trPr>
        <w:tc>
          <w:tcPr>
            <w:tcW w:w="3620" w:type="dxa"/>
            <w:vAlign w:val="bottom"/>
            <w:gridSpan w:val="3"/>
          </w:tcPr>
          <w:p>
            <w:pPr>
              <w:spacing w:after="0" w:line="135" w:lineRule="exact"/>
              <w:rPr>
                <w:sz w:val="20"/>
                <w:szCs w:val="20"/>
                <w:color w:val="auto"/>
              </w:rPr>
            </w:pPr>
            <w:r>
              <w:rPr>
                <w:rFonts w:ascii="Arial" w:cs="Arial" w:eastAsia="Arial" w:hAnsi="Arial"/>
                <w:sz w:val="13"/>
                <w:szCs w:val="13"/>
                <w:color w:val="auto"/>
              </w:rPr>
              <w:t>All Alaska Longshore Health and Welfare Trust Fund</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8"/>
              </w:rPr>
              <w:t>91-6070467-501</w:t>
            </w:r>
          </w:p>
        </w:tc>
        <w:tc>
          <w:tcPr>
            <w:tcW w:w="18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87"/>
              </w:rPr>
              <w:t>(2)</w:t>
            </w:r>
          </w:p>
        </w:tc>
        <w:tc>
          <w:tcPr>
            <w:tcW w:w="1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Yes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jc w:val="center"/>
              <w:spacing w:after="0" w:line="135" w:lineRule="exact"/>
              <w:rPr>
                <w:sz w:val="20"/>
                <w:szCs w:val="20"/>
                <w:color w:val="auto"/>
              </w:rPr>
            </w:pPr>
            <w:r>
              <w:rPr>
                <w:rFonts w:ascii="Arial" w:cs="Arial" w:eastAsia="Arial" w:hAnsi="Arial"/>
                <w:sz w:val="13"/>
                <w:szCs w:val="13"/>
                <w:color w:val="auto"/>
                <w:w w:val="77"/>
              </w:rPr>
              <w:t>0.2</w:t>
            </w:r>
          </w:p>
        </w:tc>
        <w:tc>
          <w:tcPr>
            <w:tcW w:w="5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ind w:left="14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tcPr>
          <w:p>
            <w:pPr>
              <w:jc w:val="center"/>
              <w:spacing w:after="0" w:line="135" w:lineRule="exact"/>
              <w:rPr>
                <w:sz w:val="20"/>
                <w:szCs w:val="20"/>
                <w:color w:val="auto"/>
              </w:rPr>
            </w:pPr>
            <w:r>
              <w:rPr>
                <w:rFonts w:ascii="Arial" w:cs="Arial" w:eastAsia="Arial" w:hAnsi="Arial"/>
                <w:sz w:val="13"/>
                <w:szCs w:val="13"/>
                <w:color w:val="auto"/>
                <w:w w:val="89"/>
              </w:rPr>
              <w:t>6/30/2020</w:t>
            </w:r>
          </w:p>
        </w:tc>
        <w:tc>
          <w:tcPr>
            <w:tcW w:w="60" w:type="dxa"/>
            <w:vAlign w:val="bottom"/>
          </w:tcPr>
          <w:p>
            <w:pPr>
              <w:spacing w:after="0"/>
              <w:rPr>
                <w:sz w:val="11"/>
                <w:szCs w:val="11"/>
                <w:color w:val="auto"/>
              </w:rPr>
            </w:pPr>
          </w:p>
        </w:tc>
      </w:tr>
      <w:tr>
        <w:trPr>
          <w:trHeight w:val="135"/>
        </w:trPr>
        <w:tc>
          <w:tcPr>
            <w:tcW w:w="36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Western Teamsters Welfare Trust</w:t>
            </w:r>
          </w:p>
        </w:tc>
        <w:tc>
          <w:tcPr>
            <w:tcW w:w="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91-6033601-501</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(2)</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No</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77"/>
              </w:rPr>
              <w:t>1.0</w:t>
            </w:r>
          </w:p>
        </w:tc>
        <w:tc>
          <w:tcPr>
            <w:tcW w:w="5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0.6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No</w:t>
            </w: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3/31/2018</w:t>
            </w:r>
          </w:p>
        </w:tc>
        <w:tc>
          <w:tcPr>
            <w:tcW w:w="60" w:type="dxa"/>
            <w:vAlign w:val="bottom"/>
            <w:shd w:val="clear" w:color="auto" w:fill="CCEEFF"/>
          </w:tcPr>
          <w:p>
            <w:pPr>
              <w:spacing w:after="0"/>
              <w:rPr>
                <w:sz w:val="11"/>
                <w:szCs w:val="11"/>
                <w:color w:val="auto"/>
              </w:rPr>
            </w:pPr>
          </w:p>
        </w:tc>
      </w:tr>
      <w:tr>
        <w:trPr>
          <w:trHeight w:val="136"/>
        </w:trPr>
        <w:tc>
          <w:tcPr>
            <w:tcW w:w="3620" w:type="dxa"/>
            <w:vAlign w:val="bottom"/>
            <w:gridSpan w:val="3"/>
          </w:tcPr>
          <w:p>
            <w:pPr>
              <w:ind w:left="220"/>
              <w:spacing w:after="0" w:line="129" w:lineRule="exact"/>
              <w:rPr>
                <w:sz w:val="20"/>
                <w:szCs w:val="20"/>
                <w:color w:val="auto"/>
              </w:rPr>
            </w:pPr>
            <w:r>
              <w:rPr>
                <w:rFonts w:ascii="Arial" w:cs="Arial" w:eastAsia="Arial" w:hAnsi="Arial"/>
                <w:sz w:val="13"/>
                <w:szCs w:val="13"/>
                <w:color w:val="auto"/>
              </w:rPr>
              <w:t>Total</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22.5</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8"/>
              </w:rPr>
              <w:t xml:space="preserve">$ </w:t>
            </w:r>
            <w:r>
              <w:rPr>
                <w:rFonts w:ascii="Arial" w:cs="Arial" w:eastAsia="Arial" w:hAnsi="Arial"/>
                <w:sz w:val="13"/>
                <w:szCs w:val="13"/>
                <w:color w:val="auto"/>
                <w:w w:val="88"/>
              </w:rPr>
              <w:t>18.1</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30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86"/>
              </w:rPr>
              <w:t>11.1</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98" w:lineRule="exact"/>
        <w:rPr>
          <w:sz w:val="20"/>
          <w:szCs w:val="20"/>
          <w:color w:val="auto"/>
        </w:rPr>
      </w:pPr>
    </w:p>
    <w:p>
      <w:pPr>
        <w:ind w:left="300" w:hanging="297"/>
        <w:spacing w:after="0"/>
        <w:tabs>
          <w:tab w:leader="none" w:pos="300" w:val="left"/>
        </w:tabs>
        <w:numPr>
          <w:ilvl w:val="0"/>
          <w:numId w:val="45"/>
        </w:numPr>
        <w:rPr>
          <w:rFonts w:ascii="Arial" w:cs="Arial" w:eastAsia="Arial" w:hAnsi="Arial"/>
          <w:sz w:val="11"/>
          <w:szCs w:val="11"/>
          <w:color w:val="auto"/>
        </w:rPr>
      </w:pPr>
      <w:r>
        <w:rPr>
          <w:rFonts w:ascii="Arial" w:cs="Arial" w:eastAsia="Arial" w:hAnsi="Arial"/>
          <w:sz w:val="11"/>
          <w:szCs w:val="11"/>
          <w:color w:val="auto"/>
        </w:rPr>
        <w:t>Contributions made to the Seafarers Health and Benefits Plan are re-allocated to the Seafarers Pension Plan at the discretion of the plan Trustee.</w:t>
      </w:r>
    </w:p>
    <w:p>
      <w:pPr>
        <w:spacing w:after="0" w:line="3" w:lineRule="exact"/>
        <w:rPr>
          <w:rFonts w:ascii="Arial" w:cs="Arial" w:eastAsia="Arial" w:hAnsi="Arial"/>
          <w:sz w:val="11"/>
          <w:szCs w:val="11"/>
          <w:color w:val="auto"/>
        </w:rPr>
      </w:pPr>
    </w:p>
    <w:p>
      <w:pPr>
        <w:ind w:left="380" w:hanging="377"/>
        <w:spacing w:after="0" w:line="230" w:lineRule="auto"/>
        <w:tabs>
          <w:tab w:leader="none" w:pos="3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Matson's contributions to these plans commenced after the Horizon Acquisition on May 29, 2015.</w:t>
      </w:r>
    </w:p>
    <w:p>
      <w:pPr>
        <w:ind w:left="480" w:hanging="477"/>
        <w:spacing w:after="0"/>
        <w:tabs>
          <w:tab w:leader="none" w:pos="4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Represents the expiration date of the collective bargaining agreement.</w:t>
      </w:r>
    </w:p>
    <w:p>
      <w:pPr>
        <w:spacing w:after="0" w:line="1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Multi-employer Defined Contribution Plans: </w:t>
      </w:r>
      <w:r>
        <w:rPr>
          <w:rFonts w:ascii="Arial" w:cs="Arial" w:eastAsia="Arial" w:hAnsi="Arial"/>
          <w:sz w:val="18"/>
          <w:szCs w:val="18"/>
          <w:color w:val="auto"/>
        </w:rPr>
        <w:t>The Company contributes to six multi-employer defined contribution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plans. These plans are not subject to the withdrawal liability provisions of ERISA or the PBGC applicable to multi-employer defined benefit pension plans. Contributions made to these plans by the Company were $5.3 million, $3.8 million and $3.0 million in 2016, 2015 and 2014.</w:t>
      </w:r>
    </w:p>
    <w:p>
      <w:pPr>
        <w:spacing w:after="0" w:line="183" w:lineRule="exact"/>
        <w:rPr>
          <w:sz w:val="20"/>
          <w:szCs w:val="20"/>
          <w:color w:val="auto"/>
        </w:rPr>
      </w:pPr>
    </w:p>
    <w:p>
      <w:pPr>
        <w:ind w:left="720" w:hanging="717"/>
        <w:spacing w:after="0"/>
        <w:tabs>
          <w:tab w:leader="none" w:pos="7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MULTI-EMPLOYER WITHDRAWAL LIABILITY</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Horizon ceased all of its operations in Puerto Rico during the first quarter of 2015, which resulted in a mass withdrawal from its multi-employer ILA-PRSSA pension fund (see Note 3). The Company estimated the mass withdrawal liability based upon the expected future undiscounted payments to be paid by the Company, discounted using the Company’s incremental borrowing rate. Payments of approximately $1.0 million are made quarterly to the ILA-PRSSA over a remaining period ending in March 2040. Future estimated annual payments to the multi-employer pension plan as of December 31, 2016 were as follows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10"/>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r>
      <w:tr>
        <w:trPr>
          <w:trHeight w:val="210"/>
        </w:trPr>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future payments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10"/>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Present value of remaining withdrawal liability</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16"/>
        </w:trPr>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withdrawal liability</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17"/>
        </w:trPr>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 of withdrawal liability</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r>
    </w:tbl>
    <w:p>
      <w:pPr>
        <w:spacing w:after="0" w:line="20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current portion of $4.1 million of the mass withdrawal liability is included in accruals and other liabilities in the Consolidated Balance Sheet (see Note 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20" w:hanging="717"/>
        <w:spacing w:after="0"/>
        <w:tabs>
          <w:tab w:leader="none" w:pos="7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SHARED-BASED AWARDS</w:t>
      </w:r>
    </w:p>
    <w:p>
      <w:pPr>
        <w:spacing w:after="0" w:line="229" w:lineRule="exact"/>
        <w:rPr>
          <w:sz w:val="20"/>
          <w:szCs w:val="20"/>
          <w:color w:val="auto"/>
        </w:rPr>
      </w:pPr>
    </w:p>
    <w:p>
      <w:pPr>
        <w:ind w:right="220"/>
        <w:spacing w:after="0" w:line="219" w:lineRule="exact"/>
        <w:rPr>
          <w:sz w:val="20"/>
          <w:szCs w:val="20"/>
          <w:color w:val="auto"/>
        </w:rPr>
      </w:pPr>
      <w:r>
        <w:rPr>
          <w:rFonts w:ascii="Arial" w:cs="Arial" w:eastAsia="Arial" w:hAnsi="Arial"/>
          <w:sz w:val="18"/>
          <w:szCs w:val="18"/>
          <w:i w:val="1"/>
          <w:iCs w:val="1"/>
          <w:color w:val="auto"/>
        </w:rPr>
        <w:t xml:space="preserve">2016 Incentive Compensation Plan: </w:t>
      </w:r>
      <w:r>
        <w:rPr>
          <w:rFonts w:ascii="Arial" w:cs="Arial" w:eastAsia="Arial" w:hAnsi="Arial"/>
          <w:sz w:val="18"/>
          <w:szCs w:val="18"/>
          <w:color w:val="auto"/>
        </w:rPr>
        <w:t>The 2016 Incentive Compensation Plan (the “2016 Plan”) serves as a successor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2007 Incentive Compensation Plan, the 1998 Stock Option/Stock Incentive Plan, the 1998 Non-Employee Director Stock Option Plan, the Restricted Stock Bonus Plan and the Non</w:t>
      </w:r>
      <w:r>
        <w:rPr>
          <w:rFonts w:ascii="MS PGothic" w:cs="MS PGothic" w:eastAsia="MS PGothic" w:hAnsi="MS PGothic"/>
          <w:sz w:val="18"/>
          <w:szCs w:val="18"/>
          <w:color w:val="auto"/>
        </w:rPr>
        <w:t>‑</w:t>
      </w:r>
      <w:r>
        <w:rPr>
          <w:rFonts w:ascii="Arial" w:cs="Arial" w:eastAsia="Arial" w:hAnsi="Arial"/>
          <w:sz w:val="18"/>
          <w:szCs w:val="18"/>
          <w:color w:val="auto"/>
        </w:rPr>
        <w:t>Employee Director Stock Retainer Plan (the “Predecessor Plans”). Under the 2016 Plan, 2.5 million shares of common stock were reserved for issuance. Shareholders approved the 2016 Plan at the 2016 Annual Meeting of Shareholders.</w:t>
      </w:r>
    </w:p>
    <w:p>
      <w:pPr>
        <w:spacing w:after="0" w:line="206"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The 2016 Plan consists of four separate incentive compensation programs: (i) the discretionary grant program, (ii) the stock issuance program, (iii) the incentive bonus program and (iv) the automatic grant program for the non</w:t>
      </w:r>
      <w:r>
        <w:rPr>
          <w:rFonts w:ascii="MS PGothic" w:cs="MS PGothic" w:eastAsia="MS PGothic" w:hAnsi="MS PGothic"/>
          <w:sz w:val="18"/>
          <w:szCs w:val="18"/>
          <w:color w:val="auto"/>
        </w:rPr>
        <w:t>‑</w:t>
      </w:r>
      <w:r>
        <w:rPr>
          <w:rFonts w:ascii="Arial" w:cs="Arial" w:eastAsia="Arial" w:hAnsi="Arial"/>
          <w:sz w:val="18"/>
          <w:szCs w:val="18"/>
          <w:color w:val="auto"/>
        </w:rPr>
        <w:t>employee members of the Company’s Board of Directors. Share-based compensation is generally awarded under three of the four programs, as more fully described below.</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Discretionary Grant Program </w:t>
      </w:r>
      <w:r>
        <w:rPr>
          <w:rFonts w:ascii="Arial" w:cs="Arial" w:eastAsia="Arial" w:hAnsi="Arial"/>
          <w:sz w:val="18"/>
          <w:szCs w:val="18"/>
          <w:color w:val="auto"/>
        </w:rPr>
        <w:t>— Under the Discretionary Grant Program, stock options may be granted with an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no less than 100 percent of the fair market value (defined as the closing market price) of the Company’s common stock on the date of the grant. Options generally become exercisable ratably over three years and have a maximum contractual term of 10 years.</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Stock Issuance Program </w:t>
      </w:r>
      <w:r>
        <w:rPr>
          <w:rFonts w:ascii="Arial" w:cs="Arial" w:eastAsia="Arial" w:hAnsi="Arial"/>
          <w:sz w:val="18"/>
          <w:szCs w:val="18"/>
          <w:color w:val="auto"/>
        </w:rPr>
        <w:t>— Under the Stock Issuance Program, shares of common stock, restricted stock units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shares may be granted. Time-based equity awards generally vest ratably over three years. Provided certain three-year performance targets are achieved, performance-based equity awards generally vest on the three-year anniversary date of the grant.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Automatic Grant Program </w:t>
      </w:r>
      <w:r>
        <w:rPr>
          <w:rFonts w:ascii="Arial" w:cs="Arial" w:eastAsia="Arial" w:hAnsi="Arial"/>
          <w:sz w:val="16"/>
          <w:szCs w:val="16"/>
          <w:color w:val="auto"/>
        </w:rPr>
        <w:t>— At each annual shareholder meeting, non-employee directors will receive an award of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that entitle the holder to an equivalent number of shares of common stock upon vesting, under the automatic grant program. Awards of restricted stock units granted under the program generally vest ratably over one or three years.</w:t>
      </w:r>
    </w:p>
    <w:p>
      <w:pPr>
        <w:spacing w:after="0" w:line="14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shares of common stock authorized to be issued under the 2016 Plan may be drawn from shares of the Company’s authorized but unissued common stock or from shares of its common stock that the Company acquires, including shares purchased on the open market or in private transactions.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Predecessor Plans: </w:t>
      </w:r>
      <w:r>
        <w:rPr>
          <w:rFonts w:ascii="Arial" w:cs="Arial" w:eastAsia="Arial" w:hAnsi="Arial"/>
          <w:sz w:val="18"/>
          <w:szCs w:val="18"/>
          <w:color w:val="auto"/>
        </w:rPr>
        <w:t>All predecessor plans have been superseded by the 2016 Plan. No further grants will be made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plans.</w:t>
      </w:r>
    </w:p>
    <w:p>
      <w:pPr>
        <w:spacing w:after="0" w:line="170"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Activity in the Company’s stock option plans for the year ended December 31, 2016, was as follows (in thousands, except weighted average exercise price and weighted average contractual life):</w:t>
      </w:r>
    </w:p>
    <w:tbl>
      <w:tblPr>
        <w:tblLayout w:type="fixed"/>
        <w:tblInd w:w="0" w:type="dxa"/>
        <w:tblCellMar>
          <w:top w:w="0" w:type="dxa"/>
          <w:left w:w="0" w:type="dxa"/>
          <w:bottom w:w="0" w:type="dxa"/>
          <w:right w:w="0" w:type="dxa"/>
        </w:tblCellMar>
      </w:tblPr>
      <w:tr>
        <w:trPr>
          <w:trHeight w:val="141"/>
        </w:trPr>
        <w:tc>
          <w:tcPr>
            <w:tcW w:w="3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1998</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5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2007</w:t>
            </w:r>
          </w:p>
        </w:tc>
        <w:tc>
          <w:tcPr>
            <w:tcW w:w="7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7"/>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Director</w:t>
            </w: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Plan</w:t>
            </w:r>
          </w:p>
        </w:tc>
        <w:tc>
          <w:tcPr>
            <w:tcW w:w="140" w:type="dxa"/>
            <w:vAlign w:val="bottom"/>
          </w:tcPr>
          <w:p>
            <w:pPr>
              <w:spacing w:after="0"/>
              <w:rPr>
                <w:sz w:val="14"/>
                <w:szCs w:val="14"/>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auto"/>
              </w:rPr>
              <w:t>Plan</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Plan</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$ 21.90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$ 22.53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Forfeited and expired</w:t>
            </w: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$ 20.84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7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$ 21.67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line="203" w:lineRule="exact"/>
              <w:rPr>
                <w:sz w:val="20"/>
                <w:szCs w:val="20"/>
                <w:color w:val="auto"/>
              </w:rPr>
            </w:pPr>
            <w:r>
              <w:rPr>
                <w:rFonts w:ascii="Arial" w:cs="Arial" w:eastAsia="Arial" w:hAnsi="Arial"/>
                <w:sz w:val="18"/>
                <w:szCs w:val="18"/>
                <w:color w:val="auto"/>
              </w:rPr>
              <w:t>Exercisable at December 31, 2016</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w:t>
            </w:r>
          </w:p>
        </w:tc>
        <w:tc>
          <w:tcPr>
            <w:tcW w:w="7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$ 21.67</w:t>
            </w:r>
          </w:p>
        </w:tc>
        <w:tc>
          <w:tcPr>
            <w:tcW w:w="140" w:type="dxa"/>
            <w:vAlign w:val="bottom"/>
          </w:tcPr>
          <w:p>
            <w:pPr>
              <w:spacing w:after="0"/>
              <w:rPr>
                <w:sz w:val="18"/>
                <w:szCs w:val="18"/>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3.3</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4,437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gridSpan w:val="2"/>
          </w:tcPr>
          <w:p>
            <w:pPr>
              <w:jc w:val="right"/>
              <w:ind w:right="433"/>
              <w:spacing w:after="0"/>
              <w:rPr>
                <w:sz w:val="20"/>
                <w:szCs w:val="20"/>
                <w:color w:val="auto"/>
              </w:rPr>
            </w:pPr>
            <w:r>
              <w:rPr>
                <w:rFonts w:ascii="Arial" w:cs="Arial" w:eastAsia="Arial" w:hAnsi="Arial"/>
                <w:sz w:val="18"/>
                <w:szCs w:val="18"/>
                <w:color w:val="auto"/>
                <w:w w:val="79"/>
              </w:rPr>
              <w:t>72</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following table summarizes non-vested restricted stock unit activity through December 31, 2016, (in thousands, except weighted average grant-date fair value amounts):</w:t>
      </w:r>
    </w:p>
    <w:tbl>
      <w:tblPr>
        <w:tblLayout w:type="fixed"/>
        <w:tblInd w:w="0" w:type="dxa"/>
        <w:tblCellMar>
          <w:top w:w="0" w:type="dxa"/>
          <w:left w:w="0" w:type="dxa"/>
          <w:bottom w:w="0" w:type="dxa"/>
          <w:right w:w="0" w:type="dxa"/>
        </w:tblCellMar>
      </w:tblPr>
      <w:tr>
        <w:trPr>
          <w:trHeight w:val="141"/>
        </w:trPr>
        <w:tc>
          <w:tcPr>
            <w:tcW w:w="5360" w:type="dxa"/>
            <w:vAlign w:val="bottom"/>
          </w:tcPr>
          <w:p>
            <w:pPr>
              <w:spacing w:after="0"/>
              <w:rPr>
                <w:sz w:val="12"/>
                <w:szCs w:val="12"/>
                <w:color w:val="auto"/>
              </w:rPr>
            </w:pPr>
          </w:p>
        </w:tc>
        <w:tc>
          <w:tcPr>
            <w:tcW w:w="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92"/>
              </w:rPr>
              <w:t>2007 Plan</w:t>
            </w:r>
          </w:p>
        </w:tc>
        <w:tc>
          <w:tcPr>
            <w:tcW w:w="88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2"/>
              </w:rPr>
              <w:t>2016 Plan</w:t>
            </w:r>
          </w:p>
        </w:tc>
        <w:tc>
          <w:tcPr>
            <w:tcW w:w="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91"/>
              </w:rPr>
              <w:t>Weighted</w:t>
            </w:r>
          </w:p>
        </w:tc>
      </w:tr>
      <w:tr>
        <w:trPr>
          <w:trHeight w:val="149"/>
        </w:trPr>
        <w:tc>
          <w:tcPr>
            <w:tcW w:w="53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6"/>
              </w:rPr>
              <w:t>Restricted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Restricted</w:t>
            </w:r>
          </w:p>
        </w:tc>
        <w:tc>
          <w:tcPr>
            <w:tcW w:w="140" w:type="dxa"/>
            <w:vAlign w:val="bottom"/>
          </w:tcPr>
          <w:p>
            <w:pPr>
              <w:spacing w:after="0"/>
              <w:rPr>
                <w:sz w:val="12"/>
                <w:szCs w:val="12"/>
                <w:color w:val="auto"/>
              </w:rPr>
            </w:pP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Average Grant-</w:t>
            </w:r>
          </w:p>
        </w:tc>
      </w:tr>
      <w:tr>
        <w:trPr>
          <w:trHeight w:val="171"/>
        </w:trPr>
        <w:tc>
          <w:tcPr>
            <w:tcW w:w="536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 Units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Stock Units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Stock Units</w:t>
            </w:r>
          </w:p>
        </w:tc>
        <w:tc>
          <w:tcPr>
            <w:tcW w:w="140" w:type="dxa"/>
            <w:vAlign w:val="bottom"/>
          </w:tcPr>
          <w:p>
            <w:pPr>
              <w:spacing w:after="0"/>
              <w:rPr>
                <w:sz w:val="14"/>
                <w:szCs w:val="14"/>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Date Fair Value</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34.70</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Canceled</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34.36</w:t>
            </w:r>
          </w:p>
        </w:tc>
        <w:tc>
          <w:tcPr>
            <w:tcW w:w="60" w:type="dxa"/>
            <w:vAlign w:val="bottom"/>
          </w:tcPr>
          <w:p>
            <w:pPr>
              <w:spacing w:after="0"/>
              <w:rPr>
                <w:sz w:val="18"/>
                <w:szCs w:val="18"/>
                <w:color w:val="auto"/>
              </w:rPr>
            </w:pPr>
          </w:p>
        </w:tc>
      </w:tr>
      <w:tr>
        <w:trPr>
          <w:trHeight w:val="217"/>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 summary of compensation expense related to share-based awards for each of the three years in the period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is as follows (in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expense (net of estimated forfeitures):</w:t>
            </w:r>
          </w:p>
        </w:tc>
        <w:tc>
          <w:tcPr>
            <w:tcW w:w="1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w w:val="96"/>
              </w:rPr>
              <w:t>2016</w:t>
            </w: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Non-vested stock and restricted stock units</w:t>
            </w:r>
          </w:p>
        </w:tc>
        <w:tc>
          <w:tcPr>
            <w:tcW w:w="16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Pr>
          <w:p>
            <w:pPr>
              <w:ind w:left="200"/>
              <w:spacing w:after="0"/>
              <w:rPr>
                <w:sz w:val="20"/>
                <w:szCs w:val="20"/>
                <w:color w:val="auto"/>
              </w:rPr>
            </w:pPr>
            <w:r>
              <w:rPr>
                <w:rFonts w:ascii="Arial" w:cs="Arial" w:eastAsia="Arial" w:hAnsi="Arial"/>
                <w:sz w:val="18"/>
                <w:szCs w:val="18"/>
                <w:color w:val="auto"/>
              </w:rPr>
              <w:t>Total share-based expense</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recognized tax benefit</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Share-based expense (net of tax)</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received by Matson upon option exercise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Intrinsic value of options exercised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Tax benefit realized upon option exercise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vested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20"/>
        <w:spacing w:after="0" w:line="221" w:lineRule="exact"/>
        <w:rPr>
          <w:sz w:val="20"/>
          <w:szCs w:val="20"/>
          <w:color w:val="auto"/>
        </w:rPr>
      </w:pPr>
      <w:r>
        <w:rPr>
          <w:rFonts w:ascii="Arial" w:cs="Arial" w:eastAsia="Arial" w:hAnsi="Arial"/>
          <w:sz w:val="18"/>
          <w:szCs w:val="18"/>
          <w:color w:val="auto"/>
        </w:rPr>
        <w:t>Application of alternative assumptions could produce significantly different estimates of the fair value of share</w:t>
      </w:r>
      <w:r>
        <w:rPr>
          <w:rFonts w:ascii="MS PGothic" w:cs="MS PGothic" w:eastAsia="MS PGothic" w:hAnsi="MS PGothic"/>
          <w:sz w:val="18"/>
          <w:szCs w:val="18"/>
          <w:color w:val="auto"/>
        </w:rPr>
        <w:t>‑</w:t>
      </w:r>
      <w:r>
        <w:rPr>
          <w:rFonts w:ascii="Arial" w:cs="Arial" w:eastAsia="Arial" w:hAnsi="Arial"/>
          <w:sz w:val="18"/>
          <w:szCs w:val="18"/>
          <w:color w:val="auto"/>
        </w:rPr>
        <w:t>based compensation and, consequently, significantly affect the related amounts recognized in the Consolidated Statements of Income and Comprehensive Income.</w:t>
      </w:r>
    </w:p>
    <w:p>
      <w:pPr>
        <w:spacing w:after="0" w:line="20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December 31, 2016, there was no unrecognized compensation cost related to non-vested stock options. As of December 31, 2016, unrecognized compensation cost related to non-vested restricted stock units and performance-based equity awards were $11.3 million. That unrecognized compensation cost is expected to be recognized over a weighted average period of approximately 1.8 years.</w:t>
      </w:r>
    </w:p>
    <w:p>
      <w:pPr>
        <w:spacing w:after="0" w:line="183" w:lineRule="exact"/>
        <w:rPr>
          <w:sz w:val="20"/>
          <w:szCs w:val="20"/>
          <w:color w:val="auto"/>
        </w:rPr>
      </w:pPr>
    </w:p>
    <w:p>
      <w:pPr>
        <w:ind w:left="720" w:hanging="717"/>
        <w:spacing w:after="0"/>
        <w:tabs>
          <w:tab w:leader="none" w:pos="7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Commitments: </w:t>
      </w:r>
      <w:r>
        <w:rPr>
          <w:rFonts w:ascii="Arial" w:cs="Arial" w:eastAsia="Arial" w:hAnsi="Arial"/>
          <w:sz w:val="17"/>
          <w:szCs w:val="17"/>
          <w:color w:val="auto"/>
        </w:rPr>
        <w:t>Commitments, including contractual obligations, excluding lease commitments (see Note 9), and pension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post-retirement plan commitments (see Note 11), include the following as of December 31, 2016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Commitments and Contractual Obligations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0"/>
        </w:trPr>
        <w:tc>
          <w:tcPr>
            <w:tcW w:w="79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Standby letters of credit (1)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Bonds (2)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plan withdrawal obligations (3)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40" w:type="dxa"/>
            <w:vAlign w:val="bottom"/>
            <w:shd w:val="clear" w:color="auto" w:fill="CCEEFF"/>
          </w:tcPr>
          <w:p>
            <w:pPr>
              <w:spacing w:after="0"/>
              <w:rPr>
                <w:sz w:val="18"/>
                <w:szCs w:val="18"/>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8"/>
                <w:szCs w:val="18"/>
                <w:color w:val="auto"/>
              </w:rPr>
              <w:t>Construction of vessels obligations (4)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803.9</w:t>
            </w:r>
          </w:p>
        </w:tc>
        <w:tc>
          <w:tcPr>
            <w:tcW w:w="140" w:type="dxa"/>
            <w:vAlign w:val="bottom"/>
          </w:tcPr>
          <w:p>
            <w:pPr>
              <w:spacing w:after="0"/>
              <w:rPr>
                <w:sz w:val="18"/>
                <w:szCs w:val="18"/>
                <w:color w:val="auto"/>
              </w:rPr>
            </w:pPr>
          </w:p>
        </w:tc>
      </w:tr>
      <w:tr>
        <w:trPr>
          <w:trHeight w:val="216"/>
        </w:trPr>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capital obligations (5)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shd w:val="clear" w:color="auto" w:fill="CCEEFF"/>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89" w:lineRule="exact"/>
        <w:rPr>
          <w:sz w:val="20"/>
          <w:szCs w:val="20"/>
          <w:color w:val="auto"/>
        </w:rPr>
      </w:pPr>
    </w:p>
    <w:p>
      <w:pPr>
        <w:ind w:left="240" w:hanging="237"/>
        <w:spacing w:after="0"/>
        <w:tabs>
          <w:tab w:leader="none" w:pos="2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Standby letters of credit are required for the Company’s uninsured workers’ compensation and other insurance programs, and other needs.</w:t>
      </w:r>
    </w:p>
    <w:p>
      <w:pPr>
        <w:ind w:left="440" w:hanging="437"/>
        <w:spacing w:after="0" w:line="221"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Bonds are required for U.S. Customs and other related matters.</w:t>
      </w:r>
    </w:p>
    <w:p>
      <w:pPr>
        <w:ind w:left="220" w:right="140" w:hanging="217"/>
        <w:spacing w:after="0" w:line="221"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Benefit plan withdrawal obligations represent the withdrawal liabilities as of the most recent valuation dates for multiemployer pension plans, in which the Company is a participant. Management has no present intention of withdrawing from, and does not anticipate the termination of, any of the aforementioned plans.</w:t>
      </w:r>
    </w:p>
    <w:p>
      <w:pPr>
        <w:ind w:left="260" w:hanging="257"/>
        <w:spacing w:after="0" w:line="221" w:lineRule="auto"/>
        <w:tabs>
          <w:tab w:leader="none" w:pos="2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Construction of vessels obligations represents contractual obligations entered into for the construction of four new vessels.</w:t>
      </w:r>
    </w:p>
    <w:p>
      <w:pPr>
        <w:ind w:left="220" w:hanging="217"/>
        <w:spacing w:after="0" w:line="237"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Other capital expenditure obligations include: (i) contractual capital project obligations (excluding construction of vessels obligations); and (ii) other dry-docking related obligations.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amounts are not recorded on the Company’s Consolidated Balance Sheets and it is not expected that the Company or its subsidiaries will be called upon to advance funds under these commitments.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Contingencies and other litigation related matters are described as follows: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Environmental Matters: In September 2013, molasses was released into Honolulu Harbor from a pipeline system operated by a subsidiary of the Company. The Company cooperated with federal and state agencies involved in responding to and investigating the incident. The Hawaii Department of Health reported on September 20, 2013 that dissolved oxygen and pH levels in the harbor and nearby Keehi Lagoon had returned to normal target levels and that there was no longer discoloration of the water in those same areas attributable to the molasses release. Keehi Lagoon was reopened to the public on September 21, 2013.</w:t>
      </w:r>
    </w:p>
    <w:p>
      <w:pPr>
        <w:spacing w:after="0" w:line="19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previously resolved all federal criminal claims, and all criminal, civil and administrative claims that the State of Hawaii may have had arising from the molasses release. On October 13, 2016, the United States Department of Justice delivered a letter to Company counsel stating that it was prepared to file a civil penalty action under the Clean Water Act but would be willing to discuss a potential resolution of those claims prior to filing an action. On January 19, 2017, Matson Terminals entered into a Settlement Agreement to resolve the Department of Justice’s alleged civil claims under the Clean Water Act. Pursuant to the terms of the Settlement Agreement, which was filed in the United States District Court, District of Hawaii, the Company will pay $0.7 million to resolve all civil liability for these claims. The Company did not admit any liability as part of this settlement. The Company has accrued for the settlement amount in accruals and other liabilities in the Consolidated Balance Sheet at December 31, 2016.</w:t>
      </w:r>
    </w:p>
    <w:p>
      <w:pPr>
        <w:spacing w:after="0" w:line="18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addition to the molasses release discussed above, the Company’s ocean transportation business has certain other risks that could result in expenditures for environmental remediation. The Company believes that based on all information available to it, the Company is currently in compliance, in all material respects, with applicable environmental laws and regulations.</w:t>
      </w:r>
    </w:p>
    <w:p>
      <w:pPr>
        <w:spacing w:after="0" w:line="14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Matters: The Company and its subsidiaries are parties to, or may be contingently liable in connection with other legal actions arising in the normal course of their businesses, the outcomes of which, in the opinion of management after consultation with counsel, would not have a material effect on the Company’s financial condition, results of operations, or cash flows.</w:t>
      </w:r>
    </w:p>
    <w:p>
      <w:pPr>
        <w:spacing w:after="0" w:line="183" w:lineRule="exact"/>
        <w:rPr>
          <w:sz w:val="20"/>
          <w:szCs w:val="20"/>
          <w:color w:val="auto"/>
        </w:rPr>
      </w:pPr>
    </w:p>
    <w:p>
      <w:pPr>
        <w:ind w:left="720" w:hanging="717"/>
        <w:spacing w:after="0"/>
        <w:tabs>
          <w:tab w:leader="none" w:pos="7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Reportable segments are components of an enterprise that engage in business activities from which it may earn revenues and incur expenses, whose operating results are regularly reviewed by the chief operating decision maker to make decisions about resources to be allocated to the segment and assess its performance, and for which discrete financial information is available. The Company’s chief operating decision maker is its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consists of two reportable segments, Ocean Transportation and Logistics, which are further described in Note</w:t>
      </w:r>
    </w:p>
    <w:p>
      <w:pPr>
        <w:spacing w:after="0" w:line="46" w:lineRule="exact"/>
        <w:rPr>
          <w:sz w:val="20"/>
          <w:szCs w:val="20"/>
          <w:color w:val="auto"/>
        </w:rPr>
      </w:pPr>
    </w:p>
    <w:p>
      <w:pPr>
        <w:ind w:right="160" w:firstLine="3"/>
        <w:spacing w:after="0" w:line="290" w:lineRule="auto"/>
        <w:tabs>
          <w:tab w:leader="none" w:pos="225"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Reportable segments are measured based on operating income, exclusive of interest expense and income taxes. In arrangements where the customer purchases ocean transportation and logistics services, the revenues are allocated to each reportable segment based upon the contractual amounts for each type of service. The Company’s Terminal Joint Venture segment has been aggregated into the Company’s Ocean Transportation segment due to the operations of the Terminal Joint Venture being an integral part of the Company’s Ocean Transportation business (see Note 4). Included in the reportable segment information below are 53 weeks in the 2016 fiscal year, and 52 weeks in the 2015 and 2014 fiscal years.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Reportable segment information for 2016, 2015, and 2014,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28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2"/>
                <w:szCs w:val="12"/>
                <w:color w:val="auto"/>
              </w:rPr>
            </w:pPr>
          </w:p>
        </w:tc>
      </w:tr>
      <w:tr>
        <w:trPr>
          <w:trHeight w:val="210"/>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Ocean Transportation (1)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1,541.1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1,498.0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1,278.4</w:t>
            </w:r>
          </w:p>
        </w:tc>
        <w:tc>
          <w:tcPr>
            <w:tcW w:w="4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40" w:type="dxa"/>
            <w:vAlign w:val="bottom"/>
            <w:shd w:val="clear" w:color="auto" w:fill="CCEEFF"/>
          </w:tcPr>
          <w:p>
            <w:pPr>
              <w:spacing w:after="0"/>
              <w:rPr>
                <w:sz w:val="18"/>
                <w:szCs w:val="18"/>
                <w:color w:val="auto"/>
              </w:rPr>
            </w:pPr>
          </w:p>
        </w:tc>
      </w:tr>
      <w:tr>
        <w:trPr>
          <w:trHeight w:val="217"/>
        </w:trPr>
        <w:tc>
          <w:tcPr>
            <w:tcW w:w="448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Revenue</w:t>
            </w:r>
          </w:p>
        </w:tc>
        <w:tc>
          <w:tcPr>
            <w:tcW w:w="19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1,941.6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1,884.9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1,714.2</w:t>
            </w:r>
          </w:p>
        </w:tc>
        <w:tc>
          <w:tcPr>
            <w:tcW w:w="40" w:type="dxa"/>
            <w:vAlign w:val="bottom"/>
            <w:tcBorders>
              <w:bottom w:val="single" w:sz="8" w:color="CCEEFF"/>
            </w:tcBorders>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Ocean Transportation (1)(3)</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187.8</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131.1</w:t>
            </w:r>
          </w:p>
        </w:tc>
        <w:tc>
          <w:tcPr>
            <w:tcW w:w="4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 (2)</w:t>
            </w:r>
          </w:p>
        </w:tc>
        <w:tc>
          <w:tcPr>
            <w:tcW w:w="19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18"/>
                <w:szCs w:val="18"/>
                <w:color w:val="auto"/>
              </w:rPr>
            </w:pPr>
          </w:p>
        </w:tc>
      </w:tr>
      <w:tr>
        <w:trPr>
          <w:trHeight w:val="210"/>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Total Operating Income</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140.0</w:t>
            </w:r>
          </w:p>
        </w:tc>
        <w:tc>
          <w:tcPr>
            <w:tcW w:w="4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10"/>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Income before Income Taxes</w:t>
            </w:r>
          </w:p>
        </w:tc>
        <w:tc>
          <w:tcPr>
            <w:tcW w:w="19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0" w:type="dxa"/>
            <w:vAlign w:val="bottom"/>
          </w:tcPr>
          <w:p>
            <w:pPr>
              <w:spacing w:after="0"/>
              <w:rPr>
                <w:sz w:val="18"/>
                <w:szCs w:val="18"/>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r>
      <w:tr>
        <w:trPr>
          <w:trHeight w:val="217"/>
        </w:trPr>
        <w:tc>
          <w:tcPr>
            <w:tcW w:w="44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r>
              <w:rPr>
                <w:rFonts w:ascii="Arial" w:cs="Arial" w:eastAsia="Arial" w:hAnsi="Arial"/>
                <w:sz w:val="18"/>
                <w:szCs w:val="18"/>
                <w:u w:val="single" w:color="auto"/>
                <w:color w:val="auto"/>
              </w:rPr>
              <w:t>5</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r>
              <w:rPr>
                <w:rFonts w:ascii="Arial" w:cs="Arial" w:eastAsia="Arial" w:hAnsi="Arial"/>
                <w:sz w:val="18"/>
                <w:szCs w:val="18"/>
                <w:u w:val="single" w:color="auto"/>
                <w:color w:val="auto"/>
              </w:rPr>
              <w:t>8</w:t>
            </w:r>
          </w:p>
        </w:tc>
        <w:tc>
          <w:tcPr>
            <w:tcW w:w="40" w:type="dxa"/>
            <w:vAlign w:val="bottom"/>
          </w:tcPr>
          <w:p>
            <w:pPr>
              <w:spacing w:after="0"/>
              <w:rPr>
                <w:sz w:val="18"/>
                <w:szCs w:val="18"/>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89" w:lineRule="exact"/>
        <w:rPr>
          <w:sz w:val="20"/>
          <w:szCs w:val="20"/>
          <w:color w:val="auto"/>
        </w:rPr>
      </w:pPr>
    </w:p>
    <w:p>
      <w:pPr>
        <w:ind w:left="260" w:hanging="257"/>
        <w:spacing w:after="0"/>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2016 and 2015 Ocean Transportation segment information include the operations of Horizon acquired as of May 29, 2015.</w:t>
      </w:r>
    </w:p>
    <w:p>
      <w:pPr>
        <w:ind w:left="280" w:hanging="277"/>
        <w:spacing w:after="0" w:line="221" w:lineRule="auto"/>
        <w:tabs>
          <w:tab w:leader="none" w:pos="2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2016 Logistics segment information include the operations of Span Alaska acquired as of August 4, 2016.</w:t>
      </w:r>
    </w:p>
    <w:p>
      <w:pPr>
        <w:ind w:left="220" w:right="280" w:hanging="217"/>
        <w:spacing w:after="0" w:line="237" w:lineRule="auto"/>
        <w:tabs>
          <w:tab w:leader="none" w:pos="2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Ocean Transportation segment information includes $15.8 million, $16.5 million and $6.6 million of equity in income from the Company’s Terminal Joint Venture, SSAT, for the years ended December 31, 2016, 2015, and 2014,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tcBorders>
              <w:bottom w:val="single" w:sz="8" w:color="CCEEFF"/>
            </w:tcBorders>
          </w:tcPr>
          <w:p>
            <w:pPr>
              <w:spacing w:after="0"/>
              <w:rPr>
                <w:sz w:val="17"/>
                <w:szCs w:val="17"/>
                <w:color w:val="auto"/>
              </w:rPr>
            </w:pPr>
          </w:p>
        </w:tc>
        <w:tc>
          <w:tcPr>
            <w:tcW w:w="30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Ocean Transportation (1)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1,722.2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3"/>
              </w:rPr>
              <w:t>1,601.0</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1,313.9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2,015.5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1,669.8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1,401.8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Ocean Transportation</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Logistics</w:t>
            </w: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Capital Expenditures</w:t>
            </w:r>
          </w:p>
        </w:tc>
        <w:tc>
          <w:tcPr>
            <w:tcW w:w="1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200"/>
              <w:spacing w:after="0"/>
              <w:rPr>
                <w:sz w:val="20"/>
                <w:szCs w:val="20"/>
                <w:color w:val="auto"/>
              </w:rPr>
            </w:pPr>
            <w:r>
              <w:rPr>
                <w:rFonts w:ascii="Arial" w:cs="Arial" w:eastAsia="Arial" w:hAnsi="Arial"/>
                <w:sz w:val="18"/>
                <w:szCs w:val="18"/>
                <w:color w:val="auto"/>
              </w:rPr>
              <w:t>Ocean Transportation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dry-docking amortization - Ocean Transportation</w:t>
            </w:r>
          </w:p>
        </w:tc>
        <w:tc>
          <w:tcPr>
            <w:tcW w:w="1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Total Depreciation and Amortization</w:t>
            </w:r>
          </w:p>
        </w:tc>
        <w:tc>
          <w:tcPr>
            <w:tcW w:w="1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right="340" w:hanging="317"/>
        <w:spacing w:after="0" w:line="353" w:lineRule="auto"/>
        <w:tabs>
          <w:tab w:leader="none" w:pos="231"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Ocean Transportation segment includes $82.4 million, $66.4 million and $64.4 million related to the Company’s Terminal Joint Venture equity investment in SSAT as of December 31, 2016, 2015, and 2014,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720" w:hanging="717"/>
        <w:spacing w:after="0"/>
        <w:tabs>
          <w:tab w:leader="none" w:pos="7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Segment results by quarter for 2016 and 2015 are as follows (in millions, except per-share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12"/>
          </w:tcPr>
          <w:p>
            <w:pPr>
              <w:ind w:left="80"/>
              <w:spacing w:after="0"/>
              <w:rPr>
                <w:sz w:val="20"/>
                <w:szCs w:val="20"/>
                <w:color w:val="auto"/>
              </w:rPr>
            </w:pPr>
            <w:r>
              <w:rPr>
                <w:rFonts w:ascii="Arial" w:cs="Arial" w:eastAsia="Arial" w:hAnsi="Arial"/>
                <w:sz w:val="14"/>
                <w:szCs w:val="14"/>
                <w:b w:val="1"/>
                <w:bCs w:val="1"/>
                <w:color w:val="auto"/>
              </w:rPr>
              <w:t>Quarters in the Year Ended December 31, 2016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Q3</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Q4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366.1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370.9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398.0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 (1)</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102.4</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454.2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467.7</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500.4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519.3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Ocean Transportation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 (1)</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Total Operating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w:t>
            </w:r>
          </w:p>
        </w:tc>
        <w:tc>
          <w:tcPr>
            <w:tcW w:w="16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40" w:type="dxa"/>
            <w:vAlign w:val="bottom"/>
            <w:gridSpan w:val="12"/>
          </w:tcPr>
          <w:p>
            <w:pPr>
              <w:ind w:left="80"/>
              <w:spacing w:after="0"/>
              <w:rPr>
                <w:sz w:val="20"/>
                <w:szCs w:val="20"/>
                <w:color w:val="auto"/>
              </w:rPr>
            </w:pPr>
            <w:r>
              <w:rPr>
                <w:rFonts w:ascii="Arial" w:cs="Arial" w:eastAsia="Arial" w:hAnsi="Arial"/>
                <w:sz w:val="14"/>
                <w:szCs w:val="14"/>
                <w:b w:val="1"/>
                <w:bCs w:val="1"/>
                <w:color w:val="auto"/>
              </w:rPr>
              <w:t>Quarters in the Year Ended 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Q3</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Q4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Ocean Transportation (2)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305.5</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346.7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444.8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100.9</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Revenue</w:t>
            </w:r>
          </w:p>
        </w:tc>
        <w:tc>
          <w:tcPr>
            <w:tcW w:w="1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398.2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447.6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494.8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Ocean Transportation (2)</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Total Operating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w:t>
            </w:r>
          </w:p>
        </w:tc>
        <w:tc>
          <w:tcPr>
            <w:tcW w:w="16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14408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12" w:lineRule="exact"/>
        <w:rPr>
          <w:sz w:val="20"/>
          <w:szCs w:val="20"/>
          <w:color w:val="auto"/>
        </w:rPr>
      </w:pPr>
    </w:p>
    <w:p>
      <w:pPr>
        <w:ind w:left="320" w:hanging="317"/>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2016 segment results include the operations of Span Alaska acquired as of August 4, 2016.</w:t>
      </w:r>
    </w:p>
    <w:p>
      <w:pPr>
        <w:ind w:left="320" w:hanging="317"/>
        <w:spacing w:after="0"/>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2016 and 2015 segment results include the operations of Horizon acquired as of May 29, 2015.</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infrequent transactions impacted the Company’s quarterly segment results during 2016 and 2015 (in 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40" w:type="dxa"/>
            <w:vAlign w:val="bottom"/>
            <w:gridSpan w:val="11"/>
          </w:tcPr>
          <w:p>
            <w:pPr>
              <w:ind w:left="60"/>
              <w:spacing w:after="0"/>
              <w:rPr>
                <w:sz w:val="20"/>
                <w:szCs w:val="20"/>
                <w:color w:val="auto"/>
              </w:rPr>
            </w:pPr>
            <w:r>
              <w:rPr>
                <w:rFonts w:ascii="Arial" w:cs="Arial" w:eastAsia="Arial" w:hAnsi="Arial"/>
                <w:sz w:val="14"/>
                <w:szCs w:val="14"/>
                <w:b w:val="1"/>
                <w:bCs w:val="1"/>
                <w:color w:val="auto"/>
              </w:rPr>
              <w:t>Quarters in the Year Ended December 31, 2016</w:t>
            </w:r>
          </w:p>
        </w:tc>
      </w:tr>
      <w:tr>
        <w:trPr>
          <w:trHeight w:val="142"/>
        </w:trPr>
        <w:tc>
          <w:tcPr>
            <w:tcW w:w="44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Q3</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Span Alaska Acquisition Related Costs (1):</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Molasses Settlement (2):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0"/>
                <w:szCs w:val="20"/>
                <w:color w:val="auto"/>
              </w:rPr>
            </w:pPr>
          </w:p>
        </w:tc>
      </w:tr>
      <w:tr>
        <w:trPr>
          <w:trHeight w:val="364"/>
        </w:trPr>
        <w:tc>
          <w:tcPr>
            <w:tcW w:w="4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11"/>
          </w:tcPr>
          <w:p>
            <w:pPr>
              <w:ind w:left="60"/>
              <w:spacing w:after="0"/>
              <w:rPr>
                <w:sz w:val="20"/>
                <w:szCs w:val="20"/>
                <w:color w:val="auto"/>
              </w:rPr>
            </w:pPr>
            <w:r>
              <w:rPr>
                <w:rFonts w:ascii="Arial" w:cs="Arial" w:eastAsia="Arial" w:hAnsi="Arial"/>
                <w:sz w:val="14"/>
                <w:szCs w:val="14"/>
                <w:b w:val="1"/>
                <w:bCs w:val="1"/>
                <w:color w:val="auto"/>
              </w:rPr>
              <w:t>Quarters in the Year Ended December 31, 2015</w:t>
            </w:r>
          </w:p>
        </w:tc>
      </w:tr>
      <w:tr>
        <w:trPr>
          <w:trHeight w:val="142"/>
        </w:trPr>
        <w:tc>
          <w:tcPr>
            <w:tcW w:w="44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Q1</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Q2</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Q3</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Q4</w:t>
            </w:r>
          </w:p>
        </w:tc>
        <w:tc>
          <w:tcPr>
            <w:tcW w:w="60" w:type="dxa"/>
            <w:vAlign w:val="bottom"/>
            <w:tcBorders>
              <w:bottom w:val="single" w:sz="8" w:color="CCEEFF"/>
            </w:tcBorders>
          </w:tcPr>
          <w:p>
            <w:pPr>
              <w:spacing w:after="0"/>
              <w:rPr>
                <w:sz w:val="12"/>
                <w:szCs w:val="12"/>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Horizon Acquisition Related Costs (3):</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Molasses Settlement (2):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190" w:lineRule="exact"/>
        <w:rPr>
          <w:sz w:val="20"/>
          <w:szCs w:val="20"/>
          <w:color w:val="auto"/>
        </w:rPr>
      </w:pPr>
    </w:p>
    <w:p>
      <w:pPr>
        <w:ind w:left="260" w:hanging="257"/>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One-time costs related to the Span Alaska Acquisition included in selling, general and administrative costs (see Note 3).</w:t>
      </w:r>
    </w:p>
    <w:p>
      <w:pPr>
        <w:ind w:left="220" w:right="180" w:hanging="217"/>
        <w:spacing w:after="0" w:line="221" w:lineRule="auto"/>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Litigation settlement entered into by the Company during 2016 and 2015 resulting from molasses spill in September 2013, included in selling, general and administrative costs of the Ocean Transportation segment.</w:t>
      </w:r>
    </w:p>
    <w:p>
      <w:pPr>
        <w:ind w:left="300" w:hanging="297"/>
        <w:spacing w:after="0"/>
        <w:tabs>
          <w:tab w:leader="none" w:pos="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One-time costs related to the Horizon Acquisition included in selling, general and administrative costs.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Effectiveness of Disclosure Controls and Procedures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(the “Exchange Act”)) as of the end of the period covered by this report. Based on such evaluation, the Company’s Chief Executive Officer and Chief Financial Officer have concluded that, as of the end of such period, the Company’s disclosure controls and procedures are effective.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See page 40, for management’s annual report on internal control over financial reporting, which is incorporated herein by reference.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page 41 for the attestation report of the independent registered public accounting firm on the Company’s internal control over financial reporting, which is incorporated herein by reference.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Company’s fiscal fourth quarter ended December 31, 2016, that have materially affected, or are reasonably likely to materially affect,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ind w:left="1360" w:hanging="709"/>
        <w:spacing w:after="0"/>
        <w:tabs>
          <w:tab w:leader="none" w:pos="13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299"/>
        <w:spacing w:after="0" w:line="312" w:lineRule="auto"/>
        <w:rPr>
          <w:sz w:val="20"/>
          <w:szCs w:val="20"/>
          <w:color w:val="auto"/>
        </w:rPr>
      </w:pPr>
      <w:r>
        <w:rPr>
          <w:rFonts w:ascii="Arial" w:cs="Arial" w:eastAsia="Arial" w:hAnsi="Arial"/>
          <w:sz w:val="16"/>
          <w:szCs w:val="16"/>
          <w:color w:val="auto"/>
        </w:rPr>
        <w:t>For information about the directors of Matson, see the section captioned “Election of Directors” in Matson’s 2017 Proxy Statement for the 2017 Annual Meeting of Shareholders to be filed with the SEC within 120 days of the fiscal year ended December 31, 2016 (“Matson’s 2017 Proxy Statement”), which section is incorporated herein by reference.</w:t>
      </w:r>
    </w:p>
    <w:p>
      <w:pPr>
        <w:spacing w:after="0" w:line="143" w:lineRule="exact"/>
        <w:rPr>
          <w:sz w:val="20"/>
          <w:szCs w:val="20"/>
          <w:color w:val="auto"/>
        </w:rPr>
      </w:pPr>
    </w:p>
    <w:p>
      <w:pPr>
        <w:ind w:left="1360" w:hanging="709"/>
        <w:spacing w:after="0"/>
        <w:tabs>
          <w:tab w:leader="none" w:pos="13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color w:val="auto"/>
        </w:rPr>
        <w:t>For information about the executive officers of Matson, see the subsection captioned “Executive Officers” in Matson’s 2017 Proxy Statement, which subsection is incorporated herein by reference.</w:t>
      </w:r>
    </w:p>
    <w:p>
      <w:pPr>
        <w:spacing w:after="0" w:line="166" w:lineRule="exact"/>
        <w:rPr>
          <w:sz w:val="20"/>
          <w:szCs w:val="20"/>
          <w:color w:val="auto"/>
        </w:rPr>
      </w:pPr>
    </w:p>
    <w:p>
      <w:pPr>
        <w:ind w:left="1360" w:hanging="709"/>
        <w:spacing w:after="0"/>
        <w:tabs>
          <w:tab w:leader="none" w:pos="13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ind w:right="139"/>
        <w:spacing w:after="0" w:line="259" w:lineRule="auto"/>
        <w:rPr>
          <w:sz w:val="20"/>
          <w:szCs w:val="20"/>
          <w:color w:val="auto"/>
        </w:rPr>
      </w:pPr>
      <w:r>
        <w:rPr>
          <w:rFonts w:ascii="Arial" w:cs="Arial" w:eastAsia="Arial" w:hAnsi="Arial"/>
          <w:sz w:val="18"/>
          <w:szCs w:val="18"/>
          <w:color w:val="auto"/>
        </w:rPr>
        <w:t>For information about the Audit Committee of the Matson Board of Directors and compliance with Section 16 (a) of the Exchange Act, see the subsections captioned “Board of Directors and Committees of Board” and “Section 16 (a) Beneficial Ownership Reporting Compliance” in Matson’s 2017 Proxy Statement, which subsections are incorporated herein by reference.</w:t>
      </w:r>
    </w:p>
    <w:p>
      <w:pPr>
        <w:spacing w:after="0" w:line="183" w:lineRule="exact"/>
        <w:rPr>
          <w:sz w:val="20"/>
          <w:szCs w:val="20"/>
          <w:color w:val="auto"/>
        </w:rPr>
      </w:pPr>
    </w:p>
    <w:p>
      <w:pPr>
        <w:ind w:left="1360" w:hanging="709"/>
        <w:spacing w:after="0"/>
        <w:tabs>
          <w:tab w:leader="none" w:pos="13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439"/>
        <w:spacing w:after="0" w:line="277" w:lineRule="auto"/>
        <w:rPr>
          <w:sz w:val="20"/>
          <w:szCs w:val="20"/>
          <w:color w:val="auto"/>
        </w:rPr>
      </w:pPr>
      <w:r>
        <w:rPr>
          <w:rFonts w:ascii="Arial" w:cs="Arial" w:eastAsia="Arial" w:hAnsi="Arial"/>
          <w:sz w:val="18"/>
          <w:szCs w:val="18"/>
          <w:color w:val="auto"/>
        </w:rPr>
        <w:t>For information about Matson’s Code of Ethics, see the subsection captioned “Code of Ethics” in Matson’s 2017 Proxy Statement, which subsection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99"/>
        <w:spacing w:after="0" w:line="264" w:lineRule="auto"/>
        <w:rPr>
          <w:sz w:val="20"/>
          <w:szCs w:val="20"/>
          <w:color w:val="auto"/>
        </w:rPr>
      </w:pPr>
      <w:r>
        <w:rPr>
          <w:rFonts w:ascii="Arial" w:cs="Arial" w:eastAsia="Arial" w:hAnsi="Arial"/>
          <w:sz w:val="18"/>
          <w:szCs w:val="18"/>
          <w:color w:val="auto"/>
        </w:rPr>
        <w:t>The information required under this item will be included under the section captioned “Executive Compensation” and the subsections captioned “Compensation of Directors” and “Pay Risk Assessment” in Matson’s 2017 Proxy Statement, which section and subsections are incorporated herein by reference.</w:t>
      </w:r>
    </w:p>
    <w:p>
      <w:pPr>
        <w:spacing w:after="0" w:line="177" w:lineRule="exact"/>
        <w:rPr>
          <w:sz w:val="20"/>
          <w:szCs w:val="20"/>
          <w:color w:val="auto"/>
        </w:rPr>
      </w:pPr>
    </w:p>
    <w:p>
      <w:pPr>
        <w:ind w:right="10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139"/>
        <w:spacing w:after="0" w:line="259" w:lineRule="auto"/>
        <w:rPr>
          <w:sz w:val="20"/>
          <w:szCs w:val="20"/>
          <w:color w:val="auto"/>
        </w:rPr>
      </w:pPr>
      <w:r>
        <w:rPr>
          <w:rFonts w:ascii="Arial" w:cs="Arial" w:eastAsia="Arial" w:hAnsi="Arial"/>
          <w:sz w:val="18"/>
          <w:szCs w:val="18"/>
          <w:color w:val="auto"/>
        </w:rPr>
        <w:t>The information required under this item will be included under the section captioned “Security Ownership of Certain Shareholders” and the subsections captioned “Security Ownership of Directors and Executive Officers” and “Equity Compensation Plan Information” in Matson’s 2017 Proxy Statement, which section and subsections are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9"/>
        <w:spacing w:after="0" w:line="264" w:lineRule="auto"/>
        <w:rPr>
          <w:sz w:val="20"/>
          <w:szCs w:val="20"/>
          <w:color w:val="auto"/>
        </w:rPr>
      </w:pPr>
      <w:r>
        <w:rPr>
          <w:rFonts w:ascii="Arial" w:cs="Arial" w:eastAsia="Arial" w:hAnsi="Arial"/>
          <w:sz w:val="18"/>
          <w:szCs w:val="18"/>
          <w:color w:val="auto"/>
        </w:rPr>
        <w:t>The information required under this item will be included in the section captioned “Election of Directors” and the subsection captioned “Certain Relationships and Transactions” in Matson’s 2017 Proxy Statement, which section and subsection are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right="159"/>
        <w:spacing w:after="0" w:line="264" w:lineRule="auto"/>
        <w:rPr>
          <w:sz w:val="20"/>
          <w:szCs w:val="20"/>
          <w:color w:val="auto"/>
        </w:rPr>
      </w:pPr>
      <w:r>
        <w:rPr>
          <w:rFonts w:ascii="Arial" w:cs="Arial" w:eastAsia="Arial" w:hAnsi="Arial"/>
          <w:sz w:val="18"/>
          <w:szCs w:val="18"/>
          <w:color w:val="auto"/>
        </w:rPr>
        <w:t>Information concerning principal accountant fees and services appears in the sections captioned “Audit Committee Report” and “Ratification of Appointment of Independent Registered Public Accounting Firm” in Matson’s 2017 Proxy Statement, which sections are incorporated herein by reference.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740" w:hanging="737"/>
        <w:spacing w:after="0"/>
        <w:tabs>
          <w:tab w:leader="none" w:pos="7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are set forth in Item 8 of Part II above.</w:t>
      </w:r>
    </w:p>
    <w:p>
      <w:pPr>
        <w:spacing w:after="0" w:line="221" w:lineRule="exact"/>
        <w:rPr>
          <w:sz w:val="20"/>
          <w:szCs w:val="20"/>
          <w:color w:val="auto"/>
        </w:rPr>
      </w:pPr>
    </w:p>
    <w:p>
      <w:pPr>
        <w:ind w:left="720" w:hanging="717"/>
        <w:spacing w:after="0"/>
        <w:tabs>
          <w:tab w:leader="none" w:pos="7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schedules are omitted because of the absence of the conditions under which they are required or because the information called for is included in the Consolidated Financial Statements or notes thereto.</w:t>
      </w:r>
    </w:p>
    <w:p>
      <w:pPr>
        <w:spacing w:after="0" w:line="166" w:lineRule="exact"/>
        <w:rPr>
          <w:sz w:val="20"/>
          <w:szCs w:val="20"/>
          <w:color w:val="auto"/>
        </w:rPr>
      </w:pPr>
    </w:p>
    <w:p>
      <w:pPr>
        <w:ind w:left="740" w:hanging="737"/>
        <w:spacing w:after="0"/>
        <w:tabs>
          <w:tab w:leader="none" w:pos="7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Exhibits Required by Item 601 of Regulation S</w:t>
      </w:r>
      <w:r>
        <w:rPr>
          <w:rFonts w:ascii="Arial" w:cs="Arial" w:eastAsia="Arial" w:hAnsi="Arial"/>
          <w:sz w:val="18"/>
          <w:szCs w:val="18"/>
          <w:color w:val="auto"/>
        </w:rPr>
        <w:t>-</w:t>
      </w:r>
      <w:r>
        <w:rPr>
          <w:rFonts w:ascii="Arial" w:cs="Arial" w:eastAsia="Arial" w:hAnsi="Arial"/>
          <w:sz w:val="18"/>
          <w:szCs w:val="18"/>
          <w:b w:val="1"/>
          <w:bCs w:val="1"/>
          <w:color w:val="auto"/>
        </w:rPr>
        <w:t>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Exhibits not filed herewith are incorporated by reference to the exhibit number and previous filing shown in parentheses. All previous exhibits were filed with the Securities and Exchange Commission in Washington, D.C.</w:t>
      </w:r>
    </w:p>
    <w:p>
      <w:pPr>
        <w:spacing w:after="0" w:line="17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Exhibits filed pursuant to the Securities Exchange Act of 1934 were filed under file number 001-34187. Shareholders may obtain copies of exhibits for a copying and handling charge of $0.15 per page by writing to, Corporate Secretary, Matson, Inc., 555 12th Street, Oakland, California 94607.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2</w:t>
            </w:r>
          </w:p>
        </w:tc>
        <w:tc>
          <w:tcPr>
            <w:tcW w:w="8180" w:type="dxa"/>
            <w:vAlign w:val="bottom"/>
          </w:tcPr>
          <w:p>
            <w:pPr>
              <w:ind w:left="640"/>
              <w:spacing w:after="0"/>
              <w:rPr>
                <w:sz w:val="20"/>
                <w:szCs w:val="20"/>
                <w:color w:val="auto"/>
              </w:rPr>
            </w:pPr>
            <w:r>
              <w:rPr>
                <w:rFonts w:ascii="Arial" w:cs="Arial" w:eastAsia="Arial" w:hAnsi="Arial"/>
                <w:sz w:val="18"/>
                <w:szCs w:val="18"/>
                <w:color w:val="auto"/>
              </w:rPr>
              <w:t>Plan of acquisition, reorganization, arrangement, liquidation or succession.</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2.1</w:t>
            </w:r>
          </w:p>
        </w:tc>
        <w:tc>
          <w:tcPr>
            <w:tcW w:w="8180" w:type="dxa"/>
            <w:vAlign w:val="bottom"/>
          </w:tcPr>
          <w:p>
            <w:pPr>
              <w:ind w:left="640"/>
              <w:spacing w:after="0"/>
              <w:rPr>
                <w:sz w:val="20"/>
                <w:szCs w:val="20"/>
                <w:color w:val="auto"/>
              </w:rPr>
            </w:pPr>
            <w:r>
              <w:rPr>
                <w:rFonts w:ascii="Arial" w:cs="Arial" w:eastAsia="Arial" w:hAnsi="Arial"/>
                <w:sz w:val="18"/>
                <w:szCs w:val="18"/>
                <w:color w:val="auto"/>
                <w:w w:val="95"/>
              </w:rPr>
              <w:t>Agreement and Plan of Merger, dated as of November 11, 2014, by and among Matson Navigation</w:t>
            </w:r>
          </w:p>
        </w:tc>
      </w:tr>
      <w:tr>
        <w:trPr>
          <w:trHeight w:val="216"/>
        </w:trPr>
        <w:tc>
          <w:tcPr>
            <w:tcW w:w="880" w:type="dxa"/>
            <w:vAlign w:val="bottom"/>
          </w:tcPr>
          <w:p>
            <w:pPr>
              <w:spacing w:after="0"/>
              <w:rPr>
                <w:sz w:val="18"/>
                <w:szCs w:val="18"/>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w w:val="95"/>
              </w:rPr>
              <w:t>Company, Inc., Hogan Acquisition Inc. and Horizon Lines, Inc. (incorporated by reference to Exhibit</w:t>
            </w:r>
          </w:p>
        </w:tc>
      </w:tr>
      <w:tr>
        <w:trPr>
          <w:trHeight w:val="230"/>
        </w:trPr>
        <w:tc>
          <w:tcPr>
            <w:tcW w:w="880" w:type="dxa"/>
            <w:vAlign w:val="bottom"/>
          </w:tcPr>
          <w:p>
            <w:pPr>
              <w:spacing w:after="0"/>
              <w:rPr>
                <w:sz w:val="20"/>
                <w:szCs w:val="20"/>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2.1 of Matson’s Form 8-K dated November 11, 2014).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8180" w:type="dxa"/>
            <w:vAlign w:val="bottom"/>
          </w:tcPr>
          <w:p>
            <w:pPr>
              <w:ind w:left="640"/>
              <w:spacing w:after="0"/>
              <w:rPr>
                <w:sz w:val="20"/>
                <w:szCs w:val="20"/>
                <w:color w:val="auto"/>
              </w:rPr>
            </w:pPr>
            <w:r>
              <w:rPr>
                <w:rFonts w:ascii="Arial" w:cs="Arial" w:eastAsia="Arial" w:hAnsi="Arial"/>
                <w:sz w:val="18"/>
                <w:szCs w:val="18"/>
                <w:color w:val="auto"/>
                <w:w w:val="95"/>
              </w:rPr>
              <w:t>Amendment No. 1 to Agreement and Plan of Merger, dated as of February 13, 2015, by and among</w:t>
            </w:r>
          </w:p>
        </w:tc>
      </w:tr>
      <w:tr>
        <w:trPr>
          <w:trHeight w:val="216"/>
        </w:trPr>
        <w:tc>
          <w:tcPr>
            <w:tcW w:w="880" w:type="dxa"/>
            <w:vAlign w:val="bottom"/>
          </w:tcPr>
          <w:p>
            <w:pPr>
              <w:spacing w:after="0"/>
              <w:rPr>
                <w:sz w:val="18"/>
                <w:szCs w:val="18"/>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w w:val="95"/>
              </w:rPr>
              <w:t>Matson Navigation Company, Inc., Hogan Acquisition Inc. and Horizon Lines, Inc. (incorporated by</w:t>
            </w:r>
          </w:p>
        </w:tc>
      </w:tr>
      <w:tr>
        <w:trPr>
          <w:trHeight w:val="230"/>
        </w:trPr>
        <w:tc>
          <w:tcPr>
            <w:tcW w:w="880" w:type="dxa"/>
            <w:vAlign w:val="bottom"/>
          </w:tcPr>
          <w:p>
            <w:pPr>
              <w:spacing w:after="0"/>
              <w:rPr>
                <w:sz w:val="20"/>
                <w:szCs w:val="20"/>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reference to Exhibit 2.1 of Matson’s Form 8-K dated February 17,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8180" w:type="dxa"/>
            <w:vAlign w:val="bottom"/>
          </w:tcPr>
          <w:p>
            <w:pPr>
              <w:ind w:left="640"/>
              <w:spacing w:after="0"/>
              <w:rPr>
                <w:sz w:val="20"/>
                <w:szCs w:val="20"/>
                <w:color w:val="auto"/>
              </w:rPr>
            </w:pPr>
            <w:r>
              <w:rPr>
                <w:rFonts w:ascii="Arial" w:cs="Arial" w:eastAsia="Arial" w:hAnsi="Arial"/>
                <w:sz w:val="18"/>
                <w:szCs w:val="18"/>
                <w:color w:val="auto"/>
                <w:w w:val="90"/>
              </w:rPr>
              <w:t>Contribution, Assumption and Purchase Agreement, dated as of November 11, 2014, by and among The</w:t>
            </w:r>
          </w:p>
        </w:tc>
      </w:tr>
      <w:tr>
        <w:trPr>
          <w:trHeight w:val="216"/>
        </w:trPr>
        <w:tc>
          <w:tcPr>
            <w:tcW w:w="880" w:type="dxa"/>
            <w:vAlign w:val="bottom"/>
          </w:tcPr>
          <w:p>
            <w:pPr>
              <w:spacing w:after="0"/>
              <w:rPr>
                <w:sz w:val="18"/>
                <w:szCs w:val="18"/>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w w:val="97"/>
              </w:rPr>
              <w:t>Pasha Group, SR Holding LLC, Horizon Lines, Inc. and Sunrise Operations LLC (incorporated by</w:t>
            </w:r>
          </w:p>
        </w:tc>
      </w:tr>
      <w:tr>
        <w:trPr>
          <w:trHeight w:val="230"/>
        </w:trPr>
        <w:tc>
          <w:tcPr>
            <w:tcW w:w="880" w:type="dxa"/>
            <w:vAlign w:val="bottom"/>
          </w:tcPr>
          <w:p>
            <w:pPr>
              <w:spacing w:after="0"/>
              <w:rPr>
                <w:sz w:val="20"/>
                <w:szCs w:val="20"/>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reference to Exhibit 2.2 of Horizon Lines, Inc.’s Form 8-K dated November 11, 2014).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8180" w:type="dxa"/>
            <w:vAlign w:val="bottom"/>
          </w:tcPr>
          <w:p>
            <w:pPr>
              <w:ind w:left="640"/>
              <w:spacing w:after="0"/>
              <w:rPr>
                <w:sz w:val="20"/>
                <w:szCs w:val="20"/>
                <w:color w:val="auto"/>
              </w:rPr>
            </w:pPr>
            <w:r>
              <w:rPr>
                <w:rFonts w:ascii="Arial" w:cs="Arial" w:eastAsia="Arial" w:hAnsi="Arial"/>
                <w:sz w:val="18"/>
                <w:szCs w:val="18"/>
                <w:color w:val="auto"/>
                <w:w w:val="90"/>
              </w:rPr>
              <w:t>Amendment No. 1 to the Contribution, Assumption and Purchase Agreement, dated as of May 29, 2015,</w:t>
            </w:r>
          </w:p>
        </w:tc>
      </w:tr>
      <w:tr>
        <w:trPr>
          <w:trHeight w:val="216"/>
        </w:trPr>
        <w:tc>
          <w:tcPr>
            <w:tcW w:w="880" w:type="dxa"/>
            <w:vAlign w:val="bottom"/>
          </w:tcPr>
          <w:p>
            <w:pPr>
              <w:spacing w:after="0"/>
              <w:rPr>
                <w:sz w:val="18"/>
                <w:szCs w:val="18"/>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w w:val="95"/>
              </w:rPr>
              <w:t>by and among The Pasha Group, SR Holding LLC, Horizon Lines, Inc. and Sunrise Operations LLC</w:t>
            </w:r>
          </w:p>
        </w:tc>
      </w:tr>
      <w:tr>
        <w:trPr>
          <w:trHeight w:val="230"/>
        </w:trPr>
        <w:tc>
          <w:tcPr>
            <w:tcW w:w="880" w:type="dxa"/>
            <w:vAlign w:val="bottom"/>
          </w:tcPr>
          <w:p>
            <w:pPr>
              <w:spacing w:after="0"/>
              <w:rPr>
                <w:sz w:val="20"/>
                <w:szCs w:val="20"/>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w w:val="92"/>
              </w:rPr>
              <w:t>(incorporated by reference to Exhibit 2.2 of Matson’s Form 10-Q for the quarter ended June 30, 2015).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2.5</w:t>
            </w:r>
          </w:p>
        </w:tc>
        <w:tc>
          <w:tcPr>
            <w:tcW w:w="8180" w:type="dxa"/>
            <w:vAlign w:val="bottom"/>
          </w:tcPr>
          <w:p>
            <w:pPr>
              <w:ind w:left="640"/>
              <w:spacing w:after="0"/>
              <w:rPr>
                <w:sz w:val="20"/>
                <w:szCs w:val="20"/>
                <w:color w:val="auto"/>
              </w:rPr>
            </w:pPr>
            <w:r>
              <w:rPr>
                <w:rFonts w:ascii="Arial" w:cs="Arial" w:eastAsia="Arial" w:hAnsi="Arial"/>
                <w:sz w:val="18"/>
                <w:szCs w:val="18"/>
                <w:color w:val="auto"/>
                <w:w w:val="90"/>
              </w:rPr>
              <w:t>Membership Interest Purchase Agreement, dated as of July 18, 2016, by and between Matson Logistics,</w:t>
            </w:r>
          </w:p>
        </w:tc>
      </w:tr>
      <w:tr>
        <w:trPr>
          <w:trHeight w:val="216"/>
        </w:trPr>
        <w:tc>
          <w:tcPr>
            <w:tcW w:w="880" w:type="dxa"/>
            <w:vAlign w:val="bottom"/>
          </w:tcPr>
          <w:p>
            <w:pPr>
              <w:spacing w:after="0"/>
              <w:rPr>
                <w:sz w:val="18"/>
                <w:szCs w:val="18"/>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w w:val="96"/>
              </w:rPr>
              <w:t>Inc. and Span Holdings, LLC (incorporated by reference to Exhibit 2.1 of Matson’s Form 8-K dated</w:t>
            </w:r>
          </w:p>
        </w:tc>
      </w:tr>
      <w:tr>
        <w:trPr>
          <w:trHeight w:val="230"/>
        </w:trPr>
        <w:tc>
          <w:tcPr>
            <w:tcW w:w="880" w:type="dxa"/>
            <w:vAlign w:val="bottom"/>
          </w:tcPr>
          <w:p>
            <w:pPr>
              <w:spacing w:after="0"/>
              <w:rPr>
                <w:sz w:val="20"/>
                <w:szCs w:val="20"/>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July 18, 2016).</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w:t>
            </w:r>
          </w:p>
        </w:tc>
        <w:tc>
          <w:tcPr>
            <w:tcW w:w="8180" w:type="dxa"/>
            <w:vAlign w:val="bottom"/>
          </w:tcPr>
          <w:p>
            <w:pPr>
              <w:ind w:left="640"/>
              <w:spacing w:after="0"/>
              <w:rPr>
                <w:sz w:val="20"/>
                <w:szCs w:val="20"/>
                <w:color w:val="auto"/>
              </w:rPr>
            </w:pPr>
            <w:r>
              <w:rPr>
                <w:rFonts w:ascii="Arial" w:cs="Arial" w:eastAsia="Arial" w:hAnsi="Arial"/>
                <w:sz w:val="18"/>
                <w:szCs w:val="18"/>
                <w:color w:val="auto"/>
              </w:rPr>
              <w:t>Articles of incorporation and bylaws.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8180" w:type="dxa"/>
            <w:vAlign w:val="bottom"/>
          </w:tcPr>
          <w:p>
            <w:pPr>
              <w:ind w:left="640"/>
              <w:spacing w:after="0"/>
              <w:rPr>
                <w:sz w:val="20"/>
                <w:szCs w:val="20"/>
                <w:color w:val="auto"/>
              </w:rPr>
            </w:pPr>
            <w:r>
              <w:rPr>
                <w:rFonts w:ascii="Arial" w:cs="Arial" w:eastAsia="Arial" w:hAnsi="Arial"/>
                <w:sz w:val="18"/>
                <w:szCs w:val="18"/>
                <w:color w:val="auto"/>
                <w:w w:val="93"/>
              </w:rPr>
              <w:t>Amended and Restated Articles of Incorporation of Matson, Inc. (incorporated by reference to Exhibit</w:t>
            </w:r>
          </w:p>
        </w:tc>
      </w:tr>
      <w:tr>
        <w:trPr>
          <w:trHeight w:val="230"/>
        </w:trPr>
        <w:tc>
          <w:tcPr>
            <w:tcW w:w="880" w:type="dxa"/>
            <w:vAlign w:val="bottom"/>
          </w:tcPr>
          <w:p>
            <w:pPr>
              <w:spacing w:after="0"/>
              <w:rPr>
                <w:sz w:val="20"/>
                <w:szCs w:val="20"/>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3.1 of Matson’s Form 10-Q for the quarter ended June 30,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8180" w:type="dxa"/>
            <w:vAlign w:val="bottom"/>
          </w:tcPr>
          <w:p>
            <w:pPr>
              <w:ind w:left="640"/>
              <w:spacing w:after="0"/>
              <w:rPr>
                <w:sz w:val="20"/>
                <w:szCs w:val="20"/>
                <w:color w:val="auto"/>
              </w:rPr>
            </w:pPr>
            <w:r>
              <w:rPr>
                <w:rFonts w:ascii="Arial" w:cs="Arial" w:eastAsia="Arial" w:hAnsi="Arial"/>
                <w:sz w:val="18"/>
                <w:szCs w:val="18"/>
                <w:color w:val="auto"/>
                <w:w w:val="99"/>
              </w:rPr>
              <w:t>Articles of Amendment to Change Corporate Name (incorporated by reference to Exhibit 4.2 of</w:t>
            </w:r>
          </w:p>
        </w:tc>
      </w:tr>
      <w:tr>
        <w:trPr>
          <w:trHeight w:val="230"/>
        </w:trPr>
        <w:tc>
          <w:tcPr>
            <w:tcW w:w="880" w:type="dxa"/>
            <w:vAlign w:val="bottom"/>
          </w:tcPr>
          <w:p>
            <w:pPr>
              <w:spacing w:after="0"/>
              <w:rPr>
                <w:sz w:val="20"/>
                <w:szCs w:val="20"/>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Matson’s Form S-8 dated October 26,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3.3</w:t>
            </w:r>
          </w:p>
        </w:tc>
        <w:tc>
          <w:tcPr>
            <w:tcW w:w="8180" w:type="dxa"/>
            <w:vAlign w:val="bottom"/>
          </w:tcPr>
          <w:p>
            <w:pPr>
              <w:ind w:left="640"/>
              <w:spacing w:after="0"/>
              <w:rPr>
                <w:sz w:val="20"/>
                <w:szCs w:val="20"/>
                <w:color w:val="auto"/>
              </w:rPr>
            </w:pPr>
            <w:r>
              <w:rPr>
                <w:rFonts w:ascii="Arial" w:cs="Arial" w:eastAsia="Arial" w:hAnsi="Arial"/>
                <w:sz w:val="18"/>
                <w:szCs w:val="18"/>
                <w:color w:val="auto"/>
                <w:w w:val="91"/>
              </w:rPr>
              <w:t>Amended and Restated Bylaws of Matson, Inc. (as amended as of November 6, 2013) (incorporated by</w:t>
            </w:r>
          </w:p>
        </w:tc>
      </w:tr>
      <w:tr>
        <w:trPr>
          <w:trHeight w:val="230"/>
        </w:trPr>
        <w:tc>
          <w:tcPr>
            <w:tcW w:w="880" w:type="dxa"/>
            <w:vAlign w:val="bottom"/>
          </w:tcPr>
          <w:p>
            <w:pPr>
              <w:spacing w:after="0"/>
              <w:rPr>
                <w:sz w:val="20"/>
                <w:szCs w:val="20"/>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reference to Exhibit 3.1 of Matson’s Form 10-Q for the quarter ended September 30, 2013).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w:t>
            </w:r>
          </w:p>
        </w:tc>
        <w:tc>
          <w:tcPr>
            <w:tcW w:w="8180" w:type="dxa"/>
            <w:vAlign w:val="bottom"/>
          </w:tcPr>
          <w:p>
            <w:pPr>
              <w:ind w:left="640"/>
              <w:spacing w:after="0"/>
              <w:rPr>
                <w:sz w:val="20"/>
                <w:szCs w:val="20"/>
                <w:color w:val="auto"/>
              </w:rPr>
            </w:pPr>
            <w:r>
              <w:rPr>
                <w:rFonts w:ascii="Arial" w:cs="Arial" w:eastAsia="Arial" w:hAnsi="Arial"/>
                <w:sz w:val="18"/>
                <w:szCs w:val="18"/>
                <w:color w:val="auto"/>
              </w:rPr>
              <w:t>Material contracts.</w:t>
            </w:r>
          </w:p>
        </w:tc>
      </w:tr>
      <w:tr>
        <w:trPr>
          <w:trHeight w:val="648"/>
        </w:trPr>
        <w:tc>
          <w:tcPr>
            <w:tcW w:w="880" w:type="dxa"/>
            <w:vAlign w:val="bottom"/>
          </w:tcPr>
          <w:p>
            <w:pPr>
              <w:spacing w:after="0"/>
              <w:rPr>
                <w:sz w:val="24"/>
                <w:szCs w:val="24"/>
                <w:color w:val="auto"/>
              </w:rPr>
            </w:pPr>
          </w:p>
        </w:tc>
        <w:tc>
          <w:tcPr>
            <w:tcW w:w="8180" w:type="dxa"/>
            <w:vAlign w:val="bottom"/>
          </w:tcPr>
          <w:p>
            <w:pPr>
              <w:ind w:left="3560"/>
              <w:spacing w:after="0"/>
              <w:rPr>
                <w:sz w:val="20"/>
                <w:szCs w:val="20"/>
                <w:color w:val="auto"/>
              </w:rPr>
            </w:pPr>
            <w:r>
              <w:rPr>
                <w:rFonts w:ascii="Arial" w:cs="Arial" w:eastAsia="Arial" w:hAnsi="Arial"/>
                <w:sz w:val="18"/>
                <w:szCs w:val="18"/>
                <w:color w:val="auto"/>
              </w:rPr>
              <w:t>79</w:t>
            </w:r>
          </w:p>
        </w:tc>
      </w:tr>
      <w:tr>
        <w:trPr>
          <w:trHeight w:val="129"/>
        </w:trPr>
        <w:tc>
          <w:tcPr>
            <w:tcW w:w="880" w:type="dxa"/>
            <w:vAlign w:val="bottom"/>
            <w:tcBorders>
              <w:bottom w:val="single" w:sz="8" w:color="auto"/>
            </w:tcBorders>
          </w:tcPr>
          <w:p>
            <w:pPr>
              <w:spacing w:after="0"/>
              <w:rPr>
                <w:sz w:val="11"/>
                <w:szCs w:val="11"/>
                <w:color w:val="auto"/>
              </w:rPr>
            </w:pPr>
          </w:p>
        </w:tc>
        <w:tc>
          <w:tcPr>
            <w:tcW w:w="8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7760" w:type="dxa"/>
            <w:vAlign w:val="bottom"/>
          </w:tcPr>
          <w:p>
            <w:pPr>
              <w:spacing w:after="0"/>
              <w:rPr>
                <w:sz w:val="17"/>
                <w:szCs w:val="17"/>
                <w:color w:val="auto"/>
              </w:rPr>
            </w:pPr>
          </w:p>
        </w:tc>
      </w:tr>
      <w:tr>
        <w:trPr>
          <w:trHeight w:val="979"/>
        </w:trPr>
        <w:tc>
          <w:tcPr>
            <w:tcW w:w="1280" w:type="dxa"/>
            <w:vAlign w:val="bottom"/>
          </w:tcPr>
          <w:p>
            <w:pPr>
              <w:spacing w:after="0"/>
              <w:rPr>
                <w:sz w:val="20"/>
                <w:szCs w:val="20"/>
                <w:color w:val="auto"/>
              </w:rPr>
            </w:pPr>
            <w:r>
              <w:rPr>
                <w:rFonts w:ascii="Arial" w:cs="Arial" w:eastAsia="Arial" w:hAnsi="Arial"/>
                <w:sz w:val="18"/>
                <w:szCs w:val="18"/>
                <w:color w:val="auto"/>
              </w:rPr>
              <w:t>10.1</w:t>
            </w:r>
          </w:p>
        </w:tc>
        <w:tc>
          <w:tcPr>
            <w:tcW w:w="7760" w:type="dxa"/>
            <w:vAlign w:val="bottom"/>
          </w:tcPr>
          <w:p>
            <w:pPr>
              <w:ind w:left="240"/>
              <w:spacing w:after="0"/>
              <w:rPr>
                <w:sz w:val="20"/>
                <w:szCs w:val="20"/>
                <w:color w:val="auto"/>
              </w:rPr>
            </w:pPr>
            <w:r>
              <w:rPr>
                <w:rFonts w:ascii="Arial" w:cs="Arial" w:eastAsia="Arial" w:hAnsi="Arial"/>
                <w:sz w:val="18"/>
                <w:szCs w:val="18"/>
                <w:color w:val="auto"/>
                <w:w w:val="91"/>
              </w:rPr>
              <w:t>Second Amended and Restated Note Agreement among Matson Navigation Company, Inc., Prudential</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9"/>
              </w:rPr>
              <w:t>Investment Management, Inc. and the other purchasers party thereto, dated as of June 4, 2012</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7"/>
              </w:rPr>
              <w:t>(incorporated by reference to Exhibit 10.4 of Alexander &amp; Baldwin, Inc.’s Form 8-K dated June 7,</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w:t>
            </w:r>
          </w:p>
        </w:tc>
        <w:tc>
          <w:tcPr>
            <w:tcW w:w="7760" w:type="dxa"/>
            <w:vAlign w:val="bottom"/>
          </w:tcPr>
          <w:p>
            <w:pPr>
              <w:ind w:left="240"/>
              <w:spacing w:after="0"/>
              <w:rPr>
                <w:sz w:val="20"/>
                <w:szCs w:val="20"/>
                <w:color w:val="auto"/>
              </w:rPr>
            </w:pPr>
            <w:r>
              <w:rPr>
                <w:rFonts w:ascii="Arial" w:cs="Arial" w:eastAsia="Arial" w:hAnsi="Arial"/>
                <w:sz w:val="18"/>
                <w:szCs w:val="18"/>
                <w:color w:val="auto"/>
                <w:w w:val="90"/>
              </w:rPr>
              <w:t>Limited Consent — Amended and Restated Note Agreement between Matson Navigation Company and</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0"/>
              </w:rPr>
              <w:t>The Prudential Insurance Company of America and Pruco Life Insurance Company, dated as of June 4,</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2"/>
              </w:rPr>
              <w:t>2012 (incorporated by reference to Exhibit 10.5 of Alexander &amp; Baldwin, Inc.’s Form 8-K dated June 4,</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w:t>
            </w:r>
          </w:p>
        </w:tc>
        <w:tc>
          <w:tcPr>
            <w:tcW w:w="7760" w:type="dxa"/>
            <w:vAlign w:val="bottom"/>
          </w:tcPr>
          <w:p>
            <w:pPr>
              <w:ind w:left="240"/>
              <w:spacing w:after="0"/>
              <w:rPr>
                <w:sz w:val="20"/>
                <w:szCs w:val="20"/>
                <w:color w:val="auto"/>
              </w:rPr>
            </w:pPr>
            <w:r>
              <w:rPr>
                <w:rFonts w:ascii="Arial" w:cs="Arial" w:eastAsia="Arial" w:hAnsi="Arial"/>
                <w:sz w:val="18"/>
                <w:szCs w:val="18"/>
                <w:color w:val="auto"/>
                <w:w w:val="97"/>
              </w:rPr>
              <w:t>Amendment to the Second Amended and Restated Note Agreement among Matson, Inc. and the</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8"/>
              </w:rPr>
              <w:t>purchasers party thereto, dated as of July 30, 2015 (incorporated by reference to Exhibit 10.2 of</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Matson’s Form 8-K dated August 3,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w:t>
            </w:r>
          </w:p>
        </w:tc>
        <w:tc>
          <w:tcPr>
            <w:tcW w:w="7760" w:type="dxa"/>
            <w:vAlign w:val="bottom"/>
          </w:tcPr>
          <w:p>
            <w:pPr>
              <w:ind w:left="240"/>
              <w:spacing w:after="0"/>
              <w:rPr>
                <w:sz w:val="20"/>
                <w:szCs w:val="20"/>
                <w:color w:val="auto"/>
              </w:rPr>
            </w:pPr>
            <w:r>
              <w:rPr>
                <w:rFonts w:ascii="Arial" w:cs="Arial" w:eastAsia="Arial" w:hAnsi="Arial"/>
                <w:sz w:val="18"/>
                <w:szCs w:val="18"/>
                <w:color w:val="auto"/>
                <w:w w:val="92"/>
              </w:rPr>
              <w:t>Note Purchase Agreement among Matson, Inc. and the purchasers party thereto, dated as of July 30,</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2015 (incorporated by reference to Exhibit 10.1 of Matson’s Form 8-K dated August 3,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w:t>
            </w:r>
          </w:p>
        </w:tc>
        <w:tc>
          <w:tcPr>
            <w:tcW w:w="7760" w:type="dxa"/>
            <w:vAlign w:val="bottom"/>
          </w:tcPr>
          <w:p>
            <w:pPr>
              <w:ind w:left="240"/>
              <w:spacing w:after="0"/>
              <w:rPr>
                <w:sz w:val="20"/>
                <w:szCs w:val="20"/>
                <w:color w:val="auto"/>
              </w:rPr>
            </w:pPr>
            <w:r>
              <w:rPr>
                <w:rFonts w:ascii="Arial" w:cs="Arial" w:eastAsia="Arial" w:hAnsi="Arial"/>
                <w:sz w:val="18"/>
                <w:szCs w:val="18"/>
                <w:color w:val="auto"/>
                <w:w w:val="92"/>
              </w:rPr>
              <w:t>First Amendment to Note Purchase Agreement amount Matson, Inc. and the purchasers party thereto,</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5"/>
              </w:rPr>
              <w:t>dated as of October 1, 2015 (incorporated by reference to Exhibit 10-1 of Matson’s Form 8-K dated</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October 2,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w:t>
            </w:r>
          </w:p>
        </w:tc>
        <w:tc>
          <w:tcPr>
            <w:tcW w:w="7760" w:type="dxa"/>
            <w:vAlign w:val="bottom"/>
          </w:tcPr>
          <w:p>
            <w:pPr>
              <w:ind w:left="240"/>
              <w:spacing w:after="0"/>
              <w:rPr>
                <w:sz w:val="20"/>
                <w:szCs w:val="20"/>
                <w:color w:val="auto"/>
              </w:rPr>
            </w:pPr>
            <w:r>
              <w:rPr>
                <w:rFonts w:ascii="Arial" w:cs="Arial" w:eastAsia="Arial" w:hAnsi="Arial"/>
                <w:sz w:val="18"/>
                <w:szCs w:val="18"/>
                <w:color w:val="auto"/>
                <w:w w:val="93"/>
              </w:rPr>
              <w:t>Credit Agreement between Matson Navigation Company, Inc., First Hawaiian Bank, Bank of America,</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1"/>
              </w:rPr>
              <w:t>N.A. and the other lenders party thereto, dated as of June 4, 2012 (incorporated by reference to Exhibit</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10.6 of Alexander &amp; Baldwin, Inc.’s Form 8-K dated June 4,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10.7</w:t>
            </w:r>
          </w:p>
        </w:tc>
        <w:tc>
          <w:tcPr>
            <w:tcW w:w="7760" w:type="dxa"/>
            <w:vAlign w:val="bottom"/>
          </w:tcPr>
          <w:p>
            <w:pPr>
              <w:ind w:left="240"/>
              <w:spacing w:after="0"/>
              <w:rPr>
                <w:sz w:val="20"/>
                <w:szCs w:val="20"/>
                <w:color w:val="auto"/>
              </w:rPr>
            </w:pPr>
            <w:r>
              <w:rPr>
                <w:rFonts w:ascii="Arial" w:cs="Arial" w:eastAsia="Arial" w:hAnsi="Arial"/>
                <w:sz w:val="18"/>
                <w:szCs w:val="18"/>
                <w:color w:val="auto"/>
                <w:w w:val="96"/>
              </w:rPr>
              <w:t>First Amendment to Credit Agreement among Matson, Inc., the lenders party thereto, and Bank of</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9"/>
              </w:rPr>
              <w:t>America, N.A., as agent, dated as of July 30, 2015 (incorporated by reference to Exhibit 10.4 of</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Matson’s Form 8-K dated August 3,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10.8</w:t>
            </w:r>
          </w:p>
        </w:tc>
        <w:tc>
          <w:tcPr>
            <w:tcW w:w="7760" w:type="dxa"/>
            <w:vAlign w:val="bottom"/>
          </w:tcPr>
          <w:p>
            <w:pPr>
              <w:ind w:left="240"/>
              <w:spacing w:after="0"/>
              <w:rPr>
                <w:sz w:val="20"/>
                <w:szCs w:val="20"/>
                <w:color w:val="auto"/>
              </w:rPr>
            </w:pPr>
            <w:r>
              <w:rPr>
                <w:rFonts w:ascii="Arial" w:cs="Arial" w:eastAsia="Arial" w:hAnsi="Arial"/>
                <w:sz w:val="18"/>
                <w:szCs w:val="18"/>
                <w:color w:val="auto"/>
                <w:w w:val="93"/>
              </w:rPr>
              <w:t>Amended and Restated Limited Liability Company Agreement of SSA Terminal LLC by and between</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7"/>
              </w:rPr>
              <w:t>SSA Ventures, Inc. and Matson Ventures, Inc., dated as of April 24, 2002 (certain portions of this</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3"/>
              </w:rPr>
              <w:t>exhibit have been omitted pursuant to a confidential treatment request submitted to the Commission)</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1"/>
              </w:rPr>
              <w:t>(incorporated by reference to Exhibit 10.1 of Matson’s Form 10-Q for the quarter ended June 30,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10.9</w:t>
            </w:r>
          </w:p>
        </w:tc>
        <w:tc>
          <w:tcPr>
            <w:tcW w:w="7760" w:type="dxa"/>
            <w:vAlign w:val="bottom"/>
          </w:tcPr>
          <w:p>
            <w:pPr>
              <w:ind w:left="240"/>
              <w:spacing w:after="0"/>
              <w:rPr>
                <w:sz w:val="20"/>
                <w:szCs w:val="20"/>
                <w:color w:val="auto"/>
              </w:rPr>
            </w:pPr>
            <w:r>
              <w:rPr>
                <w:rFonts w:ascii="Arial" w:cs="Arial" w:eastAsia="Arial" w:hAnsi="Arial"/>
                <w:sz w:val="18"/>
                <w:szCs w:val="18"/>
                <w:color w:val="auto"/>
                <w:w w:val="94"/>
              </w:rPr>
              <w:t>Parent Company Agreement, dated as of April 24, 2002, by and among SSA Pacific Terminals, Inc.,</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7"/>
              </w:rPr>
              <w:t>formerly known as Stevedoring Services of America, Inc., SSA Ventures, Inc., Matson Navigation</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2"/>
              </w:rPr>
              <w:t>Company, Inc. and Matson Ventures, Inc. (incorporated by reference to Exhibit 10.2 of Matson’s Form</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10-Q for the quarter ended June 30,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10.10</w:t>
            </w:r>
          </w:p>
        </w:tc>
        <w:tc>
          <w:tcPr>
            <w:tcW w:w="7760" w:type="dxa"/>
            <w:vAlign w:val="bottom"/>
          </w:tcPr>
          <w:p>
            <w:pPr>
              <w:ind w:left="240"/>
              <w:spacing w:after="0"/>
              <w:rPr>
                <w:sz w:val="20"/>
                <w:szCs w:val="20"/>
                <w:color w:val="auto"/>
              </w:rPr>
            </w:pPr>
            <w:r>
              <w:rPr>
                <w:rFonts w:ascii="Arial" w:cs="Arial" w:eastAsia="Arial" w:hAnsi="Arial"/>
                <w:sz w:val="18"/>
                <w:szCs w:val="18"/>
                <w:color w:val="auto"/>
                <w:w w:val="95"/>
              </w:rPr>
              <w:t>Borrower Assignment, Assumption, and Release among Bank of America, N.A., Matson Navigation</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0"/>
              </w:rPr>
              <w:t>Company, Inc. and Matson, Inc., dated as of June 28, 2012 (incorporated by reference to Exhibit 10.3 of</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Matson’s Form 10-Q for the quarter ended June 30,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10.11</w:t>
            </w:r>
          </w:p>
        </w:tc>
        <w:tc>
          <w:tcPr>
            <w:tcW w:w="7760" w:type="dxa"/>
            <w:vAlign w:val="bottom"/>
          </w:tcPr>
          <w:p>
            <w:pPr>
              <w:ind w:left="240"/>
              <w:spacing w:after="0"/>
              <w:rPr>
                <w:sz w:val="20"/>
                <w:szCs w:val="20"/>
                <w:color w:val="auto"/>
              </w:rPr>
            </w:pPr>
            <w:r>
              <w:rPr>
                <w:rFonts w:ascii="Arial" w:cs="Arial" w:eastAsia="Arial" w:hAnsi="Arial"/>
                <w:sz w:val="18"/>
                <w:szCs w:val="18"/>
                <w:color w:val="auto"/>
                <w:w w:val="90"/>
              </w:rPr>
              <w:t>Company Assignment, Assumption and Release Agreement among The Prudential Insurance Company</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5"/>
              </w:rPr>
              <w:t>of America, Pruco Life Insurance Company, The Prudential Life Insurance Company, Ltd., Gibraltar</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8"/>
              </w:rPr>
              <w:t>Life Insurance Co. Ltd., Prudential Annuities Life Assurance Corporation and Prudential Arizona</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3"/>
              </w:rPr>
              <w:t>Reinsurance Universal Company, Matson Navigation Company, Inc. and Matson, Inc. dated June 29,</w:t>
            </w:r>
          </w:p>
        </w:tc>
      </w:tr>
      <w:tr>
        <w:trPr>
          <w:trHeight w:val="216"/>
        </w:trPr>
        <w:tc>
          <w:tcPr>
            <w:tcW w:w="1280" w:type="dxa"/>
            <w:vAlign w:val="bottom"/>
          </w:tcPr>
          <w:p>
            <w:pPr>
              <w:spacing w:after="0"/>
              <w:rPr>
                <w:sz w:val="18"/>
                <w:szCs w:val="18"/>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2"/>
              </w:rPr>
              <w:t>2012 (incorporated by reference to Exhibit 10.4 of Matson’s Form 10-Q for the quarter ended June 30,</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rPr>
              <w:t>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10.12</w:t>
            </w:r>
          </w:p>
        </w:tc>
        <w:tc>
          <w:tcPr>
            <w:tcW w:w="7760" w:type="dxa"/>
            <w:vAlign w:val="bottom"/>
          </w:tcPr>
          <w:p>
            <w:pPr>
              <w:ind w:left="240"/>
              <w:spacing w:after="0"/>
              <w:rPr>
                <w:sz w:val="20"/>
                <w:szCs w:val="20"/>
                <w:color w:val="auto"/>
              </w:rPr>
            </w:pPr>
            <w:r>
              <w:rPr>
                <w:rFonts w:ascii="Arial" w:cs="Arial" w:eastAsia="Arial" w:hAnsi="Arial"/>
                <w:sz w:val="18"/>
                <w:szCs w:val="18"/>
                <w:color w:val="auto"/>
                <w:w w:val="91"/>
              </w:rPr>
              <w:t>Security Agreement between Matson Navigation Company, Inc. and the United States of America, with</w:t>
            </w:r>
          </w:p>
        </w:tc>
      </w:tr>
      <w:tr>
        <w:trPr>
          <w:trHeight w:val="230"/>
        </w:trPr>
        <w:tc>
          <w:tcPr>
            <w:tcW w:w="1280" w:type="dxa"/>
            <w:vAlign w:val="bottom"/>
          </w:tcPr>
          <w:p>
            <w:pPr>
              <w:spacing w:after="0"/>
              <w:rPr>
                <w:sz w:val="20"/>
                <w:szCs w:val="20"/>
                <w:color w:val="auto"/>
              </w:rPr>
            </w:pPr>
          </w:p>
        </w:tc>
        <w:tc>
          <w:tcPr>
            <w:tcW w:w="7760" w:type="dxa"/>
            <w:vAlign w:val="bottom"/>
          </w:tcPr>
          <w:p>
            <w:pPr>
              <w:ind w:left="240"/>
              <w:spacing w:after="0"/>
              <w:rPr>
                <w:sz w:val="20"/>
                <w:szCs w:val="20"/>
                <w:color w:val="auto"/>
              </w:rPr>
            </w:pPr>
            <w:r>
              <w:rPr>
                <w:rFonts w:ascii="Arial" w:cs="Arial" w:eastAsia="Arial" w:hAnsi="Arial"/>
                <w:sz w:val="18"/>
                <w:szCs w:val="18"/>
                <w:color w:val="auto"/>
                <w:w w:val="93"/>
              </w:rPr>
              <w:t>respect to $55 million of Title XI ship financing bonds, dated July 29, 2004 (incorporated by reference</w:t>
            </w:r>
          </w:p>
        </w:tc>
      </w:tr>
    </w:tbl>
    <w:p>
      <w:pPr>
        <w:ind w:left="1520" w:right="160"/>
        <w:spacing w:after="0" w:line="261" w:lineRule="auto"/>
        <w:rPr>
          <w:sz w:val="20"/>
          <w:szCs w:val="20"/>
          <w:color w:val="auto"/>
        </w:rPr>
      </w:pPr>
      <w:r>
        <w:rPr>
          <w:rFonts w:ascii="Arial" w:cs="Arial" w:eastAsia="Arial" w:hAnsi="Arial"/>
          <w:sz w:val="18"/>
          <w:szCs w:val="18"/>
          <w:color w:val="auto"/>
        </w:rPr>
        <w:t>to Exhibit 10.a.(xxvi) of Alexander &amp; Baldwin, Inc.’s Form 10-Q for the quarter ended September 30, 2004).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7780" w:type="dxa"/>
            <w:vAlign w:val="bottom"/>
          </w:tcPr>
          <w:p>
            <w:pPr>
              <w:spacing w:after="0"/>
              <w:rPr>
                <w:sz w:val="17"/>
                <w:szCs w:val="17"/>
                <w:color w:val="auto"/>
              </w:rPr>
            </w:pPr>
          </w:p>
        </w:tc>
      </w:tr>
      <w:tr>
        <w:trPr>
          <w:trHeight w:val="762"/>
        </w:trPr>
        <w:tc>
          <w:tcPr>
            <w:tcW w:w="1280" w:type="dxa"/>
            <w:vAlign w:val="bottom"/>
          </w:tcPr>
          <w:p>
            <w:pPr>
              <w:spacing w:after="0"/>
              <w:rPr>
                <w:sz w:val="20"/>
                <w:szCs w:val="20"/>
                <w:color w:val="auto"/>
              </w:rPr>
            </w:pPr>
            <w:r>
              <w:rPr>
                <w:rFonts w:ascii="Arial" w:cs="Arial" w:eastAsia="Arial" w:hAnsi="Arial"/>
                <w:sz w:val="18"/>
                <w:szCs w:val="18"/>
                <w:color w:val="auto"/>
              </w:rPr>
              <w:t>10.13</w:t>
            </w: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Amendment No. 1 dated September 21, 2007, to Security Agreement between Matson Navigation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Company, Inc. and the United States of America, with respect to $55 million of Title XI ship financing</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5"/>
              </w:rPr>
              <w:t>bonds, dated July 29, 2004 (incorporated by reference to Exhibit 10.a.(xxx) of Alexander &amp; Baldwin,</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Inc.’s Form 10-Q for the quarter ended September 30, 2007).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10.14*</w:t>
            </w: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Matson, Inc. 2007 Incentive Compensation Plan, amended and restated, effective January 29, 2015</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(incorporated by reference to Exhibit 10.13 of Matson’s Form 10-K for the year ended December 31,</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10.15*</w:t>
            </w: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Form of Notice of Performance Share Award Grant (incorporated by reference to Exhibit 10.1 of</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Matson’s Form 8-K dated January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10.16*</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Form of Matson, Inc. Performance Share Award Agreement (incorporated by reference to Exhibit 10.2</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of Matson’s Form 8-K dated January 29,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10.17*</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Form of Notice of Stock Option Grant (incorporated by reference to Exhibit 99.2 to Matson’s Form S-8</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dated October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10.18*</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Form of Stock Option Agreement for Non-Executive Employees (incorporated by reference to Exhibit</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99.3 of Matson’s Form S-8 dated October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10.19*</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Form of Stock Option Agreement for Executive Employees (incorporated by reference to Exhibit 99.4</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of Matson’s Form S-8 dated October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10.20*</w:t>
            </w: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Form of Notice of Time-Based Restricted Stock Unit Grant (incorporated by reference to Exhibit 99.5</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of Matson’s Form S-8 dated October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10.21*</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Form of Time-Based Restricted Stock Unit Agreement for Non-Executive Employees (incorporated by</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reference to Exhibit 99.6 of Matson’s Form S-8 dated October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10.22*</w:t>
            </w:r>
          </w:p>
        </w:tc>
        <w:tc>
          <w:tcPr>
            <w:tcW w:w="7780" w:type="dxa"/>
            <w:vAlign w:val="bottom"/>
          </w:tcPr>
          <w:p>
            <w:pPr>
              <w:ind w:left="240"/>
              <w:spacing w:after="0"/>
              <w:rPr>
                <w:sz w:val="20"/>
                <w:szCs w:val="20"/>
                <w:color w:val="auto"/>
              </w:rPr>
            </w:pPr>
            <w:r>
              <w:rPr>
                <w:rFonts w:ascii="Arial" w:cs="Arial" w:eastAsia="Arial" w:hAnsi="Arial"/>
                <w:sz w:val="18"/>
                <w:szCs w:val="18"/>
                <w:color w:val="auto"/>
                <w:w w:val="97"/>
              </w:rPr>
              <w:t>Form of Time-Based Restricted Stock Unit Agreement for Executive Employees (incorporated by</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reference to Exhibit 99.7 of Matson’s Form S-8 dated October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10.23*.</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Form of Amended and Restated Restricted Stock Unit Award Agreement for Non-Employee Directors</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5"/>
              </w:rPr>
              <w:t>(No Deferral) (incorporated by reference to Exhibit 10.20 of Matson’s Form 10-K for the year ended</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10.24*</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Form of Amended and Restated Restricted Stock Unit Award Agreement for Non-Employee Directors</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7"/>
              </w:rPr>
              <w:t>(Deferral Election) (incorporated by reference to Exhibit 10.21 of Matson’s Form 10-K for the year</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ended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10.25*</w:t>
            </w:r>
          </w:p>
        </w:tc>
        <w:tc>
          <w:tcPr>
            <w:tcW w:w="7780" w:type="dxa"/>
            <w:vAlign w:val="bottom"/>
          </w:tcPr>
          <w:p>
            <w:pPr>
              <w:ind w:left="240"/>
              <w:spacing w:after="0"/>
              <w:rPr>
                <w:sz w:val="20"/>
                <w:szCs w:val="20"/>
                <w:color w:val="auto"/>
              </w:rPr>
            </w:pPr>
            <w:r>
              <w:rPr>
                <w:rFonts w:ascii="Arial" w:cs="Arial" w:eastAsia="Arial" w:hAnsi="Arial"/>
                <w:sz w:val="18"/>
                <w:szCs w:val="18"/>
                <w:color w:val="auto"/>
              </w:rPr>
              <w:t>Form of Anti-Dilution Adjustment Amendment to Restricted Stock Unit Award Agreements</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(incorporated by reference to Exhibit 99.10 of Matson’s Form S-8 dated October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10.26*</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Form of Anti-Dilution Adjustment Amendment to Stock Option Agreements (incorporated by reference</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to Exhibit 99.11 of Matson’s Form S-8 dated October 26,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10.27*</w:t>
            </w: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Matson, Inc. 1998 Stock Option/Stock Incentive Plan (formerly known as the Alexander &amp; Baldwin,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9"/>
              </w:rPr>
              <w:t>Inc. 1998 Stock Option/Stock Incentive Plan) (incorporated by reference to Exhibit 99.1 of Post-</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Effective Amendment No. 2 to Alexander &amp; Baldwin, Inc.’s Form S-8 dated June 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10.28*</w:t>
            </w: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Form of Stock Option Assumption Agreement (incorporated by reference to Exhibit 99.4 of Post-</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Effective Amendment No. 2 to Alexander &amp; Baldwin, Inc.’s Form S-8 dated June 6,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10.29*</w:t>
            </w: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Special Form of Stock Option Assumption Agreement (incorporated by reference to Exhibit 99.6 of</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9"/>
              </w:rPr>
              <w:t>Post-Effective Amendment No. 2 to Alexander &amp; Baldwin, Inc.’s Form S-8 dated June 6, 2012).</w:t>
            </w:r>
          </w:p>
        </w:tc>
      </w:tr>
      <w:tr>
        <w:trPr>
          <w:trHeight w:val="864"/>
        </w:trPr>
        <w:tc>
          <w:tcPr>
            <w:tcW w:w="1280" w:type="dxa"/>
            <w:vAlign w:val="bottom"/>
          </w:tcPr>
          <w:p>
            <w:pPr>
              <w:spacing w:after="0"/>
              <w:rPr>
                <w:sz w:val="24"/>
                <w:szCs w:val="24"/>
                <w:color w:val="auto"/>
              </w:rPr>
            </w:pPr>
          </w:p>
        </w:tc>
        <w:tc>
          <w:tcPr>
            <w:tcW w:w="7780" w:type="dxa"/>
            <w:vAlign w:val="bottom"/>
          </w:tcPr>
          <w:p>
            <w:pPr>
              <w:ind w:left="3160"/>
              <w:spacing w:after="0"/>
              <w:rPr>
                <w:sz w:val="20"/>
                <w:szCs w:val="20"/>
                <w:color w:val="auto"/>
              </w:rPr>
            </w:pPr>
            <w:r>
              <w:rPr>
                <w:rFonts w:ascii="Arial" w:cs="Arial" w:eastAsia="Arial" w:hAnsi="Arial"/>
                <w:sz w:val="18"/>
                <w:szCs w:val="18"/>
                <w:color w:val="auto"/>
              </w:rPr>
              <w:t>81</w:t>
            </w:r>
          </w:p>
        </w:tc>
      </w:tr>
      <w:tr>
        <w:trPr>
          <w:trHeight w:val="129"/>
        </w:trPr>
        <w:tc>
          <w:tcPr>
            <w:tcW w:w="128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7780" w:type="dxa"/>
            <w:vAlign w:val="bottom"/>
          </w:tcPr>
          <w:p>
            <w:pPr>
              <w:spacing w:after="0"/>
              <w:rPr>
                <w:sz w:val="17"/>
                <w:szCs w:val="17"/>
                <w:color w:val="auto"/>
              </w:rPr>
            </w:pPr>
          </w:p>
        </w:tc>
      </w:tr>
      <w:tr>
        <w:trPr>
          <w:trHeight w:val="762"/>
        </w:trPr>
        <w:tc>
          <w:tcPr>
            <w:tcW w:w="1280" w:type="dxa"/>
            <w:vAlign w:val="bottom"/>
          </w:tcPr>
          <w:p>
            <w:pPr>
              <w:spacing w:after="0"/>
              <w:rPr>
                <w:sz w:val="20"/>
                <w:szCs w:val="20"/>
                <w:color w:val="auto"/>
              </w:rPr>
            </w:pPr>
            <w:r>
              <w:rPr>
                <w:rFonts w:ascii="Arial" w:cs="Arial" w:eastAsia="Arial" w:hAnsi="Arial"/>
                <w:sz w:val="18"/>
                <w:szCs w:val="18"/>
                <w:color w:val="auto"/>
              </w:rPr>
              <w:t>10.30*</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Matson, Inc. Deferred Compensation Plan for Outside Directors (incorporated by reference to Exhibit</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10.34 of Matson’s Form 10-K for the year ended December 31,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10.31*</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Matson, Inc. Excess Benefits Plan, amended and restated effective August 27, 2014 (incorporated by</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reference to Exhibit 10.1 of Matson’s Form 8-K dated August 28,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10.32*</w:t>
            </w:r>
          </w:p>
        </w:tc>
        <w:tc>
          <w:tcPr>
            <w:tcW w:w="7780" w:type="dxa"/>
            <w:vAlign w:val="bottom"/>
          </w:tcPr>
          <w:p>
            <w:pPr>
              <w:ind w:left="240"/>
              <w:spacing w:after="0"/>
              <w:rPr>
                <w:sz w:val="20"/>
                <w:szCs w:val="20"/>
                <w:color w:val="auto"/>
              </w:rPr>
            </w:pPr>
            <w:r>
              <w:rPr>
                <w:rFonts w:ascii="Arial" w:cs="Arial" w:eastAsia="Arial" w:hAnsi="Arial"/>
                <w:sz w:val="18"/>
                <w:szCs w:val="18"/>
                <w:color w:val="auto"/>
              </w:rPr>
              <w:t>Matson, Inc. Executive Survivor/Retirement Benefit Plan (formerly known as the Alexander &amp;</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Baldwin, Inc. Executive Survivor/Retirement Benefit Plan), amended and restated effective January 1,</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2005 (incorporated by reference to Exhibit 10.b.1.(l) of Alexander &amp; Baldwin, Inc.’s Form 10-K for the</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10.33*</w:t>
            </w:r>
          </w:p>
        </w:tc>
        <w:tc>
          <w:tcPr>
            <w:tcW w:w="7780" w:type="dxa"/>
            <w:vAlign w:val="bottom"/>
          </w:tcPr>
          <w:p>
            <w:pPr>
              <w:ind w:left="240"/>
              <w:spacing w:after="0"/>
              <w:rPr>
                <w:sz w:val="20"/>
                <w:szCs w:val="20"/>
                <w:color w:val="auto"/>
              </w:rPr>
            </w:pPr>
            <w:r>
              <w:rPr>
                <w:rFonts w:ascii="Arial" w:cs="Arial" w:eastAsia="Arial" w:hAnsi="Arial"/>
                <w:sz w:val="18"/>
                <w:szCs w:val="18"/>
                <w:color w:val="auto"/>
              </w:rPr>
              <w:t>Matson, Inc. Executive Survivor/Retirement Benefit Plan (formerly known as the Alexander &amp;</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Baldwin, Inc. Executive Survivor/Retirement Benefit Plan), amended and restated effective February</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27, 2008 (incorporated by reference to Exhibit 10.b.1.(li) of Alexander &amp;Baldwin, Inc.’s Form 10-K for</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the 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10.34*</w:t>
            </w: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Matson, Inc. 1985 Supplemental Executive Retirement Plan (formerly known as the Alexander &amp;</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5"/>
              </w:rPr>
              <w:t>Baldwin, Inc. 1985 Supplemental Executive Retirement Plan), amended and restated effective as of</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January 1, 2008 (incorporated by reference to Exhibit 10.b.1.(lii) of Alexander &amp; Baldwin, Inc.’s Form</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10-K for the 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10.35*</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Amendment No. 1 to the Matson, Inc. 1985 Supplemental Executive Retirement Plan (formerly known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as the Alexander &amp; Baldwin, Inc. 1985 Supplemental Executive Retirement Plan), effective as of</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5"/>
              </w:rPr>
              <w:t>December 31, 2011 (incorporated by reference to Exhibit 10.b.1.(liii) of Alexander &amp; Baldwin, Inc.’s</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Form 10-K for the 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10.36*</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Amendment No. 2 to the Matson, Inc. 1985 Supplemental Executive Retirement Plan (formerly known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as the Alexander &amp; Baldwin, Inc. 1985 Supplemental Executive Retirement Plan), effective as of</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January 1, 2012 (incorporated by reference to Exhibit 10.b.1.(liv) of Alexander &amp;Baldwin, Inc.’s Form</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10-K for the year ended December 31, 2011).</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10.37*</w:t>
            </w:r>
          </w:p>
        </w:tc>
        <w:tc>
          <w:tcPr>
            <w:tcW w:w="7780" w:type="dxa"/>
            <w:vAlign w:val="bottom"/>
          </w:tcPr>
          <w:p>
            <w:pPr>
              <w:ind w:left="240"/>
              <w:spacing w:after="0"/>
              <w:rPr>
                <w:sz w:val="20"/>
                <w:szCs w:val="20"/>
                <w:color w:val="auto"/>
              </w:rPr>
            </w:pPr>
            <w:r>
              <w:rPr>
                <w:rFonts w:ascii="Arial" w:cs="Arial" w:eastAsia="Arial" w:hAnsi="Arial"/>
                <w:sz w:val="18"/>
                <w:szCs w:val="18"/>
                <w:color w:val="auto"/>
                <w:w w:val="97"/>
              </w:rPr>
              <w:t>Matson, Inc. Retirement Plan for Outside Directors (incorporated by reference to Exhibit 10.44 of</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Matson’s Form 10-K for the year ended December 31,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10.38*</w:t>
            </w: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Form of Letter Agreement entered into with certain executive officers (incorporated by reference to</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Exhibit 10.45 of Matson’s Form 10-K for the year ended December 31,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10.39*</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Schedule identifying executive officers who have entered into Form of Letter Agreement (incorporated</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by reference to Exhibit 10.42 of Matson’s Form 10-K for the year ended December 31,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10.40*</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Form of Letter Agreement entered into with executive officer (incorporated by reference to Exhibit 10.1</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of Matson’s Form 8-K dated October 24,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10.41*</w:t>
            </w:r>
          </w:p>
        </w:tc>
        <w:tc>
          <w:tcPr>
            <w:tcW w:w="7780" w:type="dxa"/>
            <w:vAlign w:val="bottom"/>
          </w:tcPr>
          <w:p>
            <w:pPr>
              <w:ind w:left="240"/>
              <w:spacing w:after="0"/>
              <w:rPr>
                <w:sz w:val="20"/>
                <w:szCs w:val="20"/>
                <w:color w:val="auto"/>
              </w:rPr>
            </w:pPr>
            <w:r>
              <w:rPr>
                <w:rFonts w:ascii="Arial" w:cs="Arial" w:eastAsia="Arial" w:hAnsi="Arial"/>
                <w:sz w:val="18"/>
                <w:szCs w:val="18"/>
                <w:color w:val="auto"/>
                <w:w w:val="91"/>
              </w:rPr>
              <w:t>Letter Agreement Counter Party (incorporated by reference to Exhibit 10.2 of Matson’s Form 8-K dated</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October 24,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10.42*</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Form of Letter Agreement entered into with executive officer (incorporated by reference to Exhibit 10.1</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of Matson’s Form 8-K dated April 6,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10.43*</w:t>
            </w: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Letter Agreement Counter Parties (incorporated by reference to Exhibit 10.2 of Matson’s Form 8-K</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dated April 6,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10.44*</w:t>
            </w: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Matson, Inc. Executive Severance Plan (incorporated by reference to Exhibit 10.47 of Matson’s Form</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10-K for the year ended December 31, 2012).</w:t>
            </w:r>
          </w:p>
        </w:tc>
      </w:tr>
      <w:tr>
        <w:trPr>
          <w:trHeight w:val="864"/>
        </w:trPr>
        <w:tc>
          <w:tcPr>
            <w:tcW w:w="1280" w:type="dxa"/>
            <w:vAlign w:val="bottom"/>
          </w:tcPr>
          <w:p>
            <w:pPr>
              <w:spacing w:after="0"/>
              <w:rPr>
                <w:sz w:val="24"/>
                <w:szCs w:val="24"/>
                <w:color w:val="auto"/>
              </w:rPr>
            </w:pPr>
          </w:p>
        </w:tc>
        <w:tc>
          <w:tcPr>
            <w:tcW w:w="7780" w:type="dxa"/>
            <w:vAlign w:val="bottom"/>
          </w:tcPr>
          <w:p>
            <w:pPr>
              <w:ind w:left="3160"/>
              <w:spacing w:after="0"/>
              <w:rPr>
                <w:sz w:val="20"/>
                <w:szCs w:val="20"/>
                <w:color w:val="auto"/>
              </w:rPr>
            </w:pPr>
            <w:r>
              <w:rPr>
                <w:rFonts w:ascii="Arial" w:cs="Arial" w:eastAsia="Arial" w:hAnsi="Arial"/>
                <w:sz w:val="18"/>
                <w:szCs w:val="18"/>
                <w:color w:val="auto"/>
              </w:rPr>
              <w:t>82</w:t>
            </w:r>
          </w:p>
        </w:tc>
      </w:tr>
      <w:tr>
        <w:trPr>
          <w:trHeight w:val="129"/>
        </w:trPr>
        <w:tc>
          <w:tcPr>
            <w:tcW w:w="128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7780" w:type="dxa"/>
            <w:vAlign w:val="bottom"/>
          </w:tcPr>
          <w:p>
            <w:pPr>
              <w:spacing w:after="0"/>
              <w:rPr>
                <w:sz w:val="17"/>
                <w:szCs w:val="17"/>
                <w:color w:val="auto"/>
              </w:rPr>
            </w:pPr>
          </w:p>
        </w:tc>
      </w:tr>
      <w:tr>
        <w:trPr>
          <w:trHeight w:val="762"/>
        </w:trPr>
        <w:tc>
          <w:tcPr>
            <w:tcW w:w="1280" w:type="dxa"/>
            <w:vAlign w:val="bottom"/>
          </w:tcPr>
          <w:p>
            <w:pPr>
              <w:spacing w:after="0"/>
              <w:rPr>
                <w:sz w:val="20"/>
                <w:szCs w:val="20"/>
                <w:color w:val="auto"/>
              </w:rPr>
            </w:pPr>
            <w:r>
              <w:rPr>
                <w:rFonts w:ascii="Arial" w:cs="Arial" w:eastAsia="Arial" w:hAnsi="Arial"/>
                <w:sz w:val="18"/>
                <w:szCs w:val="18"/>
                <w:color w:val="auto"/>
              </w:rPr>
              <w:t>10.45*</w:t>
            </w: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Matson, Inc. Cash Incentive Plan (incorporated by reference to Exhibit 10.49 of Matson’s Form 10-K</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for the year ended December 31,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10.46*</w:t>
            </w: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Matson, Inc. Deferred Compensation Plan (incorporated by reference to Exhibit 10.51 of Matson’s</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Form 10-K for the year ended December 31, 2012).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10.47</w:t>
            </w:r>
          </w:p>
        </w:tc>
        <w:tc>
          <w:tcPr>
            <w:tcW w:w="7780" w:type="dxa"/>
            <w:vAlign w:val="bottom"/>
          </w:tcPr>
          <w:p>
            <w:pPr>
              <w:ind w:left="240"/>
              <w:spacing w:after="0"/>
              <w:rPr>
                <w:sz w:val="20"/>
                <w:szCs w:val="20"/>
                <w:color w:val="auto"/>
              </w:rPr>
            </w:pPr>
            <w:r>
              <w:rPr>
                <w:rFonts w:ascii="Arial" w:cs="Arial" w:eastAsia="Arial" w:hAnsi="Arial"/>
                <w:sz w:val="18"/>
                <w:szCs w:val="18"/>
                <w:color w:val="auto"/>
                <w:w w:val="99"/>
              </w:rPr>
              <w:t>Shipbuilding Contract, by and between Aker Philadelphia Shipyard, Inc. and Matson Navigation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Company, Inc., dated as of November 6, 2013 (certain portions of this exhibit have been omitted</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0"/>
              </w:rPr>
              <w:t>pursuant to a confidential treatment request submitted to the Commission) (incorporated by reference to</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Exhibit 10.56 of Matson’s Form 10-K for the year ended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10.48</w:t>
            </w:r>
          </w:p>
        </w:tc>
        <w:tc>
          <w:tcPr>
            <w:tcW w:w="7780" w:type="dxa"/>
            <w:vAlign w:val="bottom"/>
          </w:tcPr>
          <w:p>
            <w:pPr>
              <w:ind w:left="240"/>
              <w:spacing w:after="0"/>
              <w:rPr>
                <w:sz w:val="20"/>
                <w:szCs w:val="20"/>
                <w:color w:val="auto"/>
              </w:rPr>
            </w:pPr>
            <w:r>
              <w:rPr>
                <w:rFonts w:ascii="Arial" w:cs="Arial" w:eastAsia="Arial" w:hAnsi="Arial"/>
                <w:sz w:val="18"/>
                <w:szCs w:val="18"/>
                <w:color w:val="auto"/>
                <w:w w:val="99"/>
              </w:rPr>
              <w:t>Shipbuilding Contract, by and between Aker Philadelphia Shipyard, Inc. and Matson Navigation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Company, Inc., dated as of November 6, 2013 (certain portions of this exhibit have been omitted</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0"/>
              </w:rPr>
              <w:t>pursuant to a confidential treatment request submitted to the Commission) (incorporated by reference to</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Exhibit 10.57 of Matson’s Form 10-K for the year ended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10.49</w:t>
            </w:r>
          </w:p>
        </w:tc>
        <w:tc>
          <w:tcPr>
            <w:tcW w:w="7780" w:type="dxa"/>
            <w:vAlign w:val="bottom"/>
          </w:tcPr>
          <w:p>
            <w:pPr>
              <w:ind w:left="240"/>
              <w:spacing w:after="0"/>
              <w:rPr>
                <w:sz w:val="20"/>
                <w:szCs w:val="20"/>
                <w:color w:val="auto"/>
              </w:rPr>
            </w:pPr>
            <w:r>
              <w:rPr>
                <w:rFonts w:ascii="Arial" w:cs="Arial" w:eastAsia="Arial" w:hAnsi="Arial"/>
                <w:sz w:val="18"/>
                <w:szCs w:val="18"/>
                <w:color w:val="auto"/>
                <w:w w:val="95"/>
              </w:rPr>
              <w:t>Guaranty Agreement by Aker Philadelphia Shipyard ASA, in favor of Matson Navigation Company,</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Inc., dated as of November 6, 2013 (incorporated by reference to Exhibit 10.58 of Matson’s Form 10-K</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for the year ended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10.50</w:t>
            </w: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Contract for Construction of Two Vessels, dated as of August 25, 2016, by and between Matson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Navigation Company, Inc. and National Steel and Shipbuilding Company (certain portions of this</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exhibit have been omitted pursuant to a confidential treatment request submitted to the Commission)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(incorporated by reference to Exhibit 10.1 of Matson’s Form 10-Q for the quarter ended September 30,</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10.51</w:t>
            </w:r>
          </w:p>
        </w:tc>
        <w:tc>
          <w:tcPr>
            <w:tcW w:w="7780" w:type="dxa"/>
            <w:vAlign w:val="bottom"/>
          </w:tcPr>
          <w:p>
            <w:pPr>
              <w:ind w:left="240"/>
              <w:spacing w:after="0"/>
              <w:rPr>
                <w:sz w:val="20"/>
                <w:szCs w:val="20"/>
                <w:color w:val="auto"/>
              </w:rPr>
            </w:pPr>
            <w:r>
              <w:rPr>
                <w:rFonts w:ascii="Arial" w:cs="Arial" w:eastAsia="Arial" w:hAnsi="Arial"/>
                <w:sz w:val="18"/>
                <w:szCs w:val="18"/>
                <w:color w:val="auto"/>
                <w:w w:val="90"/>
              </w:rPr>
              <w:t>Purchaser’s Corporate Guaranty Agreement, by Matson, Inc., dated as of August 25, 2016 (incorporated</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by reference to Exhibit 10.2 of Matson’s Form 10-Q for the quarter ended September 30,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10.52</w:t>
            </w:r>
          </w:p>
        </w:tc>
        <w:tc>
          <w:tcPr>
            <w:tcW w:w="7780" w:type="dxa"/>
            <w:vAlign w:val="bottom"/>
          </w:tcPr>
          <w:p>
            <w:pPr>
              <w:ind w:left="240"/>
              <w:spacing w:after="0"/>
              <w:rPr>
                <w:sz w:val="20"/>
                <w:szCs w:val="20"/>
                <w:color w:val="auto"/>
              </w:rPr>
            </w:pPr>
            <w:r>
              <w:rPr>
                <w:rFonts w:ascii="Arial" w:cs="Arial" w:eastAsia="Arial" w:hAnsi="Arial"/>
                <w:sz w:val="18"/>
                <w:szCs w:val="18"/>
                <w:color w:val="auto"/>
                <w:w w:val="91"/>
              </w:rPr>
              <w:t>Contractor’s Corporate Guaranty Agreement, by General Dynamics Corporation, dated as of August 25,</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2016 (incorporated by reference to Exhibit 10.3 of Matson’s Form 10-Q for the quarter ended</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September 30,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10.53</w:t>
            </w:r>
          </w:p>
        </w:tc>
        <w:tc>
          <w:tcPr>
            <w:tcW w:w="7780" w:type="dxa"/>
            <w:vAlign w:val="bottom"/>
          </w:tcPr>
          <w:p>
            <w:pPr>
              <w:ind w:left="240"/>
              <w:spacing w:after="0"/>
              <w:rPr>
                <w:sz w:val="20"/>
                <w:szCs w:val="20"/>
                <w:color w:val="auto"/>
              </w:rPr>
            </w:pPr>
            <w:r>
              <w:rPr>
                <w:rFonts w:ascii="Arial" w:cs="Arial" w:eastAsia="Arial" w:hAnsi="Arial"/>
                <w:sz w:val="18"/>
                <w:szCs w:val="18"/>
                <w:color w:val="auto"/>
                <w:w w:val="90"/>
              </w:rPr>
              <w:t>Note Purchase Agreement among Matson, Inc., and the purchasers party thereto, dated as of November</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5, 2013 (incorporated by reference to Exhibit 10.1 of Matson’s Form 8-K dated January 29,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10.54</w:t>
            </w: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Amendment to the Note Purchase Agreement among Matson, Inc. and the purchasers party thereto,</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1"/>
              </w:rPr>
              <w:t>dated as of July 30, 2015 (incorporated by reference to Exhibit 10.3 of Matson’s Form 8-K dated August</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3,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10.55</w:t>
            </w:r>
          </w:p>
        </w:tc>
        <w:tc>
          <w:tcPr>
            <w:tcW w:w="7780" w:type="dxa"/>
            <w:vAlign w:val="bottom"/>
          </w:tcPr>
          <w:p>
            <w:pPr>
              <w:ind w:left="240"/>
              <w:spacing w:after="0"/>
              <w:rPr>
                <w:sz w:val="20"/>
                <w:szCs w:val="20"/>
                <w:color w:val="auto"/>
              </w:rPr>
            </w:pPr>
            <w:r>
              <w:rPr>
                <w:rFonts w:ascii="Arial" w:cs="Arial" w:eastAsia="Arial" w:hAnsi="Arial"/>
                <w:sz w:val="18"/>
                <w:szCs w:val="18"/>
                <w:color w:val="auto"/>
                <w:w w:val="97"/>
              </w:rPr>
              <w:t>Form of Capital Construction Fund Agreement with Matson Navigation Company, as amended by</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Addendums No. 2, No. 5, No. 18, No. 20 and No. 31, thereto (incorporated by reference to Exhibit</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10.60 of Matson’s Form 10-K for the year ended 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10.56</w:t>
            </w: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Form of Consulting Agreement by and between Matson Navigation Company, Inc., and Kevin C.</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9"/>
              </w:rPr>
              <w:t>O’Rourke (incorporated by reference to Exhibit 10.61 of Matson’s Form 10-K for the year ended</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December 31, 2013).</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10.57</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Settlement Agreement, dated as of July 17, 2014, among the United States of America, acting through</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the United States Department of Justice and on behalf of the United States Surface Deployment and</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Distribution Command, Matson Navigation Company, Inc., and Mario Rizzo (incorporated by reference</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to Exhibit 10.1 of Matson’s Form 8-K dated July 22, 2014).</w:t>
            </w:r>
          </w:p>
        </w:tc>
      </w:tr>
      <w:tr>
        <w:trPr>
          <w:trHeight w:val="864"/>
        </w:trPr>
        <w:tc>
          <w:tcPr>
            <w:tcW w:w="1280" w:type="dxa"/>
            <w:vAlign w:val="bottom"/>
          </w:tcPr>
          <w:p>
            <w:pPr>
              <w:spacing w:after="0"/>
              <w:rPr>
                <w:sz w:val="24"/>
                <w:szCs w:val="24"/>
                <w:color w:val="auto"/>
              </w:rPr>
            </w:pPr>
          </w:p>
        </w:tc>
        <w:tc>
          <w:tcPr>
            <w:tcW w:w="7780" w:type="dxa"/>
            <w:vAlign w:val="bottom"/>
          </w:tcPr>
          <w:p>
            <w:pPr>
              <w:ind w:left="3160"/>
              <w:spacing w:after="0"/>
              <w:rPr>
                <w:sz w:val="20"/>
                <w:szCs w:val="20"/>
                <w:color w:val="auto"/>
              </w:rPr>
            </w:pPr>
            <w:r>
              <w:rPr>
                <w:rFonts w:ascii="Arial" w:cs="Arial" w:eastAsia="Arial" w:hAnsi="Arial"/>
                <w:sz w:val="18"/>
                <w:szCs w:val="18"/>
                <w:color w:val="auto"/>
              </w:rPr>
              <w:t>83</w:t>
            </w:r>
          </w:p>
        </w:tc>
      </w:tr>
      <w:tr>
        <w:trPr>
          <w:trHeight w:val="129"/>
        </w:trPr>
        <w:tc>
          <w:tcPr>
            <w:tcW w:w="128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7780" w:type="dxa"/>
            <w:vAlign w:val="bottom"/>
          </w:tcPr>
          <w:p>
            <w:pPr>
              <w:spacing w:after="0"/>
              <w:rPr>
                <w:sz w:val="17"/>
                <w:szCs w:val="17"/>
                <w:color w:val="auto"/>
              </w:rPr>
            </w:pPr>
          </w:p>
        </w:tc>
      </w:tr>
      <w:tr>
        <w:trPr>
          <w:trHeight w:val="762"/>
        </w:trPr>
        <w:tc>
          <w:tcPr>
            <w:tcW w:w="1280" w:type="dxa"/>
            <w:vAlign w:val="bottom"/>
          </w:tcPr>
          <w:p>
            <w:pPr>
              <w:spacing w:after="0"/>
              <w:rPr>
                <w:sz w:val="20"/>
                <w:szCs w:val="20"/>
                <w:color w:val="auto"/>
              </w:rPr>
            </w:pPr>
            <w:r>
              <w:rPr>
                <w:rFonts w:ascii="Arial" w:cs="Arial" w:eastAsia="Arial" w:hAnsi="Arial"/>
                <w:sz w:val="18"/>
                <w:szCs w:val="18"/>
                <w:color w:val="auto"/>
              </w:rPr>
              <w:t>10.58</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Form of Voting Agreement, dated as of November 11, 2014, among Matson Navigation Company, Inc.</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and certain holders of voting securities of Horizon Lines, Inc. (incorporated by reference to Exhibit 10.1</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of Matson’s Form 8-K dated November 11, 2014).</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10.59</w:t>
            </w:r>
          </w:p>
        </w:tc>
        <w:tc>
          <w:tcPr>
            <w:tcW w:w="7780" w:type="dxa"/>
            <w:vAlign w:val="bottom"/>
          </w:tcPr>
          <w:p>
            <w:pPr>
              <w:ind w:left="240"/>
              <w:spacing w:after="0"/>
              <w:rPr>
                <w:sz w:val="20"/>
                <w:szCs w:val="20"/>
                <w:color w:val="auto"/>
              </w:rPr>
            </w:pPr>
            <w:r>
              <w:rPr>
                <w:rFonts w:ascii="Arial" w:cs="Arial" w:eastAsia="Arial" w:hAnsi="Arial"/>
                <w:sz w:val="18"/>
                <w:szCs w:val="18"/>
                <w:color w:val="auto"/>
                <w:w w:val="96"/>
              </w:rPr>
              <w:t>Settlement Agreement and Release, effective July 29, 2015, between the State of Hawai’i, Matson</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5"/>
              </w:rPr>
              <w:t>Terminals, Inc. and Matson Navigation Company, Inc. (incorporated by reference to Exhibit 10.1 of</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Matson’s Form 8-K dated July 30, 2015).</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10.60</w:t>
            </w:r>
          </w:p>
        </w:tc>
        <w:tc>
          <w:tcPr>
            <w:tcW w:w="7780" w:type="dxa"/>
            <w:vAlign w:val="bottom"/>
          </w:tcPr>
          <w:p>
            <w:pPr>
              <w:ind w:left="240"/>
              <w:spacing w:after="0"/>
              <w:rPr>
                <w:sz w:val="20"/>
                <w:szCs w:val="20"/>
                <w:color w:val="auto"/>
              </w:rPr>
            </w:pPr>
            <w:r>
              <w:rPr>
                <w:rFonts w:ascii="Arial" w:cs="Arial" w:eastAsia="Arial" w:hAnsi="Arial"/>
                <w:sz w:val="18"/>
                <w:szCs w:val="18"/>
                <w:color w:val="auto"/>
                <w:w w:val="91"/>
              </w:rPr>
              <w:t>Third Amended and Restated Note Purchase and Private Shelf Agreement among Matson, Inc. and the</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1"/>
              </w:rPr>
              <w:t>purchasers party thereto, dated as of September 14, 2016 (incorporated by reference to Exhibit 10.1 of</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Matson’s Form 8-K dated September 14,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10.61</w:t>
            </w:r>
          </w:p>
        </w:tc>
        <w:tc>
          <w:tcPr>
            <w:tcW w:w="7780" w:type="dxa"/>
            <w:vAlign w:val="bottom"/>
          </w:tcPr>
          <w:p>
            <w:pPr>
              <w:ind w:left="240"/>
              <w:spacing w:after="0"/>
              <w:rPr>
                <w:sz w:val="20"/>
                <w:szCs w:val="20"/>
                <w:color w:val="auto"/>
              </w:rPr>
            </w:pPr>
            <w:r>
              <w:rPr>
                <w:rFonts w:ascii="Arial" w:cs="Arial" w:eastAsia="Arial" w:hAnsi="Arial"/>
                <w:sz w:val="18"/>
                <w:szCs w:val="18"/>
                <w:color w:val="auto"/>
                <w:w w:val="90"/>
              </w:rPr>
              <w:t>Note Purchase Agreement among Matson, Inc. and the purchasers party thereto, dated as of December</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3"/>
              </w:rPr>
              <w:t>21, 2016 (incorporated by reference to Exhibit 10.1 of Matson’s Form 8-K dated December 21, 2016).</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10.62*</w:t>
            </w:r>
          </w:p>
        </w:tc>
        <w:tc>
          <w:tcPr>
            <w:tcW w:w="7780" w:type="dxa"/>
            <w:vAlign w:val="bottom"/>
          </w:tcPr>
          <w:p>
            <w:pPr>
              <w:ind w:left="240"/>
              <w:spacing w:after="0"/>
              <w:rPr>
                <w:sz w:val="20"/>
                <w:szCs w:val="20"/>
                <w:color w:val="auto"/>
              </w:rPr>
            </w:pPr>
            <w:r>
              <w:rPr>
                <w:rFonts w:ascii="Arial" w:cs="Arial" w:eastAsia="Arial" w:hAnsi="Arial"/>
                <w:sz w:val="18"/>
                <w:szCs w:val="18"/>
                <w:color w:val="auto"/>
                <w:w w:val="99"/>
              </w:rPr>
              <w:t>Matson, Inc. 2016 Incentive Compensation Plan, which was adopted by the shareholders at the</w:t>
            </w:r>
          </w:p>
        </w:tc>
      </w:tr>
      <w:tr>
        <w:trPr>
          <w:trHeight w:val="216"/>
        </w:trPr>
        <w:tc>
          <w:tcPr>
            <w:tcW w:w="1280" w:type="dxa"/>
            <w:vAlign w:val="bottom"/>
          </w:tcPr>
          <w:p>
            <w:pPr>
              <w:spacing w:after="0"/>
              <w:rPr>
                <w:sz w:val="18"/>
                <w:szCs w:val="18"/>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1"/>
              </w:rPr>
              <w:t>Company’s annual meeting of shareholders on April 28, 2016 (incorporated by reference to Appendix A</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w w:val="94"/>
              </w:rPr>
              <w:t>of the Matson’s Definitive Proxy Statement on Schedule 14A filed with the SEC on March 14, 2016).</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10.63*,**</w:t>
            </w:r>
          </w:p>
        </w:tc>
        <w:tc>
          <w:tcPr>
            <w:tcW w:w="7780" w:type="dxa"/>
            <w:vAlign w:val="bottom"/>
          </w:tcPr>
          <w:p>
            <w:pPr>
              <w:ind w:left="240"/>
              <w:spacing w:after="0"/>
              <w:rPr>
                <w:sz w:val="20"/>
                <w:szCs w:val="20"/>
                <w:color w:val="auto"/>
              </w:rPr>
            </w:pPr>
            <w:r>
              <w:rPr>
                <w:rFonts w:ascii="Arial" w:cs="Arial" w:eastAsia="Arial" w:hAnsi="Arial"/>
                <w:sz w:val="18"/>
                <w:szCs w:val="18"/>
                <w:color w:val="auto"/>
              </w:rPr>
              <w:t>Amended and Restated Matson, Inc. Cash Incentive Plan, effective January 1, 2016.</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10.64*,**</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Form of 2016 Plan Restricted Stock Unit Award Agreement for Non-Employee Directors (No Deferral).</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10.65*,**</w:t>
            </w:r>
          </w:p>
        </w:tc>
        <w:tc>
          <w:tcPr>
            <w:tcW w:w="7780" w:type="dxa"/>
            <w:vAlign w:val="bottom"/>
          </w:tcPr>
          <w:p>
            <w:pPr>
              <w:ind w:left="240"/>
              <w:spacing w:after="0"/>
              <w:rPr>
                <w:sz w:val="20"/>
                <w:szCs w:val="20"/>
                <w:color w:val="auto"/>
              </w:rPr>
            </w:pPr>
            <w:r>
              <w:rPr>
                <w:rFonts w:ascii="Arial" w:cs="Arial" w:eastAsia="Arial" w:hAnsi="Arial"/>
                <w:sz w:val="18"/>
                <w:szCs w:val="18"/>
                <w:color w:val="auto"/>
                <w:w w:val="97"/>
              </w:rPr>
              <w:t>Form of 2016 Plan Restricted Stock Unit Award Agreement for Non-Employee Directors (Deferral</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Election).</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10.66*,**</w:t>
            </w:r>
          </w:p>
        </w:tc>
        <w:tc>
          <w:tcPr>
            <w:tcW w:w="7780" w:type="dxa"/>
            <w:vAlign w:val="bottom"/>
          </w:tcPr>
          <w:p>
            <w:pPr>
              <w:ind w:left="240"/>
              <w:spacing w:after="0"/>
              <w:rPr>
                <w:sz w:val="20"/>
                <w:szCs w:val="20"/>
                <w:color w:val="auto"/>
              </w:rPr>
            </w:pPr>
            <w:r>
              <w:rPr>
                <w:rFonts w:ascii="Arial" w:cs="Arial" w:eastAsia="Arial" w:hAnsi="Arial"/>
                <w:sz w:val="18"/>
                <w:szCs w:val="18"/>
                <w:color w:val="auto"/>
                <w:w w:val="98"/>
              </w:rPr>
              <w:t>Form of 2016 Plan Time-Based Restricted Stock Unit Agreement for Non-Executive Employees.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10.67*,**</w:t>
            </w:r>
          </w:p>
        </w:tc>
        <w:tc>
          <w:tcPr>
            <w:tcW w:w="7780" w:type="dxa"/>
            <w:vAlign w:val="bottom"/>
          </w:tcPr>
          <w:p>
            <w:pPr>
              <w:ind w:left="240"/>
              <w:spacing w:after="0"/>
              <w:rPr>
                <w:sz w:val="20"/>
                <w:szCs w:val="20"/>
                <w:color w:val="auto"/>
              </w:rPr>
            </w:pPr>
            <w:r>
              <w:rPr>
                <w:rFonts w:ascii="Arial" w:cs="Arial" w:eastAsia="Arial" w:hAnsi="Arial"/>
                <w:sz w:val="18"/>
                <w:szCs w:val="18"/>
                <w:color w:val="auto"/>
              </w:rPr>
              <w:t>Form of 2016 Plan Time-Based Restricted Stock Unit Agreement for Executive Employees.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10.68*,**</w:t>
            </w:r>
          </w:p>
        </w:tc>
        <w:tc>
          <w:tcPr>
            <w:tcW w:w="7780" w:type="dxa"/>
            <w:vAlign w:val="bottom"/>
          </w:tcPr>
          <w:p>
            <w:pPr>
              <w:ind w:left="240"/>
              <w:spacing w:after="0"/>
              <w:rPr>
                <w:sz w:val="20"/>
                <w:szCs w:val="20"/>
                <w:color w:val="auto"/>
              </w:rPr>
            </w:pPr>
            <w:r>
              <w:rPr>
                <w:rFonts w:ascii="Arial" w:cs="Arial" w:eastAsia="Arial" w:hAnsi="Arial"/>
                <w:sz w:val="18"/>
                <w:szCs w:val="18"/>
                <w:color w:val="auto"/>
              </w:rPr>
              <w:t>Form of 2016 Plan Performance Share Award Agreement for Non-Executive Employees.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10.69*,**</w:t>
            </w:r>
          </w:p>
        </w:tc>
        <w:tc>
          <w:tcPr>
            <w:tcW w:w="7780" w:type="dxa"/>
            <w:vAlign w:val="bottom"/>
          </w:tcPr>
          <w:p>
            <w:pPr>
              <w:ind w:left="240"/>
              <w:spacing w:after="0"/>
              <w:rPr>
                <w:sz w:val="20"/>
                <w:szCs w:val="20"/>
                <w:color w:val="auto"/>
              </w:rPr>
            </w:pPr>
            <w:r>
              <w:rPr>
                <w:rFonts w:ascii="Arial" w:cs="Arial" w:eastAsia="Arial" w:hAnsi="Arial"/>
                <w:sz w:val="18"/>
                <w:szCs w:val="18"/>
                <w:color w:val="auto"/>
              </w:rPr>
              <w:t>Form of 2016 Plan Performance Share Award Agreement for Executive Employees.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10.70*,**</w:t>
            </w:r>
          </w:p>
        </w:tc>
        <w:tc>
          <w:tcPr>
            <w:tcW w:w="7780" w:type="dxa"/>
            <w:vAlign w:val="bottom"/>
          </w:tcPr>
          <w:p>
            <w:pPr>
              <w:ind w:left="240"/>
              <w:spacing w:after="0"/>
              <w:rPr>
                <w:sz w:val="20"/>
                <w:szCs w:val="20"/>
                <w:color w:val="auto"/>
              </w:rPr>
            </w:pPr>
            <w:r>
              <w:rPr>
                <w:rFonts w:ascii="Arial" w:cs="Arial" w:eastAsia="Arial" w:hAnsi="Arial"/>
                <w:sz w:val="18"/>
                <w:szCs w:val="18"/>
                <w:color w:val="auto"/>
              </w:rPr>
              <w:t>Form of Notice of 2016 Plan Performance Share Award Grant for Non-Executive Employees.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10.71*,**</w:t>
            </w:r>
          </w:p>
        </w:tc>
        <w:tc>
          <w:tcPr>
            <w:tcW w:w="7780" w:type="dxa"/>
            <w:vAlign w:val="bottom"/>
          </w:tcPr>
          <w:p>
            <w:pPr>
              <w:ind w:left="240"/>
              <w:spacing w:after="0"/>
              <w:rPr>
                <w:sz w:val="20"/>
                <w:szCs w:val="20"/>
                <w:color w:val="auto"/>
              </w:rPr>
            </w:pPr>
            <w:r>
              <w:rPr>
                <w:rFonts w:ascii="Arial" w:cs="Arial" w:eastAsia="Arial" w:hAnsi="Arial"/>
                <w:sz w:val="18"/>
                <w:szCs w:val="18"/>
                <w:color w:val="auto"/>
              </w:rPr>
              <w:t>Form of Notice of 2016 Plan Performance Share Award Grant for Executive Employees.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10.72*,**</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Form of Notice of 2016 Time-Based Restricted Stock Unit Award Grant for Non-Executive Employees.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10.73*,**</w:t>
            </w:r>
          </w:p>
        </w:tc>
        <w:tc>
          <w:tcPr>
            <w:tcW w:w="7780" w:type="dxa"/>
            <w:vAlign w:val="bottom"/>
          </w:tcPr>
          <w:p>
            <w:pPr>
              <w:ind w:left="240"/>
              <w:spacing w:after="0"/>
              <w:rPr>
                <w:sz w:val="20"/>
                <w:szCs w:val="20"/>
                <w:color w:val="auto"/>
              </w:rPr>
            </w:pPr>
            <w:r>
              <w:rPr>
                <w:rFonts w:ascii="Arial" w:cs="Arial" w:eastAsia="Arial" w:hAnsi="Arial"/>
                <w:sz w:val="18"/>
                <w:szCs w:val="18"/>
                <w:color w:val="auto"/>
                <w:w w:val="97"/>
              </w:rPr>
              <w:t>Form of Notice of 2016 Time-Based Restricted Stock Unit Award Grant for Executive Employees.</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21**</w:t>
            </w:r>
          </w:p>
        </w:tc>
        <w:tc>
          <w:tcPr>
            <w:tcW w:w="7780" w:type="dxa"/>
            <w:vAlign w:val="bottom"/>
          </w:tcPr>
          <w:p>
            <w:pPr>
              <w:ind w:left="240"/>
              <w:spacing w:after="0"/>
              <w:rPr>
                <w:sz w:val="20"/>
                <w:szCs w:val="20"/>
                <w:color w:val="auto"/>
              </w:rPr>
            </w:pPr>
            <w:r>
              <w:rPr>
                <w:rFonts w:ascii="Arial" w:cs="Arial" w:eastAsia="Arial" w:hAnsi="Arial"/>
                <w:sz w:val="18"/>
                <w:szCs w:val="18"/>
                <w:color w:val="auto"/>
              </w:rPr>
              <w:t>Matson, Inc. Subsidiaries as of February 1, 2017.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23**</w:t>
            </w:r>
          </w:p>
        </w:tc>
        <w:tc>
          <w:tcPr>
            <w:tcW w:w="7780" w:type="dxa"/>
            <w:vAlign w:val="bottom"/>
          </w:tcPr>
          <w:p>
            <w:pPr>
              <w:ind w:left="240"/>
              <w:spacing w:after="0"/>
              <w:rPr>
                <w:sz w:val="20"/>
                <w:szCs w:val="20"/>
                <w:color w:val="auto"/>
              </w:rPr>
            </w:pPr>
            <w:r>
              <w:rPr>
                <w:rFonts w:ascii="Arial" w:cs="Arial" w:eastAsia="Arial" w:hAnsi="Arial"/>
                <w:sz w:val="18"/>
                <w:szCs w:val="18"/>
                <w:color w:val="auto"/>
              </w:rPr>
              <w:t>Consent of Deloitte &amp; Touche, LLP dated February 24, 2017.</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31.1**</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Certification of Chief Executive Officer, as Adopted Pursuant to Section 302 of the Sarbanes-Oxley Act</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of 2002.</w:t>
            </w:r>
          </w:p>
        </w:tc>
      </w:tr>
      <w:tr>
        <w:trPr>
          <w:trHeight w:val="418"/>
        </w:trPr>
        <w:tc>
          <w:tcPr>
            <w:tcW w:w="1280" w:type="dxa"/>
            <w:vAlign w:val="bottom"/>
          </w:tcPr>
          <w:p>
            <w:pPr>
              <w:spacing w:after="0"/>
              <w:rPr>
                <w:sz w:val="20"/>
                <w:szCs w:val="20"/>
                <w:color w:val="auto"/>
              </w:rPr>
            </w:pPr>
            <w:r>
              <w:rPr>
                <w:rFonts w:ascii="Arial" w:cs="Arial" w:eastAsia="Arial" w:hAnsi="Arial"/>
                <w:sz w:val="18"/>
                <w:szCs w:val="18"/>
                <w:color w:val="auto"/>
              </w:rPr>
              <w:t>31.2**</w:t>
            </w:r>
          </w:p>
        </w:tc>
        <w:tc>
          <w:tcPr>
            <w:tcW w:w="7780" w:type="dxa"/>
            <w:vAlign w:val="bottom"/>
          </w:tcPr>
          <w:p>
            <w:pPr>
              <w:ind w:left="240"/>
              <w:spacing w:after="0"/>
              <w:rPr>
                <w:sz w:val="20"/>
                <w:szCs w:val="20"/>
                <w:color w:val="auto"/>
              </w:rPr>
            </w:pPr>
            <w:r>
              <w:rPr>
                <w:rFonts w:ascii="Arial" w:cs="Arial" w:eastAsia="Arial" w:hAnsi="Arial"/>
                <w:sz w:val="18"/>
                <w:szCs w:val="18"/>
                <w:color w:val="auto"/>
                <w:w w:val="92"/>
              </w:rPr>
              <w:t>Certification of Chief Financial Officer, as Adopted Pursuant to Section 302 of the Sarbanes-Oxley Act</w:t>
            </w:r>
          </w:p>
        </w:tc>
      </w:tr>
      <w:tr>
        <w:trPr>
          <w:trHeight w:val="230"/>
        </w:trPr>
        <w:tc>
          <w:tcPr>
            <w:tcW w:w="1280" w:type="dxa"/>
            <w:vAlign w:val="bottom"/>
          </w:tcPr>
          <w:p>
            <w:pPr>
              <w:spacing w:after="0"/>
              <w:rPr>
                <w:sz w:val="20"/>
                <w:szCs w:val="20"/>
                <w:color w:val="auto"/>
              </w:rPr>
            </w:pPr>
          </w:p>
        </w:tc>
        <w:tc>
          <w:tcPr>
            <w:tcW w:w="7780" w:type="dxa"/>
            <w:vAlign w:val="bottom"/>
          </w:tcPr>
          <w:p>
            <w:pPr>
              <w:ind w:left="240"/>
              <w:spacing w:after="0"/>
              <w:rPr>
                <w:sz w:val="20"/>
                <w:szCs w:val="20"/>
                <w:color w:val="auto"/>
              </w:rPr>
            </w:pPr>
            <w:r>
              <w:rPr>
                <w:rFonts w:ascii="Arial" w:cs="Arial" w:eastAsia="Arial" w:hAnsi="Arial"/>
                <w:sz w:val="18"/>
                <w:szCs w:val="18"/>
                <w:color w:val="auto"/>
              </w:rPr>
              <w:t>of 2002.</w:t>
            </w:r>
          </w:p>
        </w:tc>
      </w:tr>
      <w:tr>
        <w:trPr>
          <w:trHeight w:val="864"/>
        </w:trPr>
        <w:tc>
          <w:tcPr>
            <w:tcW w:w="1280" w:type="dxa"/>
            <w:vAlign w:val="bottom"/>
          </w:tcPr>
          <w:p>
            <w:pPr>
              <w:spacing w:after="0"/>
              <w:rPr>
                <w:sz w:val="24"/>
                <w:szCs w:val="24"/>
                <w:color w:val="auto"/>
              </w:rPr>
            </w:pPr>
          </w:p>
        </w:tc>
        <w:tc>
          <w:tcPr>
            <w:tcW w:w="7780" w:type="dxa"/>
            <w:vAlign w:val="bottom"/>
          </w:tcPr>
          <w:p>
            <w:pPr>
              <w:ind w:left="3160"/>
              <w:spacing w:after="0"/>
              <w:rPr>
                <w:sz w:val="20"/>
                <w:szCs w:val="20"/>
                <w:color w:val="auto"/>
              </w:rPr>
            </w:pPr>
            <w:r>
              <w:rPr>
                <w:rFonts w:ascii="Arial" w:cs="Arial" w:eastAsia="Arial" w:hAnsi="Arial"/>
                <w:sz w:val="18"/>
                <w:szCs w:val="18"/>
                <w:color w:val="auto"/>
              </w:rPr>
              <w:t>84</w:t>
            </w:r>
          </w:p>
        </w:tc>
      </w:tr>
      <w:tr>
        <w:trPr>
          <w:trHeight w:val="129"/>
        </w:trPr>
        <w:tc>
          <w:tcPr>
            <w:tcW w:w="1280" w:type="dxa"/>
            <w:vAlign w:val="bottom"/>
            <w:tcBorders>
              <w:bottom w:val="single" w:sz="8" w:color="auto"/>
            </w:tcBorders>
          </w:tcPr>
          <w:p>
            <w:pPr>
              <w:spacing w:after="0"/>
              <w:rPr>
                <w:sz w:val="11"/>
                <w:szCs w:val="11"/>
                <w:color w:val="auto"/>
              </w:rPr>
            </w:pPr>
          </w:p>
        </w:tc>
        <w:tc>
          <w:tcPr>
            <w:tcW w:w="77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7360" w:type="dxa"/>
            <w:vAlign w:val="bottom"/>
          </w:tcPr>
          <w:p>
            <w:pPr>
              <w:spacing w:after="0"/>
              <w:rPr>
                <w:sz w:val="17"/>
                <w:szCs w:val="17"/>
                <w:color w:val="auto"/>
              </w:rPr>
            </w:pPr>
          </w:p>
        </w:tc>
      </w:tr>
      <w:tr>
        <w:trPr>
          <w:trHeight w:val="762"/>
        </w:trPr>
        <w:tc>
          <w:tcPr>
            <w:tcW w:w="1280" w:type="dxa"/>
            <w:vAlign w:val="bottom"/>
          </w:tcPr>
          <w:p>
            <w:pPr>
              <w:spacing w:after="0"/>
              <w:rPr>
                <w:sz w:val="20"/>
                <w:szCs w:val="20"/>
                <w:color w:val="auto"/>
              </w:rPr>
            </w:pPr>
            <w:r>
              <w:rPr>
                <w:rFonts w:ascii="Arial" w:cs="Arial" w:eastAsia="Arial" w:hAnsi="Arial"/>
                <w:sz w:val="18"/>
                <w:szCs w:val="18"/>
                <w:color w:val="auto"/>
              </w:rPr>
              <w:t>32***</w:t>
            </w:r>
          </w:p>
        </w:tc>
        <w:tc>
          <w:tcPr>
            <w:tcW w:w="7360" w:type="dxa"/>
            <w:vAlign w:val="bottom"/>
          </w:tcPr>
          <w:p>
            <w:pPr>
              <w:ind w:left="2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Section</w:t>
            </w:r>
          </w:p>
        </w:tc>
      </w:tr>
      <w:tr>
        <w:trPr>
          <w:trHeight w:val="230"/>
        </w:trPr>
        <w:tc>
          <w:tcPr>
            <w:tcW w:w="1280" w:type="dxa"/>
            <w:vAlign w:val="bottom"/>
          </w:tcPr>
          <w:p>
            <w:pPr>
              <w:spacing w:after="0"/>
              <w:rPr>
                <w:sz w:val="20"/>
                <w:szCs w:val="20"/>
                <w:color w:val="auto"/>
              </w:rPr>
            </w:pPr>
          </w:p>
        </w:tc>
        <w:tc>
          <w:tcPr>
            <w:tcW w:w="7360" w:type="dxa"/>
            <w:vAlign w:val="bottom"/>
          </w:tcPr>
          <w:p>
            <w:pPr>
              <w:ind w:left="240"/>
              <w:spacing w:after="0"/>
              <w:rPr>
                <w:sz w:val="20"/>
                <w:szCs w:val="20"/>
                <w:color w:val="auto"/>
              </w:rPr>
            </w:pPr>
            <w:r>
              <w:rPr>
                <w:rFonts w:ascii="Arial" w:cs="Arial" w:eastAsia="Arial" w:hAnsi="Arial"/>
                <w:sz w:val="18"/>
                <w:szCs w:val="18"/>
                <w:color w:val="auto"/>
              </w:rPr>
              <w:t>1350, as Adopted Pursuant to Section 906 of the Sarbanes-Oxley Act of 2002.</w:t>
            </w:r>
          </w:p>
        </w:tc>
      </w:tr>
      <w:tr>
        <w:trPr>
          <w:trHeight w:val="445"/>
        </w:trPr>
        <w:tc>
          <w:tcPr>
            <w:tcW w:w="1280" w:type="dxa"/>
            <w:vAlign w:val="bottom"/>
          </w:tcPr>
          <w:p>
            <w:pPr>
              <w:spacing w:after="0"/>
              <w:rPr>
                <w:sz w:val="20"/>
                <w:szCs w:val="20"/>
                <w:color w:val="auto"/>
              </w:rPr>
            </w:pPr>
            <w:r>
              <w:rPr>
                <w:rFonts w:ascii="Arial" w:cs="Arial" w:eastAsia="Arial" w:hAnsi="Arial"/>
                <w:sz w:val="18"/>
                <w:szCs w:val="18"/>
                <w:color w:val="auto"/>
              </w:rPr>
              <w:t>101.INS**</w:t>
            </w:r>
          </w:p>
        </w:tc>
        <w:tc>
          <w:tcPr>
            <w:tcW w:w="73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101.SCH**</w:t>
            </w:r>
          </w:p>
        </w:tc>
        <w:tc>
          <w:tcPr>
            <w:tcW w:w="73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101.CAL**</w:t>
            </w:r>
          </w:p>
        </w:tc>
        <w:tc>
          <w:tcPr>
            <w:tcW w:w="73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101.DEF**</w:t>
            </w:r>
          </w:p>
        </w:tc>
        <w:tc>
          <w:tcPr>
            <w:tcW w:w="73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101.LAB**</w:t>
            </w:r>
          </w:p>
        </w:tc>
        <w:tc>
          <w:tcPr>
            <w:tcW w:w="73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101.PRE**</w:t>
            </w:r>
          </w:p>
        </w:tc>
        <w:tc>
          <w:tcPr>
            <w:tcW w:w="73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14408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95" w:lineRule="exact"/>
        <w:rPr>
          <w:sz w:val="20"/>
          <w:szCs w:val="20"/>
          <w:color w:val="auto"/>
        </w:rPr>
      </w:pPr>
    </w:p>
    <w:p>
      <w:pPr>
        <w:ind w:left="640" w:hanging="637"/>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MATSON, INC.</w:t>
            </w:r>
          </w:p>
        </w:tc>
      </w:tr>
      <w:tr>
        <w:trPr>
          <w:trHeight w:val="224"/>
        </w:trPr>
        <w:tc>
          <w:tcPr>
            <w:tcW w:w="454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Date: February 24, 2017</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Matthew J. Cox</w:t>
            </w:r>
          </w:p>
        </w:tc>
      </w:tr>
      <w:tr>
        <w:trPr>
          <w:trHeight w:val="195"/>
        </w:trPr>
        <w:tc>
          <w:tcPr>
            <w:tcW w:w="454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1"/>
              </w:rPr>
              <w:t>Matthew J. Cox</w:t>
            </w:r>
          </w:p>
        </w:tc>
      </w:tr>
      <w:tr>
        <w:trPr>
          <w:trHeight w:val="216"/>
        </w:trPr>
        <w:tc>
          <w:tcPr>
            <w:tcW w:w="454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88"/>
              </w:rPr>
              <w:t>President,</w:t>
            </w:r>
          </w:p>
        </w:tc>
      </w:tr>
      <w:tr>
        <w:trPr>
          <w:trHeight w:val="230"/>
        </w:trPr>
        <w:tc>
          <w:tcPr>
            <w:tcW w:w="454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4"/>
                <w:szCs w:val="14"/>
                <w:color w:val="auto"/>
              </w:rPr>
            </w:pPr>
          </w:p>
        </w:tc>
        <w:tc>
          <w:tcPr>
            <w:tcW w:w="4620" w:type="dxa"/>
            <w:vAlign w:val="bottom"/>
            <w:tcBorders>
              <w:bottom w:val="single" w:sz="8" w:color="auto"/>
            </w:tcBorders>
          </w:tcPr>
          <w:p>
            <w:pPr>
              <w:jc w:val="right"/>
              <w:ind w:right="2088"/>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26"/>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Cox</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Matthew J. Cox</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A. Dods, Jr.</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Chairman of the Board and 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Walter A. Dods, Jr.</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Blake Baird</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W. Blake Baird</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Chun</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Michael J. Chun</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Fargo</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Thomas B. Fargo</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M. Kuriyama</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Stanley M. Kuriyama</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Constance H. Lau</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Constance H. Lau</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N. Watanabe</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Jeffrey N. Watanabe</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M. Wine</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Senior Vice President and 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Joel M. Wine</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Dale B. Hendler</w:t>
            </w:r>
          </w:p>
        </w:tc>
        <w:tc>
          <w:tcPr>
            <w:tcW w:w="4960" w:type="dxa"/>
            <w:vAlign w:val="bottom"/>
            <w:gridSpan w:val="3"/>
          </w:tcPr>
          <w:p>
            <w:pPr>
              <w:ind w:left="180"/>
              <w:spacing w:after="0"/>
              <w:rPr>
                <w:sz w:val="20"/>
                <w:szCs w:val="20"/>
                <w:color w:val="auto"/>
              </w:rPr>
            </w:pPr>
            <w:r>
              <w:rPr>
                <w:rFonts w:ascii="Arial" w:cs="Arial" w:eastAsia="Arial" w:hAnsi="Arial"/>
                <w:sz w:val="18"/>
                <w:szCs w:val="18"/>
                <w:color w:val="auto"/>
              </w:rPr>
              <w:t>Vice President and Controller, (principal accounting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February 24, 2017</w:t>
            </w: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Dale B. Hendler</w:t>
            </w:r>
          </w:p>
        </w:tc>
        <w:tc>
          <w:tcPr>
            <w:tcW w:w="1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418"/>
        </w:trPr>
        <w:tc>
          <w:tcPr>
            <w:tcW w:w="2280" w:type="dxa"/>
            <w:vAlign w:val="bottom"/>
          </w:tcPr>
          <w:p>
            <w:pPr>
              <w:spacing w:after="0"/>
              <w:rPr>
                <w:sz w:val="24"/>
                <w:szCs w:val="24"/>
                <w:color w:val="auto"/>
              </w:rPr>
            </w:pPr>
          </w:p>
        </w:tc>
        <w:tc>
          <w:tcPr>
            <w:tcW w:w="4800" w:type="dxa"/>
            <w:vAlign w:val="bottom"/>
            <w:gridSpan w:val="2"/>
          </w:tcPr>
          <w:p>
            <w:pPr>
              <w:jc w:val="right"/>
              <w:ind w:right="224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10.63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MATSON, INC. CASH INCENTIVE PLAN</w:t>
      </w:r>
    </w:p>
    <w:p>
      <w:pPr>
        <w:jc w:val="center"/>
        <w:spacing w:after="0"/>
        <w:rPr>
          <w:sz w:val="20"/>
          <w:szCs w:val="20"/>
          <w:color w:val="auto"/>
        </w:rPr>
      </w:pPr>
      <w:r>
        <w:rPr>
          <w:rFonts w:ascii="Arial" w:cs="Arial" w:eastAsia="Arial" w:hAnsi="Arial"/>
          <w:sz w:val="22"/>
          <w:szCs w:val="22"/>
          <w:b w:val="1"/>
          <w:bCs w:val="1"/>
          <w:color w:val="auto"/>
        </w:rPr>
        <w:t>Effective January 1, 2016</w:t>
      </w:r>
    </w:p>
    <w:p>
      <w:pPr>
        <w:spacing w:after="0" w:line="188" w:lineRule="exact"/>
        <w:rPr>
          <w:sz w:val="20"/>
          <w:szCs w:val="20"/>
          <w:color w:val="auto"/>
        </w:rPr>
      </w:pPr>
    </w:p>
    <w:p>
      <w:pPr>
        <w:ind w:left="660" w:hanging="657"/>
        <w:spacing w:after="0"/>
        <w:tabs>
          <w:tab w:leader="none" w:pos="66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Establishment and Purpose</w:t>
      </w:r>
    </w:p>
    <w:p>
      <w:pPr>
        <w:spacing w:after="0" w:line="206" w:lineRule="exact"/>
        <w:rPr>
          <w:rFonts w:ascii="Arial" w:cs="Arial" w:eastAsia="Arial" w:hAnsi="Arial"/>
          <w:sz w:val="22"/>
          <w:szCs w:val="22"/>
          <w:color w:val="auto"/>
        </w:rPr>
      </w:pPr>
    </w:p>
    <w:p>
      <w:pPr>
        <w:jc w:val="both"/>
        <w:ind w:firstLine="651"/>
        <w:spacing w:after="0"/>
        <w:tabs>
          <w:tab w:leader="none" w:pos="1586" w:val="left"/>
        </w:tabs>
        <w:numPr>
          <w:ilvl w:val="1"/>
          <w:numId w:val="65"/>
        </w:numPr>
        <w:rPr>
          <w:rFonts w:ascii="Arial" w:cs="Arial" w:eastAsia="Arial" w:hAnsi="Arial"/>
          <w:sz w:val="22"/>
          <w:szCs w:val="22"/>
          <w:color w:val="auto"/>
        </w:rPr>
      </w:pPr>
      <w:r>
        <w:rPr>
          <w:rFonts w:ascii="Arial" w:cs="Arial" w:eastAsia="Arial" w:hAnsi="Arial"/>
          <w:sz w:val="22"/>
          <w:szCs w:val="22"/>
          <w:color w:val="auto"/>
        </w:rPr>
        <w:t>Matson, Inc. (the “Company” or “Matson”) has established the Matson, Inc. Cash Incentive Plan (the “Plan”), enabling a select group of employees at Matson to be eligible for cash incentive compensation.</w:t>
      </w:r>
    </w:p>
    <w:p>
      <w:pPr>
        <w:spacing w:after="0" w:line="186" w:lineRule="exact"/>
        <w:rPr>
          <w:rFonts w:ascii="Arial" w:cs="Arial" w:eastAsia="Arial" w:hAnsi="Arial"/>
          <w:sz w:val="22"/>
          <w:szCs w:val="22"/>
          <w:color w:val="auto"/>
        </w:rPr>
      </w:pPr>
    </w:p>
    <w:p>
      <w:pPr>
        <w:ind w:firstLine="651"/>
        <w:spacing w:after="0" w:line="328" w:lineRule="auto"/>
        <w:tabs>
          <w:tab w:leader="none" w:pos="1362" w:val="left"/>
        </w:tabs>
        <w:numPr>
          <w:ilvl w:val="1"/>
          <w:numId w:val="65"/>
        </w:numPr>
        <w:rPr>
          <w:rFonts w:ascii="Arial" w:cs="Arial" w:eastAsia="Arial" w:hAnsi="Arial"/>
          <w:sz w:val="19"/>
          <w:szCs w:val="19"/>
          <w:color w:val="auto"/>
        </w:rPr>
      </w:pPr>
      <w:r>
        <w:rPr>
          <w:rFonts w:ascii="Arial" w:cs="Arial" w:eastAsia="Arial" w:hAnsi="Arial"/>
          <w:sz w:val="19"/>
          <w:szCs w:val="19"/>
          <w:color w:val="auto"/>
        </w:rPr>
        <w:t>The purpose of this Plan is to motivate employees to exceed business plan performance and to provide a reward to individuals for their successful results. Further, the Plan is intended to:</w:t>
      </w:r>
    </w:p>
    <w:p>
      <w:pPr>
        <w:spacing w:after="0" w:line="105" w:lineRule="exact"/>
        <w:rPr>
          <w:rFonts w:ascii="Arial" w:cs="Arial" w:eastAsia="Arial" w:hAnsi="Arial"/>
          <w:sz w:val="19"/>
          <w:szCs w:val="19"/>
          <w:color w:val="auto"/>
        </w:rPr>
      </w:pPr>
    </w:p>
    <w:p>
      <w:pPr>
        <w:ind w:left="1940" w:hanging="641"/>
        <w:spacing w:after="0"/>
        <w:tabs>
          <w:tab w:leader="none" w:pos="1940" w:val="left"/>
        </w:tabs>
        <w:numPr>
          <w:ilvl w:val="2"/>
          <w:numId w:val="65"/>
        </w:numPr>
        <w:rPr>
          <w:rFonts w:ascii="Arial" w:cs="Arial" w:eastAsia="Arial" w:hAnsi="Arial"/>
          <w:sz w:val="22"/>
          <w:szCs w:val="22"/>
          <w:color w:val="auto"/>
        </w:rPr>
      </w:pPr>
      <w:r>
        <w:rPr>
          <w:rFonts w:ascii="Arial" w:cs="Arial" w:eastAsia="Arial" w:hAnsi="Arial"/>
          <w:sz w:val="22"/>
          <w:szCs w:val="22"/>
          <w:color w:val="auto"/>
        </w:rPr>
        <w:t>Align Eligible Employees’ and shareholders’ interests;</w:t>
      </w:r>
    </w:p>
    <w:p>
      <w:pPr>
        <w:spacing w:after="0" w:line="206" w:lineRule="exact"/>
        <w:rPr>
          <w:rFonts w:ascii="Arial" w:cs="Arial" w:eastAsia="Arial" w:hAnsi="Arial"/>
          <w:sz w:val="22"/>
          <w:szCs w:val="22"/>
          <w:color w:val="auto"/>
        </w:rPr>
      </w:pPr>
    </w:p>
    <w:p>
      <w:pPr>
        <w:ind w:left="1940" w:hanging="641"/>
        <w:spacing w:after="0"/>
        <w:tabs>
          <w:tab w:leader="none" w:pos="1940" w:val="left"/>
        </w:tabs>
        <w:numPr>
          <w:ilvl w:val="2"/>
          <w:numId w:val="65"/>
        </w:numPr>
        <w:rPr>
          <w:rFonts w:ascii="Arial" w:cs="Arial" w:eastAsia="Arial" w:hAnsi="Arial"/>
          <w:sz w:val="21"/>
          <w:szCs w:val="21"/>
          <w:color w:val="auto"/>
        </w:rPr>
      </w:pPr>
      <w:r>
        <w:rPr>
          <w:rFonts w:ascii="Arial" w:cs="Arial" w:eastAsia="Arial" w:hAnsi="Arial"/>
          <w:sz w:val="21"/>
          <w:szCs w:val="21"/>
          <w:color w:val="auto"/>
        </w:rPr>
        <w:t>Emphasize current and future profitability, improvement or desirable change;</w:t>
      </w:r>
    </w:p>
    <w:p>
      <w:pPr>
        <w:spacing w:after="0" w:line="217" w:lineRule="exact"/>
        <w:rPr>
          <w:rFonts w:ascii="Arial" w:cs="Arial" w:eastAsia="Arial" w:hAnsi="Arial"/>
          <w:sz w:val="21"/>
          <w:szCs w:val="21"/>
          <w:color w:val="auto"/>
        </w:rPr>
      </w:pPr>
    </w:p>
    <w:p>
      <w:pPr>
        <w:ind w:left="1940" w:hanging="641"/>
        <w:spacing w:after="0" w:line="251" w:lineRule="auto"/>
        <w:tabs>
          <w:tab w:leader="none" w:pos="1980" w:val="left"/>
        </w:tabs>
        <w:numPr>
          <w:ilvl w:val="2"/>
          <w:numId w:val="65"/>
        </w:numPr>
        <w:rPr>
          <w:rFonts w:ascii="Arial" w:cs="Arial" w:eastAsia="Arial" w:hAnsi="Arial"/>
          <w:sz w:val="22"/>
          <w:szCs w:val="22"/>
          <w:color w:val="auto"/>
        </w:rPr>
      </w:pPr>
      <w:r>
        <w:rPr>
          <w:rFonts w:ascii="Arial" w:cs="Arial" w:eastAsia="Arial" w:hAnsi="Arial"/>
          <w:sz w:val="22"/>
          <w:szCs w:val="22"/>
          <w:color w:val="auto"/>
        </w:rPr>
        <w:t>Recognize and reward Eligible Employees who make substantial contributions to the Company;</w:t>
      </w:r>
    </w:p>
    <w:p>
      <w:pPr>
        <w:spacing w:after="0" w:line="173" w:lineRule="exact"/>
        <w:rPr>
          <w:rFonts w:ascii="Arial" w:cs="Arial" w:eastAsia="Arial" w:hAnsi="Arial"/>
          <w:sz w:val="22"/>
          <w:szCs w:val="22"/>
          <w:color w:val="auto"/>
        </w:rPr>
      </w:pPr>
    </w:p>
    <w:p>
      <w:pPr>
        <w:ind w:left="1940" w:hanging="641"/>
        <w:spacing w:after="0"/>
        <w:tabs>
          <w:tab w:leader="none" w:pos="1940" w:val="left"/>
        </w:tabs>
        <w:numPr>
          <w:ilvl w:val="2"/>
          <w:numId w:val="65"/>
        </w:numPr>
        <w:rPr>
          <w:rFonts w:ascii="Arial" w:cs="Arial" w:eastAsia="Arial" w:hAnsi="Arial"/>
          <w:sz w:val="22"/>
          <w:szCs w:val="22"/>
          <w:color w:val="auto"/>
        </w:rPr>
      </w:pPr>
      <w:r>
        <w:rPr>
          <w:rFonts w:ascii="Arial" w:cs="Arial" w:eastAsia="Arial" w:hAnsi="Arial"/>
          <w:sz w:val="22"/>
          <w:szCs w:val="22"/>
          <w:color w:val="auto"/>
        </w:rPr>
        <w:t>Reinforce the implementation of business plans; and</w:t>
      </w:r>
    </w:p>
    <w:p>
      <w:pPr>
        <w:spacing w:after="0" w:line="206" w:lineRule="exact"/>
        <w:rPr>
          <w:rFonts w:ascii="Arial" w:cs="Arial" w:eastAsia="Arial" w:hAnsi="Arial"/>
          <w:sz w:val="22"/>
          <w:szCs w:val="22"/>
          <w:color w:val="auto"/>
        </w:rPr>
      </w:pPr>
    </w:p>
    <w:p>
      <w:pPr>
        <w:ind w:left="1940" w:hanging="641"/>
        <w:spacing w:after="0" w:line="251" w:lineRule="auto"/>
        <w:tabs>
          <w:tab w:leader="none" w:pos="1978" w:val="left"/>
        </w:tabs>
        <w:numPr>
          <w:ilvl w:val="2"/>
          <w:numId w:val="65"/>
        </w:numPr>
        <w:rPr>
          <w:rFonts w:ascii="Arial" w:cs="Arial" w:eastAsia="Arial" w:hAnsi="Arial"/>
          <w:sz w:val="22"/>
          <w:szCs w:val="22"/>
          <w:color w:val="auto"/>
        </w:rPr>
      </w:pPr>
      <w:r>
        <w:rPr>
          <w:rFonts w:ascii="Arial" w:cs="Arial" w:eastAsia="Arial" w:hAnsi="Arial"/>
          <w:sz w:val="22"/>
          <w:szCs w:val="22"/>
          <w:color w:val="auto"/>
        </w:rPr>
        <w:t>Link the incentive opportunity to external competitive practices, and internally to the Company’s total compensation objectives.</w:t>
      </w:r>
    </w:p>
    <w:p>
      <w:pPr>
        <w:spacing w:after="0" w:line="173" w:lineRule="exact"/>
        <w:rPr>
          <w:rFonts w:ascii="Arial" w:cs="Arial" w:eastAsia="Arial" w:hAnsi="Arial"/>
          <w:sz w:val="22"/>
          <w:szCs w:val="22"/>
          <w:color w:val="auto"/>
        </w:rPr>
      </w:pPr>
    </w:p>
    <w:p>
      <w:pPr>
        <w:ind w:left="1300" w:hanging="649"/>
        <w:spacing w:after="0" w:line="251" w:lineRule="auto"/>
        <w:tabs>
          <w:tab w:leader="none" w:pos="1430"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Plan is also intended to serve as a retention tool and accordingly requires service beyond the performance period.</w:t>
      </w:r>
    </w:p>
    <w:p>
      <w:pPr>
        <w:spacing w:after="0" w:line="173" w:lineRule="exact"/>
        <w:rPr>
          <w:rFonts w:ascii="Arial" w:cs="Arial" w:eastAsia="Arial" w:hAnsi="Arial"/>
          <w:sz w:val="22"/>
          <w:szCs w:val="22"/>
          <w:color w:val="auto"/>
        </w:rPr>
      </w:pPr>
    </w:p>
    <w:p>
      <w:pPr>
        <w:ind w:firstLine="651"/>
        <w:spacing w:after="0" w:line="328" w:lineRule="auto"/>
        <w:tabs>
          <w:tab w:leader="none" w:pos="1609" w:val="left"/>
        </w:tabs>
        <w:numPr>
          <w:ilvl w:val="1"/>
          <w:numId w:val="65"/>
        </w:numPr>
        <w:rPr>
          <w:rFonts w:ascii="Arial" w:cs="Arial" w:eastAsia="Arial" w:hAnsi="Arial"/>
          <w:sz w:val="19"/>
          <w:szCs w:val="19"/>
          <w:color w:val="auto"/>
        </w:rPr>
      </w:pPr>
      <w:r>
        <w:rPr>
          <w:rFonts w:ascii="Arial" w:cs="Arial" w:eastAsia="Arial" w:hAnsi="Arial"/>
          <w:sz w:val="19"/>
          <w:szCs w:val="19"/>
          <w:color w:val="auto"/>
        </w:rPr>
        <w:t>It is further intended that this Plan will complement other compensation program components to assure a sound basis upon which the Company will attract and retain key employees.</w:t>
      </w:r>
    </w:p>
    <w:p>
      <w:pPr>
        <w:spacing w:after="0" w:line="105" w:lineRule="exact"/>
        <w:rPr>
          <w:sz w:val="20"/>
          <w:szCs w:val="20"/>
          <w:color w:val="auto"/>
        </w:rPr>
      </w:pPr>
    </w:p>
    <w:p>
      <w:pPr>
        <w:ind w:left="680" w:hanging="677"/>
        <w:spacing w:after="0"/>
        <w:tabs>
          <w:tab w:leader="none" w:pos="680"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Administration</w:t>
      </w:r>
    </w:p>
    <w:p>
      <w:pPr>
        <w:spacing w:after="0" w:line="206" w:lineRule="exact"/>
        <w:rPr>
          <w:rFonts w:ascii="Arial" w:cs="Arial" w:eastAsia="Arial" w:hAnsi="Arial"/>
          <w:sz w:val="22"/>
          <w:szCs w:val="22"/>
          <w:color w:val="auto"/>
        </w:rPr>
      </w:pPr>
    </w:p>
    <w:p>
      <w:pPr>
        <w:jc w:val="both"/>
        <w:ind w:firstLine="651"/>
        <w:spacing w:after="0" w:line="236" w:lineRule="auto"/>
        <w:tabs>
          <w:tab w:leader="none" w:pos="1524"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Committee shall have responsibility for administration of this Plan. Under the direction of this Committee, the corporate officer in charge of the compensation programs of the Company and other executives designated by the Chief Executive Officer of the Company shall develop and maintain guidelines for the administration of the Plan and will perform day-to-day administrative details as required.</w:t>
      </w:r>
    </w:p>
    <w:p>
      <w:pPr>
        <w:spacing w:after="0" w:line="187" w:lineRule="exact"/>
        <w:rPr>
          <w:rFonts w:ascii="Arial" w:cs="Arial" w:eastAsia="Arial" w:hAnsi="Arial"/>
          <w:sz w:val="22"/>
          <w:szCs w:val="22"/>
          <w:color w:val="auto"/>
        </w:rPr>
      </w:pPr>
    </w:p>
    <w:p>
      <w:pPr>
        <w:jc w:val="both"/>
        <w:ind w:firstLine="651"/>
        <w:spacing w:after="0"/>
        <w:tabs>
          <w:tab w:leader="none" w:pos="1508"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Committee shall interpret the Plan, make or approve procedures and guidelines relating to it, and make any factual determinations arising in connection with it. The Committee's interpretations and determinations shall be final and binding.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ind w:left="660" w:hanging="657"/>
        <w:spacing w:after="0"/>
        <w:tabs>
          <w:tab w:leader="none" w:pos="66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Eligibility and Participation</w:t>
      </w:r>
    </w:p>
    <w:p>
      <w:pPr>
        <w:spacing w:after="0" w:line="206" w:lineRule="exact"/>
        <w:rPr>
          <w:rFonts w:ascii="Arial" w:cs="Arial" w:eastAsia="Arial" w:hAnsi="Arial"/>
          <w:sz w:val="22"/>
          <w:szCs w:val="22"/>
          <w:color w:val="auto"/>
        </w:rPr>
      </w:pPr>
    </w:p>
    <w:p>
      <w:pPr>
        <w:jc w:val="both"/>
        <w:ind w:firstLine="651"/>
        <w:spacing w:after="0" w:line="236" w:lineRule="auto"/>
        <w:tabs>
          <w:tab w:leader="none" w:pos="1443" w:val="left"/>
        </w:tabs>
        <w:numPr>
          <w:ilvl w:val="1"/>
          <w:numId w:val="67"/>
        </w:numPr>
        <w:rPr>
          <w:rFonts w:ascii="Arial" w:cs="Arial" w:eastAsia="Arial" w:hAnsi="Arial"/>
          <w:sz w:val="22"/>
          <w:szCs w:val="22"/>
          <w:color w:val="auto"/>
        </w:rPr>
      </w:pPr>
      <w:r>
        <w:rPr>
          <w:rFonts w:ascii="Arial" w:cs="Arial" w:eastAsia="Arial" w:hAnsi="Arial"/>
          <w:sz w:val="22"/>
          <w:szCs w:val="22"/>
          <w:color w:val="auto"/>
        </w:rPr>
        <w:t>For each Plan Year, the Plan covers each Employee who (i) is in Active Employment during the Plan Year; (ii) is classified by the Company as a Section 16 Officer or in a salary grade approved by the Committee; (iii) is on the payroll of the Company (or a Parent or Subsidiary) on or before October 1 of the Plan Year; and (iv) remains in Active Employment through the payout date for the award for such year, except as provided below.</w:t>
      </w:r>
    </w:p>
    <w:p>
      <w:pPr>
        <w:spacing w:after="0" w:line="187" w:lineRule="exact"/>
        <w:rPr>
          <w:rFonts w:ascii="Arial" w:cs="Arial" w:eastAsia="Arial" w:hAnsi="Arial"/>
          <w:sz w:val="22"/>
          <w:szCs w:val="22"/>
          <w:color w:val="auto"/>
        </w:rPr>
      </w:pPr>
    </w:p>
    <w:p>
      <w:pPr>
        <w:jc w:val="both"/>
        <w:ind w:firstLine="651"/>
        <w:spacing w:after="0" w:line="279" w:lineRule="auto"/>
        <w:tabs>
          <w:tab w:leader="none" w:pos="1562"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New Hires and Rehires</w:t>
      </w:r>
      <w:r>
        <w:rPr>
          <w:rFonts w:ascii="Arial" w:cs="Arial" w:eastAsia="Arial" w:hAnsi="Arial"/>
          <w:sz w:val="19"/>
          <w:szCs w:val="19"/>
          <w:color w:val="auto"/>
        </w:rPr>
        <w:t>. If an individual becomes an Eligible Employee after the beginning of the Plan Year, but on or before October 1 of the Plan Year, then the bonus award for such individual (as determined pursuant to Section V.B.) shall be prorated for the length of time he or she worked as an Eligible Employee during the Plan Year. Rehired individuals are not entitled to receive credit for prior periods of employment, unless the Eligible Employee was involuntarily terminated by the Company without Cause during the Plan Year and rehired in the same Plan Year.</w:t>
      </w:r>
    </w:p>
    <w:p>
      <w:pPr>
        <w:spacing w:after="0" w:line="150" w:lineRule="exact"/>
        <w:rPr>
          <w:rFonts w:ascii="Arial" w:cs="Arial" w:eastAsia="Arial" w:hAnsi="Arial"/>
          <w:sz w:val="19"/>
          <w:szCs w:val="19"/>
          <w:color w:val="auto"/>
        </w:rPr>
      </w:pPr>
    </w:p>
    <w:p>
      <w:pPr>
        <w:jc w:val="both"/>
        <w:ind w:firstLine="651"/>
        <w:spacing w:after="0" w:line="287" w:lineRule="auto"/>
        <w:tabs>
          <w:tab w:leader="none" w:pos="1657" w:val="left"/>
        </w:tabs>
        <w:numPr>
          <w:ilvl w:val="1"/>
          <w:numId w:val="67"/>
        </w:numPr>
        <w:rPr>
          <w:rFonts w:ascii="Arial" w:cs="Arial" w:eastAsia="Arial" w:hAnsi="Arial"/>
          <w:sz w:val="19"/>
          <w:szCs w:val="19"/>
          <w:color w:val="auto"/>
        </w:rPr>
      </w:pPr>
      <w:r>
        <w:rPr>
          <w:rFonts w:ascii="Arial" w:cs="Arial" w:eastAsia="Arial" w:hAnsi="Arial"/>
          <w:sz w:val="19"/>
          <w:szCs w:val="19"/>
          <w:u w:val="single" w:color="auto"/>
          <w:color w:val="auto"/>
        </w:rPr>
        <w:t>Disability, Retirement and Death</w:t>
      </w:r>
      <w:r>
        <w:rPr>
          <w:rFonts w:ascii="Arial" w:cs="Arial" w:eastAsia="Arial" w:hAnsi="Arial"/>
          <w:sz w:val="19"/>
          <w:szCs w:val="19"/>
          <w:color w:val="auto"/>
        </w:rPr>
        <w:t>. If an Eligible Employee becomes Permanently Disabled, takes Retirement, or dies during the Plan Year for which the award is made, then the bonus award for such individual (as determined pursuant to Section V.B.) shall be prorated based on the length of time he or she worked as an Eligible Employee during the Plan Year.</w:t>
      </w:r>
    </w:p>
    <w:p>
      <w:pPr>
        <w:spacing w:after="0" w:line="143" w:lineRule="exact"/>
        <w:rPr>
          <w:rFonts w:ascii="Arial" w:cs="Arial" w:eastAsia="Arial" w:hAnsi="Arial"/>
          <w:sz w:val="19"/>
          <w:szCs w:val="19"/>
          <w:color w:val="auto"/>
        </w:rPr>
      </w:pPr>
    </w:p>
    <w:p>
      <w:pPr>
        <w:jc w:val="both"/>
        <w:ind w:firstLine="651"/>
        <w:spacing w:after="0" w:line="238" w:lineRule="auto"/>
        <w:tabs>
          <w:tab w:leader="none" w:pos="1317" w:val="left"/>
        </w:tabs>
        <w:numPr>
          <w:ilvl w:val="1"/>
          <w:numId w:val="67"/>
        </w:numPr>
        <w:rPr>
          <w:rFonts w:ascii="Arial" w:cs="Arial" w:eastAsia="Arial" w:hAnsi="Arial"/>
          <w:sz w:val="22"/>
          <w:szCs w:val="22"/>
          <w:color w:val="auto"/>
        </w:rPr>
      </w:pPr>
      <w:r>
        <w:rPr>
          <w:rFonts w:ascii="Arial" w:cs="Arial" w:eastAsia="Arial" w:hAnsi="Arial"/>
          <w:sz w:val="22"/>
          <w:szCs w:val="22"/>
          <w:u w:val="single" w:color="auto"/>
          <w:color w:val="auto"/>
        </w:rPr>
        <w:t>Leaves of Absence</w:t>
      </w:r>
      <w:r>
        <w:rPr>
          <w:rFonts w:ascii="Arial" w:cs="Arial" w:eastAsia="Arial" w:hAnsi="Arial"/>
          <w:sz w:val="22"/>
          <w:szCs w:val="22"/>
          <w:color w:val="auto"/>
        </w:rPr>
        <w:t>. Eligible Employees who are on an approved leave of absence during the Plan Year will have their bonus amount (as determined pursuant to Section V.B.) prorated based on the number of days during the Plan Year for which such individual received regular pay from the Company (or a Parent or Subsidiary).</w:t>
      </w:r>
    </w:p>
    <w:p>
      <w:pPr>
        <w:spacing w:after="0" w:line="185" w:lineRule="exact"/>
        <w:rPr>
          <w:rFonts w:ascii="Arial" w:cs="Arial" w:eastAsia="Arial" w:hAnsi="Arial"/>
          <w:sz w:val="22"/>
          <w:szCs w:val="22"/>
          <w:color w:val="auto"/>
        </w:rPr>
      </w:pPr>
    </w:p>
    <w:p>
      <w:pPr>
        <w:ind w:firstLine="651"/>
        <w:spacing w:after="0" w:line="251" w:lineRule="auto"/>
        <w:tabs>
          <w:tab w:leader="none" w:pos="1347" w:val="left"/>
        </w:tabs>
        <w:numPr>
          <w:ilvl w:val="1"/>
          <w:numId w:val="67"/>
        </w:numPr>
        <w:rPr>
          <w:rFonts w:ascii="Arial" w:cs="Arial" w:eastAsia="Arial" w:hAnsi="Arial"/>
          <w:sz w:val="22"/>
          <w:szCs w:val="22"/>
          <w:color w:val="auto"/>
        </w:rPr>
      </w:pPr>
      <w:r>
        <w:rPr>
          <w:rFonts w:ascii="Arial" w:cs="Arial" w:eastAsia="Arial" w:hAnsi="Arial"/>
          <w:sz w:val="22"/>
          <w:szCs w:val="22"/>
          <w:color w:val="auto"/>
        </w:rPr>
        <w:t>Exceptions. Additions or deletions to the eligibility requirements outlined above can be made only by the Chief Executive Officer, with the approval of the Committee.</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IV.</w:t>
      </w:r>
      <w:r>
        <w:rPr>
          <w:sz w:val="20"/>
          <w:szCs w:val="20"/>
          <w:color w:val="auto"/>
        </w:rPr>
        <w:tab/>
      </w:r>
      <w:r>
        <w:rPr>
          <w:rFonts w:ascii="Arial" w:cs="Arial" w:eastAsia="Arial" w:hAnsi="Arial"/>
          <w:sz w:val="22"/>
          <w:szCs w:val="22"/>
          <w:u w:val="single" w:color="auto"/>
          <w:color w:val="auto"/>
        </w:rPr>
        <w:t>Performance Goals (Objectives)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performance goals used as the basis of this Plan shall be determined by the Committee and may be based on (but are not limited to) one or more Company Performance Goals and/or individual goals.</w:t>
      </w:r>
    </w:p>
    <w:p>
      <w:pPr>
        <w:spacing w:after="0" w:line="186" w:lineRule="exact"/>
        <w:rPr>
          <w:sz w:val="20"/>
          <w:szCs w:val="20"/>
          <w:color w:val="auto"/>
        </w:rPr>
      </w:pPr>
    </w:p>
    <w:p>
      <w:pPr>
        <w:ind w:left="620" w:hanging="617"/>
        <w:spacing w:after="0"/>
        <w:tabs>
          <w:tab w:leader="none" w:pos="62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Awards</w:t>
      </w:r>
    </w:p>
    <w:p>
      <w:pPr>
        <w:spacing w:after="0" w:line="206"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u w:val="single" w:color="auto"/>
          <w:color w:val="auto"/>
        </w:rPr>
        <w:t>Opportunity</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For each goal established for the Eligible Employee pursuant to Section IV, a bonus opportunity (stated as a dollar amount or percentage of salary) will be set at one or more levels based on corresponding levels of attainment of that goal. For example, a target level bonus may be set for target level attainment of each established goal. Accordingly, each Eligible Employee’s maximum award under the Plan for a particular Plan Year shall be equal to the sum of the maximum level of bonus opportunity set for each goal established for him or her for that Plan Year.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92" w:name="page93"/>
    <w:bookmarkEnd w:id="92"/>
    <w:p>
      <w:pPr>
        <w:ind w:left="1340" w:hanging="689"/>
        <w:spacing w:after="0"/>
        <w:tabs>
          <w:tab w:leader="none" w:pos="134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Determination</w:t>
      </w:r>
    </w:p>
    <w:p>
      <w:pPr>
        <w:spacing w:after="0" w:line="206" w:lineRule="exact"/>
        <w:rPr>
          <w:rFonts w:ascii="Arial" w:cs="Arial" w:eastAsia="Arial" w:hAnsi="Arial"/>
          <w:sz w:val="22"/>
          <w:szCs w:val="22"/>
          <w:color w:val="auto"/>
        </w:rPr>
      </w:pPr>
    </w:p>
    <w:p>
      <w:pPr>
        <w:jc w:val="both"/>
        <w:ind w:firstLine="1299"/>
        <w:spacing w:after="0" w:line="246" w:lineRule="auto"/>
        <w:tabs>
          <w:tab w:leader="none" w:pos="1999"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Individual Bonus Calculation</w:t>
      </w:r>
      <w:r>
        <w:rPr>
          <w:rFonts w:ascii="Arial" w:cs="Arial" w:eastAsia="Arial" w:hAnsi="Arial"/>
          <w:sz w:val="21"/>
          <w:szCs w:val="21"/>
          <w:color w:val="auto"/>
        </w:rPr>
        <w:t>. At the end of each Plan Year, the Committee shall determine the actual level of attainment of each of the goals established for the Eligible Employee for that Plan Year. Based on the Committee’s determination of the attained level of each goal, an initial calculation shall be made of the bonus amount attributable to that goal, and the Eligible Employee’s potential bonus amount for that Plan Year shall be equal to sum of those individually calculated bonus amounts. However, the actual bonus amount to be paid to the Eligible Employee shall be subject to his or her satisfaction of the employment requirement set forth in Section III, and any adjustments effected by the Committee pursuant to Section V.B.2.</w:t>
      </w:r>
    </w:p>
    <w:p>
      <w:pPr>
        <w:spacing w:after="0" w:line="180" w:lineRule="exact"/>
        <w:rPr>
          <w:rFonts w:ascii="Arial" w:cs="Arial" w:eastAsia="Arial" w:hAnsi="Arial"/>
          <w:sz w:val="21"/>
          <w:szCs w:val="21"/>
          <w:color w:val="auto"/>
        </w:rPr>
      </w:pPr>
    </w:p>
    <w:p>
      <w:pPr>
        <w:jc w:val="both"/>
        <w:ind w:firstLine="1299"/>
        <w:spacing w:after="0" w:line="248" w:lineRule="auto"/>
        <w:tabs>
          <w:tab w:leader="none" w:pos="2147" w:val="left"/>
        </w:tabs>
        <w:numPr>
          <w:ilvl w:val="1"/>
          <w:numId w:val="69"/>
        </w:numPr>
        <w:rPr>
          <w:rFonts w:ascii="Arial" w:cs="Arial" w:eastAsia="Arial" w:hAnsi="Arial"/>
          <w:sz w:val="21"/>
          <w:szCs w:val="21"/>
          <w:color w:val="auto"/>
        </w:rPr>
      </w:pPr>
      <w:r>
        <w:rPr>
          <w:rFonts w:ascii="Arial" w:cs="Arial" w:eastAsia="Arial" w:hAnsi="Arial"/>
          <w:sz w:val="21"/>
          <w:szCs w:val="21"/>
          <w:u w:val="single" w:color="auto"/>
          <w:color w:val="auto"/>
        </w:rPr>
        <w:t>Committee Discretion</w:t>
      </w:r>
      <w:r>
        <w:rPr>
          <w:rFonts w:ascii="Arial" w:cs="Arial" w:eastAsia="Arial" w:hAnsi="Arial"/>
          <w:sz w:val="21"/>
          <w:szCs w:val="21"/>
          <w:color w:val="auto"/>
        </w:rPr>
        <w:t>. The award calculated for each participant pursuant to Section V.B.1 may be increased or decreased by the Committee in its absolute discretion if such award does not, in the judgment of the Committee, accurately reflect the performance of the Company or of the applicable Subsidiary, operating unit or the individual. Such adjustments by the Committee may be applied uniformly with respect to all Eligible Employees, or such adjustment may be applied selectively with respect to one or more individual Eligible Employees.</w:t>
      </w:r>
    </w:p>
    <w:p>
      <w:pPr>
        <w:spacing w:after="0" w:line="177" w:lineRule="exact"/>
        <w:rPr>
          <w:rFonts w:ascii="Arial" w:cs="Arial" w:eastAsia="Arial" w:hAnsi="Arial"/>
          <w:sz w:val="21"/>
          <w:szCs w:val="21"/>
          <w:color w:val="auto"/>
        </w:rPr>
      </w:pPr>
    </w:p>
    <w:p>
      <w:pPr>
        <w:ind w:left="1280" w:hanging="629"/>
        <w:spacing w:after="0"/>
        <w:tabs>
          <w:tab w:leader="none" w:pos="128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Payments and Tax Withholdings</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Awards shall be paid only in cash, with such cash payment to be made at the time the award is determined, approved by the Committee and as soon as administratively possible following award determination and approval but in no event later than March 15 of the year following the Plan Year of performance. Participants will not be permitted to receive any portion of their awards in the form of the Company’s common stock. The Company will deduct from all payments any and all applicable taxes (e.g., federal, state, local or other taxes of any kind) required by law to be withheld with respect to such payment.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VI.</w:t>
      </w:r>
      <w:r>
        <w:rPr>
          <w:sz w:val="20"/>
          <w:szCs w:val="20"/>
          <w:color w:val="auto"/>
        </w:rPr>
        <w:tab/>
      </w:r>
      <w:r>
        <w:rPr>
          <w:rFonts w:ascii="Arial" w:cs="Arial" w:eastAsia="Arial" w:hAnsi="Arial"/>
          <w:sz w:val="22"/>
          <w:szCs w:val="22"/>
          <w:u w:val="single" w:color="auto"/>
          <w:color w:val="auto"/>
        </w:rPr>
        <w:t>General Provisions</w:t>
      </w:r>
    </w:p>
    <w:p>
      <w:pPr>
        <w:spacing w:after="0" w:line="206" w:lineRule="exact"/>
        <w:rPr>
          <w:sz w:val="20"/>
          <w:szCs w:val="20"/>
          <w:color w:val="auto"/>
        </w:rPr>
      </w:pPr>
    </w:p>
    <w:p>
      <w:pPr>
        <w:jc w:val="both"/>
        <w:ind w:firstLine="651"/>
        <w:spacing w:after="0" w:line="252" w:lineRule="auto"/>
        <w:tabs>
          <w:tab w:leader="none" w:pos="1300" w:val="left"/>
        </w:tabs>
        <w:numPr>
          <w:ilvl w:val="0"/>
          <w:numId w:val="70"/>
        </w:numPr>
        <w:rPr>
          <w:rFonts w:ascii="Arial" w:cs="Arial" w:eastAsia="Arial" w:hAnsi="Arial"/>
          <w:sz w:val="21"/>
          <w:szCs w:val="21"/>
          <w:color w:val="auto"/>
        </w:rPr>
      </w:pPr>
      <w:r>
        <w:rPr>
          <w:rFonts w:ascii="Arial" w:cs="Arial" w:eastAsia="Arial" w:hAnsi="Arial"/>
          <w:sz w:val="21"/>
          <w:szCs w:val="21"/>
          <w:color w:val="auto"/>
        </w:rPr>
        <w:t>Nothing herein contained shall be construed to limit or affect in any manner or degree the normal and usual powers of management, exercised by the officers and the Board of Directors or committees thereof, to change the duties or the character of employment of any employee of the Company, all of which rights and powers are hereby expressly reserved.</w:t>
      </w:r>
    </w:p>
    <w:p>
      <w:pPr>
        <w:spacing w:after="0" w:line="174" w:lineRule="exact"/>
        <w:rPr>
          <w:rFonts w:ascii="Arial" w:cs="Arial" w:eastAsia="Arial" w:hAnsi="Arial"/>
          <w:sz w:val="21"/>
          <w:szCs w:val="21"/>
          <w:color w:val="auto"/>
        </w:rPr>
      </w:pPr>
    </w:p>
    <w:p>
      <w:pPr>
        <w:jc w:val="both"/>
        <w:ind w:firstLine="651"/>
        <w:spacing w:after="0" w:line="236" w:lineRule="auto"/>
        <w:tabs>
          <w:tab w:leader="none" w:pos="1416"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Nothing herein shall confer upon a participant any right to continue in service for any period of specific duration or interfere with or otherwise restrict in any way the rights of the Corporation (or any Parent or Subsidiary employing or retaining the participant) or of the participant, which rights are hereby expressly reserved by each, to terminate participant’s service at any time for any reason, with or without cause.</w:t>
      </w:r>
    </w:p>
    <w:p>
      <w:pPr>
        <w:spacing w:after="0" w:line="187" w:lineRule="exact"/>
        <w:rPr>
          <w:rFonts w:ascii="Arial" w:cs="Arial" w:eastAsia="Arial" w:hAnsi="Arial"/>
          <w:sz w:val="22"/>
          <w:szCs w:val="22"/>
          <w:color w:val="auto"/>
        </w:rPr>
      </w:pPr>
    </w:p>
    <w:p>
      <w:pPr>
        <w:jc w:val="both"/>
        <w:ind w:firstLine="651"/>
        <w:spacing w:after="0" w:line="236" w:lineRule="auto"/>
        <w:tabs>
          <w:tab w:leader="none" w:pos="136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It is intended that the Plan shall continue from year to year, subject to an annual review by the Board of Directors. However, the Board of Directors reserves the right to modify, amend or terminate the Plan at any time; provided, that no amendment or termination shall affect the rights of participants to receive awards finally determined and approved by the Committee but unpaid at the time of such termination or amendment.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93" w:name="page94"/>
    <w:bookmarkEnd w:id="93"/>
    <w:p>
      <w:pPr>
        <w:ind w:firstLine="651"/>
        <w:spacing w:after="0" w:line="251" w:lineRule="auto"/>
        <w:tabs>
          <w:tab w:leader="none" w:pos="1326"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parameters of the Plan shall be construed, administered and governed by the laws of the State of Hawaii without resort to its conflict-of-laws provisions.</w:t>
      </w:r>
    </w:p>
    <w:p>
      <w:pPr>
        <w:spacing w:after="0" w:line="173" w:lineRule="exact"/>
        <w:rPr>
          <w:rFonts w:ascii="Arial" w:cs="Arial" w:eastAsia="Arial" w:hAnsi="Arial"/>
          <w:sz w:val="22"/>
          <w:szCs w:val="22"/>
          <w:color w:val="auto"/>
        </w:rPr>
      </w:pPr>
    </w:p>
    <w:p>
      <w:pPr>
        <w:jc w:val="both"/>
        <w:ind w:firstLine="651"/>
        <w:spacing w:after="0" w:line="236" w:lineRule="auto"/>
        <w:tabs>
          <w:tab w:leader="none" w:pos="1474" w:val="left"/>
        </w:tabs>
        <w:numPr>
          <w:ilvl w:val="0"/>
          <w:numId w:val="71"/>
        </w:numPr>
        <w:rPr>
          <w:rFonts w:ascii="Arial" w:cs="Arial" w:eastAsia="Arial" w:hAnsi="Arial"/>
          <w:sz w:val="22"/>
          <w:szCs w:val="22"/>
          <w:color w:val="auto"/>
        </w:rPr>
      </w:pPr>
      <w:r>
        <w:rPr>
          <w:rFonts w:ascii="Arial" w:cs="Arial" w:eastAsia="Arial" w:hAnsi="Arial"/>
          <w:sz w:val="22"/>
          <w:szCs w:val="22"/>
          <w:color w:val="auto"/>
        </w:rPr>
        <w:t>No amounts awarded or accrued under this Plan shall actually be funded, set aside or otherwise segregated prior to payment. The obligation to pay the bonuses awarded hereunder shall at all times be an unfunded and unsecured obligation of the Company. Plan participants shall have the status of general creditors and shall look solely to the general assets of the Company for the payment of their bonus awards.</w:t>
      </w:r>
    </w:p>
    <w:p>
      <w:pPr>
        <w:spacing w:after="0" w:line="187" w:lineRule="exact"/>
        <w:rPr>
          <w:rFonts w:ascii="Arial" w:cs="Arial" w:eastAsia="Arial" w:hAnsi="Arial"/>
          <w:sz w:val="22"/>
          <w:szCs w:val="22"/>
          <w:color w:val="auto"/>
        </w:rPr>
      </w:pPr>
    </w:p>
    <w:p>
      <w:pPr>
        <w:jc w:val="both"/>
        <w:ind w:firstLine="651"/>
        <w:spacing w:after="0" w:line="234" w:lineRule="auto"/>
        <w:tabs>
          <w:tab w:leader="none" w:pos="1719"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Plan shall be administered, operated and construed in compliance with the requirements of the short-term deferral exception to Section 409A of the Internal Revenue Code (the “Code”) and Treasury Regulations Section 1.409A-1(b)(4). Accordingly, to the extent there is any ambiguity as to whether one or more provisions of the Plan would otherwise contravene the requirements or limitations of Section 409A of the Code applicable to such short-term deferral exception, then those provisions shall be interpreted and applied in a manner that does not result in a violation of the requirements or limitations of Section 409A of the Code and the Treasury Regulations thereunder that apply to such exception.</w:t>
      </w:r>
    </w:p>
    <w:p>
      <w:pPr>
        <w:spacing w:after="0" w:line="188"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IN WITNESS WHEREOF, Matson, Inc. has caused this Plan to be executed by its duly authorized officers effective this 27th day of October, 2016.</w:t>
      </w:r>
    </w:p>
    <w:p>
      <w:pPr>
        <w:spacing w:after="0" w:line="17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MATSON, INC.</w:t>
      </w:r>
    </w:p>
    <w:p>
      <w:pPr>
        <w:spacing w:after="0" w:line="200" w:lineRule="exact"/>
        <w:rPr>
          <w:sz w:val="20"/>
          <w:szCs w:val="20"/>
          <w:color w:val="auto"/>
        </w:rPr>
      </w:pPr>
    </w:p>
    <w:p>
      <w:pPr>
        <w:spacing w:after="0" w:line="27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Yolanda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7620</wp:posOffset>
            </wp:positionV>
            <wp:extent cx="26587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Its: Vice President</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/s/ Peter Heilmann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7620</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Its: Senior  Vice  President  and  Chief  Legal</w:t>
      </w:r>
    </w:p>
    <w:p>
      <w:pPr>
        <w:spacing w:after="0" w:line="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94" w:name="page95"/>
    <w:bookmarkEnd w:id="94"/>
    <w:p>
      <w:pPr>
        <w:ind w:left="3960"/>
        <w:spacing w:after="0"/>
        <w:rPr>
          <w:sz w:val="20"/>
          <w:szCs w:val="20"/>
          <w:color w:val="auto"/>
        </w:rPr>
      </w:pPr>
      <w:r>
        <w:rPr>
          <w:rFonts w:ascii="Arial" w:cs="Arial" w:eastAsia="Arial" w:hAnsi="Arial"/>
          <w:sz w:val="22"/>
          <w:szCs w:val="22"/>
          <w:b w:val="1"/>
          <w:bCs w:val="1"/>
          <w:u w:val="single" w:color="auto"/>
          <w:color w:val="auto"/>
        </w:rPr>
        <w:t>APPENDIX</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2"/>
          <w:szCs w:val="22"/>
          <w:color w:val="auto"/>
        </w:rPr>
        <w:t>The following definitions shall be in effect under the Plan:</w:t>
      </w:r>
    </w:p>
    <w:p>
      <w:pPr>
        <w:spacing w:after="0" w:line="200" w:lineRule="exact"/>
        <w:rPr>
          <w:sz w:val="20"/>
          <w:szCs w:val="20"/>
          <w:color w:val="auto"/>
        </w:rPr>
      </w:pPr>
    </w:p>
    <w:p>
      <w:pPr>
        <w:ind w:left="2100" w:hanging="653"/>
        <w:spacing w:after="0"/>
        <w:tabs>
          <w:tab w:leader="none" w:pos="2100" w:val="left"/>
        </w:tabs>
        <w:numPr>
          <w:ilvl w:val="1"/>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cash incentive award paid out under the Plan.</w:t>
      </w:r>
    </w:p>
    <w:p>
      <w:pPr>
        <w:spacing w:after="0" w:line="206" w:lineRule="exact"/>
        <w:rPr>
          <w:rFonts w:ascii="Arial" w:cs="Arial" w:eastAsia="Arial" w:hAnsi="Arial"/>
          <w:sz w:val="22"/>
          <w:szCs w:val="22"/>
          <w:color w:val="auto"/>
        </w:rPr>
      </w:pPr>
    </w:p>
    <w:p>
      <w:pPr>
        <w:jc w:val="both"/>
        <w:ind w:left="160" w:right="139" w:firstLine="1287"/>
        <w:spacing w:after="0" w:line="289" w:lineRule="auto"/>
        <w:tabs>
          <w:tab w:leader="none" w:pos="2157" w:val="left"/>
        </w:tabs>
        <w:numPr>
          <w:ilvl w:val="1"/>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Active Employment</w:t>
      </w:r>
      <w:r>
        <w:rPr>
          <w:rFonts w:ascii="Arial" w:cs="Arial" w:eastAsia="Arial" w:hAnsi="Arial"/>
          <w:sz w:val="19"/>
          <w:szCs w:val="19"/>
          <w:b w:val="1"/>
          <w:bCs w:val="1"/>
          <w:color w:val="auto"/>
        </w:rPr>
        <w:t xml:space="preserve"> </w:t>
      </w:r>
      <w:r>
        <w:rPr>
          <w:rFonts w:ascii="Arial" w:cs="Arial" w:eastAsia="Arial" w:hAnsi="Arial"/>
          <w:sz w:val="19"/>
          <w:szCs w:val="19"/>
          <w:color w:val="auto"/>
        </w:rPr>
        <w:t>means the Eligible Employee is on the active payroll of</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(or a Parent or Subsidiary) and has not experienced a voluntary or involuntary termination of employment with the Company (or a Parent or Subsidiary) , including discharge for any reason, resignation, layoff, death, Retirement, or Permanent Disability</w:t>
      </w:r>
    </w:p>
    <w:p>
      <w:pPr>
        <w:spacing w:after="0" w:line="136" w:lineRule="exact"/>
        <w:rPr>
          <w:rFonts w:ascii="Arial" w:cs="Arial" w:eastAsia="Arial" w:hAnsi="Arial"/>
          <w:sz w:val="19"/>
          <w:szCs w:val="19"/>
          <w:color w:val="auto"/>
        </w:rPr>
      </w:pPr>
    </w:p>
    <w:p>
      <w:pPr>
        <w:ind w:left="2120" w:hanging="673"/>
        <w:spacing w:after="0"/>
        <w:tabs>
          <w:tab w:leader="none" w:pos="2120" w:val="left"/>
        </w:tabs>
        <w:numPr>
          <w:ilvl w:val="1"/>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Board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Company’s Board of Directors.</w:t>
      </w:r>
    </w:p>
    <w:p>
      <w:pPr>
        <w:spacing w:after="0" w:line="206" w:lineRule="exact"/>
        <w:rPr>
          <w:rFonts w:ascii="Arial" w:cs="Arial" w:eastAsia="Arial" w:hAnsi="Arial"/>
          <w:sz w:val="22"/>
          <w:szCs w:val="22"/>
          <w:color w:val="auto"/>
        </w:rPr>
      </w:pPr>
    </w:p>
    <w:p>
      <w:pPr>
        <w:ind w:left="160" w:right="159" w:firstLine="1287"/>
        <w:spacing w:after="0" w:line="256" w:lineRule="auto"/>
        <w:tabs>
          <w:tab w:leader="none" w:pos="2124" w:val="left"/>
        </w:tabs>
        <w:numPr>
          <w:ilvl w:val="1"/>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Committee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Compensation Committee of the Board comprised</w:t>
      </w:r>
      <w:r>
        <w:rPr>
          <w:rFonts w:ascii="Arial" w:cs="Arial" w:eastAsia="Arial" w:hAnsi="Arial"/>
          <w:sz w:val="22"/>
          <w:szCs w:val="22"/>
          <w:b w:val="1"/>
          <w:bCs w:val="1"/>
          <w:color w:val="auto"/>
        </w:rPr>
        <w:t xml:space="preserve"> </w:t>
      </w:r>
      <w:r>
        <w:rPr>
          <w:rFonts w:ascii="Arial" w:cs="Arial" w:eastAsia="Arial" w:hAnsi="Arial"/>
          <w:sz w:val="22"/>
          <w:szCs w:val="22"/>
          <w:color w:val="auto"/>
        </w:rPr>
        <w:t>of two (2) or more non-employee Board members.</w:t>
      </w:r>
    </w:p>
    <w:p>
      <w:pPr>
        <w:spacing w:after="0" w:line="162" w:lineRule="exact"/>
        <w:rPr>
          <w:rFonts w:ascii="Arial" w:cs="Arial" w:eastAsia="Arial" w:hAnsi="Arial"/>
          <w:sz w:val="22"/>
          <w:szCs w:val="22"/>
          <w:color w:val="auto"/>
        </w:rPr>
      </w:pPr>
    </w:p>
    <w:p>
      <w:pPr>
        <w:ind w:left="2080" w:hanging="633"/>
        <w:spacing w:after="0"/>
        <w:tabs>
          <w:tab w:leader="none" w:pos="2080" w:val="left"/>
        </w:tabs>
        <w:numPr>
          <w:ilvl w:val="1"/>
          <w:numId w:val="72"/>
        </w:numPr>
        <w:rPr>
          <w:rFonts w:ascii="Arial" w:cs="Arial" w:eastAsia="Arial" w:hAnsi="Arial"/>
          <w:sz w:val="22"/>
          <w:szCs w:val="22"/>
          <w:color w:val="auto"/>
        </w:rPr>
      </w:pPr>
      <w:r>
        <w:rPr>
          <w:rFonts w:ascii="Arial" w:cs="Arial" w:eastAsia="Arial" w:hAnsi="Arial"/>
          <w:sz w:val="22"/>
          <w:szCs w:val="22"/>
          <w:b w:val="1"/>
          <w:bCs w:val="1"/>
          <w:u w:val="single" w:color="auto"/>
          <w:color w:val="auto"/>
        </w:rPr>
        <w:t>Company</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Matson, Inc., a Hawaii corporation.</w:t>
      </w:r>
    </w:p>
    <w:p>
      <w:pPr>
        <w:spacing w:after="0" w:line="206" w:lineRule="exact"/>
        <w:rPr>
          <w:rFonts w:ascii="Arial" w:cs="Arial" w:eastAsia="Arial" w:hAnsi="Arial"/>
          <w:sz w:val="22"/>
          <w:szCs w:val="22"/>
          <w:color w:val="auto"/>
        </w:rPr>
      </w:pPr>
    </w:p>
    <w:p>
      <w:pPr>
        <w:jc w:val="both"/>
        <w:ind w:left="160" w:right="139" w:firstLine="1287"/>
        <w:spacing w:after="0" w:line="271" w:lineRule="auto"/>
        <w:tabs>
          <w:tab w:leader="none" w:pos="2165" w:val="left"/>
        </w:tabs>
        <w:numPr>
          <w:ilvl w:val="1"/>
          <w:numId w:val="72"/>
        </w:numPr>
        <w:rPr>
          <w:rFonts w:ascii="Arial" w:cs="Arial" w:eastAsia="Arial" w:hAnsi="Arial"/>
          <w:sz w:val="19"/>
          <w:szCs w:val="19"/>
          <w:color w:val="auto"/>
        </w:rPr>
      </w:pPr>
      <w:r>
        <w:rPr>
          <w:rFonts w:ascii="Arial" w:cs="Arial" w:eastAsia="Arial" w:hAnsi="Arial"/>
          <w:sz w:val="19"/>
          <w:szCs w:val="19"/>
          <w:b w:val="1"/>
          <w:bCs w:val="1"/>
          <w:u w:val="single" w:color="auto"/>
          <w:color w:val="auto"/>
        </w:rPr>
        <w:t>Company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Goals shall mean any of the following performance</w:t>
      </w:r>
      <w:r>
        <w:rPr>
          <w:rFonts w:ascii="Arial" w:cs="Arial" w:eastAsia="Arial" w:hAnsi="Arial"/>
          <w:sz w:val="19"/>
          <w:szCs w:val="19"/>
          <w:b w:val="1"/>
          <w:bCs w:val="1"/>
          <w:color w:val="auto"/>
        </w:rPr>
        <w:t xml:space="preserve"> </w:t>
      </w:r>
      <w:r>
        <w:rPr>
          <w:rFonts w:ascii="Arial" w:cs="Arial" w:eastAsia="Arial" w:hAnsi="Arial"/>
          <w:sz w:val="19"/>
          <w:szCs w:val="19"/>
          <w:color w:val="auto"/>
        </w:rPr>
        <w:t>criteria upon which the determination and subsequent payout of awards under the Plan may be based: (i) cash flow; (ii) earnings (including gross margin, earnings before interest and taxes, earnings before taxes, earnings before interest, taxes, depreciation, amortization and charges for stock-based compensation, earnings before interest, taxes, depreciation and amortization, and net earnings); (iii) earnings per share; (iv) growth in earnings or earnings per share; (v) stock price;</w:t>
      </w:r>
    </w:p>
    <w:p>
      <w:pPr>
        <w:spacing w:after="0" w:line="2" w:lineRule="exact"/>
        <w:rPr>
          <w:rFonts w:ascii="Arial" w:cs="Arial" w:eastAsia="Arial" w:hAnsi="Arial"/>
          <w:sz w:val="19"/>
          <w:szCs w:val="19"/>
          <w:color w:val="auto"/>
        </w:rPr>
      </w:pPr>
    </w:p>
    <w:p>
      <w:pPr>
        <w:jc w:val="both"/>
        <w:ind w:left="160" w:right="139" w:hanging="9"/>
        <w:spacing w:after="0" w:line="267" w:lineRule="auto"/>
        <w:tabs>
          <w:tab w:leader="none" w:pos="542"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return on equity or average stockholder equity; (vii) total stockholder return or growth in total stockholder return either directly or in relation to a comparative group; (viii) return on capital;</w:t>
      </w:r>
    </w:p>
    <w:p>
      <w:pPr>
        <w:jc w:val="both"/>
        <w:ind w:left="160" w:right="139" w:hanging="9"/>
        <w:spacing w:after="0" w:line="267" w:lineRule="auto"/>
        <w:tabs>
          <w:tab w:leader="none" w:pos="534" w:val="left"/>
        </w:tabs>
        <w:numPr>
          <w:ilvl w:val="0"/>
          <w:numId w:val="74"/>
        </w:numPr>
        <w:rPr>
          <w:rFonts w:ascii="Arial" w:cs="Arial" w:eastAsia="Arial" w:hAnsi="Arial"/>
          <w:sz w:val="19"/>
          <w:szCs w:val="19"/>
          <w:color w:val="auto"/>
        </w:rPr>
      </w:pPr>
      <w:r>
        <w:rPr>
          <w:rFonts w:ascii="Arial" w:cs="Arial" w:eastAsia="Arial" w:hAnsi="Arial"/>
          <w:sz w:val="19"/>
          <w:szCs w:val="19"/>
          <w:color w:val="auto"/>
        </w:rPr>
        <w:t>return on assets or net assets; (x) invested capital, required rate of return on capital or return on invested capital; (xi) revenue, growth in revenue or return on sales; (xii) income or net income;</w:t>
      </w:r>
    </w:p>
    <w:p>
      <w:pPr>
        <w:jc w:val="both"/>
        <w:ind w:left="160" w:right="139" w:hanging="9"/>
        <w:spacing w:after="0" w:line="267" w:lineRule="auto"/>
        <w:tabs>
          <w:tab w:leader="none" w:pos="686" w:val="left"/>
        </w:tabs>
        <w:numPr>
          <w:ilvl w:val="0"/>
          <w:numId w:val="75"/>
        </w:numPr>
        <w:rPr>
          <w:rFonts w:ascii="Arial" w:cs="Arial" w:eastAsia="Arial" w:hAnsi="Arial"/>
          <w:sz w:val="19"/>
          <w:szCs w:val="19"/>
          <w:color w:val="auto"/>
        </w:rPr>
      </w:pPr>
      <w:r>
        <w:rPr>
          <w:rFonts w:ascii="Arial" w:cs="Arial" w:eastAsia="Arial" w:hAnsi="Arial"/>
          <w:sz w:val="19"/>
          <w:szCs w:val="19"/>
          <w:color w:val="auto"/>
        </w:rPr>
        <w:t>operating income, net operating income or net operating income after tax; (xiv) operating profit or net operating profit; (xv) operating margin; (xvi) return on operating revenue or return on operating profit; (xvii) collections and recoveries, (xviii) property purchases, sales, investments and construction goals, (xix) application approvals, (xx) litigation and regulatory resolution goals, (xxi) occupancy or occupancy rates, (xxii) leases, contracts or financings, including renewals, (xxiii) overhead, savings, G&amp;A and other expense control goals, (xxiv) budget comparisons, (xxv) growth in stockholder value relative to the growth of the S&amp;P 400 or S&amp;P 400 Index, the S&amp;P Global Industry Classification Standards ("GICS") or GICS Index, or another peer group or peer group index; (xxvi) credit rating; (xxvii) development and implementation of strategic plans and/or organizational restructuring goals; (xxviii) development and implementation of risk and crisis management programs; (xxix) improvement in workforce diversity; (xxx) net cost per ton; (xxxi) price per container or average price of container; (xxxii) voyage days or vessel scheduling; (xxxiii)</w:t>
      </w:r>
    </w:p>
    <w:p>
      <w:pPr>
        <w:jc w:val="both"/>
        <w:ind w:left="160" w:right="139"/>
        <w:spacing w:after="0" w:line="275" w:lineRule="auto"/>
        <w:rPr>
          <w:sz w:val="20"/>
          <w:szCs w:val="20"/>
          <w:color w:val="auto"/>
        </w:rPr>
      </w:pPr>
      <w:r>
        <w:rPr>
          <w:rFonts w:ascii="Arial" w:cs="Arial" w:eastAsia="Arial" w:hAnsi="Arial"/>
          <w:sz w:val="19"/>
          <w:szCs w:val="19"/>
          <w:color w:val="auto"/>
        </w:rPr>
        <w:t>lift volume per container, volume per container, number of units or size of units; (xxxiv) compliance requirements and compliance relief; (xxxv) safety goals; (xxxvi) productivity goals; (xxxvii) workforce management and succession planning goals; (xxxviii) economic value added (including typical adjustments consistently applied from generally accepted accounting principles required to determine economic value added performance measures); (xxxix) measures of customer satisfaction, employee satisfaction or staff development; (xl) development or marketing</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95" w:name="page96"/>
    <w:bookmarkEnd w:id="95"/>
    <w:p>
      <w:pPr>
        <w:jc w:val="both"/>
        <w:ind w:left="160" w:right="139"/>
        <w:spacing w:after="0" w:line="270" w:lineRule="auto"/>
        <w:rPr>
          <w:sz w:val="20"/>
          <w:szCs w:val="20"/>
          <w:color w:val="auto"/>
        </w:rPr>
      </w:pPr>
      <w:r>
        <w:rPr>
          <w:rFonts w:ascii="Arial" w:cs="Arial" w:eastAsia="Arial" w:hAnsi="Arial"/>
          <w:sz w:val="19"/>
          <w:szCs w:val="19"/>
          <w:color w:val="auto"/>
        </w:rPr>
        <w:t>collaborations, formations of joint ventures or partnerships or the completion of other similar transactions intended to enhance the Company’s revenue or profitability or enhance its customer base; (xli) merger and acquisitions; and (xlii) other similar criteria consistent with the foregoing. In addition, such performance criteria may be based upon the attainment of specified levels of the Company’s performance under one or more of the measures described above relative to the performance of other entities and may also be based on the performance of any of the Company’s business units or divisions or any Parent or Subsidiary. Each applicable Performance Goal may include a minimum threshold level of performance below which no award will be earned, levels of performance at which specified portions of an award will be earned and a maximum level of performance at which an award will be fully earned. Each applicable performance goal may be structured at the time of the award to provide for appropriate adjustment for one or more of the following items: (A) asset impairments or write-downs; (B) litigation judgments or claim settlements; (C) the effect of changes in tax law, accounting principles or other such laws or provisions affecting reported results; (D) accruals for reorganization and restructuring programs;</w:t>
      </w:r>
    </w:p>
    <w:p>
      <w:pPr>
        <w:spacing w:after="0" w:line="226" w:lineRule="exact"/>
        <w:rPr>
          <w:sz w:val="20"/>
          <w:szCs w:val="20"/>
          <w:color w:val="auto"/>
        </w:rPr>
      </w:pPr>
    </w:p>
    <w:p>
      <w:pPr>
        <w:jc w:val="both"/>
        <w:ind w:left="160" w:right="139" w:hanging="9"/>
        <w:spacing w:after="0" w:line="234" w:lineRule="auto"/>
        <w:tabs>
          <w:tab w:leader="none" w:pos="547"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extraordinary nonrecurring items; (F) the operations of any business acquired by the Company; (G) the divestiture of one or more business operations or the assets thereof; and (H) any other adjustment consistent with the operation of the Plan.</w:t>
      </w:r>
    </w:p>
    <w:p>
      <w:pPr>
        <w:spacing w:after="0" w:line="181" w:lineRule="exact"/>
        <w:rPr>
          <w:rFonts w:ascii="Arial" w:cs="Arial" w:eastAsia="Arial" w:hAnsi="Arial"/>
          <w:sz w:val="22"/>
          <w:szCs w:val="22"/>
          <w:color w:val="auto"/>
        </w:rPr>
      </w:pPr>
    </w:p>
    <w:p>
      <w:pPr>
        <w:ind w:left="160" w:right="139" w:firstLine="1287"/>
        <w:spacing w:after="0" w:line="256" w:lineRule="auto"/>
        <w:tabs>
          <w:tab w:leader="none" w:pos="2130" w:val="left"/>
        </w:tabs>
        <w:numPr>
          <w:ilvl w:val="1"/>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Eligible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 Employee eligible to participate in the Plan</w:t>
      </w:r>
      <w:r>
        <w:rPr>
          <w:rFonts w:ascii="Arial" w:cs="Arial" w:eastAsia="Arial" w:hAnsi="Arial"/>
          <w:sz w:val="22"/>
          <w:szCs w:val="22"/>
          <w:b w:val="1"/>
          <w:bCs w:val="1"/>
          <w:color w:val="auto"/>
        </w:rPr>
        <w:t xml:space="preserve"> </w:t>
      </w:r>
      <w:r>
        <w:rPr>
          <w:rFonts w:ascii="Arial" w:cs="Arial" w:eastAsia="Arial" w:hAnsi="Arial"/>
          <w:sz w:val="22"/>
          <w:szCs w:val="22"/>
          <w:color w:val="auto"/>
        </w:rPr>
        <w:t>as determined pursuant to Section III.A.</w:t>
      </w:r>
    </w:p>
    <w:p>
      <w:pPr>
        <w:spacing w:after="0" w:line="162" w:lineRule="exact"/>
        <w:rPr>
          <w:rFonts w:ascii="Arial" w:cs="Arial" w:eastAsia="Arial" w:hAnsi="Arial"/>
          <w:sz w:val="22"/>
          <w:szCs w:val="22"/>
          <w:color w:val="auto"/>
        </w:rPr>
      </w:pPr>
    </w:p>
    <w:p>
      <w:pPr>
        <w:jc w:val="both"/>
        <w:ind w:left="160" w:right="139" w:firstLine="1287"/>
        <w:spacing w:after="0" w:line="289" w:lineRule="auto"/>
        <w:tabs>
          <w:tab w:leader="none" w:pos="2136" w:val="left"/>
        </w:tabs>
        <w:numPr>
          <w:ilvl w:val="1"/>
          <w:numId w:val="76"/>
        </w:numPr>
        <w:rPr>
          <w:rFonts w:ascii="Arial" w:cs="Arial" w:eastAsia="Arial" w:hAnsi="Arial"/>
          <w:sz w:val="19"/>
          <w:szCs w:val="19"/>
          <w:color w:val="auto"/>
        </w:rPr>
      </w:pPr>
      <w:r>
        <w:rPr>
          <w:rFonts w:ascii="Arial" w:cs="Arial" w:eastAsia="Arial" w:hAnsi="Arial"/>
          <w:sz w:val="19"/>
          <w:szCs w:val="19"/>
          <w:b w:val="1"/>
          <w:bCs w:val="1"/>
          <w:u w:val="single" w:color="auto"/>
          <w:color w:val="auto"/>
        </w:rPr>
        <w:t>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 individual who is in the employ of the Company (or</w:t>
      </w:r>
      <w:r>
        <w:rPr>
          <w:rFonts w:ascii="Arial" w:cs="Arial" w:eastAsia="Arial" w:hAnsi="Arial"/>
          <w:sz w:val="19"/>
          <w:szCs w:val="19"/>
          <w:b w:val="1"/>
          <w:bCs w:val="1"/>
          <w:color w:val="auto"/>
        </w:rPr>
        <w:t xml:space="preserve"> </w:t>
      </w:r>
      <w:r>
        <w:rPr>
          <w:rFonts w:ascii="Arial" w:cs="Arial" w:eastAsia="Arial" w:hAnsi="Arial"/>
          <w:sz w:val="19"/>
          <w:szCs w:val="19"/>
          <w:color w:val="auto"/>
        </w:rPr>
        <w:t>any Parent or Subsidiary, whether now existing or subsequently established), subject to the control and direction of the employer entity as to both the work to be performed and the manner and method of performance, and who meets the eligibility requirements under Section 5.</w:t>
      </w:r>
    </w:p>
    <w:p>
      <w:pPr>
        <w:spacing w:after="0" w:line="136" w:lineRule="exact"/>
        <w:rPr>
          <w:rFonts w:ascii="Arial" w:cs="Arial" w:eastAsia="Arial" w:hAnsi="Arial"/>
          <w:sz w:val="19"/>
          <w:szCs w:val="19"/>
          <w:color w:val="auto"/>
        </w:rPr>
      </w:pPr>
    </w:p>
    <w:p>
      <w:pPr>
        <w:jc w:val="both"/>
        <w:ind w:left="160" w:right="139" w:firstLine="1287"/>
        <w:spacing w:after="0" w:line="237" w:lineRule="auto"/>
        <w:tabs>
          <w:tab w:leader="none" w:pos="2151" w:val="left"/>
        </w:tabs>
        <w:numPr>
          <w:ilvl w:val="1"/>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Parent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any corporation (other than the Company) in an unbroken</w:t>
      </w:r>
      <w:r>
        <w:rPr>
          <w:rFonts w:ascii="Arial" w:cs="Arial" w:eastAsia="Arial" w:hAnsi="Arial"/>
          <w:sz w:val="22"/>
          <w:szCs w:val="22"/>
          <w:b w:val="1"/>
          <w:bCs w:val="1"/>
          <w:color w:val="auto"/>
        </w:rPr>
        <w:t xml:space="preserve"> </w:t>
      </w:r>
      <w:r>
        <w:rPr>
          <w:rFonts w:ascii="Arial" w:cs="Arial" w:eastAsia="Arial" w:hAnsi="Arial"/>
          <w:sz w:val="22"/>
          <w:szCs w:val="22"/>
          <w:color w:val="auto"/>
        </w:rPr>
        <w:t>chain of corporations ending with the Company, provided each corporation in the unbroken chain (other than the Company) owns, at the time of the determination, stock possessing fifty percent (50%) or more of the total combined voting power of all classes of stock in one of the other corporations in such chain.</w:t>
      </w:r>
    </w:p>
    <w:p>
      <w:pPr>
        <w:spacing w:after="0" w:line="182" w:lineRule="exact"/>
        <w:rPr>
          <w:rFonts w:ascii="Arial" w:cs="Arial" w:eastAsia="Arial" w:hAnsi="Arial"/>
          <w:sz w:val="22"/>
          <w:szCs w:val="22"/>
          <w:color w:val="auto"/>
        </w:rPr>
      </w:pPr>
    </w:p>
    <w:p>
      <w:pPr>
        <w:jc w:val="both"/>
        <w:ind w:left="160" w:right="139" w:firstLine="1287"/>
        <w:spacing w:after="0" w:line="239" w:lineRule="auto"/>
        <w:tabs>
          <w:tab w:leader="none" w:pos="2172" w:val="left"/>
        </w:tabs>
        <w:numPr>
          <w:ilvl w:val="1"/>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Permanent Disability or Permanently Disabled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inability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Eligible Employee to engage in any substantial gainful activity by reason of any medically determinable physical or mental impairment expected to result in death or to be of continuous duration of twelve (12) months or more.</w:t>
      </w:r>
    </w:p>
    <w:p>
      <w:pPr>
        <w:spacing w:after="0" w:line="180" w:lineRule="exact"/>
        <w:rPr>
          <w:rFonts w:ascii="Arial" w:cs="Arial" w:eastAsia="Arial" w:hAnsi="Arial"/>
          <w:sz w:val="22"/>
          <w:szCs w:val="22"/>
          <w:color w:val="auto"/>
        </w:rPr>
      </w:pPr>
    </w:p>
    <w:p>
      <w:pPr>
        <w:ind w:left="160" w:right="139" w:firstLine="1287"/>
        <w:spacing w:after="0" w:line="256" w:lineRule="auto"/>
        <w:tabs>
          <w:tab w:leader="none" w:pos="2151" w:val="left"/>
        </w:tabs>
        <w:numPr>
          <w:ilvl w:val="1"/>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Matson, Inc. Cash Incentive Plan, as set forth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as amended from time to time.</w:t>
      </w:r>
    </w:p>
    <w:p>
      <w:pPr>
        <w:spacing w:after="0" w:line="162" w:lineRule="exact"/>
        <w:rPr>
          <w:rFonts w:ascii="Arial" w:cs="Arial" w:eastAsia="Arial" w:hAnsi="Arial"/>
          <w:sz w:val="22"/>
          <w:szCs w:val="22"/>
          <w:color w:val="auto"/>
        </w:rPr>
      </w:pPr>
    </w:p>
    <w:p>
      <w:pPr>
        <w:ind w:left="2100" w:hanging="653"/>
        <w:spacing w:after="0"/>
        <w:tabs>
          <w:tab w:leader="none" w:pos="2100" w:val="left"/>
        </w:tabs>
        <w:numPr>
          <w:ilvl w:val="1"/>
          <w:numId w:val="76"/>
        </w:numPr>
        <w:rPr>
          <w:rFonts w:ascii="Arial" w:cs="Arial" w:eastAsia="Arial" w:hAnsi="Arial"/>
          <w:sz w:val="22"/>
          <w:szCs w:val="22"/>
          <w:color w:val="auto"/>
        </w:rPr>
      </w:pPr>
      <w:r>
        <w:rPr>
          <w:rFonts w:ascii="Arial" w:cs="Arial" w:eastAsia="Arial" w:hAnsi="Arial"/>
          <w:sz w:val="22"/>
          <w:szCs w:val="22"/>
          <w:b w:val="1"/>
          <w:bCs w:val="1"/>
          <w:u w:val="single" w:color="auto"/>
          <w:color w:val="auto"/>
        </w:rPr>
        <w:t>Plan Year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calendar year.</w:t>
      </w:r>
    </w:p>
    <w:p>
      <w:pPr>
        <w:spacing w:after="0" w:line="206" w:lineRule="exact"/>
        <w:rPr>
          <w:rFonts w:ascii="Arial" w:cs="Arial" w:eastAsia="Arial" w:hAnsi="Arial"/>
          <w:sz w:val="22"/>
          <w:szCs w:val="22"/>
          <w:color w:val="auto"/>
        </w:rPr>
      </w:pPr>
    </w:p>
    <w:p>
      <w:pPr>
        <w:jc w:val="both"/>
        <w:ind w:left="160" w:right="139" w:firstLine="1287"/>
        <w:spacing w:after="0" w:line="261" w:lineRule="auto"/>
        <w:tabs>
          <w:tab w:leader="none" w:pos="2568" w:val="left"/>
        </w:tabs>
        <w:numPr>
          <w:ilvl w:val="1"/>
          <w:numId w:val="76"/>
        </w:numPr>
        <w:rPr>
          <w:rFonts w:ascii="Arial" w:cs="Arial" w:eastAsia="Arial" w:hAnsi="Arial"/>
          <w:sz w:val="21"/>
          <w:szCs w:val="21"/>
          <w:color w:val="auto"/>
        </w:rPr>
      </w:pPr>
      <w:r>
        <w:rPr>
          <w:rFonts w:ascii="Arial" w:cs="Arial" w:eastAsia="Arial" w:hAnsi="Arial"/>
          <w:sz w:val="21"/>
          <w:szCs w:val="21"/>
          <w:b w:val="1"/>
          <w:bCs w:val="1"/>
          <w:u w:val="single" w:color="auto"/>
          <w:color w:val="auto"/>
        </w:rPr>
        <w:t>Retirement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(i) the Eligible Employee’s termination of</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on or after attainment of age sixty-five (65) or (ii) the Eligible Employee's early retirement, with the prior approval of the Company (or Parent or Subsidiary employing</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6" w:name="page97"/>
    <w:bookmarkEnd w:id="96"/>
    <w:p>
      <w:pPr>
        <w:ind w:left="160" w:right="139"/>
        <w:spacing w:after="0" w:line="251" w:lineRule="auto"/>
        <w:rPr>
          <w:sz w:val="20"/>
          <w:szCs w:val="20"/>
          <w:color w:val="auto"/>
        </w:rPr>
      </w:pPr>
      <w:r>
        <w:rPr>
          <w:rFonts w:ascii="Arial" w:cs="Arial" w:eastAsia="Arial" w:hAnsi="Arial"/>
          <w:sz w:val="22"/>
          <w:szCs w:val="22"/>
          <w:color w:val="auto"/>
        </w:rPr>
        <w:t>Participant), on or after attainment of age fifty-five (55) and completion of at least five (5) years of Service.</w:t>
      </w:r>
    </w:p>
    <w:p>
      <w:pPr>
        <w:spacing w:after="0" w:line="168" w:lineRule="exact"/>
        <w:rPr>
          <w:sz w:val="20"/>
          <w:szCs w:val="20"/>
          <w:color w:val="auto"/>
        </w:rPr>
      </w:pPr>
    </w:p>
    <w:p>
      <w:pPr>
        <w:ind w:left="160" w:right="139" w:firstLine="1287"/>
        <w:spacing w:after="0" w:line="256" w:lineRule="auto"/>
        <w:tabs>
          <w:tab w:leader="none" w:pos="2110" w:val="left"/>
        </w:tabs>
        <w:numPr>
          <w:ilvl w:val="0"/>
          <w:numId w:val="77"/>
        </w:numPr>
        <w:rPr>
          <w:rFonts w:ascii="Arial" w:cs="Arial" w:eastAsia="Arial" w:hAnsi="Arial"/>
          <w:sz w:val="22"/>
          <w:szCs w:val="22"/>
          <w:color w:val="auto"/>
        </w:rPr>
      </w:pPr>
      <w:r>
        <w:rPr>
          <w:rFonts w:ascii="Arial" w:cs="Arial" w:eastAsia="Arial" w:hAnsi="Arial"/>
          <w:sz w:val="22"/>
          <w:szCs w:val="22"/>
          <w:b w:val="1"/>
          <w:bCs w:val="1"/>
          <w:u w:val="single" w:color="auto"/>
          <w:color w:val="auto"/>
        </w:rPr>
        <w:t>Section 16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an officer of the Company subject to the short-swing profit liabilities of Section 16 of the 1934 Act.</w:t>
      </w:r>
    </w:p>
    <w:p>
      <w:pPr>
        <w:spacing w:after="0" w:line="162" w:lineRule="exact"/>
        <w:rPr>
          <w:rFonts w:ascii="Arial" w:cs="Arial" w:eastAsia="Arial" w:hAnsi="Arial"/>
          <w:sz w:val="22"/>
          <w:szCs w:val="22"/>
          <w:color w:val="auto"/>
        </w:rPr>
      </w:pPr>
    </w:p>
    <w:p>
      <w:pPr>
        <w:jc w:val="both"/>
        <w:ind w:left="160" w:right="139" w:firstLine="1287"/>
        <w:spacing w:after="0" w:line="248" w:lineRule="auto"/>
        <w:tabs>
          <w:tab w:leader="none" w:pos="2347" w:val="left"/>
        </w:tabs>
        <w:numPr>
          <w:ilvl w:val="0"/>
          <w:numId w:val="77"/>
        </w:numPr>
        <w:rPr>
          <w:rFonts w:ascii="Arial" w:cs="Arial" w:eastAsia="Arial" w:hAnsi="Arial"/>
          <w:sz w:val="21"/>
          <w:szCs w:val="21"/>
          <w:color w:val="auto"/>
        </w:rPr>
      </w:pPr>
      <w:r>
        <w:rPr>
          <w:rFonts w:ascii="Arial" w:cs="Arial" w:eastAsia="Arial" w:hAnsi="Arial"/>
          <w:sz w:val="21"/>
          <w:szCs w:val="21"/>
          <w:b w:val="1"/>
          <w:bCs w:val="1"/>
          <w:u w:val="single" w:color="auto"/>
          <w:color w:val="auto"/>
        </w:rPr>
        <w:t>Subsidiary</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corporation (other than the Company) in an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unbroken chain of corporations beginning with the Company, provided each corporation (other than the last corporation) in the unbroken chain owns, at the time of the determination, stock possessing fifty percent (50%) or more of the total combined voting power of all classes of stock in one of the other corporations in such chain. The term </w:t>
      </w:r>
      <w:r>
        <w:rPr>
          <w:rFonts w:ascii="Arial" w:cs="Arial" w:eastAsia="Arial" w:hAnsi="Arial"/>
          <w:sz w:val="21"/>
          <w:szCs w:val="21"/>
          <w:b w:val="1"/>
          <w:bCs w:val="1"/>
          <w:color w:val="auto"/>
        </w:rPr>
        <w:t>Subsidiary</w:t>
      </w:r>
      <w:r>
        <w:rPr>
          <w:rFonts w:ascii="Arial" w:cs="Arial" w:eastAsia="Arial" w:hAnsi="Arial"/>
          <w:sz w:val="21"/>
          <w:szCs w:val="21"/>
          <w:color w:val="auto"/>
        </w:rPr>
        <w:t xml:space="preserve"> shall also include any wholly-owned limited liability company within the applicable chain of subsidiaries that is a disregarded entity for U.S. federal income tax purposes.</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76200</wp:posOffset>
            </wp:positionV>
            <wp:extent cx="554863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10.64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NON-EMPLOYEE BOARD MEMBER—NO DEFERRAL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right="240" w:firstLine="1299"/>
        <w:spacing w:after="0" w:line="259" w:lineRule="auto"/>
        <w:tabs>
          <w:tab w:leader="none" w:pos="1828"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Corporation has implemented an automatic award program under the Plan pursuant to which eligible non-employee members of the Board will automatically receive special awards of restricted stock units at periodic intervals over their period of Board service in order to provide such individuals with a meaningful incentive to continue to serve as members of the Board.</w:t>
      </w:r>
    </w:p>
    <w:p>
      <w:pPr>
        <w:spacing w:after="0" w:line="186" w:lineRule="exact"/>
        <w:rPr>
          <w:rFonts w:ascii="Arial" w:cs="Arial" w:eastAsia="Arial" w:hAnsi="Arial"/>
          <w:sz w:val="18"/>
          <w:szCs w:val="18"/>
          <w:color w:val="auto"/>
        </w:rPr>
      </w:pPr>
    </w:p>
    <w:p>
      <w:pPr>
        <w:ind w:right="60" w:firstLine="1299"/>
        <w:spacing w:after="0" w:line="264" w:lineRule="auto"/>
        <w:tabs>
          <w:tab w:leader="none" w:pos="1822"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Participant is an eligible non-employee Board member, and this Agreement is executed pursuant to, and is intended to carry out the purposes of, the Plan in connection with the automatic award of restricted stock units under the Plan.</w:t>
      </w:r>
    </w:p>
    <w:p>
      <w:pPr>
        <w:spacing w:after="0" w:line="181" w:lineRule="exact"/>
        <w:rPr>
          <w:rFonts w:ascii="Arial" w:cs="Arial" w:eastAsia="Arial" w:hAnsi="Arial"/>
          <w:sz w:val="18"/>
          <w:szCs w:val="18"/>
          <w:color w:val="auto"/>
        </w:rPr>
      </w:pPr>
    </w:p>
    <w:p>
      <w:pPr>
        <w:ind w:right="360" w:firstLine="1299"/>
        <w:spacing w:after="0" w:line="277" w:lineRule="auto"/>
        <w:tabs>
          <w:tab w:leader="none" w:pos="18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capitalized terms in this Agreement shall have the meaning assigned to them in the attached Appendix A, or, if not defined in that appendix, as defined in the Plan.</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hereby agreed as follows:</w:t>
      </w:r>
    </w:p>
    <w:p>
      <w:pPr>
        <w:spacing w:after="0" w:line="225" w:lineRule="exact"/>
        <w:rPr>
          <w:sz w:val="20"/>
          <w:szCs w:val="20"/>
          <w:color w:val="auto"/>
        </w:rPr>
      </w:pPr>
    </w:p>
    <w:p>
      <w:pPr>
        <w:ind w:right="80" w:firstLine="1299"/>
        <w:spacing w:after="0" w:line="274" w:lineRule="auto"/>
        <w:tabs>
          <w:tab w:leader="none" w:pos="1881" w:val="left"/>
        </w:tabs>
        <w:numPr>
          <w:ilvl w:val="0"/>
          <w:numId w:val="79"/>
        </w:numPr>
        <w:rPr>
          <w:rFonts w:ascii="Arial" w:cs="Arial" w:eastAsia="Arial" w:hAnsi="Arial"/>
          <w:sz w:val="17"/>
          <w:szCs w:val="17"/>
          <w:color w:val="auto"/>
        </w:rPr>
      </w:pPr>
      <w:r>
        <w:rPr>
          <w:rFonts w:ascii="Arial" w:cs="Arial" w:eastAsia="Arial" w:hAnsi="Arial"/>
          <w:sz w:val="17"/>
          <w:szCs w:val="17"/>
          <w:b w:val="1"/>
          <w:bCs w:val="1"/>
          <w:u w:val="single" w:color="auto"/>
          <w:color w:val="auto"/>
        </w:rPr>
        <w:t>Grant of Restricted Stock Units</w:t>
      </w:r>
      <w:r>
        <w:rPr>
          <w:rFonts w:ascii="Arial" w:cs="Arial" w:eastAsia="Arial" w:hAnsi="Arial"/>
          <w:sz w:val="17"/>
          <w:szCs w:val="17"/>
          <w:color w:val="auto"/>
        </w:rPr>
        <w:t>. The Corporation hereby awards to Participant, as of the Award</w:t>
      </w:r>
      <w:r>
        <w:rPr>
          <w:rFonts w:ascii="Arial" w:cs="Arial" w:eastAsia="Arial" w:hAnsi="Arial"/>
          <w:sz w:val="17"/>
          <w:szCs w:val="17"/>
          <w:b w:val="1"/>
          <w:bCs w:val="1"/>
          <w:color w:val="auto"/>
        </w:rPr>
        <w:t xml:space="preserve"> </w:t>
      </w:r>
      <w:r>
        <w:rPr>
          <w:rFonts w:ascii="Arial" w:cs="Arial" w:eastAsia="Arial" w:hAnsi="Arial"/>
          <w:sz w:val="17"/>
          <w:szCs w:val="17"/>
          <w:color w:val="auto"/>
        </w:rPr>
        <w:t>Date, an award (the “Award”) of restricted stock units under the Plan. Each restricted stock unit represents the right to receive one share of Common Stock on the vesting date of that unit. The number of shares of Common Stock subject to the awarded restricted stock units, the applicable vesting schedule for the restricted stock units and the underlying shares of Common Stock, the dates on which those vested shares shall be issued to Participant and the remaining terms and conditions governing the Award shall be as set forth in this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5"/>
            <w:vMerge w:val="restart"/>
          </w:tcPr>
          <w:p>
            <w:pPr>
              <w:spacing w:after="0"/>
              <w:rPr>
                <w:sz w:val="20"/>
                <w:szCs w:val="20"/>
                <w:color w:val="auto"/>
              </w:rPr>
            </w:pPr>
            <w:r>
              <w:rPr>
                <w:rFonts w:ascii="Arial" w:cs="Arial" w:eastAsia="Arial" w:hAnsi="Arial"/>
                <w:sz w:val="18"/>
                <w:szCs w:val="18"/>
                <w:color w:val="auto"/>
              </w:rPr>
              <w:t>Participant</w:t>
            </w:r>
          </w:p>
        </w:tc>
        <w:tc>
          <w:tcPr>
            <w:tcW w:w="7540" w:type="dxa"/>
            <w:vAlign w:val="bottom"/>
          </w:tcPr>
          <w:p>
            <w:pPr>
              <w:ind w:left="2260"/>
              <w:spacing w:after="0"/>
              <w:rPr>
                <w:sz w:val="20"/>
                <w:szCs w:val="20"/>
                <w:color w:val="auto"/>
              </w:rPr>
            </w:pPr>
            <w:r>
              <w:rPr>
                <w:rFonts w:ascii="Arial" w:cs="Arial" w:eastAsia="Arial" w:hAnsi="Arial"/>
                <w:sz w:val="18"/>
                <w:szCs w:val="18"/>
                <w:b w:val="1"/>
                <w:bCs w:val="1"/>
                <w:color w:val="auto"/>
              </w:rPr>
              <w:t>AWARD SUMMARY</w:t>
            </w:r>
          </w:p>
        </w:tc>
        <w:tc>
          <w:tcPr>
            <w:tcW w:w="0" w:type="dxa"/>
            <w:vAlign w:val="bottom"/>
          </w:tcPr>
          <w:p>
            <w:pPr>
              <w:spacing w:after="0"/>
              <w:rPr>
                <w:sz w:val="1"/>
                <w:szCs w:val="1"/>
                <w:color w:val="auto"/>
              </w:rPr>
            </w:pPr>
          </w:p>
        </w:tc>
      </w:tr>
      <w:tr>
        <w:trPr>
          <w:trHeight w:val="176"/>
        </w:trPr>
        <w:tc>
          <w:tcPr>
            <w:tcW w:w="1440" w:type="dxa"/>
            <w:vAlign w:val="bottom"/>
            <w:gridSpan w:val="5"/>
            <w:vMerge w:val="continue"/>
          </w:tcPr>
          <w:p>
            <w:pPr>
              <w:spacing w:after="0"/>
              <w:rPr>
                <w:sz w:val="15"/>
                <w:szCs w:val="15"/>
                <w:color w:val="auto"/>
              </w:rPr>
            </w:pPr>
          </w:p>
        </w:tc>
        <w:tc>
          <w:tcPr>
            <w:tcW w:w="7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Award Date:</w:t>
            </w:r>
          </w:p>
        </w:tc>
        <w:tc>
          <w:tcPr>
            <w:tcW w:w="520" w:type="dxa"/>
            <w:vAlign w:val="bottom"/>
            <w:gridSpan w:val="3"/>
          </w:tcPr>
          <w:p>
            <w:pPr>
              <w:spacing w:after="0"/>
              <w:rPr>
                <w:sz w:val="24"/>
                <w:szCs w:val="24"/>
                <w:color w:val="auto"/>
              </w:rPr>
            </w:pPr>
          </w:p>
        </w:tc>
        <w:tc>
          <w:tcPr>
            <w:tcW w:w="7540" w:type="dxa"/>
            <w:vAlign w:val="bottom"/>
          </w:tcPr>
          <w:p>
            <w:pPr>
              <w:ind w:left="1400"/>
              <w:spacing w:after="0"/>
              <w:rPr>
                <w:sz w:val="20"/>
                <w:szCs w:val="20"/>
                <w:color w:val="auto"/>
              </w:rPr>
            </w:pPr>
            <w:r>
              <w:rPr>
                <w:rFonts w:ascii="Arial" w:cs="Arial" w:eastAsia="Arial" w:hAnsi="Arial"/>
                <w:sz w:val="18"/>
                <w:szCs w:val="18"/>
                <w:color w:val="auto"/>
              </w:rPr>
              <w:t>, 201</w:t>
            </w:r>
          </w:p>
        </w:tc>
        <w:tc>
          <w:tcPr>
            <w:tcW w:w="0" w:type="dxa"/>
            <w:vAlign w:val="bottom"/>
          </w:tcPr>
          <w:p>
            <w:pPr>
              <w:spacing w:after="0"/>
              <w:rPr>
                <w:sz w:val="1"/>
                <w:szCs w:val="1"/>
                <w:color w:val="auto"/>
              </w:rPr>
            </w:pPr>
          </w:p>
        </w:tc>
      </w:tr>
      <w:tr>
        <w:trPr>
          <w:trHeight w:val="412"/>
        </w:trPr>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Number of Shares</w:t>
            </w:r>
          </w:p>
        </w:tc>
        <w:tc>
          <w:tcPr>
            <w:tcW w:w="1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Subject to Award:</w:t>
            </w:r>
          </w:p>
        </w:tc>
        <w:tc>
          <w:tcPr>
            <w:tcW w:w="140" w:type="dxa"/>
            <w:vAlign w:val="bottom"/>
            <w:gridSpan w:val="2"/>
          </w:tcPr>
          <w:p>
            <w:pPr>
              <w:spacing w:after="0"/>
              <w:rPr>
                <w:sz w:val="17"/>
                <w:szCs w:val="17"/>
                <w:color w:val="auto"/>
              </w:rPr>
            </w:pPr>
          </w:p>
        </w:tc>
        <w:tc>
          <w:tcPr>
            <w:tcW w:w="7540" w:type="dxa"/>
            <w:vAlign w:val="bottom"/>
          </w:tcPr>
          <w:p>
            <w:pPr>
              <w:ind w:left="1080"/>
              <w:spacing w:after="0" w:line="196" w:lineRule="exact"/>
              <w:rPr>
                <w:sz w:val="20"/>
                <w:szCs w:val="20"/>
                <w:color w:val="auto"/>
              </w:rPr>
            </w:pPr>
            <w:r>
              <w:rPr>
                <w:rFonts w:ascii="Arial" w:cs="Arial" w:eastAsia="Arial" w:hAnsi="Arial"/>
                <w:sz w:val="18"/>
                <w:szCs w:val="18"/>
                <w:color w:val="auto"/>
              </w:rPr>
              <w:t>shares of Common Stock (the “Shares”)</w:t>
            </w:r>
          </w:p>
        </w:tc>
        <w:tc>
          <w:tcPr>
            <w:tcW w:w="0" w:type="dxa"/>
            <w:vAlign w:val="bottom"/>
          </w:tcPr>
          <w:p>
            <w:pPr>
              <w:spacing w:after="0"/>
              <w:rPr>
                <w:sz w:val="1"/>
                <w:szCs w:val="1"/>
                <w:color w:val="auto"/>
              </w:rPr>
            </w:pPr>
          </w:p>
        </w:tc>
      </w:tr>
      <w:tr>
        <w:trPr>
          <w:trHeight w:val="399"/>
        </w:trPr>
        <w:tc>
          <w:tcPr>
            <w:tcW w:w="1440" w:type="dxa"/>
            <w:vAlign w:val="bottom"/>
            <w:gridSpan w:val="5"/>
          </w:tcPr>
          <w:p>
            <w:pPr>
              <w:spacing w:after="0"/>
              <w:rPr>
                <w:sz w:val="20"/>
                <w:szCs w:val="20"/>
                <w:color w:val="auto"/>
              </w:rPr>
            </w:pPr>
            <w:r>
              <w:rPr>
                <w:rFonts w:ascii="Arial" w:cs="Arial" w:eastAsia="Arial" w:hAnsi="Arial"/>
                <w:sz w:val="18"/>
                <w:szCs w:val="18"/>
                <w:color w:val="auto"/>
                <w:w w:val="97"/>
              </w:rPr>
              <w:t>Vesting Schedule:</w:t>
            </w:r>
          </w:p>
        </w:tc>
        <w:tc>
          <w:tcPr>
            <w:tcW w:w="7540" w:type="dxa"/>
            <w:vAlign w:val="bottom"/>
          </w:tcPr>
          <w:p>
            <w:pPr>
              <w:ind w:left="120"/>
              <w:spacing w:after="0"/>
              <w:rPr>
                <w:sz w:val="20"/>
                <w:szCs w:val="20"/>
                <w:color w:val="auto"/>
              </w:rPr>
            </w:pPr>
            <w:r>
              <w:rPr>
                <w:rFonts w:ascii="Arial" w:cs="Arial" w:eastAsia="Arial" w:hAnsi="Arial"/>
                <w:sz w:val="18"/>
                <w:szCs w:val="18"/>
                <w:color w:val="auto"/>
                <w:w w:val="95"/>
              </w:rPr>
              <w:t>The Shares shall vest in full on the earlier of (a) the first anniversary of Participant’s completion of</w:t>
            </w:r>
          </w:p>
        </w:tc>
        <w:tc>
          <w:tcPr>
            <w:tcW w:w="0" w:type="dxa"/>
            <w:vAlign w:val="bottom"/>
          </w:tcPr>
          <w:p>
            <w:pPr>
              <w:spacing w:after="0"/>
              <w:rPr>
                <w:sz w:val="1"/>
                <w:szCs w:val="1"/>
                <w:color w:val="auto"/>
              </w:rPr>
            </w:pPr>
          </w:p>
        </w:tc>
      </w:tr>
      <w:tr>
        <w:trPr>
          <w:trHeight w:val="222"/>
        </w:trPr>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w w:val="90"/>
              </w:rPr>
              <w:t>continuous Board service measured from the Award Date or (b) the first annual general meeting of the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w w:val="91"/>
              </w:rPr>
              <w:t>Corporation’s stockholders held after the Award Date. The Shares may vest in whole or in part on an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w w:val="92"/>
              </w:rPr>
              <w:t>accelerated basis in accordance with the provisions of Paragraphs 3 and 5 of this Agreement. In no</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rPr>
              <w:t>event shall any Shares vest after the date of Participant’s termination of Board service.</w:t>
            </w:r>
          </w:p>
        </w:tc>
        <w:tc>
          <w:tcPr>
            <w:tcW w:w="0" w:type="dxa"/>
            <w:vAlign w:val="bottom"/>
          </w:tcPr>
          <w:p>
            <w:pPr>
              <w:spacing w:after="0"/>
              <w:rPr>
                <w:sz w:val="1"/>
                <w:szCs w:val="1"/>
                <w:color w:val="auto"/>
              </w:rPr>
            </w:pPr>
          </w:p>
        </w:tc>
      </w:tr>
      <w:tr>
        <w:trPr>
          <w:trHeight w:val="378"/>
        </w:trPr>
        <w:tc>
          <w:tcPr>
            <w:tcW w:w="1440" w:type="dxa"/>
            <w:vAlign w:val="bottom"/>
            <w:gridSpan w:val="5"/>
          </w:tcPr>
          <w:p>
            <w:pPr>
              <w:spacing w:after="0"/>
              <w:rPr>
                <w:sz w:val="20"/>
                <w:szCs w:val="20"/>
                <w:color w:val="auto"/>
              </w:rPr>
            </w:pPr>
            <w:r>
              <w:rPr>
                <w:rFonts w:ascii="Arial" w:cs="Arial" w:eastAsia="Arial" w:hAnsi="Arial"/>
                <w:sz w:val="18"/>
                <w:szCs w:val="18"/>
                <w:color w:val="auto"/>
                <w:w w:val="93"/>
              </w:rPr>
              <w:t>Issuance Schedule</w:t>
            </w:r>
          </w:p>
        </w:tc>
        <w:tc>
          <w:tcPr>
            <w:tcW w:w="7540" w:type="dxa"/>
            <w:vAlign w:val="bottom"/>
          </w:tcPr>
          <w:p>
            <w:pPr>
              <w:ind w:left="160"/>
              <w:spacing w:after="0"/>
              <w:rPr>
                <w:sz w:val="20"/>
                <w:szCs w:val="20"/>
                <w:color w:val="auto"/>
              </w:rPr>
            </w:pPr>
            <w:r>
              <w:rPr>
                <w:rFonts w:ascii="Arial" w:cs="Arial" w:eastAsia="Arial" w:hAnsi="Arial"/>
                <w:sz w:val="18"/>
                <w:szCs w:val="18"/>
                <w:color w:val="auto"/>
                <w:w w:val="92"/>
              </w:rPr>
              <w:t>Subject to the provisions of Paragraph 7(a), each Share in which the Participant vests in accordance</w:t>
            </w:r>
          </w:p>
        </w:tc>
        <w:tc>
          <w:tcPr>
            <w:tcW w:w="0" w:type="dxa"/>
            <w:vAlign w:val="bottom"/>
          </w:tcPr>
          <w:p>
            <w:pPr>
              <w:spacing w:after="0"/>
              <w:rPr>
                <w:sz w:val="1"/>
                <w:szCs w:val="1"/>
                <w:color w:val="auto"/>
              </w:rPr>
            </w:pPr>
          </w:p>
        </w:tc>
      </w:tr>
      <w:tr>
        <w:trPr>
          <w:trHeight w:val="222"/>
        </w:trPr>
        <w:tc>
          <w:tcPr>
            <w:tcW w:w="7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w w:val="90"/>
              </w:rPr>
              <w:t>with the foregoing Vesting Schedule or pursuant to the vesting acceleration provisions of Paragraph 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rPr>
              <w:t>or 5 of this Agreement shall be issued on the date that Share vests or as soon thereafter as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w w:val="91"/>
              </w:rPr>
              <w:t xml:space="preserve">administratively practicable, but in no event later than the </w:t>
            </w:r>
            <w:r>
              <w:rPr>
                <w:rFonts w:ascii="Arial" w:cs="Arial" w:eastAsia="Arial" w:hAnsi="Arial"/>
                <w:sz w:val="18"/>
                <w:szCs w:val="18"/>
                <w:b w:val="1"/>
                <w:bCs w:val="1"/>
                <w:i w:val="1"/>
                <w:iCs w:val="1"/>
                <w:color w:val="auto"/>
                <w:w w:val="91"/>
              </w:rPr>
              <w:t>later</w:t>
            </w:r>
            <w:r>
              <w:rPr>
                <w:rFonts w:ascii="Arial" w:cs="Arial" w:eastAsia="Arial" w:hAnsi="Arial"/>
                <w:sz w:val="18"/>
                <w:szCs w:val="18"/>
                <w:color w:val="auto"/>
                <w:w w:val="91"/>
              </w:rPr>
              <w:t xml:space="preserve"> of (i) the close of the calendar year in</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w w:val="91"/>
              </w:rPr>
              <w:t>which that Share vests or (ii) the fifteenth day of the third calendar month following such vesting date</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540" w:type="dxa"/>
            <w:vAlign w:val="bottom"/>
          </w:tcPr>
          <w:p>
            <w:pPr>
              <w:ind w:left="180"/>
              <w:spacing w:after="0"/>
              <w:rPr>
                <w:sz w:val="20"/>
                <w:szCs w:val="20"/>
                <w:color w:val="auto"/>
              </w:rPr>
            </w:pPr>
            <w:r>
              <w:rPr>
                <w:rFonts w:ascii="Arial" w:cs="Arial" w:eastAsia="Arial" w:hAnsi="Arial"/>
                <w:sz w:val="18"/>
                <w:szCs w:val="18"/>
                <w:color w:val="auto"/>
              </w:rPr>
              <w:t>(the “Issuance Date”).</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1299"/>
        <w:spacing w:after="0" w:line="274" w:lineRule="auto"/>
        <w:tabs>
          <w:tab w:leader="none" w:pos="1881" w:val="left"/>
        </w:tabs>
        <w:numPr>
          <w:ilvl w:val="0"/>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Limited Transferability</w:t>
      </w:r>
      <w:r>
        <w:rPr>
          <w:rFonts w:ascii="Arial" w:cs="Arial" w:eastAsia="Arial" w:hAnsi="Arial"/>
          <w:sz w:val="17"/>
          <w:szCs w:val="17"/>
          <w:color w:val="auto"/>
        </w:rPr>
        <w:t>. Prior to the actual issuance of the Shares that vest hereunder,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may not transfer any interest in the restricted stock units subject to the Award or the underlying Shares or pledge or otherwise hedge the sale of those units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8" w:name="page99"/>
    <w:bookmarkEnd w:id="98"/>
    <w:p>
      <w:pPr>
        <w:spacing w:after="0" w:line="279" w:lineRule="auto"/>
        <w:rPr>
          <w:sz w:val="20"/>
          <w:szCs w:val="20"/>
          <w:color w:val="auto"/>
        </w:rPr>
      </w:pPr>
      <w:r>
        <w:rPr>
          <w:rFonts w:ascii="Arial" w:cs="Arial" w:eastAsia="Arial" w:hAnsi="Arial"/>
          <w:sz w:val="17"/>
          <w:szCs w:val="17"/>
          <w:color w:val="auto"/>
        </w:rPr>
        <w:t>beneficiaries of this Award. Participant may also direct the Corporation to issue the stock certificates for any Shares which in fact vest and become issuable hereunder to one or more designated Family Members or a trust established for Participant and/or his or her Family Members. Participant may make such a beneficiary designation or certificate directive at any time by filing the appropriate form with the Plan Administrator or its designee.</w:t>
      </w:r>
    </w:p>
    <w:p>
      <w:pPr>
        <w:spacing w:after="0" w:line="167" w:lineRule="exact"/>
        <w:rPr>
          <w:sz w:val="20"/>
          <w:szCs w:val="20"/>
          <w:color w:val="auto"/>
        </w:rPr>
      </w:pPr>
    </w:p>
    <w:p>
      <w:pPr>
        <w:ind w:firstLine="1299"/>
        <w:spacing w:after="0" w:line="256" w:lineRule="auto"/>
        <w:tabs>
          <w:tab w:leader="none" w:pos="1881"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Cessation of Service</w:t>
      </w:r>
      <w:r>
        <w:rPr>
          <w:rFonts w:ascii="Arial" w:cs="Arial" w:eastAsia="Arial" w:hAnsi="Arial"/>
          <w:sz w:val="18"/>
          <w:szCs w:val="18"/>
          <w:color w:val="auto"/>
        </w:rPr>
        <w:t>. The restricted stock units subject to this Award shall, to the extent not</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vested, immediately vest in full upon Participant’s cessation of Board service by reason of death, Permanent Disability or Retirement. Should Participant cease Board service for any other reason prior to vesting in one or more Shares subject to this Award, then the Award will be immediately cancelled with respect to those unvested Shares, and the number of restricted stock units will be reduced accordingly. Participant shall thereupon cease to have any right or entitlement to receive any Shares under those cancelled units.</w:t>
      </w:r>
    </w:p>
    <w:p>
      <w:pPr>
        <w:spacing w:after="0" w:line="187" w:lineRule="exact"/>
        <w:rPr>
          <w:rFonts w:ascii="Arial" w:cs="Arial" w:eastAsia="Arial" w:hAnsi="Arial"/>
          <w:sz w:val="18"/>
          <w:szCs w:val="18"/>
          <w:color w:val="auto"/>
        </w:rPr>
      </w:pPr>
    </w:p>
    <w:p>
      <w:pPr>
        <w:ind w:left="1920" w:hanging="621"/>
        <w:spacing w:after="0"/>
        <w:tabs>
          <w:tab w:leader="none" w:pos="192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Rights and Dividend Equivalents</w:t>
      </w:r>
    </w:p>
    <w:p>
      <w:pPr>
        <w:spacing w:after="0" w:line="229" w:lineRule="exact"/>
        <w:rPr>
          <w:rFonts w:ascii="Arial" w:cs="Arial" w:eastAsia="Arial" w:hAnsi="Arial"/>
          <w:sz w:val="18"/>
          <w:szCs w:val="18"/>
          <w:color w:val="auto"/>
        </w:rPr>
      </w:pPr>
    </w:p>
    <w:p>
      <w:pPr>
        <w:ind w:right="60" w:firstLine="1948"/>
        <w:spacing w:after="0" w:line="264" w:lineRule="auto"/>
        <w:tabs>
          <w:tab w:leader="none" w:pos="2505" w:val="left"/>
        </w:tabs>
        <w:numPr>
          <w:ilvl w:val="1"/>
          <w:numId w:val="81"/>
        </w:numPr>
        <w:rPr>
          <w:rFonts w:ascii="Arial" w:cs="Arial" w:eastAsia="Arial" w:hAnsi="Arial"/>
          <w:sz w:val="18"/>
          <w:szCs w:val="18"/>
          <w:color w:val="auto"/>
        </w:rPr>
      </w:pPr>
      <w:r>
        <w:rPr>
          <w:rFonts w:ascii="Arial" w:cs="Arial" w:eastAsia="Arial" w:hAnsi="Arial"/>
          <w:sz w:val="18"/>
          <w:szCs w:val="18"/>
          <w:color w:val="auto"/>
        </w:rPr>
        <w:t>Participant shall not have any stockholder rights, including voting, dividend or liquidation rights, with respect to the Shares subject to the Award until Participant becomes the record holder of those Shares following their actual issuance.</w:t>
      </w:r>
    </w:p>
    <w:p>
      <w:pPr>
        <w:spacing w:after="0" w:line="181" w:lineRule="exact"/>
        <w:rPr>
          <w:rFonts w:ascii="Arial" w:cs="Arial" w:eastAsia="Arial" w:hAnsi="Arial"/>
          <w:sz w:val="18"/>
          <w:szCs w:val="18"/>
          <w:color w:val="auto"/>
        </w:rPr>
      </w:pPr>
    </w:p>
    <w:p>
      <w:pPr>
        <w:ind w:right="80" w:firstLine="1948"/>
        <w:spacing w:after="0" w:line="289" w:lineRule="auto"/>
        <w:tabs>
          <w:tab w:leader="none" w:pos="2528" w:val="left"/>
        </w:tabs>
        <w:numPr>
          <w:ilvl w:val="1"/>
          <w:numId w:val="81"/>
        </w:numPr>
        <w:rPr>
          <w:rFonts w:ascii="Arial" w:cs="Arial" w:eastAsia="Arial" w:hAnsi="Arial"/>
          <w:sz w:val="16"/>
          <w:szCs w:val="16"/>
          <w:color w:val="auto"/>
        </w:rPr>
      </w:pPr>
      <w:r>
        <w:rPr>
          <w:rFonts w:ascii="Arial" w:cs="Arial" w:eastAsia="Arial" w:hAnsi="Arial"/>
          <w:sz w:val="16"/>
          <w:szCs w:val="16"/>
          <w:color w:val="auto"/>
        </w:rPr>
        <w:t>Notwithstanding the foregoing, should any dividend or other distribution payable other than in shares of Common Stock be declared and paid on the outstanding Common Stock while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As the Shares vest hereunder, the phantom dividend equivalents that are credited to those Shares in the book account shall concurrently vest, and those vested dividend equivalents shall subsequently be distributed to Participant (in cash or such other form as the Plan Administrator may deem appropriate in its sole discretion) at the same time the vested Shares to which those phantom dividend equivalents relate are issued.</w:t>
      </w:r>
    </w:p>
    <w:p>
      <w:pPr>
        <w:spacing w:after="0" w:line="162" w:lineRule="exact"/>
        <w:rPr>
          <w:rFonts w:ascii="Arial" w:cs="Arial" w:eastAsia="Arial" w:hAnsi="Arial"/>
          <w:sz w:val="16"/>
          <w:szCs w:val="16"/>
          <w:color w:val="auto"/>
        </w:rPr>
      </w:pPr>
    </w:p>
    <w:p>
      <w:pPr>
        <w:ind w:right="40" w:firstLine="1299"/>
        <w:spacing w:after="0" w:line="290" w:lineRule="auto"/>
        <w:tabs>
          <w:tab w:leader="none" w:pos="1926"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Special Vesting Acceleration</w:t>
      </w:r>
      <w:r>
        <w:rPr>
          <w:rFonts w:ascii="Arial" w:cs="Arial" w:eastAsia="Arial" w:hAnsi="Arial"/>
          <w:sz w:val="16"/>
          <w:szCs w:val="16"/>
          <w:color w:val="auto"/>
        </w:rPr>
        <w:t>. The restricted stock units subject to this Award shall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vest in full upon Participant’s continuation in Board service until the effective date of any Change in Control transaction. The vested Shares will be issued immediately upon such effective date or as soon as administratively practicable thereafter, but in no event more than fifteen (15) business days after such effective date. Alternatively, the Participant’s right to the Shares may, pursuant to the terms of the Change in Control transaction, be converted into the right to receive the same consideration per share of Common Stock payable to the other shareholders of the Corporation in consummation of the Change in Control and distributed at the same time as such shareholder payments, but such distribution to Participant shall in all events be completed no later than the </w:t>
      </w:r>
      <w:r>
        <w:rPr>
          <w:rFonts w:ascii="Arial" w:cs="Arial" w:eastAsia="Arial" w:hAnsi="Arial"/>
          <w:sz w:val="16"/>
          <w:szCs w:val="16"/>
          <w:b w:val="1"/>
          <w:bCs w:val="1"/>
          <w:i w:val="1"/>
          <w:iCs w:val="1"/>
          <w:color w:val="auto"/>
        </w:rPr>
        <w:t>later</w:t>
      </w:r>
      <w:r>
        <w:rPr>
          <w:rFonts w:ascii="Arial" w:cs="Arial" w:eastAsia="Arial" w:hAnsi="Arial"/>
          <w:sz w:val="16"/>
          <w:szCs w:val="16"/>
          <w:color w:val="auto"/>
        </w:rPr>
        <w:t xml:space="preserve"> of (i) the close of the calendar year in which such Change in Control is effected or (ii) the fifteenth (15th) of the third (3rd) calendar month following the effective date of that Change in Control.</w:t>
      </w:r>
    </w:p>
    <w:p>
      <w:pPr>
        <w:spacing w:after="0" w:line="159" w:lineRule="exact"/>
        <w:rPr>
          <w:rFonts w:ascii="Arial" w:cs="Arial" w:eastAsia="Arial" w:hAnsi="Arial"/>
          <w:sz w:val="16"/>
          <w:szCs w:val="16"/>
          <w:color w:val="auto"/>
        </w:rPr>
      </w:pPr>
    </w:p>
    <w:p>
      <w:pPr>
        <w:ind w:right="20" w:firstLine="1299"/>
        <w:spacing w:after="0" w:line="270" w:lineRule="auto"/>
        <w:tabs>
          <w:tab w:leader="none" w:pos="1926"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Adjustment in Shares</w:t>
      </w:r>
      <w:r>
        <w:rPr>
          <w:rFonts w:ascii="Arial" w:cs="Arial" w:eastAsia="Arial" w:hAnsi="Arial"/>
          <w:sz w:val="17"/>
          <w:szCs w:val="17"/>
          <w:color w:val="auto"/>
        </w:rPr>
        <w:t>. Should any change be made to the Common Stock by reason of any stock</w:t>
      </w:r>
      <w:r>
        <w:rPr>
          <w:rFonts w:ascii="Arial" w:cs="Arial" w:eastAsia="Arial" w:hAnsi="Arial"/>
          <w:sz w:val="17"/>
          <w:szCs w:val="17"/>
          <w:b w:val="1"/>
          <w:bCs w:val="1"/>
          <w:color w:val="auto"/>
        </w:rPr>
        <w:t xml:space="preserve"> </w:t>
      </w:r>
      <w:r>
        <w:rPr>
          <w:rFonts w:ascii="Arial" w:cs="Arial" w:eastAsia="Arial" w:hAnsi="Arial"/>
          <w:sz w:val="17"/>
          <w:szCs w:val="17"/>
          <w:color w:val="auto"/>
        </w:rPr>
        <w:t>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to be credited to Participant’s book account, if applicable, under Paragraph 4(b) in connection with the transaction, and the determination of the Plan Administrator shall be final, binding and conclusive as provided in Section III.C. of Article One of the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ind w:left="1920" w:hanging="621"/>
        <w:spacing w:after="0"/>
        <w:tabs>
          <w:tab w:leader="none" w:pos="192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 of Common Stock</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40" w:firstLine="1948"/>
        <w:spacing w:after="0" w:line="253" w:lineRule="auto"/>
        <w:tabs>
          <w:tab w:leader="none" w:pos="25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Except as otherwise provided in Paragraph 5, on each applicable Issuance Date for the Shares which vest in accordance with the terms of this Agreement, the Corporation shall issue to or on behalf of Participant a certificate (which may be in electronic form) for the vested shares of Common Stock to be issued on such date and shall concurrently distribute to Participant any phantom dividend equivalents with respect to those vested Shares. Notwithstanding the foregoing, should Participant attain Retirement age prior to completion of the normal Vesting Schedule set forth in Paragraph 1, then any Shares in which Participant may, pursuant to Code Section 409A, be deemed to vest at that time shall be issued upon the </w:t>
      </w:r>
      <w:r>
        <w:rPr>
          <w:rFonts w:ascii="Arial" w:cs="Arial" w:eastAsia="Arial" w:hAnsi="Arial"/>
          <w:sz w:val="18"/>
          <w:szCs w:val="18"/>
          <w:b w:val="1"/>
          <w:bCs w:val="1"/>
          <w:i w:val="1"/>
          <w:iCs w:val="1"/>
          <w:color w:val="auto"/>
        </w:rPr>
        <w:t>earliest</w:t>
      </w:r>
      <w:r>
        <w:rPr>
          <w:rFonts w:ascii="Arial" w:cs="Arial" w:eastAsia="Arial" w:hAnsi="Arial"/>
          <w:sz w:val="18"/>
          <w:szCs w:val="18"/>
          <w:color w:val="auto"/>
        </w:rPr>
        <w:t xml:space="preserve"> to occur of (i) the Issuance Date which would otherwise apply to those Shares under this Agreement had Participant not reached Retirement age, (ii) the date of Participant’s cessation of Board service or (iii) the effective date of a Change in Control (with the issuance in such latter event to be governed by the terms of Paragraph 5 above).</w:t>
      </w:r>
    </w:p>
    <w:p>
      <w:pPr>
        <w:spacing w:after="0" w:line="194" w:lineRule="exact"/>
        <w:rPr>
          <w:rFonts w:ascii="Arial" w:cs="Arial" w:eastAsia="Arial" w:hAnsi="Arial"/>
          <w:sz w:val="18"/>
          <w:szCs w:val="18"/>
          <w:color w:val="auto"/>
        </w:rPr>
      </w:pPr>
    </w:p>
    <w:p>
      <w:pPr>
        <w:ind w:right="40" w:firstLine="1948"/>
        <w:spacing w:after="0" w:line="302" w:lineRule="auto"/>
        <w:tabs>
          <w:tab w:leader="none" w:pos="25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Except as otherwise provided in Paragraph 5,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down to the next whole share in order to avoid the issuance of a fractional share.</w:t>
      </w:r>
    </w:p>
    <w:p>
      <w:pPr>
        <w:spacing w:after="0" w:line="150" w:lineRule="exact"/>
        <w:rPr>
          <w:rFonts w:ascii="Arial" w:cs="Arial" w:eastAsia="Arial" w:hAnsi="Arial"/>
          <w:sz w:val="16"/>
          <w:szCs w:val="16"/>
          <w:color w:val="auto"/>
        </w:rPr>
      </w:pPr>
    </w:p>
    <w:p>
      <w:pPr>
        <w:ind w:left="1940" w:hanging="641"/>
        <w:spacing w:after="0"/>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20" w:firstLine="1948"/>
        <w:spacing w:after="0" w:line="312" w:lineRule="auto"/>
        <w:tabs>
          <w:tab w:leader="none" w:pos="2546"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46" w:lineRule="exact"/>
        <w:rPr>
          <w:rFonts w:ascii="Arial" w:cs="Arial" w:eastAsia="Arial" w:hAnsi="Arial"/>
          <w:sz w:val="16"/>
          <w:szCs w:val="16"/>
          <w:color w:val="auto"/>
        </w:rPr>
      </w:pPr>
    </w:p>
    <w:p>
      <w:pPr>
        <w:ind w:right="140" w:firstLine="1948"/>
        <w:spacing w:after="0" w:line="279" w:lineRule="auto"/>
        <w:tabs>
          <w:tab w:leader="none" w:pos="2556"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inability of the Corporation to obtain approval from any regulatory body having authority deemed by the Corporation to be necessary to the lawful issuance of any Common Stock hereby shall relieve the Corporation of any liability with respect to the non-issuance of the Common Stock as to which such approval shall not have been obtained. The Corporation, however, shall use its best efforts to obtain all such approvals.</w:t>
      </w:r>
    </w:p>
    <w:p>
      <w:pPr>
        <w:spacing w:after="0" w:line="167" w:lineRule="exact"/>
        <w:rPr>
          <w:rFonts w:ascii="Arial" w:cs="Arial" w:eastAsia="Arial" w:hAnsi="Arial"/>
          <w:sz w:val="17"/>
          <w:szCs w:val="17"/>
          <w:color w:val="auto"/>
        </w:rPr>
      </w:pPr>
    </w:p>
    <w:p>
      <w:pPr>
        <w:ind w:right="440" w:firstLine="1299"/>
        <w:spacing w:after="0" w:line="261" w:lineRule="auto"/>
        <w:tabs>
          <w:tab w:leader="none" w:pos="194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Except to the extent otherwise provided in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80" w:lineRule="exact"/>
        <w:rPr>
          <w:rFonts w:ascii="Arial" w:cs="Arial" w:eastAsia="Arial" w:hAnsi="Arial"/>
          <w:sz w:val="18"/>
          <w:szCs w:val="18"/>
          <w:color w:val="auto"/>
        </w:rPr>
      </w:pPr>
    </w:p>
    <w:p>
      <w:pPr>
        <w:ind w:right="60" w:firstLine="1299"/>
        <w:spacing w:after="0" w:line="256" w:lineRule="auto"/>
        <w:tabs>
          <w:tab w:leader="none" w:pos="203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required to be given or delivered to the Corporation under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in writing and addressed to the Corporation at its principal corporate offices. Any notice required to be given or delivered to Participant shall be in writing and addressed to Participant at the address indicated below Participant’s signature line on this Agreement, unless Participant notifies the Corporation of a change in address in writing. All notices shall be deemed effective upon personal delivery or upon deposit in the U.S. mail, postage prepaid and properly addressed to the party to be notified.</w:t>
      </w:r>
    </w:p>
    <w:p>
      <w:pPr>
        <w:spacing w:after="0" w:line="187" w:lineRule="exact"/>
        <w:rPr>
          <w:rFonts w:ascii="Arial" w:cs="Arial" w:eastAsia="Arial" w:hAnsi="Arial"/>
          <w:sz w:val="18"/>
          <w:szCs w:val="18"/>
          <w:color w:val="auto"/>
        </w:rPr>
      </w:pPr>
    </w:p>
    <w:p>
      <w:pPr>
        <w:ind w:firstLine="1299"/>
        <w:spacing w:after="0" w:line="261" w:lineRule="auto"/>
        <w:tabs>
          <w:tab w:leader="none" w:pos="2023"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and the Award evidenced hereby are made and granted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Plan and are in all respects limited by and subject to the terms of the Plan. All decisions of the Plan Administrator with respect to any question or issue arising under the Plan or this Agreement shall be conclusive and binding on all persons having an interest in the Award.</w:t>
      </w:r>
    </w:p>
    <w:p>
      <w:pPr>
        <w:spacing w:after="0" w:line="180" w:lineRule="exact"/>
        <w:rPr>
          <w:rFonts w:ascii="Arial" w:cs="Arial" w:eastAsia="Arial" w:hAnsi="Arial"/>
          <w:sz w:val="18"/>
          <w:szCs w:val="18"/>
          <w:color w:val="auto"/>
        </w:rPr>
      </w:pPr>
    </w:p>
    <w:p>
      <w:pPr>
        <w:ind w:right="220" w:firstLine="1299"/>
        <w:spacing w:after="0" w:line="282" w:lineRule="auto"/>
        <w:tabs>
          <w:tab w:leader="none" w:pos="2016"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interpretation, performance and enforcement of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Hawaii without regard to that State’s conflict-of-laws rules.</w:t>
      </w:r>
    </w:p>
    <w:p>
      <w:pPr>
        <w:spacing w:after="0" w:line="161" w:lineRule="exact"/>
        <w:rPr>
          <w:rFonts w:ascii="Arial" w:cs="Arial" w:eastAsia="Arial" w:hAnsi="Arial"/>
          <w:sz w:val="18"/>
          <w:szCs w:val="18"/>
          <w:color w:val="auto"/>
        </w:rPr>
      </w:pPr>
    </w:p>
    <w:p>
      <w:pPr>
        <w:ind w:firstLine="1299"/>
        <w:spacing w:after="0" w:line="281" w:lineRule="auto"/>
        <w:tabs>
          <w:tab w:leader="none" w:pos="2030" w:val="left"/>
        </w:tabs>
        <w:numPr>
          <w:ilvl w:val="0"/>
          <w:numId w:val="82"/>
        </w:numPr>
        <w:rPr>
          <w:rFonts w:ascii="Arial" w:cs="Arial" w:eastAsia="Arial" w:hAnsi="Arial"/>
          <w:sz w:val="17"/>
          <w:szCs w:val="17"/>
          <w:color w:val="auto"/>
        </w:rPr>
      </w:pPr>
      <w:r>
        <w:rPr>
          <w:rFonts w:ascii="Arial" w:cs="Arial" w:eastAsia="Arial" w:hAnsi="Arial"/>
          <w:sz w:val="17"/>
          <w:szCs w:val="17"/>
          <w:b w:val="1"/>
          <w:bCs w:val="1"/>
          <w:u w:val="single" w:color="auto"/>
          <w:color w:val="auto"/>
        </w:rPr>
        <w:t>No Impairment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not in any way affect the right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to adjust, reclassify, reorganize or otherwise make changes in its capital or business structure or to merge, consolidate, dissolve, liquidate or sell or transfer all or any part of its business or assets. In addition, this Agreement shall not in any way be construed or interpreted so as to affect adversely or otherwise impair the right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575437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0" w:name="page101"/>
    <w:bookmarkEnd w:id="100"/>
    <w:p>
      <w:pPr>
        <w:ind w:right="299"/>
        <w:spacing w:after="0" w:line="277" w:lineRule="auto"/>
        <w:rPr>
          <w:sz w:val="20"/>
          <w:szCs w:val="20"/>
          <w:color w:val="auto"/>
        </w:rPr>
      </w:pPr>
      <w:r>
        <w:rPr>
          <w:rFonts w:ascii="Arial" w:cs="Arial" w:eastAsia="Arial" w:hAnsi="Arial"/>
          <w:sz w:val="18"/>
          <w:szCs w:val="18"/>
          <w:color w:val="auto"/>
        </w:rPr>
        <w:t>the Corporation or its shareholders to remove Participant from the Board at any time in accordance with the provisions of applicable law.</w:t>
      </w:r>
    </w:p>
    <w:p>
      <w:pPr>
        <w:spacing w:after="0" w:line="166" w:lineRule="exact"/>
        <w:rPr>
          <w:sz w:val="20"/>
          <w:szCs w:val="20"/>
          <w:color w:val="auto"/>
        </w:rPr>
      </w:pPr>
    </w:p>
    <w:p>
      <w:pPr>
        <w:ind w:right="139" w:firstLine="1299"/>
        <w:spacing w:after="0" w:line="258" w:lineRule="auto"/>
        <w:tabs>
          <w:tab w:leader="none" w:pos="203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 Compliance</w:t>
      </w:r>
      <w:r>
        <w:rPr>
          <w:rFonts w:ascii="Arial" w:cs="Arial" w:eastAsia="Arial" w:hAnsi="Arial"/>
          <w:sz w:val="18"/>
          <w:szCs w:val="18"/>
          <w:color w:val="auto"/>
        </w:rPr>
        <w:t>. Should there occur any ambiguity as to whether any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would otherwise contravene one or more applicable requirements or limitations of Section 409A of the Internal Revenue Code and the Treasury Regulations thereunder, that provision shall be interpreted and applied in a manner that complies with the applicable requirements of Section 409A of the Internal Revenue Code and the Treasury Regulations thereunder.</w:t>
      </w:r>
    </w:p>
    <w:p>
      <w:pPr>
        <w:spacing w:after="0" w:line="184" w:lineRule="exact"/>
        <w:rPr>
          <w:sz w:val="20"/>
          <w:szCs w:val="20"/>
          <w:color w:val="auto"/>
        </w:rPr>
      </w:pPr>
    </w:p>
    <w:p>
      <w:pPr>
        <w:jc w:val="right"/>
        <w:ind w:right="3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Award Date first indicated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0" w:lineRule="exact"/>
        <w:rPr>
          <w:sz w:val="20"/>
          <w:szCs w:val="20"/>
          <w:color w:val="auto"/>
        </w:rPr>
      </w:pPr>
    </w:p>
    <w:p>
      <w:pPr>
        <w:spacing w:after="0" w:line="2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MATSON, INC.</w:t>
      </w:r>
    </w:p>
    <w:p>
      <w:pPr>
        <w:spacing w:after="0" w:line="200" w:lineRule="exact"/>
        <w:rPr>
          <w:sz w:val="20"/>
          <w:szCs w:val="20"/>
          <w:color w:val="auto"/>
        </w:rPr>
      </w:pPr>
    </w:p>
    <w:p>
      <w:pPr>
        <w:spacing w:after="0" w:line="24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14605</wp:posOffset>
            </wp:positionV>
            <wp:extent cx="23069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14605</wp:posOffset>
            </wp:positionV>
            <wp:extent cx="23069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4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3449320</wp:posOffset>
            </wp:positionH>
            <wp:positionV relativeFrom="paragraph">
              <wp:posOffset>14605</wp:posOffset>
            </wp:positionV>
            <wp:extent cx="23069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229235</wp:posOffset>
            </wp:positionV>
            <wp:extent cx="575437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1" w:name="page102"/>
    <w:bookmarkEnd w:id="101"/>
    <w:p>
      <w:pPr>
        <w:ind w:left="3960"/>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2140" w:hanging="693"/>
        <w:spacing w:after="0"/>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Restricted Stock Unit Award Agreement.</w:t>
      </w:r>
    </w:p>
    <w:p>
      <w:pPr>
        <w:spacing w:after="0" w:line="225" w:lineRule="exact"/>
        <w:rPr>
          <w:rFonts w:ascii="Arial" w:cs="Arial" w:eastAsia="Arial" w:hAnsi="Arial"/>
          <w:sz w:val="18"/>
          <w:szCs w:val="18"/>
          <w:color w:val="auto"/>
        </w:rPr>
      </w:pPr>
    </w:p>
    <w:p>
      <w:pPr>
        <w:ind w:left="2120" w:hanging="673"/>
        <w:spacing w:after="0"/>
        <w:tabs>
          <w:tab w:leader="none" w:pos="2120" w:val="left"/>
        </w:tabs>
        <w:numPr>
          <w:ilvl w:val="0"/>
          <w:numId w:val="84"/>
        </w:numPr>
        <w:rPr>
          <w:rFonts w:ascii="Arial" w:cs="Arial" w:eastAsia="Arial" w:hAnsi="Arial"/>
          <w:sz w:val="17"/>
          <w:szCs w:val="17"/>
          <w:color w:val="auto"/>
        </w:rPr>
      </w:pPr>
      <w:r>
        <w:rPr>
          <w:rFonts w:ascii="Arial" w:cs="Arial" w:eastAsia="Arial" w:hAnsi="Arial"/>
          <w:sz w:val="17"/>
          <w:szCs w:val="17"/>
          <w:b w:val="1"/>
          <w:bCs w:val="1"/>
          <w:u w:val="single" w:color="auto"/>
          <w:color w:val="auto"/>
        </w:rPr>
        <w:t>Award</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award of restricted stock units made to Participant pursuant to the</w:t>
      </w:r>
    </w:p>
    <w:p>
      <w:pPr>
        <w:spacing w:after="0" w:line="38"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8"/>
          <w:szCs w:val="18"/>
          <w:color w:val="auto"/>
        </w:rPr>
        <w:t>terms of this Agreement.</w:t>
      </w:r>
    </w:p>
    <w:p>
      <w:pPr>
        <w:spacing w:after="0" w:line="206" w:lineRule="exact"/>
        <w:rPr>
          <w:rFonts w:ascii="Arial" w:cs="Arial" w:eastAsia="Arial" w:hAnsi="Arial"/>
          <w:sz w:val="17"/>
          <w:szCs w:val="17"/>
          <w:color w:val="auto"/>
        </w:rPr>
      </w:pPr>
    </w:p>
    <w:p>
      <w:pPr>
        <w:ind w:left="160" w:right="159" w:firstLine="1287"/>
        <w:spacing w:after="0" w:line="282" w:lineRule="auto"/>
        <w:tabs>
          <w:tab w:leader="none" w:pos="213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date the restricted stock units are awarded to Participant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Agreement and shall be the date indicated in Paragraph 1 of the Agreement.</w:t>
      </w:r>
    </w:p>
    <w:p>
      <w:pPr>
        <w:spacing w:after="0" w:line="161" w:lineRule="exact"/>
        <w:rPr>
          <w:rFonts w:ascii="Arial" w:cs="Arial" w:eastAsia="Arial" w:hAnsi="Arial"/>
          <w:sz w:val="18"/>
          <w:szCs w:val="18"/>
          <w:color w:val="auto"/>
        </w:rPr>
      </w:pPr>
    </w:p>
    <w:p>
      <w:pPr>
        <w:ind w:left="160" w:right="239" w:firstLine="1287"/>
        <w:spacing w:after="0" w:line="266" w:lineRule="auto"/>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Family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the Participant, any child, stepchild,</w:t>
      </w:r>
      <w:r>
        <w:rPr>
          <w:rFonts w:ascii="Arial" w:cs="Arial" w:eastAsia="Arial" w:hAnsi="Arial"/>
          <w:sz w:val="18"/>
          <w:szCs w:val="18"/>
          <w:b w:val="1"/>
          <w:bCs w:val="1"/>
          <w:color w:val="auto"/>
        </w:rPr>
        <w:t xml:space="preserve"> </w:t>
      </w:r>
      <w:r>
        <w:rPr>
          <w:rFonts w:ascii="Arial" w:cs="Arial" w:eastAsia="Arial" w:hAnsi="Arial"/>
          <w:sz w:val="18"/>
          <w:szCs w:val="18"/>
          <w:color w:val="auto"/>
        </w:rPr>
        <w:t>grandchild, parent, stepparent, grandparent, spouse, former spouse, sibling, niece, nephew, mother-in-law, father-in-law, son-in-law, daughter-in-law, brother-in-law or sister-in-law.</w:t>
      </w:r>
    </w:p>
    <w:p>
      <w:pPr>
        <w:spacing w:after="0" w:line="176" w:lineRule="exact"/>
        <w:rPr>
          <w:rFonts w:ascii="Arial" w:cs="Arial" w:eastAsia="Arial" w:hAnsi="Arial"/>
          <w:sz w:val="18"/>
          <w:szCs w:val="18"/>
          <w:color w:val="auto"/>
        </w:rPr>
      </w:pPr>
    </w:p>
    <w:p>
      <w:pPr>
        <w:ind w:left="160" w:right="699" w:firstLine="1287"/>
        <w:spacing w:after="0" w:line="282" w:lineRule="auto"/>
        <w:tabs>
          <w:tab w:leader="none" w:pos="212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non-employee Board member to whom the Award is made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Automatic Grant Program.</w:t>
      </w:r>
    </w:p>
    <w:p>
      <w:pPr>
        <w:spacing w:after="0" w:line="161" w:lineRule="exact"/>
        <w:rPr>
          <w:rFonts w:ascii="Arial" w:cs="Arial" w:eastAsia="Arial" w:hAnsi="Arial"/>
          <w:sz w:val="18"/>
          <w:szCs w:val="18"/>
          <w:color w:val="auto"/>
        </w:rPr>
      </w:pPr>
    </w:p>
    <w:p>
      <w:pPr>
        <w:ind w:left="2080" w:hanging="633"/>
        <w:spacing w:after="0"/>
        <w:tabs>
          <w:tab w:leader="none" w:pos="208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Corporation’s 2016 Incentive Compensation Plan.</w:t>
      </w:r>
    </w:p>
    <w:p>
      <w:pPr>
        <w:spacing w:after="0" w:line="225" w:lineRule="exact"/>
        <w:rPr>
          <w:rFonts w:ascii="Arial" w:cs="Arial" w:eastAsia="Arial" w:hAnsi="Arial"/>
          <w:sz w:val="18"/>
          <w:szCs w:val="18"/>
          <w:color w:val="auto"/>
        </w:rPr>
      </w:pPr>
    </w:p>
    <w:p>
      <w:pPr>
        <w:ind w:left="160" w:right="279" w:firstLine="1287"/>
        <w:spacing w:after="0" w:line="282" w:lineRule="auto"/>
        <w:tabs>
          <w:tab w:leader="none" w:pos="214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cessation of Board service by reason of retirement at or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attainment of age seventy-five (75).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229235</wp:posOffset>
            </wp:positionV>
            <wp:extent cx="554863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10.65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NON-EMPLOYEE BOARD MEMBER—DEFERRAL ELECTION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1296"/>
        <w:spacing w:after="0" w:line="286" w:lineRule="auto"/>
        <w:tabs>
          <w:tab w:leader="none" w:pos="2003"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Corporation has implemented an automatic award program under the Plan pursuant to which eligible non-employee members of the Board will automatically receive special awards of restricted stock units at periodic intervals over their period of Board service in order to provide such individuals with a meaningful incentive to continue to serve as members of the Board.</w:t>
      </w:r>
    </w:p>
    <w:p>
      <w:pPr>
        <w:spacing w:after="0" w:line="165" w:lineRule="exact"/>
        <w:rPr>
          <w:rFonts w:ascii="Arial" w:cs="Arial" w:eastAsia="Arial" w:hAnsi="Arial"/>
          <w:sz w:val="17"/>
          <w:szCs w:val="17"/>
          <w:color w:val="auto"/>
        </w:rPr>
      </w:pPr>
    </w:p>
    <w:p>
      <w:pPr>
        <w:ind w:firstLine="1296"/>
        <w:spacing w:after="0" w:line="308" w:lineRule="auto"/>
        <w:tabs>
          <w:tab w:leader="none" w:pos="2006" w:val="left"/>
        </w:tabs>
        <w:numPr>
          <w:ilvl w:val="0"/>
          <w:numId w:val="85"/>
        </w:numPr>
        <w:rPr>
          <w:rFonts w:ascii="Arial" w:cs="Arial" w:eastAsia="Arial" w:hAnsi="Arial"/>
          <w:sz w:val="17"/>
          <w:szCs w:val="17"/>
          <w:color w:val="auto"/>
        </w:rPr>
      </w:pPr>
      <w:r>
        <w:rPr>
          <w:rFonts w:ascii="Arial" w:cs="Arial" w:eastAsia="Arial" w:hAnsi="Arial"/>
          <w:sz w:val="17"/>
          <w:szCs w:val="17"/>
          <w:color w:val="auto"/>
        </w:rPr>
        <w:t>Participant is an eligible non-employee Board member, and this Agreement is executed pursuant to, and is intended to carry out the purposes of, the Plan in connection with the automatic award of restricted stock units under the Plan.</w:t>
      </w:r>
    </w:p>
    <w:p>
      <w:pPr>
        <w:spacing w:after="0" w:line="146" w:lineRule="exact"/>
        <w:rPr>
          <w:rFonts w:ascii="Arial" w:cs="Arial" w:eastAsia="Arial" w:hAnsi="Arial"/>
          <w:sz w:val="17"/>
          <w:szCs w:val="17"/>
          <w:color w:val="auto"/>
        </w:rPr>
      </w:pPr>
    </w:p>
    <w:p>
      <w:pPr>
        <w:ind w:firstLine="1296"/>
        <w:spacing w:after="0" w:line="277" w:lineRule="auto"/>
        <w:tabs>
          <w:tab w:leader="none" w:pos="200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capitalized terms in this Agreement shall have the meaning assigned to them in the attached Appendix A, or, if not defined in that appendix, as defined in the Plan.</w:t>
      </w:r>
    </w:p>
    <w:p>
      <w:pPr>
        <w:spacing w:after="0" w:line="166"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it is hereby agreed as follows:</w:t>
      </w:r>
    </w:p>
    <w:p>
      <w:pPr>
        <w:spacing w:after="0" w:line="225" w:lineRule="exact"/>
        <w:rPr>
          <w:sz w:val="20"/>
          <w:szCs w:val="20"/>
          <w:color w:val="auto"/>
        </w:rPr>
      </w:pPr>
    </w:p>
    <w:p>
      <w:pPr>
        <w:jc w:val="both"/>
        <w:ind w:firstLine="1296"/>
        <w:spacing w:after="0" w:line="298" w:lineRule="auto"/>
        <w:tabs>
          <w:tab w:leader="none" w:pos="1990" w:val="left"/>
        </w:tabs>
        <w:numPr>
          <w:ilvl w:val="0"/>
          <w:numId w:val="86"/>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Restricted Stock Units</w:t>
      </w:r>
      <w:r>
        <w:rPr>
          <w:rFonts w:ascii="Arial" w:cs="Arial" w:eastAsia="Arial" w:hAnsi="Arial"/>
          <w:sz w:val="16"/>
          <w:szCs w:val="16"/>
          <w:color w:val="auto"/>
        </w:rPr>
        <w:t>. The Corporation hereby awards to Participant, as of the Award Date, an</w:t>
      </w:r>
      <w:r>
        <w:rPr>
          <w:rFonts w:ascii="Arial" w:cs="Arial" w:eastAsia="Arial" w:hAnsi="Arial"/>
          <w:sz w:val="16"/>
          <w:szCs w:val="16"/>
          <w:b w:val="1"/>
          <w:bCs w:val="1"/>
          <w:color w:val="auto"/>
        </w:rPr>
        <w:t xml:space="preserve"> </w:t>
      </w:r>
      <w:r>
        <w:rPr>
          <w:rFonts w:ascii="Arial" w:cs="Arial" w:eastAsia="Arial" w:hAnsi="Arial"/>
          <w:sz w:val="16"/>
          <w:szCs w:val="16"/>
          <w:color w:val="auto"/>
        </w:rPr>
        <w:t>award (the “Award”) of restricted stock units under the Plan. Each restricted stock unit represents the right to receive one share of Common Stock on the vesting date of that unit. The number of shares of Common Stock subject to the awarded restricted stock units, the applicable vesting schedule for the restricted stock units and the underlying shares of Common Stock, the dates on which those vested shares shall be issued to Participant and the remaining terms and conditions governing the Award shall be as set forth in this Agreement.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tcPr>
          <w:p>
            <w:pPr>
              <w:ind w:left="2700"/>
              <w:spacing w:after="0"/>
              <w:rPr>
                <w:sz w:val="20"/>
                <w:szCs w:val="20"/>
                <w:color w:val="auto"/>
              </w:rPr>
            </w:pPr>
            <w:r>
              <w:rPr>
                <w:rFonts w:ascii="Arial" w:cs="Arial" w:eastAsia="Arial" w:hAnsi="Arial"/>
                <w:sz w:val="18"/>
                <w:szCs w:val="18"/>
                <w:b w:val="1"/>
                <w:bCs w:val="1"/>
                <w:color w:val="auto"/>
              </w:rPr>
              <w:t>AWARD SUMMARY</w:t>
            </w:r>
          </w:p>
        </w:tc>
      </w:tr>
      <w:tr>
        <w:trPr>
          <w:trHeight w:val="392"/>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Participant</w:t>
            </w:r>
          </w:p>
        </w:tc>
        <w:tc>
          <w:tcPr>
            <w:tcW w:w="720" w:type="dxa"/>
            <w:vAlign w:val="bottom"/>
            <w:gridSpan w:val="4"/>
          </w:tcPr>
          <w:p>
            <w:pPr>
              <w:spacing w:after="0"/>
              <w:rPr>
                <w:sz w:val="24"/>
                <w:szCs w:val="24"/>
                <w:color w:val="auto"/>
              </w:rPr>
            </w:pPr>
          </w:p>
        </w:tc>
        <w:tc>
          <w:tcPr>
            <w:tcW w:w="8560" w:type="dxa"/>
            <w:vAlign w:val="bottom"/>
          </w:tcPr>
          <w:p>
            <w:pPr>
              <w:spacing w:after="0"/>
              <w:rPr>
                <w:sz w:val="24"/>
                <w:szCs w:val="24"/>
                <w:color w:val="auto"/>
              </w:rPr>
            </w:pPr>
          </w:p>
        </w:tc>
      </w:tr>
      <w:tr>
        <w:trPr>
          <w:trHeight w:val="412"/>
        </w:trPr>
        <w:tc>
          <w:tcPr>
            <w:tcW w:w="1500" w:type="dxa"/>
            <w:vAlign w:val="bottom"/>
            <w:gridSpan w:val="5"/>
          </w:tcPr>
          <w:p>
            <w:pPr>
              <w:spacing w:after="0"/>
              <w:rPr>
                <w:sz w:val="20"/>
                <w:szCs w:val="20"/>
                <w:color w:val="auto"/>
              </w:rPr>
            </w:pPr>
            <w:r>
              <w:rPr>
                <w:rFonts w:ascii="Arial" w:cs="Arial" w:eastAsia="Arial" w:hAnsi="Arial"/>
                <w:sz w:val="18"/>
                <w:szCs w:val="18"/>
                <w:color w:val="auto"/>
              </w:rPr>
              <w:t>Award Date:</w:t>
            </w:r>
          </w:p>
        </w:tc>
        <w:tc>
          <w:tcPr>
            <w:tcW w:w="8560" w:type="dxa"/>
            <w:vAlign w:val="bottom"/>
          </w:tcPr>
          <w:p>
            <w:pPr>
              <w:ind w:left="1260"/>
              <w:spacing w:after="0"/>
              <w:rPr>
                <w:sz w:val="20"/>
                <w:szCs w:val="20"/>
                <w:color w:val="auto"/>
              </w:rPr>
            </w:pPr>
            <w:r>
              <w:rPr>
                <w:rFonts w:ascii="Arial" w:cs="Arial" w:eastAsia="Arial" w:hAnsi="Arial"/>
                <w:sz w:val="18"/>
                <w:szCs w:val="18"/>
                <w:color w:val="auto"/>
              </w:rPr>
              <w:t>, 201</w:t>
            </w:r>
          </w:p>
        </w:tc>
      </w:tr>
      <w:tr>
        <w:trPr>
          <w:trHeight w:val="20"/>
        </w:trPr>
        <w:tc>
          <w:tcPr>
            <w:tcW w:w="9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12"/>
        </w:trPr>
        <w:tc>
          <w:tcPr>
            <w:tcW w:w="13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Number of Shares</w:t>
            </w:r>
          </w:p>
        </w:tc>
        <w:tc>
          <w:tcPr>
            <w:tcW w:w="180" w:type="dxa"/>
            <w:vAlign w:val="bottom"/>
          </w:tcPr>
          <w:p>
            <w:pPr>
              <w:spacing w:after="0"/>
              <w:rPr>
                <w:sz w:val="24"/>
                <w:szCs w:val="24"/>
                <w:color w:val="auto"/>
              </w:rPr>
            </w:pPr>
          </w:p>
        </w:tc>
        <w:tc>
          <w:tcPr>
            <w:tcW w:w="8560" w:type="dxa"/>
            <w:vAlign w:val="bottom"/>
          </w:tcPr>
          <w:p>
            <w:pPr>
              <w:spacing w:after="0"/>
              <w:rPr>
                <w:sz w:val="24"/>
                <w:szCs w:val="24"/>
                <w:color w:val="auto"/>
              </w:rPr>
            </w:pPr>
          </w:p>
        </w:tc>
      </w:tr>
      <w:tr>
        <w:trPr>
          <w:trHeight w:val="196"/>
        </w:trPr>
        <w:tc>
          <w:tcPr>
            <w:tcW w:w="13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Subject to Award:</w:t>
            </w:r>
          </w:p>
        </w:tc>
        <w:tc>
          <w:tcPr>
            <w:tcW w:w="200" w:type="dxa"/>
            <w:vAlign w:val="bottom"/>
            <w:gridSpan w:val="2"/>
          </w:tcPr>
          <w:p>
            <w:pPr>
              <w:spacing w:after="0"/>
              <w:rPr>
                <w:sz w:val="17"/>
                <w:szCs w:val="17"/>
                <w:color w:val="auto"/>
              </w:rPr>
            </w:pPr>
          </w:p>
        </w:tc>
        <w:tc>
          <w:tcPr>
            <w:tcW w:w="8560" w:type="dxa"/>
            <w:vAlign w:val="bottom"/>
          </w:tcPr>
          <w:p>
            <w:pPr>
              <w:ind w:left="1260"/>
              <w:spacing w:after="0" w:line="196" w:lineRule="exact"/>
              <w:rPr>
                <w:sz w:val="20"/>
                <w:szCs w:val="20"/>
                <w:color w:val="auto"/>
              </w:rPr>
            </w:pPr>
            <w:r>
              <w:rPr>
                <w:rFonts w:ascii="Arial" w:cs="Arial" w:eastAsia="Arial" w:hAnsi="Arial"/>
                <w:sz w:val="18"/>
                <w:szCs w:val="18"/>
                <w:color w:val="auto"/>
              </w:rPr>
              <w:t>shares of Common Stock (the “Shares”)</w:t>
            </w:r>
          </w:p>
        </w:tc>
      </w:tr>
      <w:tr>
        <w:trPr>
          <w:trHeight w:val="412"/>
        </w:trPr>
        <w:tc>
          <w:tcPr>
            <w:tcW w:w="1500" w:type="dxa"/>
            <w:vAlign w:val="bottom"/>
            <w:gridSpan w:val="5"/>
          </w:tcPr>
          <w:p>
            <w:pPr>
              <w:spacing w:after="0"/>
              <w:rPr>
                <w:sz w:val="20"/>
                <w:szCs w:val="20"/>
                <w:color w:val="auto"/>
              </w:rPr>
            </w:pPr>
            <w:r>
              <w:rPr>
                <w:rFonts w:ascii="Arial" w:cs="Arial" w:eastAsia="Arial" w:hAnsi="Arial"/>
                <w:sz w:val="18"/>
                <w:szCs w:val="18"/>
                <w:color w:val="auto"/>
              </w:rPr>
              <w:t>Vesting Schedule:</w:t>
            </w:r>
          </w:p>
        </w:tc>
        <w:tc>
          <w:tcPr>
            <w:tcW w:w="8560" w:type="dxa"/>
            <w:vAlign w:val="bottom"/>
          </w:tcPr>
          <w:p>
            <w:pPr>
              <w:ind w:left="180"/>
              <w:spacing w:after="0"/>
              <w:rPr>
                <w:sz w:val="20"/>
                <w:szCs w:val="20"/>
                <w:color w:val="auto"/>
              </w:rPr>
            </w:pPr>
            <w:r>
              <w:rPr>
                <w:rFonts w:ascii="Arial" w:cs="Arial" w:eastAsia="Arial" w:hAnsi="Arial"/>
                <w:sz w:val="18"/>
                <w:szCs w:val="18"/>
                <w:color w:val="auto"/>
                <w:w w:val="96"/>
              </w:rPr>
              <w:t>The Shares shall vest in full on the earlier of (a) the first anniversary of Participant’s completion of continuous</w:t>
            </w:r>
          </w:p>
        </w:tc>
      </w:tr>
      <w:tr>
        <w:trPr>
          <w:trHeight w:val="222"/>
        </w:trPr>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Board service measured from the Award Date or (b) the first annual general meeting of the Corporation’s</w:t>
            </w: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8"/>
              </w:rPr>
              <w:t>stockholders held after the Award Date. The Shares may vest in whole or in part on an accelerated basis in</w:t>
            </w: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0"/>
              </w:rPr>
              <w:t>accordance with the provisions of Paragraphs 3 and 5 of this Agreement. In no event shall any Shares vest after the</w:t>
            </w:r>
          </w:p>
        </w:tc>
      </w:tr>
      <w:tr>
        <w:trPr>
          <w:trHeight w:val="230"/>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date of Participant’s termination of Board service.</w:t>
            </w:r>
          </w:p>
        </w:tc>
      </w:tr>
      <w:tr>
        <w:trPr>
          <w:trHeight w:val="392"/>
        </w:trPr>
        <w:tc>
          <w:tcPr>
            <w:tcW w:w="1500" w:type="dxa"/>
            <w:vAlign w:val="bottom"/>
            <w:gridSpan w:val="5"/>
          </w:tcPr>
          <w:p>
            <w:pPr>
              <w:spacing w:after="0"/>
              <w:rPr>
                <w:sz w:val="20"/>
                <w:szCs w:val="20"/>
                <w:color w:val="auto"/>
              </w:rPr>
            </w:pPr>
            <w:r>
              <w:rPr>
                <w:rFonts w:ascii="Arial" w:cs="Arial" w:eastAsia="Arial" w:hAnsi="Arial"/>
                <w:sz w:val="18"/>
                <w:szCs w:val="18"/>
                <w:color w:val="auto"/>
                <w:w w:val="97"/>
              </w:rPr>
              <w:t>Issuance Schedule</w:t>
            </w:r>
          </w:p>
        </w:tc>
        <w:tc>
          <w:tcPr>
            <w:tcW w:w="8560" w:type="dxa"/>
            <w:vAlign w:val="bottom"/>
          </w:tcPr>
          <w:p>
            <w:pPr>
              <w:ind w:left="180"/>
              <w:spacing w:after="0"/>
              <w:rPr>
                <w:sz w:val="20"/>
                <w:szCs w:val="20"/>
                <w:color w:val="auto"/>
              </w:rPr>
            </w:pPr>
            <w:r>
              <w:rPr>
                <w:rFonts w:ascii="Arial" w:cs="Arial" w:eastAsia="Arial" w:hAnsi="Arial"/>
                <w:sz w:val="18"/>
                <w:szCs w:val="18"/>
                <w:color w:val="auto"/>
                <w:w w:val="93"/>
              </w:rPr>
              <w:t>The Shares in which the Participant vests pursuant to the foregoing Vesting Schedule or the vesting acceleration</w:t>
            </w:r>
          </w:p>
        </w:tc>
      </w:tr>
      <w:tr>
        <w:trPr>
          <w:trHeight w:val="222"/>
        </w:trPr>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4"/>
              </w:rPr>
              <w:t>provisions of Paragraph 3 or Paragraph 5 of this Agreement shall be issued in accordance with the Participant’s</w:t>
            </w:r>
          </w:p>
        </w:tc>
      </w:tr>
      <w:tr>
        <w:trPr>
          <w:trHeight w:val="230"/>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Deferral Election.</w:t>
            </w:r>
          </w:p>
        </w:tc>
      </w:tr>
    </w:tbl>
    <w:p>
      <w:pPr>
        <w:spacing w:after="0" w:line="198" w:lineRule="exact"/>
        <w:rPr>
          <w:sz w:val="20"/>
          <w:szCs w:val="20"/>
          <w:color w:val="auto"/>
        </w:rPr>
      </w:pPr>
    </w:p>
    <w:p>
      <w:pPr>
        <w:jc w:val="both"/>
        <w:ind w:firstLine="1296"/>
        <w:spacing w:after="0" w:line="272" w:lineRule="auto"/>
        <w:tabs>
          <w:tab w:leader="none" w:pos="1990" w:val="left"/>
        </w:tabs>
        <w:numPr>
          <w:ilvl w:val="0"/>
          <w:numId w:val="87"/>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Limited Transferability</w:t>
      </w:r>
      <w:r>
        <w:rPr>
          <w:rFonts w:ascii="Arial" w:cs="Arial" w:eastAsia="Arial" w:hAnsi="Arial"/>
          <w:sz w:val="17"/>
          <w:szCs w:val="17"/>
          <w:color w:val="auto"/>
        </w:rPr>
        <w:t>. Prior to the actual issuance of the Shares that vest hereunder, Participant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 any interest in the restricted stock units subject to the Award or the underlying Shares or pledge or otherwise hedge the sale of those units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and in such event, the Shares shall be issued to the applicable transferee(s) in accordance with the distribution date or event and method of distribution specified by Participant in his or her Deferral Election. Participant may also direct the Corporation to issue the stock certificates for any Shares which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03" w:name="page104"/>
    <w:bookmarkEnd w:id="103"/>
    <w:p>
      <w:pPr>
        <w:ind w:right="140"/>
        <w:spacing w:after="0" w:line="302" w:lineRule="auto"/>
        <w:rPr>
          <w:sz w:val="20"/>
          <w:szCs w:val="20"/>
          <w:color w:val="auto"/>
        </w:rPr>
      </w:pPr>
      <w:r>
        <w:rPr>
          <w:rFonts w:ascii="Arial" w:cs="Arial" w:eastAsia="Arial" w:hAnsi="Arial"/>
          <w:sz w:val="16"/>
          <w:szCs w:val="16"/>
          <w:color w:val="auto"/>
        </w:rPr>
        <w:t>fact vest and become issuable hereunder to Participant during his or her lifetime to one or more designated Family Members or a trust established for Participant and/or his or her Family Members. Any such issuance shall be effected in accordance with the distribution date or event and method of distribution specified by Participant in his or her Deferral Election. Participant may make such a beneficiary designation or certificate directive at any time by filing the appropriate form with the Plan Administrator or its designee.</w:t>
      </w:r>
    </w:p>
    <w:p>
      <w:pPr>
        <w:spacing w:after="0" w:line="150" w:lineRule="exact"/>
        <w:rPr>
          <w:sz w:val="20"/>
          <w:szCs w:val="20"/>
          <w:color w:val="auto"/>
        </w:rPr>
      </w:pPr>
    </w:p>
    <w:p>
      <w:pPr>
        <w:jc w:val="both"/>
        <w:ind w:firstLine="1296"/>
        <w:spacing w:after="0" w:line="277" w:lineRule="auto"/>
        <w:tabs>
          <w:tab w:leader="none" w:pos="1976" w:val="left"/>
        </w:tabs>
        <w:numPr>
          <w:ilvl w:val="0"/>
          <w:numId w:val="88"/>
        </w:numPr>
        <w:rPr>
          <w:rFonts w:ascii="Arial" w:cs="Arial" w:eastAsia="Arial" w:hAnsi="Arial"/>
          <w:sz w:val="17"/>
          <w:szCs w:val="17"/>
          <w:color w:val="auto"/>
        </w:rPr>
      </w:pPr>
      <w:r>
        <w:rPr>
          <w:rFonts w:ascii="Arial" w:cs="Arial" w:eastAsia="Arial" w:hAnsi="Arial"/>
          <w:sz w:val="17"/>
          <w:szCs w:val="17"/>
          <w:b w:val="1"/>
          <w:bCs w:val="1"/>
          <w:u w:val="single" w:color="auto"/>
          <w:color w:val="auto"/>
        </w:rPr>
        <w:t>Cessation of Service</w:t>
      </w:r>
      <w:r>
        <w:rPr>
          <w:rFonts w:ascii="Arial" w:cs="Arial" w:eastAsia="Arial" w:hAnsi="Arial"/>
          <w:sz w:val="17"/>
          <w:szCs w:val="17"/>
          <w:color w:val="auto"/>
        </w:rPr>
        <w:t>. The restricted stock units subject to this Award shall, to the extent not previously vested,</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vest in full upon Participant’s cessation of Board service by reason of death, Permanent Disability or Retirement. Should Participant cease Board service for any other reason prior to vesting in one or more Shares subject to this Award, then the Award will be immediately cancelled with respect to those unvested Shares, and the number of restricted stock units will be reduced accordingly. Participant shall thereupon cease to have any right or entitlement to receive any Shares under those cancelled units.</w:t>
      </w:r>
    </w:p>
    <w:p>
      <w:pPr>
        <w:spacing w:after="0" w:line="168" w:lineRule="exact"/>
        <w:rPr>
          <w:rFonts w:ascii="Arial" w:cs="Arial" w:eastAsia="Arial" w:hAnsi="Arial"/>
          <w:sz w:val="17"/>
          <w:szCs w:val="17"/>
          <w:color w:val="auto"/>
        </w:rPr>
      </w:pPr>
    </w:p>
    <w:p>
      <w:pPr>
        <w:ind w:left="1940" w:hanging="644"/>
        <w:spacing w:after="0"/>
        <w:tabs>
          <w:tab w:leader="none" w:pos="194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Rights and Dividend Equivalents</w:t>
      </w:r>
    </w:p>
    <w:p>
      <w:pPr>
        <w:spacing w:after="0" w:line="229" w:lineRule="exact"/>
        <w:rPr>
          <w:rFonts w:ascii="Arial" w:cs="Arial" w:eastAsia="Arial" w:hAnsi="Arial"/>
          <w:sz w:val="18"/>
          <w:szCs w:val="18"/>
          <w:color w:val="auto"/>
        </w:rPr>
      </w:pPr>
    </w:p>
    <w:p>
      <w:pPr>
        <w:ind w:firstLine="1944"/>
        <w:spacing w:after="0" w:line="342" w:lineRule="auto"/>
        <w:tabs>
          <w:tab w:leader="none" w:pos="2635" w:val="left"/>
        </w:tabs>
        <w:numPr>
          <w:ilvl w:val="1"/>
          <w:numId w:val="88"/>
        </w:numPr>
        <w:rPr>
          <w:rFonts w:ascii="Arial" w:cs="Arial" w:eastAsia="Arial" w:hAnsi="Arial"/>
          <w:sz w:val="16"/>
          <w:szCs w:val="16"/>
          <w:color w:val="auto"/>
        </w:rPr>
      </w:pPr>
      <w:r>
        <w:rPr>
          <w:rFonts w:ascii="Arial" w:cs="Arial" w:eastAsia="Arial" w:hAnsi="Arial"/>
          <w:sz w:val="16"/>
          <w:szCs w:val="16"/>
          <w:color w:val="auto"/>
        </w:rPr>
        <w:t>Participant shall not have any stockholder rights, including voting, dividend or liquidation rights, with respect to the Shares subject to the Award until Participant becomes the record holder of those Shares following their actual issuance.</w:t>
      </w:r>
    </w:p>
    <w:p>
      <w:pPr>
        <w:spacing w:after="0" w:line="123" w:lineRule="exact"/>
        <w:rPr>
          <w:rFonts w:ascii="Arial" w:cs="Arial" w:eastAsia="Arial" w:hAnsi="Arial"/>
          <w:sz w:val="16"/>
          <w:szCs w:val="16"/>
          <w:color w:val="auto"/>
        </w:rPr>
      </w:pPr>
    </w:p>
    <w:p>
      <w:pPr>
        <w:jc w:val="both"/>
        <w:ind w:firstLine="1944"/>
        <w:spacing w:after="0" w:line="285" w:lineRule="auto"/>
        <w:tabs>
          <w:tab w:leader="none" w:pos="2645" w:val="left"/>
        </w:tabs>
        <w:numPr>
          <w:ilvl w:val="1"/>
          <w:numId w:val="88"/>
        </w:numPr>
        <w:rPr>
          <w:rFonts w:ascii="Arial" w:cs="Arial" w:eastAsia="Arial" w:hAnsi="Arial"/>
          <w:sz w:val="16"/>
          <w:szCs w:val="16"/>
          <w:color w:val="auto"/>
        </w:rPr>
      </w:pPr>
      <w:r>
        <w:rPr>
          <w:rFonts w:ascii="Arial" w:cs="Arial" w:eastAsia="Arial" w:hAnsi="Arial"/>
          <w:sz w:val="16"/>
          <w:szCs w:val="16"/>
          <w:color w:val="auto"/>
        </w:rPr>
        <w:t>Notwithstanding the foregoing, should any dividend or other distribution payable other than in shares of Common Stock be declared and paid on the outstanding Common Stock while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As the Shares vest hereunder, the phantom dividend equivalents credited to those Shares in the book account shall concurrently vest, and those vested dividend equivalents shall be distributed to Participant (in cash or such other form as the Plan Administrator may deem appropriate in its sole discretion) at that time or at such later time as may be specified in the Participant’s Deferral Election for this Award. Should Participant elect on his or her Deferral Election to defer the Shares but not the phantom dividend equivalents pertaining to those Shares, then any dividend equivalents credited from time to time on those Shares after the date those Shares vest shall be paid to Participant within thirty (30) days after the date of the actual dividend or distribution to which those particular dividend equivalents relate. Should the Deferral Election provide for an installment distribution of the Shares and the deferral of the phantom dividend equivalents with respect to those Shares, then any additional amounts that are, during the installment distribution period, credited to the Participant’s special book account hereunder pursuant to the phantom dividend equivalents attributable to the undistributed portion of the Shares shall also be deferred and shall not be paid until the deferred Shares to which those additional amounts pertain are issued in satisfaction of the elected installment distribution. In no event shall such phantom dividend equivalents vest or become distributable unless the Shares to which they relate vest in accordance with the terms of this Agreement.</w:t>
      </w:r>
    </w:p>
    <w:p>
      <w:pPr>
        <w:spacing w:after="0" w:line="389" w:lineRule="exact"/>
        <w:rPr>
          <w:rFonts w:ascii="Arial" w:cs="Arial" w:eastAsia="Arial" w:hAnsi="Arial"/>
          <w:sz w:val="16"/>
          <w:szCs w:val="16"/>
          <w:color w:val="auto"/>
        </w:rPr>
      </w:pPr>
    </w:p>
    <w:p>
      <w:pPr>
        <w:jc w:val="both"/>
        <w:ind w:firstLine="1296"/>
        <w:spacing w:after="0" w:line="295" w:lineRule="auto"/>
        <w:tabs>
          <w:tab w:leader="none" w:pos="1990"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Special Vesting Acceleration</w:t>
      </w:r>
      <w:r>
        <w:rPr>
          <w:rFonts w:ascii="Arial" w:cs="Arial" w:eastAsia="Arial" w:hAnsi="Arial"/>
          <w:sz w:val="16"/>
          <w:szCs w:val="16"/>
          <w:color w:val="auto"/>
        </w:rPr>
        <w:t>. The restricted stock units subject to this Award shall immediately vest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upon Participant’s continuation in Board service until the effective date of any Change in Control transaction, and the Shares underlying those vested units shall be issued in accordance with Participant’s Deferral Election. Alternatively, the Participant’s right to the Shares may, pursuant to the terms of the Change in Control transaction, be converted into the right to receive the same consideration per share of Common Stock payable to the other shareholders of the Corporation in consummation of the Change in Control. In such event, the consideration for the Shares shall be distributed to Participant in accordance with the distribution provisions of his or her Deferral Election.</w:t>
      </w:r>
    </w:p>
    <w:p>
      <w:pPr>
        <w:spacing w:after="0" w:line="155" w:lineRule="exact"/>
        <w:rPr>
          <w:rFonts w:ascii="Arial" w:cs="Arial" w:eastAsia="Arial" w:hAnsi="Arial"/>
          <w:sz w:val="16"/>
          <w:szCs w:val="16"/>
          <w:color w:val="auto"/>
        </w:rPr>
      </w:pPr>
    </w:p>
    <w:p>
      <w:pPr>
        <w:jc w:val="both"/>
        <w:ind w:firstLine="1296"/>
        <w:spacing w:after="0" w:line="295" w:lineRule="auto"/>
        <w:tabs>
          <w:tab w:leader="none" w:pos="1976" w:val="left"/>
        </w:tabs>
        <w:numPr>
          <w:ilvl w:val="0"/>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in Shares</w:t>
      </w:r>
      <w:r>
        <w:rPr>
          <w:rFonts w:ascii="Arial" w:cs="Arial" w:eastAsia="Arial" w:hAnsi="Arial"/>
          <w:sz w:val="16"/>
          <w:szCs w:val="16"/>
          <w:color w:val="auto"/>
        </w:rPr>
        <w:t>. Should any change be made to the Common Stock by reason of any stock split, stock</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4" w:name="page105"/>
    <w:bookmarkEnd w:id="104"/>
    <w:p>
      <w:pPr>
        <w:jc w:val="both"/>
        <w:spacing w:after="0" w:line="259" w:lineRule="auto"/>
        <w:rPr>
          <w:sz w:val="20"/>
          <w:szCs w:val="20"/>
          <w:color w:val="auto"/>
        </w:rPr>
      </w:pPr>
      <w:r>
        <w:rPr>
          <w:rFonts w:ascii="Arial" w:cs="Arial" w:eastAsia="Arial" w:hAnsi="Arial"/>
          <w:sz w:val="18"/>
          <w:szCs w:val="18"/>
          <w:color w:val="auto"/>
        </w:rPr>
        <w:t>this Award in order to reflect such change and thereby prevent a dilution or enlargement of benefits hereunder. In making such equitable adjustments, the Plan Administrator shall take into account any amounts to be credited to Participant’s book account, if applicable, under Paragraph 4(b) in connection with the transaction, and the determination of the Plan Administrator shall be final, binding and conclusive as provided in Section III.C. of Article One of the Plan.</w:t>
      </w:r>
    </w:p>
    <w:p>
      <w:pPr>
        <w:spacing w:after="0" w:line="183" w:lineRule="exact"/>
        <w:rPr>
          <w:sz w:val="20"/>
          <w:szCs w:val="20"/>
          <w:color w:val="auto"/>
        </w:rPr>
      </w:pPr>
    </w:p>
    <w:p>
      <w:pPr>
        <w:ind w:left="1980" w:hanging="684"/>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 of Common Stock</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44"/>
        <w:spacing w:after="0" w:line="257" w:lineRule="auto"/>
        <w:tabs>
          <w:tab w:leader="none" w:pos="2635"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Except as otherwise provided in Paragraph 5, on each applicable issuance date or dates designated in the Deferral Election for the Shares which vest in accordance with the terms of this Agreement, the Corporation shall issue to or on behalf of Participant a certificate (which may be in electronic form) for the vested shares of Common Stock to be issued on that date and shall concurrently distribute to Participant any deferred phantom dividend equivalents accumulated with respect to those particular vested Shares.</w:t>
      </w:r>
    </w:p>
    <w:p>
      <w:pPr>
        <w:spacing w:after="0" w:line="188" w:lineRule="exact"/>
        <w:rPr>
          <w:rFonts w:ascii="Arial" w:cs="Arial" w:eastAsia="Arial" w:hAnsi="Arial"/>
          <w:sz w:val="18"/>
          <w:szCs w:val="18"/>
          <w:color w:val="auto"/>
        </w:rPr>
      </w:pPr>
    </w:p>
    <w:p>
      <w:pPr>
        <w:jc w:val="both"/>
        <w:ind w:firstLine="1944"/>
        <w:spacing w:after="0" w:line="259" w:lineRule="auto"/>
        <w:tabs>
          <w:tab w:leader="none" w:pos="2659"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Except as otherwise provided in Paragraph 5,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down to the next whole share in order to avoid the issuance of a fractional share.</w:t>
      </w:r>
    </w:p>
    <w:p>
      <w:pPr>
        <w:spacing w:after="0" w:line="182" w:lineRule="exact"/>
        <w:rPr>
          <w:rFonts w:ascii="Arial" w:cs="Arial" w:eastAsia="Arial" w:hAnsi="Arial"/>
          <w:sz w:val="18"/>
          <w:szCs w:val="18"/>
          <w:color w:val="auto"/>
        </w:rPr>
      </w:pPr>
    </w:p>
    <w:p>
      <w:pPr>
        <w:ind w:left="1980" w:hanging="684"/>
        <w:spacing w:after="0"/>
        <w:tabs>
          <w:tab w:leader="none" w:pos="198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944"/>
        <w:spacing w:after="0" w:line="264" w:lineRule="auto"/>
        <w:tabs>
          <w:tab w:leader="none" w:pos="263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issuance of shares of Common 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1" w:lineRule="exact"/>
        <w:rPr>
          <w:rFonts w:ascii="Arial" w:cs="Arial" w:eastAsia="Arial" w:hAnsi="Arial"/>
          <w:sz w:val="18"/>
          <w:szCs w:val="18"/>
          <w:color w:val="auto"/>
        </w:rPr>
      </w:pPr>
    </w:p>
    <w:p>
      <w:pPr>
        <w:jc w:val="both"/>
        <w:ind w:firstLine="1944"/>
        <w:spacing w:after="0" w:line="259" w:lineRule="auto"/>
        <w:tabs>
          <w:tab w:leader="none" w:pos="26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inability of the Corporation to obtain approval from any regulatory body having authority deemed by the Corporation to be necessary to the lawful issuance of any Common Stock hereby shall relieve the Corporation of any liability with respect to the non-issuance of the Common Stock as to which such approval shall not have been obtained. The Corporation, however, shall use its best efforts to obtain all such approvals.</w:t>
      </w:r>
    </w:p>
    <w:p>
      <w:pPr>
        <w:spacing w:after="0" w:line="182" w:lineRule="exact"/>
        <w:rPr>
          <w:rFonts w:ascii="Arial" w:cs="Arial" w:eastAsia="Arial" w:hAnsi="Arial"/>
          <w:sz w:val="18"/>
          <w:szCs w:val="18"/>
          <w:color w:val="auto"/>
        </w:rPr>
      </w:pPr>
    </w:p>
    <w:p>
      <w:pPr>
        <w:jc w:val="both"/>
        <w:ind w:firstLine="1296"/>
        <w:spacing w:after="0" w:line="314" w:lineRule="auto"/>
        <w:tabs>
          <w:tab w:leader="none" w:pos="1990"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color w:val="auto"/>
        </w:rPr>
        <w:t>. Except to the extent otherwise provided in this Agreement,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42" w:lineRule="exact"/>
        <w:rPr>
          <w:rFonts w:ascii="Arial" w:cs="Arial" w:eastAsia="Arial" w:hAnsi="Arial"/>
          <w:sz w:val="16"/>
          <w:szCs w:val="16"/>
          <w:color w:val="auto"/>
        </w:rPr>
      </w:pPr>
    </w:p>
    <w:p>
      <w:pPr>
        <w:jc w:val="both"/>
        <w:ind w:firstLine="1296"/>
        <w:spacing w:after="0" w:line="277" w:lineRule="auto"/>
        <w:tabs>
          <w:tab w:leader="none" w:pos="1985"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required to be given or delivered to the Corporation under the terms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in writing and addressed to the Corporation at its principal corporate offices. Any notice required to be given or delivered to Participant shall be in writing and addressed to Participant at the address indicated below Participant’s signature line on this Agreement, unless Participant notifies the Corporation of a change in address in writing. All notices shall be deemed effective upon personal delivery or upon deposit in the U.S. mail, postage prepaid and properly addressed to the party to be notified.</w:t>
      </w:r>
    </w:p>
    <w:p>
      <w:pPr>
        <w:spacing w:after="0" w:line="168" w:lineRule="exact"/>
        <w:rPr>
          <w:rFonts w:ascii="Arial" w:cs="Arial" w:eastAsia="Arial" w:hAnsi="Arial"/>
          <w:sz w:val="17"/>
          <w:szCs w:val="17"/>
          <w:color w:val="auto"/>
        </w:rPr>
      </w:pPr>
    </w:p>
    <w:p>
      <w:pPr>
        <w:jc w:val="both"/>
        <w:ind w:firstLine="1296"/>
        <w:spacing w:after="0" w:line="314" w:lineRule="auto"/>
        <w:tabs>
          <w:tab w:leader="none" w:pos="1965"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This Agreement and the Award evidenced hereby are made and granted pursuant to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are in all respects limited by and subject to the terms of the Plan. All decisions of the Plan Administrator with respect to any question or issue arising under the Plan or this Agreement shall be conclusive and binding on all persons having an interest in the Award.</w:t>
      </w:r>
    </w:p>
    <w:p>
      <w:pPr>
        <w:spacing w:after="0" w:line="142" w:lineRule="exact"/>
        <w:rPr>
          <w:rFonts w:ascii="Arial" w:cs="Arial" w:eastAsia="Arial" w:hAnsi="Arial"/>
          <w:sz w:val="16"/>
          <w:szCs w:val="16"/>
          <w:color w:val="auto"/>
        </w:rPr>
      </w:pPr>
    </w:p>
    <w:p>
      <w:pPr>
        <w:ind w:firstLine="1296"/>
        <w:spacing w:after="0" w:line="282" w:lineRule="auto"/>
        <w:tabs>
          <w:tab w:leader="none" w:pos="197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The interpretation, performance and enforcement of this Agreement shall be governed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the State of Hawaii without regard to that State’s conflict-of-laws rules.</w:t>
      </w:r>
    </w:p>
    <w:p>
      <w:pPr>
        <w:spacing w:after="0" w:line="161" w:lineRule="exact"/>
        <w:rPr>
          <w:rFonts w:ascii="Arial" w:cs="Arial" w:eastAsia="Arial" w:hAnsi="Arial"/>
          <w:sz w:val="18"/>
          <w:szCs w:val="18"/>
          <w:color w:val="auto"/>
        </w:rPr>
      </w:pPr>
    </w:p>
    <w:p>
      <w:pPr>
        <w:jc w:val="both"/>
        <w:ind w:firstLine="1296"/>
        <w:spacing w:after="0" w:line="266" w:lineRule="auto"/>
        <w:tabs>
          <w:tab w:leader="none" w:pos="1972"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No Impairment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not in any way affect the right of the Corporation to adjust,</w:t>
      </w:r>
      <w:r>
        <w:rPr>
          <w:rFonts w:ascii="Arial" w:cs="Arial" w:eastAsia="Arial" w:hAnsi="Arial"/>
          <w:sz w:val="18"/>
          <w:szCs w:val="18"/>
          <w:b w:val="1"/>
          <w:bCs w:val="1"/>
          <w:color w:val="auto"/>
        </w:rPr>
        <w:t xml:space="preserve"> </w:t>
      </w:r>
      <w:r>
        <w:rPr>
          <w:rFonts w:ascii="Arial" w:cs="Arial" w:eastAsia="Arial" w:hAnsi="Arial"/>
          <w:sz w:val="18"/>
          <w:szCs w:val="18"/>
          <w:color w:val="auto"/>
        </w:rPr>
        <w:t>reclassify, reorganize or otherwise make changes in its capital or business structure or to merge, consolidate, dissolve, liquidate or sell or transfer all or any part of its business or assets. In addition, this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5" w:name="page106"/>
    <w:bookmarkEnd w:id="105"/>
    <w:p>
      <w:pPr>
        <w:spacing w:after="0" w:line="308" w:lineRule="auto"/>
        <w:rPr>
          <w:sz w:val="20"/>
          <w:szCs w:val="20"/>
          <w:color w:val="auto"/>
        </w:rPr>
      </w:pPr>
      <w:r>
        <w:rPr>
          <w:rFonts w:ascii="Arial" w:cs="Arial" w:eastAsia="Arial" w:hAnsi="Arial"/>
          <w:sz w:val="17"/>
          <w:szCs w:val="17"/>
          <w:color w:val="auto"/>
        </w:rPr>
        <w:t>Agreement shall not in any way be construed or interpreted so as to affect adversely or otherwise impair the right of the Corporation or its shareholders to remove Participant from the Board at any time in accordance with the provisions of applicable law.</w:t>
      </w:r>
    </w:p>
    <w:p>
      <w:pPr>
        <w:spacing w:after="0" w:line="143" w:lineRule="exact"/>
        <w:rPr>
          <w:sz w:val="20"/>
          <w:szCs w:val="20"/>
          <w:color w:val="auto"/>
        </w:rPr>
      </w:pPr>
    </w:p>
    <w:p>
      <w:pPr>
        <w:jc w:val="both"/>
        <w:ind w:firstLine="1296"/>
        <w:spacing w:after="0" w:line="281" w:lineRule="auto"/>
        <w:tabs>
          <w:tab w:leader="none" w:pos="1972" w:val="left"/>
        </w:tabs>
        <w:numPr>
          <w:ilvl w:val="0"/>
          <w:numId w:val="90"/>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 Compliance</w:t>
      </w:r>
      <w:r>
        <w:rPr>
          <w:rFonts w:ascii="Arial" w:cs="Arial" w:eastAsia="Arial" w:hAnsi="Arial"/>
          <w:sz w:val="17"/>
          <w:szCs w:val="17"/>
          <w:color w:val="auto"/>
        </w:rPr>
        <w:t>. Should there occur any ambiguity as to whether any provision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would otherwise contravene one or more applicable requirements or limitations of Section 409A of the Internal Revenue Code and the Treasury Regulations thereunder, that provision shall be interpreted and applied in a manner that complies with the applicable requirements of Section 409A of the Internal Revenue Code and the Treasury Regulations thereunder.</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as of the Award Date first indicated above.</w:t>
      </w:r>
    </w:p>
    <w:p>
      <w:pPr>
        <w:spacing w:after="0" w:line="23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MATSON, INC.</w:t>
      </w:r>
    </w:p>
    <w:p>
      <w:pPr>
        <w:spacing w:after="0" w:line="200" w:lineRule="exact"/>
        <w:rPr>
          <w:sz w:val="20"/>
          <w:szCs w:val="20"/>
          <w:color w:val="auto"/>
        </w:rPr>
      </w:pPr>
    </w:p>
    <w:p>
      <w:pPr>
        <w:spacing w:after="0" w:line="24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14605</wp:posOffset>
            </wp:positionV>
            <wp:extent cx="26587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14605</wp:posOffset>
            </wp:positionV>
            <wp:extent cx="26587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PARTICIPANT</w:t>
      </w:r>
    </w:p>
    <w:p>
      <w:pPr>
        <w:spacing w:after="0" w:line="200" w:lineRule="exact"/>
        <w:rPr>
          <w:sz w:val="20"/>
          <w:szCs w:val="20"/>
          <w:color w:val="auto"/>
        </w:rPr>
      </w:pPr>
    </w:p>
    <w:p>
      <w:pPr>
        <w:spacing w:after="0" w:line="24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3732530</wp:posOffset>
            </wp:positionH>
            <wp:positionV relativeFrom="paragraph">
              <wp:posOffset>14605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06" w:name="page107"/>
    <w:bookmarkEnd w:id="106"/>
    <w:p>
      <w:pPr>
        <w:ind w:left="4480"/>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2000" w:hanging="704"/>
        <w:spacing w:after="0"/>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Restricted Stock Unit Award Agreement.</w:t>
      </w:r>
    </w:p>
    <w:p>
      <w:pPr>
        <w:spacing w:after="0" w:line="225" w:lineRule="exact"/>
        <w:rPr>
          <w:rFonts w:ascii="Arial" w:cs="Arial" w:eastAsia="Arial" w:hAnsi="Arial"/>
          <w:sz w:val="18"/>
          <w:szCs w:val="18"/>
          <w:color w:val="auto"/>
        </w:rPr>
      </w:pPr>
    </w:p>
    <w:p>
      <w:pPr>
        <w:ind w:left="2040" w:hanging="744"/>
        <w:spacing w:after="0"/>
        <w:tabs>
          <w:tab w:leader="none" w:pos="2040"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Award</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award of restricted stock units made to Participant pursuant to the terms of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firstLine="1296"/>
        <w:spacing w:after="0" w:line="282" w:lineRule="auto"/>
        <w:tabs>
          <w:tab w:leader="none" w:pos="2006"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Date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date the restricted stock units are awarded to Participant pursuant to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the date indicated in Paragraph 1 of the Agreement.</w:t>
      </w:r>
    </w:p>
    <w:p>
      <w:pPr>
        <w:spacing w:after="0" w:line="161" w:lineRule="exact"/>
        <w:rPr>
          <w:rFonts w:ascii="Arial" w:cs="Arial" w:eastAsia="Arial" w:hAnsi="Arial"/>
          <w:sz w:val="18"/>
          <w:szCs w:val="18"/>
          <w:color w:val="auto"/>
        </w:rPr>
      </w:pPr>
    </w:p>
    <w:p>
      <w:pPr>
        <w:jc w:val="both"/>
        <w:ind w:firstLine="1296"/>
        <w:spacing w:after="0" w:line="258" w:lineRule="auto"/>
        <w:tabs>
          <w:tab w:leader="none" w:pos="1976"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election made by Participant, prior to the start of the calendar year in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is made, in which Participant has, in accordance with the applicable requirements of Code Section 409A and the Treasury Regulations thereunder, designated a deferred commencement date or event for the issuance of the Shares in which he or she vests under this Award and the method of issuance (lump sum or installment) for those vested and deferred Shares and any deferred phantom dividend equivalents pertaining to those Shares.</w:t>
      </w:r>
    </w:p>
    <w:p>
      <w:pPr>
        <w:spacing w:after="0" w:line="183" w:lineRule="exact"/>
        <w:rPr>
          <w:rFonts w:ascii="Arial" w:cs="Arial" w:eastAsia="Arial" w:hAnsi="Arial"/>
          <w:sz w:val="18"/>
          <w:szCs w:val="18"/>
          <w:color w:val="auto"/>
        </w:rPr>
      </w:pPr>
    </w:p>
    <w:p>
      <w:pPr>
        <w:jc w:val="both"/>
        <w:ind w:firstLine="1296"/>
        <w:spacing w:after="0" w:line="266" w:lineRule="auto"/>
        <w:tabs>
          <w:tab w:leader="none" w:pos="2037"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Family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with respect to the Participant, any child, stepchild, grandchild, parent,</w:t>
      </w:r>
      <w:r>
        <w:rPr>
          <w:rFonts w:ascii="Arial" w:cs="Arial" w:eastAsia="Arial" w:hAnsi="Arial"/>
          <w:sz w:val="18"/>
          <w:szCs w:val="18"/>
          <w:b w:val="1"/>
          <w:bCs w:val="1"/>
          <w:color w:val="auto"/>
        </w:rPr>
        <w:t xml:space="preserve"> </w:t>
      </w:r>
      <w:r>
        <w:rPr>
          <w:rFonts w:ascii="Arial" w:cs="Arial" w:eastAsia="Arial" w:hAnsi="Arial"/>
          <w:sz w:val="18"/>
          <w:szCs w:val="18"/>
          <w:color w:val="auto"/>
        </w:rPr>
        <w:t>stepparent, grandparent, spouse, former spouse, sibling, niece, nephew, mother-in-law, father-in-law, son-in-law, daughter-in-law, brother-in-law or sister-in-law.</w:t>
      </w:r>
    </w:p>
    <w:p>
      <w:pPr>
        <w:spacing w:after="0" w:line="176" w:lineRule="exact"/>
        <w:rPr>
          <w:rFonts w:ascii="Arial" w:cs="Arial" w:eastAsia="Arial" w:hAnsi="Arial"/>
          <w:sz w:val="18"/>
          <w:szCs w:val="18"/>
          <w:color w:val="auto"/>
        </w:rPr>
      </w:pPr>
    </w:p>
    <w:p>
      <w:pPr>
        <w:ind w:left="2020" w:hanging="724"/>
        <w:spacing w:after="0"/>
        <w:tabs>
          <w:tab w:leader="none" w:pos="2020"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non-employee Board member to whom the Award is made pursuant to the</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Automatic Grant Program.</w:t>
      </w:r>
    </w:p>
    <w:p>
      <w:pPr>
        <w:spacing w:after="0" w:line="206" w:lineRule="exact"/>
        <w:rPr>
          <w:rFonts w:ascii="Arial" w:cs="Arial" w:eastAsia="Arial" w:hAnsi="Arial"/>
          <w:sz w:val="17"/>
          <w:szCs w:val="17"/>
          <w:color w:val="auto"/>
        </w:rPr>
      </w:pPr>
    </w:p>
    <w:p>
      <w:pPr>
        <w:ind w:left="1980" w:hanging="684"/>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Corporation’s 2016 Incentive Compensation Plan.</w:t>
      </w:r>
    </w:p>
    <w:p>
      <w:pPr>
        <w:spacing w:after="0" w:line="225" w:lineRule="exact"/>
        <w:rPr>
          <w:rFonts w:ascii="Arial" w:cs="Arial" w:eastAsia="Arial" w:hAnsi="Arial"/>
          <w:sz w:val="18"/>
          <w:szCs w:val="18"/>
          <w:color w:val="auto"/>
        </w:rPr>
      </w:pPr>
    </w:p>
    <w:p>
      <w:pPr>
        <w:ind w:left="1980" w:hanging="684"/>
        <w:spacing w:after="0"/>
        <w:tabs>
          <w:tab w:leader="none" w:pos="1980" w:val="left"/>
        </w:tabs>
        <w:numPr>
          <w:ilvl w:val="0"/>
          <w:numId w:val="92"/>
        </w:numPr>
        <w:rPr>
          <w:rFonts w:ascii="Arial" w:cs="Arial" w:eastAsia="Arial" w:hAnsi="Arial"/>
          <w:sz w:val="16"/>
          <w:szCs w:val="16"/>
          <w:color w:val="auto"/>
        </w:rPr>
      </w:pPr>
      <w:r>
        <w:rPr>
          <w:rFonts w:ascii="Arial" w:cs="Arial" w:eastAsia="Arial" w:hAnsi="Arial"/>
          <w:sz w:val="16"/>
          <w:szCs w:val="16"/>
          <w:b w:val="1"/>
          <w:bCs w:val="1"/>
          <w:u w:val="single" w:color="auto"/>
          <w:color w:val="auto"/>
        </w:rPr>
        <w:t>Retirement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cessation of Board service by reason of retirement at or after the attainment of age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seventy-five (75).</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10.66</w:t>
      </w:r>
    </w:p>
    <w:p>
      <w:pPr>
        <w:spacing w:after="0" w:line="207"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MATSON, INC.</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b w:val="1"/>
          <w:bCs w:val="1"/>
          <w:u w:val="single" w:color="auto"/>
          <w:color w:val="auto"/>
        </w:rPr>
        <w:t>TIME-BASED RESTRICTED STOCK UNIT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ind w:left="2320" w:hanging="1021"/>
        <w:spacing w:after="0"/>
        <w:tabs>
          <w:tab w:leader="none" w:pos="2320" w:val="left"/>
        </w:tabs>
        <w:numPr>
          <w:ilvl w:val="0"/>
          <w:numId w:val="93"/>
        </w:numPr>
        <w:rPr>
          <w:rFonts w:ascii="Arial" w:cs="Arial" w:eastAsia="Arial" w:hAnsi="Arial"/>
          <w:sz w:val="21"/>
          <w:szCs w:val="21"/>
          <w:color w:val="auto"/>
        </w:rPr>
      </w:pPr>
      <w:r>
        <w:rPr>
          <w:rFonts w:ascii="Arial" w:cs="Arial" w:eastAsia="Arial" w:hAnsi="Arial"/>
          <w:sz w:val="21"/>
          <w:szCs w:val="21"/>
          <w:color w:val="auto"/>
        </w:rPr>
        <w:t>Matson, Inc., a Hawaii corporation (along with any subsequent corporate</w:t>
      </w:r>
    </w:p>
    <w:p>
      <w:pPr>
        <w:spacing w:after="0" w:line="2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53" w:lineRule="exact"/>
        <w:rPr>
          <w:sz w:val="20"/>
          <w:szCs w:val="20"/>
          <w:color w:val="auto"/>
        </w:rPr>
      </w:pPr>
    </w:p>
    <w:p>
      <w:pPr>
        <w:jc w:val="both"/>
        <w:ind w:firstLine="1299"/>
        <w:spacing w:after="0" w:line="238" w:lineRule="auto"/>
        <w:tabs>
          <w:tab w:leader="none" w:pos="21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85" w:lineRule="exact"/>
        <w:rPr>
          <w:rFonts w:ascii="Arial" w:cs="Arial" w:eastAsia="Arial" w:hAnsi="Arial"/>
          <w:sz w:val="22"/>
          <w:szCs w:val="22"/>
          <w:color w:val="auto"/>
        </w:rPr>
      </w:pPr>
    </w:p>
    <w:p>
      <w:pPr>
        <w:ind w:firstLine="1299"/>
        <w:spacing w:after="0" w:line="251" w:lineRule="auto"/>
        <w:tabs>
          <w:tab w:leader="none" w:pos="1991"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9"/>
        <w:spacing w:after="0" w:line="251" w:lineRule="auto"/>
        <w:tabs>
          <w:tab w:leader="none" w:pos="1958" w:val="left"/>
        </w:tabs>
        <w:numPr>
          <w:ilvl w:val="0"/>
          <w:numId w:val="95"/>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color w:val="auto"/>
        </w:rPr>
        <w:t>. The Corporation hereby awards to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Award Date, restricted stock units under the Plan. The number of shares of Common Stock underlying the awarded restricted stock units and the applicable service vesting requirements for those units and the underlying Shares are set forth in the Award Notice. The remaining terms and conditions governing the Award shall be as set forth in this Agreement.</w:t>
      </w:r>
    </w:p>
    <w:p>
      <w:pPr>
        <w:spacing w:after="0" w:line="168" w:lineRule="exact"/>
        <w:rPr>
          <w:rFonts w:ascii="Arial" w:cs="Arial" w:eastAsia="Arial" w:hAnsi="Arial"/>
          <w:sz w:val="21"/>
          <w:szCs w:val="21"/>
          <w:color w:val="auto"/>
        </w:rPr>
      </w:pPr>
    </w:p>
    <w:p>
      <w:pPr>
        <w:jc w:val="both"/>
        <w:ind w:firstLine="1299"/>
        <w:spacing w:after="0" w:line="245" w:lineRule="auto"/>
        <w:tabs>
          <w:tab w:leader="none" w:pos="2066" w:val="left"/>
        </w:tabs>
        <w:numPr>
          <w:ilvl w:val="0"/>
          <w:numId w:val="95"/>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Limited Transferability</w:t>
      </w:r>
      <w:r>
        <w:rPr>
          <w:rFonts w:ascii="Arial" w:cs="Arial" w:eastAsia="Arial" w:hAnsi="Arial"/>
          <w:sz w:val="21"/>
          <w:szCs w:val="21"/>
          <w:color w:val="auto"/>
        </w:rPr>
        <w:t>. Prior to the actual issuance of the Shares which vest</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Participant may not transfer any interest in the restricted stock units subject to the Award or the underlying Shares or pledge or otherwise hedge the sale of those units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575437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08" w:name="page109"/>
    <w:bookmarkEnd w:id="108"/>
    <w:p>
      <w:pPr>
        <w:ind w:left="1940" w:hanging="641"/>
        <w:spacing w:after="0"/>
        <w:tabs>
          <w:tab w:leader="none" w:pos="1940"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Cessation of Service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8"/>
        <w:spacing w:after="0" w:line="282" w:lineRule="auto"/>
        <w:tabs>
          <w:tab w:leader="none" w:pos="2617" w:val="left"/>
        </w:tabs>
        <w:numPr>
          <w:ilvl w:val="1"/>
          <w:numId w:val="96"/>
        </w:numPr>
        <w:rPr>
          <w:rFonts w:ascii="Arial" w:cs="Arial" w:eastAsia="Arial" w:hAnsi="Arial"/>
          <w:sz w:val="19"/>
          <w:szCs w:val="19"/>
          <w:color w:val="auto"/>
        </w:rPr>
      </w:pPr>
      <w:r>
        <w:rPr>
          <w:rFonts w:ascii="Arial" w:cs="Arial" w:eastAsia="Arial" w:hAnsi="Arial"/>
          <w:sz w:val="19"/>
          <w:szCs w:val="19"/>
          <w:color w:val="auto"/>
        </w:rPr>
        <w:t>Except to the extent otherwise provided in this Paragraph 3 or Paragraph 5 below, should Participant cease Service for any reason prior to vesting in one or more Shares subject to this Award, then the Award shall be automatically cancelled with respect to those unvested Shares, and the number of restricted stock units shall be reduced accordingly. Participant shall thereupon cease to have any right or entitlement to receive any Shares under those cancelled units.</w:t>
      </w:r>
    </w:p>
    <w:p>
      <w:pPr>
        <w:spacing w:after="0" w:line="147" w:lineRule="exact"/>
        <w:rPr>
          <w:rFonts w:ascii="Arial" w:cs="Arial" w:eastAsia="Arial" w:hAnsi="Arial"/>
          <w:sz w:val="19"/>
          <w:szCs w:val="19"/>
          <w:color w:val="auto"/>
        </w:rPr>
      </w:pPr>
    </w:p>
    <w:p>
      <w:pPr>
        <w:jc w:val="both"/>
        <w:ind w:firstLine="1948"/>
        <w:spacing w:after="0" w:line="287" w:lineRule="auto"/>
        <w:tabs>
          <w:tab w:leader="none" w:pos="2782" w:val="left"/>
        </w:tabs>
        <w:numPr>
          <w:ilvl w:val="1"/>
          <w:numId w:val="96"/>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death or Permanent Disability prior to vesting in one or more Shares subject to this Award, then the restricted stock units shall vest in full upon Participant’s termination of Service. The Shares subject to those vested units shall be issued in accordance with the applicable provisions of Paragraph 7.</w:t>
      </w:r>
    </w:p>
    <w:p>
      <w:pPr>
        <w:spacing w:after="0" w:line="143" w:lineRule="exact"/>
        <w:rPr>
          <w:rFonts w:ascii="Arial" w:cs="Arial" w:eastAsia="Arial" w:hAnsi="Arial"/>
          <w:sz w:val="19"/>
          <w:szCs w:val="19"/>
          <w:color w:val="auto"/>
        </w:rPr>
      </w:pPr>
    </w:p>
    <w:p>
      <w:pPr>
        <w:jc w:val="both"/>
        <w:ind w:firstLine="1948"/>
        <w:spacing w:after="0" w:line="273" w:lineRule="auto"/>
        <w:tabs>
          <w:tab w:leader="none" w:pos="2887" w:val="left"/>
        </w:tabs>
        <w:numPr>
          <w:ilvl w:val="1"/>
          <w:numId w:val="96"/>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Early Retirement or Normal Retirement prior to vesting in all the Shares subject to this Award in accordance with the annual installment vesting schedule set forth in the Award Notice, then Participant shall immediately vest in that number of additional Shares (if any) in which Participant would have otherwise been vested at the time of such termination had the Shares subject to this Award vested in a series of successive equal monthly installments over the duration of the vesting schedule set forth in the Award Notice. The Shares which are deemed to vest on the basis of such monthly installment vesting schedule shall, together with any other Shares which are at the time vested but unissued, be issued in accordance with the applicable provisions of Paragraph 7. The balance of the Award shall be automatically cancelled and cease to be outstanding upon such termination of Service.</w:t>
      </w:r>
    </w:p>
    <w:p>
      <w:pPr>
        <w:spacing w:after="0" w:line="155" w:lineRule="exact"/>
        <w:rPr>
          <w:rFonts w:ascii="Arial" w:cs="Arial" w:eastAsia="Arial" w:hAnsi="Arial"/>
          <w:sz w:val="19"/>
          <w:szCs w:val="19"/>
          <w:color w:val="auto"/>
        </w:rPr>
      </w:pPr>
    </w:p>
    <w:p>
      <w:pPr>
        <w:ind w:left="1940" w:hanging="641"/>
        <w:spacing w:after="0"/>
        <w:tabs>
          <w:tab w:leader="none" w:pos="1940" w:val="left"/>
        </w:tabs>
        <w:numPr>
          <w:ilvl w:val="0"/>
          <w:numId w:val="96"/>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p>
    <w:p>
      <w:pPr>
        <w:spacing w:after="0" w:line="212" w:lineRule="exact"/>
        <w:rPr>
          <w:rFonts w:ascii="Arial" w:cs="Arial" w:eastAsia="Arial" w:hAnsi="Arial"/>
          <w:sz w:val="22"/>
          <w:szCs w:val="22"/>
          <w:color w:val="auto"/>
        </w:rPr>
      </w:pPr>
    </w:p>
    <w:p>
      <w:pPr>
        <w:jc w:val="both"/>
        <w:ind w:firstLine="1948"/>
        <w:spacing w:after="0" w:line="238" w:lineRule="auto"/>
        <w:tabs>
          <w:tab w:leader="none" w:pos="2664" w:val="left"/>
        </w:tabs>
        <w:numPr>
          <w:ilvl w:val="1"/>
          <w:numId w:val="96"/>
        </w:numPr>
        <w:rPr>
          <w:rFonts w:ascii="Arial" w:cs="Arial" w:eastAsia="Arial" w:hAnsi="Arial"/>
          <w:sz w:val="22"/>
          <w:szCs w:val="22"/>
          <w:color w:val="auto"/>
        </w:rPr>
      </w:pPr>
      <w:r>
        <w:rPr>
          <w:rFonts w:ascii="Arial" w:cs="Arial" w:eastAsia="Arial" w:hAnsi="Arial"/>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5" w:lineRule="exact"/>
        <w:rPr>
          <w:rFonts w:ascii="Arial" w:cs="Arial" w:eastAsia="Arial" w:hAnsi="Arial"/>
          <w:sz w:val="22"/>
          <w:szCs w:val="22"/>
          <w:color w:val="auto"/>
        </w:rPr>
      </w:pPr>
    </w:p>
    <w:p>
      <w:pPr>
        <w:jc w:val="both"/>
        <w:ind w:firstLine="1948"/>
        <w:spacing w:after="0" w:line="272" w:lineRule="auto"/>
        <w:tabs>
          <w:tab w:leader="none" w:pos="2696" w:val="left"/>
        </w:tabs>
        <w:numPr>
          <w:ilvl w:val="1"/>
          <w:numId w:val="96"/>
        </w:numPr>
        <w:rPr>
          <w:rFonts w:ascii="Arial" w:cs="Arial" w:eastAsia="Arial" w:hAnsi="Arial"/>
          <w:sz w:val="19"/>
          <w:szCs w:val="19"/>
          <w:color w:val="auto"/>
        </w:rPr>
      </w:pPr>
      <w:r>
        <w:rPr>
          <w:rFonts w:ascii="Arial" w:cs="Arial" w:eastAsia="Arial" w:hAnsi="Arial"/>
          <w:sz w:val="19"/>
          <w:szCs w:val="19"/>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the last business day of that calendar quarter. However, each such distribution shall be subject to the Corporation’s collection of the Withholding Taxes applicable to that distribution.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9" w:name="page110"/>
    <w:bookmarkEnd w:id="109"/>
    <w:p>
      <w:pPr>
        <w:ind w:left="1940" w:hanging="641"/>
        <w:spacing w:after="0"/>
        <w:tabs>
          <w:tab w:leader="none" w:pos="1940" w:val="left"/>
        </w:tabs>
        <w:numPr>
          <w:ilvl w:val="0"/>
          <w:numId w:val="97"/>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p>
    <w:p>
      <w:pPr>
        <w:spacing w:after="0" w:line="212" w:lineRule="exact"/>
        <w:rPr>
          <w:rFonts w:ascii="Arial" w:cs="Arial" w:eastAsia="Arial" w:hAnsi="Arial"/>
          <w:sz w:val="22"/>
          <w:szCs w:val="22"/>
          <w:color w:val="auto"/>
        </w:rPr>
      </w:pPr>
    </w:p>
    <w:p>
      <w:pPr>
        <w:jc w:val="both"/>
        <w:ind w:firstLine="1948"/>
        <w:spacing w:after="0" w:line="270" w:lineRule="auto"/>
        <w:tabs>
          <w:tab w:leader="none" w:pos="2669"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shall initially be credited with the Fair Market Value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restricted stock units subject to this Award or the underlying Shares shall occur at the time of the Change in Control, and the Service-vesting provisions set forth in the Award Notice shall continue in full force and effect.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948"/>
        <w:spacing w:after="0" w:line="272" w:lineRule="auto"/>
        <w:tabs>
          <w:tab w:leader="none" w:pos="2845"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restricted stock units subject to the Award shall be adjusted immediately after the consummation of that Change in Control so as to apply to the number and class of securities into which the Shares subject to those units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restricted stock units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948"/>
        <w:spacing w:after="0" w:line="274" w:lineRule="auto"/>
        <w:tabs>
          <w:tab w:leader="none" w:pos="2995"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Upon Participant’s Separation from Service due to an Involuntary Termination occurring within twelve (12) months after a Change in Control in which this Award is assumed or continued in effect, all of the restricted stock units at the time subject to this Award shall vest, or any substitute equivalent award, and the Shares underlying those units shall be issued to Participant in accordance with the applicable provisions of Paragraph 7. Should the restricted stock units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Participant shall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0" w:name="page111"/>
    <w:bookmarkEnd w:id="110"/>
    <w:p>
      <w:pPr>
        <w:spacing w:after="0" w:line="251" w:lineRule="auto"/>
        <w:rPr>
          <w:sz w:val="20"/>
          <w:szCs w:val="20"/>
          <w:color w:val="auto"/>
        </w:rPr>
      </w:pPr>
      <w:r>
        <w:rPr>
          <w:rFonts w:ascii="Arial" w:cs="Arial" w:eastAsia="Arial" w:hAnsi="Arial"/>
          <w:sz w:val="22"/>
          <w:szCs w:val="22"/>
          <w:color w:val="auto"/>
        </w:rPr>
        <w:t>vest and be entitled to such distribution only if such Involuntary Termination occurs within twelve (12) months following the Change in Control.</w:t>
      </w:r>
    </w:p>
    <w:p>
      <w:pPr>
        <w:spacing w:after="0" w:line="174" w:lineRule="exact"/>
        <w:rPr>
          <w:sz w:val="20"/>
          <w:szCs w:val="20"/>
          <w:color w:val="auto"/>
        </w:rPr>
      </w:pPr>
    </w:p>
    <w:p>
      <w:pPr>
        <w:jc w:val="both"/>
        <w:ind w:firstLine="1948"/>
        <w:spacing w:after="0" w:line="236" w:lineRule="auto"/>
        <w:tabs>
          <w:tab w:leader="none" w:pos="2634" w:val="left"/>
        </w:tabs>
        <w:numPr>
          <w:ilvl w:val="1"/>
          <w:numId w:val="98"/>
        </w:numPr>
        <w:rPr>
          <w:rFonts w:ascii="Arial" w:cs="Arial" w:eastAsia="Arial" w:hAnsi="Arial"/>
          <w:sz w:val="22"/>
          <w:szCs w:val="22"/>
          <w:color w:val="auto"/>
        </w:rPr>
      </w:pPr>
      <w:r>
        <w:rPr>
          <w:rFonts w:ascii="Arial" w:cs="Arial" w:eastAsia="Arial" w:hAnsi="Arial"/>
          <w:sz w:val="22"/>
          <w:szCs w:val="22"/>
          <w:color w:val="auto"/>
        </w:rPr>
        <w:t>If the restricted stock units subject to this Award at the time of the Change in Control are not assumed or otherwise continued in effect or replaced with substitute equivalent award in accordance with Paragraph 5(a), then those units shall vest immediately prior to the closing of the Change in Control, and Participant shall become entitled to a vested distribution in accordance with the applicable provisions of Paragraph 7.</w:t>
      </w:r>
    </w:p>
    <w:p>
      <w:pPr>
        <w:spacing w:after="0" w:line="187" w:lineRule="exact"/>
        <w:rPr>
          <w:rFonts w:ascii="Arial" w:cs="Arial" w:eastAsia="Arial" w:hAnsi="Arial"/>
          <w:sz w:val="22"/>
          <w:szCs w:val="22"/>
          <w:color w:val="auto"/>
        </w:rPr>
      </w:pPr>
    </w:p>
    <w:p>
      <w:pPr>
        <w:jc w:val="both"/>
        <w:ind w:firstLine="1948"/>
        <w:spacing w:after="0" w:line="297" w:lineRule="auto"/>
        <w:tabs>
          <w:tab w:leader="none" w:pos="2633"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28" w:lineRule="exact"/>
        <w:rPr>
          <w:rFonts w:ascii="Arial" w:cs="Arial" w:eastAsia="Arial" w:hAnsi="Arial"/>
          <w:sz w:val="19"/>
          <w:szCs w:val="19"/>
          <w:color w:val="auto"/>
        </w:rPr>
      </w:pPr>
    </w:p>
    <w:p>
      <w:pPr>
        <w:jc w:val="both"/>
        <w:ind w:firstLine="1299"/>
        <w:spacing w:after="0" w:line="272" w:lineRule="auto"/>
        <w:tabs>
          <w:tab w:leader="none" w:pos="2066" w:val="left"/>
        </w:tabs>
        <w:numPr>
          <w:ilvl w:val="0"/>
          <w:numId w:val="99"/>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980" w:hanging="681"/>
        <w:spacing w:after="0"/>
        <w:tabs>
          <w:tab w:leader="none" w:pos="1980" w:val="left"/>
        </w:tabs>
        <w:numPr>
          <w:ilvl w:val="0"/>
          <w:numId w:val="99"/>
        </w:numPr>
        <w:rPr>
          <w:rFonts w:ascii="Arial" w:cs="Arial" w:eastAsia="Arial" w:hAnsi="Arial"/>
          <w:sz w:val="19"/>
          <w:szCs w:val="19"/>
          <w:color w:val="auto"/>
        </w:rPr>
      </w:pPr>
      <w:r>
        <w:rPr>
          <w:rFonts w:ascii="Arial" w:cs="Arial" w:eastAsia="Arial" w:hAnsi="Arial"/>
          <w:sz w:val="19"/>
          <w:szCs w:val="19"/>
          <w:b w:val="1"/>
          <w:bCs w:val="1"/>
          <w:u w:val="single" w:color="auto"/>
          <w:color w:val="auto"/>
        </w:rPr>
        <w:t>Issuance or Distribution of Shares or Other Vested Amounts and Applicable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Withholding Taxes.</w:t>
      </w:r>
    </w:p>
    <w:p>
      <w:pPr>
        <w:spacing w:after="0" w:line="188" w:lineRule="exact"/>
        <w:rPr>
          <w:rFonts w:ascii="Arial" w:cs="Arial" w:eastAsia="Arial" w:hAnsi="Arial"/>
          <w:sz w:val="19"/>
          <w:szCs w:val="19"/>
          <w:color w:val="auto"/>
        </w:rPr>
      </w:pPr>
    </w:p>
    <w:p>
      <w:pPr>
        <w:jc w:val="both"/>
        <w:ind w:firstLine="1948"/>
        <w:spacing w:after="0"/>
        <w:tabs>
          <w:tab w:leader="none" w:pos="2692" w:val="left"/>
        </w:tabs>
        <w:numPr>
          <w:ilvl w:val="1"/>
          <w:numId w:val="99"/>
        </w:numPr>
        <w:rPr>
          <w:rFonts w:ascii="Arial" w:cs="Arial" w:eastAsia="Arial" w:hAnsi="Arial"/>
          <w:sz w:val="22"/>
          <w:szCs w:val="22"/>
          <w:color w:val="auto"/>
        </w:rPr>
      </w:pPr>
      <w:r>
        <w:rPr>
          <w:rFonts w:ascii="Arial" w:cs="Arial" w:eastAsia="Arial" w:hAnsi="Arial"/>
          <w:sz w:val="22"/>
          <w:szCs w:val="22"/>
          <w:color w:val="auto"/>
        </w:rPr>
        <w:t>The following provisions shall govern the issuance of the Shares (or any replacement or substitute amounts under Paragraph 5) which vest in accordance with the provisions of this Agreement:</w:t>
      </w:r>
    </w:p>
    <w:p>
      <w:pPr>
        <w:spacing w:after="0" w:line="186" w:lineRule="exact"/>
        <w:rPr>
          <w:sz w:val="20"/>
          <w:szCs w:val="20"/>
          <w:color w:val="auto"/>
        </w:rPr>
      </w:pPr>
    </w:p>
    <w:p>
      <w:pPr>
        <w:jc w:val="both"/>
        <w:ind w:left="660" w:firstLine="1288"/>
        <w:spacing w:after="0" w:line="252" w:lineRule="auto"/>
        <w:tabs>
          <w:tab w:leader="none" w:pos="2775" w:val="left"/>
        </w:tabs>
        <w:numPr>
          <w:ilvl w:val="0"/>
          <w:numId w:val="100"/>
        </w:numPr>
        <w:rPr>
          <w:rFonts w:ascii="Arial" w:cs="Arial" w:eastAsia="Arial" w:hAnsi="Arial"/>
          <w:sz w:val="21"/>
          <w:szCs w:val="21"/>
          <w:color w:val="auto"/>
        </w:rPr>
      </w:pPr>
      <w:r>
        <w:rPr>
          <w:rFonts w:ascii="Arial" w:cs="Arial" w:eastAsia="Arial" w:hAnsi="Arial"/>
          <w:sz w:val="21"/>
          <w:szCs w:val="21"/>
          <w:color w:val="auto"/>
        </w:rPr>
        <w:t>On each Vesting and Issuance Date specified in the Award Notice, the Shares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74" w:lineRule="exact"/>
        <w:rPr>
          <w:rFonts w:ascii="Arial" w:cs="Arial" w:eastAsia="Arial" w:hAnsi="Arial"/>
          <w:sz w:val="21"/>
          <w:szCs w:val="21"/>
          <w:color w:val="auto"/>
        </w:rPr>
      </w:pPr>
    </w:p>
    <w:p>
      <w:pPr>
        <w:jc w:val="both"/>
        <w:ind w:left="660" w:firstLine="1288"/>
        <w:spacing w:after="0"/>
        <w:tabs>
          <w:tab w:leader="none" w:pos="263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Shares which vest on an accelerated basis upon the Participant’s cessation of Service under Paragraph 3(b) or 3(c) or upon his or her Involuntary Termination under Paragraph 5(c) shall be issued on the date 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11" w:name="page112"/>
    <w:bookmarkEnd w:id="111"/>
    <w:p>
      <w:pPr>
        <w:jc w:val="both"/>
        <w:ind w:left="640"/>
        <w:spacing w:after="0" w:line="279" w:lineRule="auto"/>
        <w:rPr>
          <w:sz w:val="20"/>
          <w:szCs w:val="20"/>
          <w:color w:val="auto"/>
        </w:rPr>
      </w:pPr>
      <w:r>
        <w:rPr>
          <w:rFonts w:ascii="Arial" w:cs="Arial" w:eastAsia="Arial" w:hAnsi="Arial"/>
          <w:sz w:val="19"/>
          <w:szCs w:val="19"/>
          <w:color w:val="auto"/>
        </w:rPr>
        <w:t>Participant’s Separation from Service due to such cessation of 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51" w:lineRule="exact"/>
        <w:rPr>
          <w:sz w:val="20"/>
          <w:szCs w:val="20"/>
          <w:color w:val="auto"/>
        </w:rPr>
      </w:pPr>
    </w:p>
    <w:p>
      <w:pPr>
        <w:jc w:val="both"/>
        <w:ind w:left="640" w:firstLine="1288"/>
        <w:spacing w:after="0" w:line="233" w:lineRule="auto"/>
        <w:tabs>
          <w:tab w:leader="none" w:pos="2702"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Shares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Arial" w:cs="Arial" w:eastAsia="Arial" w:hAnsi="Arial"/>
          <w:sz w:val="22"/>
          <w:szCs w:val="22"/>
          <w:b w:val="1"/>
          <w:bCs w:val="1"/>
          <w:i w:val="1"/>
          <w:iCs w:val="1"/>
          <w:color w:val="auto"/>
        </w:rPr>
        <w:t>earliest</w:t>
      </w:r>
      <w:r>
        <w:rPr>
          <w:rFonts w:ascii="Arial" w:cs="Arial" w:eastAsia="Arial" w:hAnsi="Arial"/>
          <w:sz w:val="22"/>
          <w:szCs w:val="22"/>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Code Section 409A.</w:t>
      </w:r>
    </w:p>
    <w:p>
      <w:pPr>
        <w:spacing w:after="0" w:line="193" w:lineRule="exact"/>
        <w:rPr>
          <w:rFonts w:ascii="Arial" w:cs="Arial" w:eastAsia="Arial" w:hAnsi="Arial"/>
          <w:sz w:val="22"/>
          <w:szCs w:val="22"/>
          <w:color w:val="auto"/>
        </w:rPr>
      </w:pPr>
    </w:p>
    <w:p>
      <w:pPr>
        <w:jc w:val="both"/>
        <w:ind w:left="640" w:firstLine="1288"/>
        <w:spacing w:after="0" w:line="271" w:lineRule="auto"/>
        <w:tabs>
          <w:tab w:leader="none" w:pos="262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640" w:firstLine="1288"/>
        <w:spacing w:after="0" w:line="236" w:lineRule="auto"/>
        <w:tabs>
          <w:tab w:leader="none" w:pos="294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87" w:lineRule="exact"/>
        <w:rPr>
          <w:rFonts w:ascii="Arial" w:cs="Arial" w:eastAsia="Arial" w:hAnsi="Arial"/>
          <w:sz w:val="22"/>
          <w:szCs w:val="22"/>
          <w:color w:val="auto"/>
        </w:rPr>
      </w:pPr>
    </w:p>
    <w:p>
      <w:pPr>
        <w:jc w:val="both"/>
        <w:ind w:left="640" w:firstLine="1288"/>
        <w:spacing w:after="0"/>
        <w:tabs>
          <w:tab w:leader="none" w:pos="268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575437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12" w:name="page113"/>
    <w:bookmarkEnd w:id="112"/>
    <w:p>
      <w:pPr>
        <w:jc w:val="both"/>
        <w:ind w:left="660" w:firstLine="1288"/>
        <w:spacing w:after="0" w:line="236" w:lineRule="auto"/>
        <w:tabs>
          <w:tab w:leader="none" w:pos="272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88" w:lineRule="exact"/>
        <w:rPr>
          <w:sz w:val="20"/>
          <w:szCs w:val="20"/>
          <w:color w:val="auto"/>
        </w:rPr>
      </w:pPr>
    </w:p>
    <w:p>
      <w:pPr>
        <w:jc w:val="both"/>
        <w:ind w:firstLine="1948"/>
        <w:spacing w:after="0" w:line="297" w:lineRule="auto"/>
        <w:tabs>
          <w:tab w:leader="none" w:pos="2679"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34" w:lineRule="exact"/>
        <w:rPr>
          <w:rFonts w:ascii="Arial" w:cs="Arial" w:eastAsia="Arial" w:hAnsi="Arial"/>
          <w:sz w:val="19"/>
          <w:szCs w:val="19"/>
          <w:color w:val="auto"/>
        </w:rPr>
      </w:pPr>
    </w:p>
    <w:p>
      <w:pPr>
        <w:jc w:val="both"/>
        <w:ind w:firstLine="1948"/>
        <w:spacing w:after="0" w:line="245" w:lineRule="auto"/>
        <w:tabs>
          <w:tab w:leader="none" w:pos="2877" w:val="left"/>
        </w:tabs>
        <w:numPr>
          <w:ilvl w:val="1"/>
          <w:numId w:val="103"/>
        </w:numPr>
        <w:rPr>
          <w:rFonts w:ascii="Arial" w:cs="Arial" w:eastAsia="Arial" w:hAnsi="Arial"/>
          <w:sz w:val="21"/>
          <w:szCs w:val="21"/>
          <w:color w:val="auto"/>
        </w:rPr>
      </w:pPr>
      <w:r>
        <w:rPr>
          <w:rFonts w:ascii="Arial" w:cs="Arial" w:eastAsia="Arial" w:hAnsi="Arial"/>
          <w:sz w:val="21"/>
          <w:szCs w:val="21"/>
          <w:color w:val="auto"/>
        </w:rPr>
        <w:t>The Corporation may, in its sole discretion, establish a procedure to permit the satisfaction of the Withholding Taxes by the Participant in the form of cash and shall inform Participant. In that event,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delivers such payment to the Corporation not later than that issuance date. Otherwise the Corporation shall collect the Withholding Taxes applicable to the Share issuance through the following automatic share withholding method:</w:t>
      </w:r>
    </w:p>
    <w:p>
      <w:pPr>
        <w:spacing w:after="0" w:line="185" w:lineRule="exact"/>
        <w:rPr>
          <w:rFonts w:ascii="Arial" w:cs="Arial" w:eastAsia="Arial" w:hAnsi="Arial"/>
          <w:sz w:val="21"/>
          <w:szCs w:val="21"/>
          <w:color w:val="auto"/>
        </w:rPr>
      </w:pPr>
    </w:p>
    <w:p>
      <w:pPr>
        <w:jc w:val="both"/>
        <w:ind w:firstLine="1299"/>
        <w:spacing w:after="0" w:line="247" w:lineRule="auto"/>
        <w:tabs>
          <w:tab w:leader="none" w:pos="194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On each applicable issuance date, the Corporation shall withhold, from the vested Shares otherwise issuable to Participant at that time, a portion of those Shares with a Fair Market Value (measured as of the issuance date) equal to the applicable Withholding Taxes;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that the number of Shares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w:t>
      </w:r>
    </w:p>
    <w:p>
      <w:pPr>
        <w:spacing w:after="0" w:line="178" w:lineRule="exact"/>
        <w:rPr>
          <w:rFonts w:ascii="Arial" w:cs="Arial" w:eastAsia="Arial" w:hAnsi="Arial"/>
          <w:sz w:val="21"/>
          <w:szCs w:val="21"/>
          <w:color w:val="auto"/>
        </w:rPr>
      </w:pPr>
    </w:p>
    <w:p>
      <w:pPr>
        <w:jc w:val="both"/>
        <w:ind w:firstLine="1948"/>
        <w:spacing w:after="0" w:line="272" w:lineRule="auto"/>
        <w:tabs>
          <w:tab w:leader="none" w:pos="300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Code Section 3121(v).</w:t>
      </w:r>
    </w:p>
    <w:p>
      <w:pPr>
        <w:spacing w:after="0" w:line="161" w:lineRule="exact"/>
        <w:rPr>
          <w:rFonts w:ascii="Arial" w:cs="Arial" w:eastAsia="Arial" w:hAnsi="Arial"/>
          <w:sz w:val="19"/>
          <w:szCs w:val="19"/>
          <w:color w:val="auto"/>
        </w:rPr>
      </w:pPr>
    </w:p>
    <w:p>
      <w:pPr>
        <w:jc w:val="both"/>
        <w:ind w:firstLine="1948"/>
        <w:spacing w:after="0" w:line="297" w:lineRule="auto"/>
        <w:tabs>
          <w:tab w:leader="none" w:pos="2833"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13" w:name="page114"/>
    <w:bookmarkEnd w:id="113"/>
    <w:p>
      <w:pPr>
        <w:spacing w:after="0" w:line="329" w:lineRule="auto"/>
        <w:rPr>
          <w:sz w:val="20"/>
          <w:szCs w:val="20"/>
          <w:color w:val="auto"/>
        </w:rPr>
      </w:pPr>
      <w:r>
        <w:rPr>
          <w:rFonts w:ascii="Arial" w:cs="Arial" w:eastAsia="Arial" w:hAnsi="Arial"/>
          <w:sz w:val="19"/>
          <w:szCs w:val="19"/>
          <w:color w:val="auto"/>
        </w:rPr>
        <w:t>total number of shares of Common Stock to be issued at the time the Award vests shall, to the extent necessary, be rounded down to the next whole share in order to avoid the issuance of a fractional share.</w:t>
      </w:r>
    </w:p>
    <w:p>
      <w:pPr>
        <w:spacing w:after="0" w:line="98" w:lineRule="exact"/>
        <w:rPr>
          <w:sz w:val="20"/>
          <w:szCs w:val="20"/>
          <w:color w:val="auto"/>
        </w:rPr>
      </w:pPr>
    </w:p>
    <w:p>
      <w:pPr>
        <w:jc w:val="both"/>
        <w:ind w:firstLine="1299"/>
        <w:spacing w:after="0" w:line="261" w:lineRule="auto"/>
        <w:tabs>
          <w:tab w:leader="none" w:pos="2107" w:val="left"/>
        </w:tabs>
        <w:numPr>
          <w:ilvl w:val="0"/>
          <w:numId w:val="105"/>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 to the contrary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the extent this Award may be deemed to create a deferred compensation arrangement under Code Section 409A, then the following limitation and provisions shall apply:</w:t>
      </w:r>
    </w:p>
    <w:p>
      <w:pPr>
        <w:spacing w:after="0" w:line="163" w:lineRule="exact"/>
        <w:rPr>
          <w:rFonts w:ascii="Arial" w:cs="Arial" w:eastAsia="Arial" w:hAnsi="Arial"/>
          <w:sz w:val="21"/>
          <w:szCs w:val="21"/>
          <w:color w:val="auto"/>
        </w:rPr>
      </w:pPr>
    </w:p>
    <w:p>
      <w:pPr>
        <w:jc w:val="both"/>
        <w:ind w:left="660" w:firstLine="1288"/>
        <w:spacing w:after="0" w:line="269" w:lineRule="auto"/>
        <w:tabs>
          <w:tab w:leader="none" w:pos="2557"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w:t>
      </w:r>
    </w:p>
    <w:p>
      <w:pPr>
        <w:spacing w:after="0" w:line="1" w:lineRule="exact"/>
        <w:rPr>
          <w:rFonts w:ascii="Arial" w:cs="Arial" w:eastAsia="Arial" w:hAnsi="Arial"/>
          <w:sz w:val="19"/>
          <w:szCs w:val="19"/>
          <w:color w:val="auto"/>
        </w:rPr>
      </w:pPr>
    </w:p>
    <w:p>
      <w:pPr>
        <w:jc w:val="both"/>
        <w:ind w:left="660"/>
        <w:spacing w:after="0" w:line="233" w:lineRule="auto"/>
        <w:rPr>
          <w:rFonts w:ascii="Arial" w:cs="Arial" w:eastAsia="Arial" w:hAnsi="Arial"/>
          <w:sz w:val="19"/>
          <w:szCs w:val="19"/>
          <w:color w:val="auto"/>
        </w:rPr>
      </w:pPr>
      <w:r>
        <w:rPr>
          <w:rFonts w:ascii="Arial" w:cs="Arial" w:eastAsia="Arial" w:hAnsi="Arial"/>
          <w:sz w:val="22"/>
          <w:szCs w:val="22"/>
          <w:color w:val="auto"/>
        </w:rPr>
        <w:t>(2).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88" w:lineRule="exact"/>
        <w:rPr>
          <w:rFonts w:ascii="Arial" w:cs="Arial" w:eastAsia="Arial" w:hAnsi="Arial"/>
          <w:sz w:val="19"/>
          <w:szCs w:val="19"/>
          <w:color w:val="auto"/>
        </w:rPr>
      </w:pPr>
    </w:p>
    <w:p>
      <w:pPr>
        <w:jc w:val="both"/>
        <w:ind w:left="660" w:firstLine="1288"/>
        <w:spacing w:after="0"/>
        <w:tabs>
          <w:tab w:leader="none" w:pos="2503" w:val="left"/>
        </w:tabs>
        <w:numPr>
          <w:ilvl w:val="1"/>
          <w:numId w:val="105"/>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299"/>
        <w:spacing w:after="0" w:line="289" w:lineRule="auto"/>
        <w:tabs>
          <w:tab w:leader="none" w:pos="2053" w:val="left"/>
        </w:tabs>
        <w:numPr>
          <w:ilvl w:val="0"/>
          <w:numId w:val="10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color w:val="auto"/>
        </w:rPr>
        <w:t>. The issuance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36" w:lineRule="exact"/>
        <w:rPr>
          <w:rFonts w:ascii="Arial" w:cs="Arial" w:eastAsia="Arial" w:hAnsi="Arial"/>
          <w:sz w:val="19"/>
          <w:szCs w:val="19"/>
          <w:color w:val="auto"/>
        </w:rPr>
      </w:pPr>
    </w:p>
    <w:p>
      <w:pPr>
        <w:jc w:val="both"/>
        <w:ind w:firstLine="1299"/>
        <w:spacing w:after="0" w:line="273" w:lineRule="auto"/>
        <w:tabs>
          <w:tab w:leader="none" w:pos="2134" w:val="left"/>
        </w:tabs>
        <w:numPr>
          <w:ilvl w:val="0"/>
          <w:numId w:val="105"/>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14" w:name="page115"/>
    <w:bookmarkEnd w:id="114"/>
    <w:p>
      <w:pPr>
        <w:jc w:val="both"/>
        <w:ind w:firstLine="1299"/>
        <w:spacing w:after="0" w:line="249" w:lineRule="auto"/>
        <w:tabs>
          <w:tab w:leader="none" w:pos="2031" w:val="left"/>
        </w:tabs>
        <w:numPr>
          <w:ilvl w:val="0"/>
          <w:numId w:val="106"/>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 required to be given or delivered to the Corporation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this 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71" w:lineRule="exact"/>
        <w:rPr>
          <w:rFonts w:ascii="Arial" w:cs="Arial" w:eastAsia="Arial" w:hAnsi="Arial"/>
          <w:sz w:val="21"/>
          <w:szCs w:val="21"/>
          <w:color w:val="auto"/>
        </w:rPr>
      </w:pPr>
    </w:p>
    <w:p>
      <w:pPr>
        <w:jc w:val="both"/>
        <w:ind w:firstLine="1299"/>
        <w:spacing w:after="0" w:line="237" w:lineRule="auto"/>
        <w:tabs>
          <w:tab w:leader="none" w:pos="2242"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Except to the extent otherwise provided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82" w:lineRule="exact"/>
        <w:rPr>
          <w:rFonts w:ascii="Arial" w:cs="Arial" w:eastAsia="Arial" w:hAnsi="Arial"/>
          <w:sz w:val="22"/>
          <w:szCs w:val="22"/>
          <w:color w:val="auto"/>
        </w:rPr>
      </w:pPr>
    </w:p>
    <w:p>
      <w:pPr>
        <w:ind w:left="1940" w:hanging="641"/>
        <w:spacing w:after="0"/>
        <w:tabs>
          <w:tab w:leader="none" w:pos="1940"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8"/>
        <w:spacing w:after="0" w:line="236" w:lineRule="auto"/>
        <w:tabs>
          <w:tab w:leader="none" w:pos="2727"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7" w:lineRule="exact"/>
        <w:rPr>
          <w:rFonts w:ascii="Arial" w:cs="Arial" w:eastAsia="Arial" w:hAnsi="Arial"/>
          <w:sz w:val="22"/>
          <w:szCs w:val="22"/>
          <w:color w:val="auto"/>
        </w:rPr>
      </w:pPr>
    </w:p>
    <w:p>
      <w:pPr>
        <w:jc w:val="both"/>
        <w:ind w:firstLine="1948"/>
        <w:spacing w:after="0" w:line="282" w:lineRule="auto"/>
        <w:tabs>
          <w:tab w:leader="none" w:pos="2733" w:val="left"/>
        </w:tabs>
        <w:numPr>
          <w:ilvl w:val="1"/>
          <w:numId w:val="106"/>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147" w:lineRule="exact"/>
        <w:rPr>
          <w:rFonts w:ascii="Arial" w:cs="Arial" w:eastAsia="Arial" w:hAnsi="Arial"/>
          <w:sz w:val="19"/>
          <w:szCs w:val="19"/>
          <w:color w:val="auto"/>
        </w:rPr>
      </w:pPr>
    </w:p>
    <w:p>
      <w:pPr>
        <w:jc w:val="both"/>
        <w:ind w:firstLine="1948"/>
        <w:spacing w:after="0" w:line="297" w:lineRule="auto"/>
        <w:tabs>
          <w:tab w:leader="none" w:pos="2857" w:val="left"/>
        </w:tabs>
        <w:numPr>
          <w:ilvl w:val="1"/>
          <w:numId w:val="106"/>
        </w:numPr>
        <w:rPr>
          <w:rFonts w:ascii="Arial" w:cs="Arial" w:eastAsia="Arial" w:hAnsi="Arial"/>
          <w:sz w:val="19"/>
          <w:szCs w:val="19"/>
          <w:color w:val="auto"/>
        </w:rPr>
      </w:pPr>
      <w:r>
        <w:rPr>
          <w:rFonts w:ascii="Arial" w:cs="Arial" w:eastAsia="Arial" w:hAnsi="Arial"/>
          <w:sz w:val="19"/>
          <w:szCs w:val="19"/>
          <w:color w:val="auto"/>
        </w:rPr>
        <w:t>Participant hereby acknowledges the receipt of a copy of the official prospectus for the Plan. A copy of the Plan is available upon request made to the Human Resources Department at the Corporation’s principal offices (1411 Sand Island Parkway, Honolulu, Hawaii 96819).</w:t>
      </w:r>
    </w:p>
    <w:p>
      <w:pPr>
        <w:spacing w:after="0" w:line="128" w:lineRule="exact"/>
        <w:rPr>
          <w:rFonts w:ascii="Arial" w:cs="Arial" w:eastAsia="Arial" w:hAnsi="Arial"/>
          <w:sz w:val="19"/>
          <w:szCs w:val="19"/>
          <w:color w:val="auto"/>
        </w:rPr>
      </w:pPr>
    </w:p>
    <w:p>
      <w:pPr>
        <w:jc w:val="both"/>
        <w:ind w:firstLine="1299"/>
        <w:spacing w:after="0" w:line="243" w:lineRule="auto"/>
        <w:tabs>
          <w:tab w:leader="none" w:pos="2228"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interpretation, performance and enforcement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laws of the State of Hawaii without regard to that State’s conflict-of-laws rules.</w:t>
      </w:r>
    </w:p>
    <w:p>
      <w:pPr>
        <w:spacing w:after="0" w:line="176" w:lineRule="exact"/>
        <w:rPr>
          <w:rFonts w:ascii="Arial" w:cs="Arial" w:eastAsia="Arial" w:hAnsi="Arial"/>
          <w:sz w:val="22"/>
          <w:szCs w:val="22"/>
          <w:color w:val="auto"/>
        </w:rPr>
      </w:pPr>
    </w:p>
    <w:p>
      <w:pPr>
        <w:ind w:left="1940" w:hanging="641"/>
        <w:spacing w:after="0"/>
        <w:tabs>
          <w:tab w:leader="none" w:pos="1940" w:val="left"/>
        </w:tabs>
        <w:numPr>
          <w:ilvl w:val="0"/>
          <w:numId w:val="106"/>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48"/>
        <w:spacing w:after="0" w:line="247" w:lineRule="auto"/>
        <w:tabs>
          <w:tab w:leader="none" w:pos="2893" w:val="left"/>
        </w:tabs>
        <w:numPr>
          <w:ilvl w:val="1"/>
          <w:numId w:val="106"/>
        </w:numPr>
        <w:rPr>
          <w:rFonts w:ascii="Arial" w:cs="Arial" w:eastAsia="Arial" w:hAnsi="Arial"/>
          <w:sz w:val="21"/>
          <w:szCs w:val="21"/>
          <w:color w:val="auto"/>
        </w:rPr>
      </w:pPr>
      <w:r>
        <w:rPr>
          <w:rFonts w:ascii="Arial" w:cs="Arial" w:eastAsia="Arial" w:hAnsi="Arial"/>
          <w:sz w:val="21"/>
          <w:szCs w:val="21"/>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5" w:name="page116"/>
    <w:bookmarkEnd w:id="115"/>
    <w:p>
      <w:pPr>
        <w:jc w:val="both"/>
        <w:spacing w:after="0" w:line="270" w:lineRule="auto"/>
        <w:rPr>
          <w:sz w:val="20"/>
          <w:szCs w:val="20"/>
          <w:color w:val="auto"/>
        </w:rPr>
      </w:pPr>
      <w:r>
        <w:rPr>
          <w:rFonts w:ascii="Arial" w:cs="Arial" w:eastAsia="Arial" w:hAnsi="Arial"/>
          <w:sz w:val="19"/>
          <w:szCs w:val="19"/>
          <w:color w:val="auto"/>
        </w:rPr>
        <w:t>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65" w:lineRule="exact"/>
        <w:rPr>
          <w:sz w:val="20"/>
          <w:szCs w:val="20"/>
          <w:color w:val="auto"/>
        </w:rPr>
      </w:pPr>
    </w:p>
    <w:p>
      <w:pPr>
        <w:jc w:val="both"/>
        <w:ind w:firstLine="1948"/>
        <w:spacing w:after="0"/>
        <w:tabs>
          <w:tab w:leader="none" w:pos="2771" w:val="left"/>
        </w:tabs>
        <w:numPr>
          <w:ilvl w:val="1"/>
          <w:numId w:val="107"/>
        </w:numPr>
        <w:rPr>
          <w:rFonts w:ascii="Arial" w:cs="Arial" w:eastAsia="Arial" w:hAnsi="Arial"/>
          <w:sz w:val="22"/>
          <w:szCs w:val="22"/>
          <w:color w:val="auto"/>
        </w:rPr>
      </w:pPr>
      <w:r>
        <w:rPr>
          <w:rFonts w:ascii="Arial" w:cs="Arial" w:eastAsia="Arial" w:hAnsi="Arial"/>
          <w:sz w:val="22"/>
          <w:szCs w:val="22"/>
          <w:color w:val="auto"/>
        </w:rPr>
        <w:t>Each party fully understands and agrees that they are giving up certain rights otherwise afforded to them by civil court actions, including but not limited to the right to a jury trial.</w:t>
      </w:r>
    </w:p>
    <w:p>
      <w:pPr>
        <w:spacing w:after="0" w:line="180" w:lineRule="exact"/>
        <w:rPr>
          <w:rFonts w:ascii="Arial" w:cs="Arial" w:eastAsia="Arial" w:hAnsi="Arial"/>
          <w:sz w:val="22"/>
          <w:szCs w:val="22"/>
          <w:color w:val="auto"/>
        </w:rPr>
      </w:pPr>
    </w:p>
    <w:p>
      <w:pPr>
        <w:jc w:val="both"/>
        <w:ind w:firstLine="1299"/>
        <w:spacing w:after="0" w:line="271" w:lineRule="auto"/>
        <w:tabs>
          <w:tab w:leader="none" w:pos="2012" w:val="left"/>
        </w:tabs>
        <w:numPr>
          <w:ilvl w:val="0"/>
          <w:numId w:val="108"/>
        </w:numPr>
        <w:rPr>
          <w:rFonts w:ascii="Arial" w:cs="Arial" w:eastAsia="Arial" w:hAnsi="Arial"/>
          <w:sz w:val="19"/>
          <w:szCs w:val="19"/>
          <w:color w:val="auto"/>
        </w:rPr>
      </w:pPr>
      <w:r>
        <w:rPr>
          <w:rFonts w:ascii="Arial" w:cs="Arial" w:eastAsia="Arial" w:hAnsi="Arial"/>
          <w:sz w:val="19"/>
          <w:szCs w:val="19"/>
          <w:b w:val="1"/>
          <w:bCs w:val="1"/>
          <w:u w:val="single" w:color="auto"/>
          <w:color w:val="auto"/>
        </w:rPr>
        <w:t>Coverage under Recoupment Policy</w:t>
      </w:r>
      <w:r>
        <w:rPr>
          <w:rFonts w:ascii="Arial" w:cs="Arial" w:eastAsia="Arial" w:hAnsi="Arial"/>
          <w:sz w:val="19"/>
          <w:szCs w:val="19"/>
          <w:color w:val="auto"/>
        </w:rPr>
        <w:t>. If Participant is on the Award Date, or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thereafter becomes, either an executive officer of the Corporation subject to Section 16 of the 1934 Act, or a participant in the Corporation’s Performance Improvement Incentive Plan, then Participant shall be subject to the Matson, Inc. Policy Regarding Recoupment of Certain Compensation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w:t>
      </w:r>
      <w:r>
        <w:rPr>
          <w:rFonts w:ascii="Arial" w:cs="Arial" w:eastAsia="Arial" w:hAnsi="Arial"/>
          <w:sz w:val="19"/>
          <w:szCs w:val="19"/>
          <w:b w:val="1"/>
          <w:bCs w:val="1"/>
          <w:i w:val="1"/>
          <w:iCs w:val="1"/>
          <w:color w:val="auto"/>
        </w:rPr>
        <w:t>incentive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compensation</w:t>
      </w:r>
      <w:r>
        <w:rPr>
          <w:rFonts w:ascii="Arial" w:cs="Arial" w:eastAsia="Arial" w:hAnsi="Arial"/>
          <w:sz w:val="19"/>
          <w:szCs w:val="19"/>
          <w:color w:val="auto"/>
        </w:rPr>
        <w:t>” means all cash or equity-based award (e.g., stock award, restricted stock unit award,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1940" w:hanging="641"/>
        <w:spacing w:after="0"/>
        <w:tabs>
          <w:tab w:leader="none" w:pos="1940" w:val="left"/>
        </w:tabs>
        <w:numPr>
          <w:ilvl w:val="0"/>
          <w:numId w:val="108"/>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3100" w:hanging="1152"/>
        <w:spacing w:after="0"/>
        <w:tabs>
          <w:tab w:leader="none" w:pos="310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Participant hereby explicitly and unambiguously consents to the</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9"/>
          <w:szCs w:val="19"/>
          <w:color w:val="auto"/>
        </w:rPr>
        <w:t>collection, use and transfer, in electronic or other form, of Participant’s personal data as described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16" w:name="page117"/>
    <w:bookmarkEnd w:id="116"/>
    <w:p>
      <w:pPr>
        <w:spacing w:after="0" w:line="251" w:lineRule="auto"/>
        <w:rPr>
          <w:sz w:val="20"/>
          <w:szCs w:val="20"/>
          <w:color w:val="auto"/>
        </w:rPr>
      </w:pPr>
      <w:r>
        <w:rPr>
          <w:rFonts w:ascii="Arial" w:cs="Arial" w:eastAsia="Arial" w:hAnsi="Arial"/>
          <w:sz w:val="22"/>
          <w:szCs w:val="22"/>
          <w:color w:val="auto"/>
        </w:rPr>
        <w:t>in this Agreement by the Corporation for the exclusive purpose of implementing, administering and managing Participant’s participation in the Plan.</w:t>
      </w:r>
    </w:p>
    <w:p>
      <w:pPr>
        <w:spacing w:after="0" w:line="174" w:lineRule="exact"/>
        <w:rPr>
          <w:sz w:val="20"/>
          <w:szCs w:val="20"/>
          <w:color w:val="auto"/>
        </w:rPr>
      </w:pPr>
    </w:p>
    <w:p>
      <w:pPr>
        <w:jc w:val="both"/>
        <w:ind w:firstLine="1948"/>
        <w:spacing w:after="0" w:line="271" w:lineRule="auto"/>
        <w:tabs>
          <w:tab w:leader="none" w:pos="2982" w:val="left"/>
        </w:tabs>
        <w:numPr>
          <w:ilvl w:val="1"/>
          <w:numId w:val="109"/>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398" w:lineRule="exact"/>
        <w:rPr>
          <w:rFonts w:ascii="Arial" w:cs="Arial" w:eastAsia="Arial" w:hAnsi="Arial"/>
          <w:sz w:val="19"/>
          <w:szCs w:val="19"/>
          <w:color w:val="auto"/>
        </w:rPr>
      </w:pPr>
    </w:p>
    <w:p>
      <w:pPr>
        <w:jc w:val="both"/>
        <w:ind w:firstLine="1299"/>
        <w:spacing w:after="0" w:line="239" w:lineRule="auto"/>
        <w:tabs>
          <w:tab w:leader="none" w:pos="1985"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w:t>
      </w:r>
      <w:r>
        <w:rPr>
          <w:rFonts w:ascii="Arial" w:cs="Arial" w:eastAsia="Arial" w:hAnsi="Arial"/>
          <w:sz w:val="22"/>
          <w:szCs w:val="22"/>
          <w:b w:val="1"/>
          <w:bCs w:val="1"/>
          <w:color w:val="auto"/>
        </w:rPr>
        <w:t xml:space="preserve"> </w:t>
      </w:r>
      <w:r>
        <w:rPr>
          <w:rFonts w:ascii="Arial" w:cs="Arial" w:eastAsia="Arial" w:hAnsi="Arial"/>
          <w:sz w:val="22"/>
          <w:szCs w:val="22"/>
          <w:color w:val="auto"/>
        </w:rPr>
        <w:t>by 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299"/>
        <w:spacing w:after="0" w:line="301" w:lineRule="auto"/>
        <w:tabs>
          <w:tab w:leader="none" w:pos="2093" w:val="left"/>
        </w:tabs>
        <w:numPr>
          <w:ilvl w:val="0"/>
          <w:numId w:val="110"/>
        </w:numPr>
        <w:rPr>
          <w:rFonts w:ascii="Arial" w:cs="Arial" w:eastAsia="Arial" w:hAnsi="Arial"/>
          <w:sz w:val="19"/>
          <w:szCs w:val="19"/>
          <w:color w:val="auto"/>
        </w:rPr>
      </w:pPr>
      <w:r>
        <w:rPr>
          <w:rFonts w:ascii="Arial" w:cs="Arial" w:eastAsia="Arial" w:hAnsi="Arial"/>
          <w:sz w:val="19"/>
          <w:szCs w:val="19"/>
          <w:b w:val="1"/>
          <w:bCs w:val="1"/>
          <w:u w:val="single" w:color="auto"/>
          <w:color w:val="auto"/>
        </w:rPr>
        <w:t>Other Agreements Superseded</w:t>
      </w:r>
      <w:r>
        <w:rPr>
          <w:rFonts w:ascii="Arial" w:cs="Arial" w:eastAsia="Arial" w:hAnsi="Arial"/>
          <w:sz w:val="19"/>
          <w:szCs w:val="19"/>
          <w:color w:val="auto"/>
        </w:rPr>
        <w:t>. The Award Notice, this Agreement,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constitute the entire understanding between Participant and the Corporation regarding the Award. Any prior agreements, commitments or negotiations concerning the Award are superseded.</w:t>
      </w:r>
    </w:p>
    <w:p>
      <w:pPr>
        <w:spacing w:after="0" w:line="123" w:lineRule="exact"/>
        <w:rPr>
          <w:rFonts w:ascii="Arial" w:cs="Arial" w:eastAsia="Arial" w:hAnsi="Arial"/>
          <w:sz w:val="19"/>
          <w:szCs w:val="19"/>
          <w:color w:val="auto"/>
        </w:rPr>
      </w:pPr>
    </w:p>
    <w:p>
      <w:pPr>
        <w:jc w:val="both"/>
        <w:ind w:firstLine="1299"/>
        <w:spacing w:after="0" w:line="239" w:lineRule="auto"/>
        <w:tabs>
          <w:tab w:leader="none" w:pos="2066" w:val="left"/>
        </w:tabs>
        <w:numPr>
          <w:ilvl w:val="0"/>
          <w:numId w:val="110"/>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Plan Document</w:t>
      </w:r>
      <w:r>
        <w:rPr>
          <w:rFonts w:ascii="Arial" w:cs="Arial" w:eastAsia="Arial" w:hAnsi="Arial"/>
          <w:sz w:val="22"/>
          <w:szCs w:val="22"/>
          <w:color w:val="auto"/>
        </w:rPr>
        <w:t>. The Award is subject to all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17" w:name="page118"/>
    <w:bookmarkEnd w:id="117"/>
    <w:p>
      <w:pPr>
        <w:ind w:left="3860"/>
        <w:spacing w:after="0"/>
        <w:rPr>
          <w:sz w:val="20"/>
          <w:szCs w:val="20"/>
          <w:color w:val="auto"/>
        </w:rPr>
      </w:pPr>
      <w:r>
        <w:rPr>
          <w:rFonts w:ascii="Arial" w:cs="Arial" w:eastAsia="Arial" w:hAnsi="Arial"/>
          <w:sz w:val="22"/>
          <w:szCs w:val="22"/>
          <w:b w:val="1"/>
          <w:bCs w:val="1"/>
          <w:color w:val="auto"/>
        </w:rPr>
        <w:t>APPENDIX A</w:t>
      </w:r>
    </w:p>
    <w:p>
      <w:pPr>
        <w:spacing w:after="0" w:line="206" w:lineRule="exact"/>
        <w:rPr>
          <w:sz w:val="20"/>
          <w:szCs w:val="20"/>
          <w:color w:val="auto"/>
        </w:rPr>
      </w:pPr>
    </w:p>
    <w:p>
      <w:pPr>
        <w:ind w:left="38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20" w:hanging="641"/>
        <w:spacing w:after="0"/>
        <w:tabs>
          <w:tab w:leader="none" w:pos="1920" w:val="left"/>
        </w:tabs>
        <w:numPr>
          <w:ilvl w:val="0"/>
          <w:numId w:val="111"/>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206" w:lineRule="exact"/>
        <w:rPr>
          <w:rFonts w:ascii="Arial" w:cs="Arial" w:eastAsia="Arial" w:hAnsi="Arial"/>
          <w:sz w:val="22"/>
          <w:szCs w:val="22"/>
          <w:color w:val="auto"/>
        </w:rPr>
      </w:pPr>
    </w:p>
    <w:p>
      <w:pPr>
        <w:ind w:left="-20" w:firstLine="1299"/>
        <w:spacing w:after="0" w:line="256" w:lineRule="auto"/>
        <w:tabs>
          <w:tab w:leader="none" w:pos="1907" w:val="left"/>
        </w:tabs>
        <w:numPr>
          <w:ilvl w:val="0"/>
          <w:numId w:val="111"/>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terms of this Agreement.</w:t>
      </w:r>
    </w:p>
    <w:p>
      <w:pPr>
        <w:spacing w:after="0" w:line="162" w:lineRule="exact"/>
        <w:rPr>
          <w:rFonts w:ascii="Arial" w:cs="Arial" w:eastAsia="Arial" w:hAnsi="Arial"/>
          <w:sz w:val="22"/>
          <w:szCs w:val="22"/>
          <w:color w:val="auto"/>
        </w:rPr>
      </w:pPr>
    </w:p>
    <w:p>
      <w:pPr>
        <w:ind w:left="-20" w:firstLine="1299"/>
        <w:spacing w:after="0" w:line="280" w:lineRule="auto"/>
        <w:tabs>
          <w:tab w:leader="none" w:pos="2231" w:val="left"/>
        </w:tabs>
        <w:numPr>
          <w:ilvl w:val="0"/>
          <w:numId w:val="111"/>
        </w:numPr>
        <w:rPr>
          <w:rFonts w:ascii="Arial" w:cs="Arial" w:eastAsia="Arial" w:hAnsi="Arial"/>
          <w:sz w:val="21"/>
          <w:szCs w:val="21"/>
          <w:color w:val="auto"/>
        </w:rPr>
      </w:pPr>
      <w:r>
        <w:rPr>
          <w:rFonts w:ascii="Arial" w:cs="Arial" w:eastAsia="Arial" w:hAnsi="Arial"/>
          <w:sz w:val="21"/>
          <w:szCs w:val="21"/>
          <w:b w:val="1"/>
          <w:bCs w:val="1"/>
          <w:u w:val="single" w:color="auto"/>
          <w:color w:val="auto"/>
        </w:rPr>
        <w:t>Award Date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the restricted stock units are awarded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pursuant to the Agreement and shall be the date specified in the Award Notice.</w:t>
      </w:r>
    </w:p>
    <w:p>
      <w:pPr>
        <w:spacing w:after="0" w:line="138" w:lineRule="exact"/>
        <w:rPr>
          <w:rFonts w:ascii="Arial" w:cs="Arial" w:eastAsia="Arial" w:hAnsi="Arial"/>
          <w:sz w:val="21"/>
          <w:szCs w:val="21"/>
          <w:color w:val="auto"/>
        </w:rPr>
      </w:pPr>
    </w:p>
    <w:p>
      <w:pPr>
        <w:jc w:val="both"/>
        <w:ind w:left="-20" w:firstLine="1299"/>
        <w:spacing w:after="0" w:line="301" w:lineRule="auto"/>
        <w:tabs>
          <w:tab w:leader="none" w:pos="2027" w:val="left"/>
        </w:tabs>
        <w:numPr>
          <w:ilvl w:val="0"/>
          <w:numId w:val="111"/>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Notice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Notice of Award of Time-Based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Units delivered to Participant in which there is set forth the basic terms of the restricted stock units subject to this Agreement, including (without limitation) the applicable vesting schedule for those units.</w:t>
      </w:r>
    </w:p>
    <w:p>
      <w:pPr>
        <w:spacing w:after="0" w:line="123" w:lineRule="exact"/>
        <w:rPr>
          <w:rFonts w:ascii="Arial" w:cs="Arial" w:eastAsia="Arial" w:hAnsi="Arial"/>
          <w:sz w:val="19"/>
          <w:szCs w:val="19"/>
          <w:color w:val="auto"/>
        </w:rPr>
      </w:pPr>
    </w:p>
    <w:p>
      <w:pPr>
        <w:jc w:val="both"/>
        <w:ind w:left="-20" w:firstLine="1299"/>
        <w:spacing w:after="0" w:line="275" w:lineRule="auto"/>
        <w:tabs>
          <w:tab w:leader="none" w:pos="1935" w:val="left"/>
        </w:tabs>
        <w:numPr>
          <w:ilvl w:val="0"/>
          <w:numId w:val="111"/>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in the event Participant is, at the time the Corporation (or any Parent or Subsidiary) purports to terminate Participant’s Employee status for Cause, a party to a Change in Control Benefits Agreement applicable to the Award, the term </w:t>
      </w:r>
      <w:r>
        <w:rPr>
          <w:rFonts w:ascii="Arial" w:cs="Arial" w:eastAsia="Arial" w:hAnsi="Arial"/>
          <w:sz w:val="19"/>
          <w:szCs w:val="19"/>
          <w:b w:val="1"/>
          <w:bCs w:val="1"/>
          <w:color w:val="auto"/>
        </w:rPr>
        <w:t>Cause</w:t>
      </w:r>
      <w:r>
        <w:rPr>
          <w:rFonts w:ascii="Arial" w:cs="Arial" w:eastAsia="Arial" w:hAnsi="Arial"/>
          <w:sz w:val="19"/>
          <w:szCs w:val="19"/>
          <w:color w:val="auto"/>
        </w:rPr>
        <w:t xml:space="preserv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50" w:lineRule="exact"/>
        <w:rPr>
          <w:rFonts w:ascii="Arial" w:cs="Arial" w:eastAsia="Arial" w:hAnsi="Arial"/>
          <w:sz w:val="19"/>
          <w:szCs w:val="19"/>
          <w:color w:val="auto"/>
        </w:rPr>
      </w:pPr>
    </w:p>
    <w:p>
      <w:pPr>
        <w:jc w:val="both"/>
        <w:ind w:left="-20" w:firstLine="1299"/>
        <w:spacing w:after="0" w:line="239" w:lineRule="auto"/>
        <w:tabs>
          <w:tab w:leader="none" w:pos="2163" w:val="left"/>
        </w:tabs>
        <w:numPr>
          <w:ilvl w:val="0"/>
          <w:numId w:val="111"/>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in the event Participant is a party to a Change in Control Benefits Agreement applicable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Award, the term Change in Control shall have the meaning ascribed to that term in such Change in Control Benefits Agreement.</w:t>
      </w:r>
    </w:p>
    <w:p>
      <w:pPr>
        <w:spacing w:after="0" w:line="180" w:lineRule="exact"/>
        <w:rPr>
          <w:rFonts w:ascii="Arial" w:cs="Arial" w:eastAsia="Arial" w:hAnsi="Arial"/>
          <w:sz w:val="22"/>
          <w:szCs w:val="22"/>
          <w:color w:val="auto"/>
        </w:rPr>
      </w:pPr>
    </w:p>
    <w:p>
      <w:pPr>
        <w:jc w:val="both"/>
        <w:ind w:left="-20" w:firstLine="1299"/>
        <w:spacing w:after="0" w:line="249" w:lineRule="auto"/>
        <w:tabs>
          <w:tab w:leader="none" w:pos="2135" w:val="left"/>
        </w:tabs>
        <w:numPr>
          <w:ilvl w:val="0"/>
          <w:numId w:val="111"/>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Benefits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separate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71" w:lineRule="exact"/>
        <w:rPr>
          <w:rFonts w:ascii="Arial" w:cs="Arial" w:eastAsia="Arial" w:hAnsi="Arial"/>
          <w:sz w:val="21"/>
          <w:szCs w:val="21"/>
          <w:color w:val="auto"/>
        </w:rPr>
      </w:pPr>
    </w:p>
    <w:p>
      <w:pPr>
        <w:jc w:val="both"/>
        <w:ind w:left="-20" w:firstLine="1299"/>
        <w:spacing w:after="0" w:line="261" w:lineRule="auto"/>
        <w:tabs>
          <w:tab w:leader="none" w:pos="2135" w:val="left"/>
        </w:tabs>
        <w:numPr>
          <w:ilvl w:val="0"/>
          <w:numId w:val="111"/>
        </w:numPr>
        <w:rPr>
          <w:rFonts w:ascii="Arial" w:cs="Arial" w:eastAsia="Arial" w:hAnsi="Arial"/>
          <w:sz w:val="21"/>
          <w:szCs w:val="21"/>
          <w:color w:val="auto"/>
        </w:rPr>
      </w:pPr>
      <w:r>
        <w:rPr>
          <w:rFonts w:ascii="Arial" w:cs="Arial" w:eastAsia="Arial" w:hAnsi="Arial"/>
          <w:sz w:val="21"/>
          <w:szCs w:val="21"/>
          <w:b w:val="1"/>
          <w:bCs w:val="1"/>
          <w:u w:val="single" w:color="auto"/>
          <w:color w:val="auto"/>
        </w:rPr>
        <w:t>Early Retirement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Participant’s retirement from Service,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prior approval of the Corporation (or the Parent or Subsidiary employing Participant), on or after the attainment of age fifty-five (55) and the completion of at least five (5)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340360</wp:posOffset>
            </wp:positionV>
            <wp:extent cx="575437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55" w:right="1419" w:bottom="1440" w:gutter="0" w:footer="0" w:header="0"/>
        </w:sectPr>
      </w:pPr>
    </w:p>
    <w:bookmarkStart w:id="118" w:name="page119"/>
    <w:bookmarkEnd w:id="118"/>
    <w:p>
      <w:pPr>
        <w:jc w:val="both"/>
        <w:ind w:firstLine="1299"/>
        <w:spacing w:after="0" w:line="289" w:lineRule="auto"/>
        <w:tabs>
          <w:tab w:leader="none" w:pos="1936" w:val="left"/>
        </w:tabs>
        <w:numPr>
          <w:ilvl w:val="0"/>
          <w:numId w:val="112"/>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event Participant is at the time of his or her cessation of Employee status a party to a Change in Control Benefits Agreement applicable to the Award evidenced by this Agreement, the term </w:t>
      </w:r>
      <w:r>
        <w:rPr>
          <w:rFonts w:ascii="Arial" w:cs="Arial" w:eastAsia="Arial" w:hAnsi="Arial"/>
          <w:sz w:val="19"/>
          <w:szCs w:val="19"/>
          <w:b w:val="1"/>
          <w:bCs w:val="1"/>
          <w:color w:val="auto"/>
        </w:rPr>
        <w:t>Good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Reason </w:t>
      </w:r>
      <w:r>
        <w:rPr>
          <w:rFonts w:ascii="Arial" w:cs="Arial" w:eastAsia="Arial" w:hAnsi="Arial"/>
          <w:sz w:val="19"/>
          <w:szCs w:val="19"/>
          <w:color w:val="auto"/>
        </w:rPr>
        <w:t>shall have the meaning ascribed to that term in such Change in Control Benefits Agreement.</w:t>
      </w:r>
    </w:p>
    <w:p>
      <w:pPr>
        <w:spacing w:after="0" w:line="136" w:lineRule="exact"/>
        <w:rPr>
          <w:rFonts w:ascii="Arial" w:cs="Arial" w:eastAsia="Arial" w:hAnsi="Arial"/>
          <w:sz w:val="19"/>
          <w:szCs w:val="19"/>
          <w:color w:val="auto"/>
        </w:rPr>
      </w:pPr>
    </w:p>
    <w:p>
      <w:pPr>
        <w:ind w:firstLine="1299"/>
        <w:spacing w:after="0" w:line="256" w:lineRule="auto"/>
        <w:tabs>
          <w:tab w:leader="none" w:pos="1948" w:val="left"/>
        </w:tabs>
        <w:numPr>
          <w:ilvl w:val="0"/>
          <w:numId w:val="112"/>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at or after the attainment of age sixty-five (65).</w:t>
      </w:r>
    </w:p>
    <w:p>
      <w:pPr>
        <w:spacing w:after="0" w:line="162" w:lineRule="exact"/>
        <w:rPr>
          <w:rFonts w:ascii="Arial" w:cs="Arial" w:eastAsia="Arial" w:hAnsi="Arial"/>
          <w:sz w:val="22"/>
          <w:szCs w:val="22"/>
          <w:color w:val="auto"/>
        </w:rPr>
      </w:pPr>
    </w:p>
    <w:p>
      <w:pPr>
        <w:ind w:left="2020" w:hanging="721"/>
        <w:spacing w:after="0"/>
        <w:tabs>
          <w:tab w:leader="none" w:pos="2020" w:val="left"/>
        </w:tabs>
        <w:numPr>
          <w:ilvl w:val="0"/>
          <w:numId w:val="112"/>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2" w:lineRule="exact"/>
        <w:rPr>
          <w:rFonts w:ascii="Arial" w:cs="Arial" w:eastAsia="Arial" w:hAnsi="Arial"/>
          <w:sz w:val="19"/>
          <w:szCs w:val="19"/>
          <w:color w:val="auto"/>
        </w:rPr>
      </w:pPr>
    </w:p>
    <w:p>
      <w:pPr>
        <w:ind w:left="1860" w:hanging="561"/>
        <w:spacing w:after="0"/>
        <w:tabs>
          <w:tab w:leader="none" w:pos="1860" w:val="left"/>
        </w:tabs>
        <w:numPr>
          <w:ilvl w:val="0"/>
          <w:numId w:val="112"/>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rFonts w:ascii="Arial" w:cs="Arial" w:eastAsia="Arial" w:hAnsi="Arial"/>
          <w:sz w:val="22"/>
          <w:szCs w:val="22"/>
          <w:color w:val="auto"/>
        </w:rPr>
      </w:pPr>
    </w:p>
    <w:p>
      <w:pPr>
        <w:jc w:val="both"/>
        <w:ind w:firstLine="1299"/>
        <w:spacing w:after="0" w:line="273" w:lineRule="auto"/>
        <w:tabs>
          <w:tab w:leader="none" w:pos="2069" w:val="left"/>
        </w:tabs>
        <w:numPr>
          <w:ilvl w:val="0"/>
          <w:numId w:val="112"/>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on which there occurs a</w:t>
      </w:r>
      <w:r>
        <w:rPr>
          <w:rFonts w:ascii="Arial" w:cs="Arial" w:eastAsia="Arial" w:hAnsi="Arial"/>
          <w:sz w:val="19"/>
          <w:szCs w:val="19"/>
          <w:b w:val="1"/>
          <w:bCs w:val="1"/>
          <w:color w:val="auto"/>
        </w:rPr>
        <w:t xml:space="preserve"> </w:t>
      </w:r>
      <w:r>
        <w:rPr>
          <w:rFonts w:ascii="Arial" w:cs="Arial" w:eastAsia="Arial" w:hAnsi="Arial"/>
          <w:sz w:val="19"/>
          <w:szCs w:val="19"/>
          <w:color w:val="auto"/>
        </w:rPr>
        <w:t>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Treasury Regulations, or (iii) a change in the ownership of a substantial portion of the assets of the Corporation, as determined in accordance with Section 1.409A-3(i)((5)(vii) of the Treasury Regulations.</w:t>
      </w:r>
    </w:p>
    <w:p>
      <w:pPr>
        <w:spacing w:after="0" w:line="181" w:lineRule="exact"/>
        <w:rPr>
          <w:sz w:val="20"/>
          <w:szCs w:val="20"/>
          <w:color w:val="auto"/>
        </w:rPr>
      </w:pPr>
    </w:p>
    <w:p>
      <w:pPr>
        <w:jc w:val="both"/>
        <w:ind w:firstLine="1299"/>
        <w:spacing w:after="0" w:line="270" w:lineRule="auto"/>
        <w:tabs>
          <w:tab w:leader="none" w:pos="2087" w:val="left"/>
        </w:tabs>
        <w:numPr>
          <w:ilvl w:val="0"/>
          <w:numId w:val="113"/>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19" w:name="page120"/>
    <w:bookmarkEnd w:id="119"/>
    <w:p>
      <w:pPr>
        <w:jc w:val="both"/>
        <w:ind w:firstLine="1299"/>
        <w:spacing w:after="0" w:line="239" w:lineRule="auto"/>
        <w:tabs>
          <w:tab w:leader="none" w:pos="2006" w:val="left"/>
        </w:tabs>
        <w:numPr>
          <w:ilvl w:val="0"/>
          <w:numId w:val="114"/>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any Parent or Subsidiary) in the capacity of an Employee, a non-employee member of the board of directors or a consultant or independent advisor. In addition, the following provisions shall govern the determination of Participant’s period of Service:</w:t>
      </w:r>
    </w:p>
    <w:p>
      <w:pPr>
        <w:spacing w:after="0" w:line="187" w:lineRule="exact"/>
        <w:rPr>
          <w:rFonts w:ascii="Arial" w:cs="Arial" w:eastAsia="Arial" w:hAnsi="Arial"/>
          <w:sz w:val="22"/>
          <w:szCs w:val="22"/>
          <w:color w:val="auto"/>
        </w:rPr>
      </w:pPr>
    </w:p>
    <w:p>
      <w:pPr>
        <w:jc w:val="both"/>
        <w:ind w:left="660" w:firstLine="1288"/>
        <w:spacing w:after="0" w:line="238" w:lineRule="auto"/>
        <w:tabs>
          <w:tab w:leader="none" w:pos="2979" w:val="left"/>
        </w:tabs>
        <w:numPr>
          <w:ilvl w:val="1"/>
          <w:numId w:val="114"/>
        </w:numPr>
        <w:rPr>
          <w:rFonts w:ascii="Arial" w:cs="Arial" w:eastAsia="Arial" w:hAnsi="Arial"/>
          <w:sz w:val="22"/>
          <w:szCs w:val="22"/>
          <w:color w:val="auto"/>
        </w:rPr>
      </w:pPr>
      <w:r>
        <w:rPr>
          <w:rFonts w:ascii="Arial" w:cs="Arial" w:eastAsia="Arial" w:hAnsi="Arial"/>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85" w:lineRule="exact"/>
        <w:rPr>
          <w:rFonts w:ascii="Arial" w:cs="Arial" w:eastAsia="Arial" w:hAnsi="Arial"/>
          <w:sz w:val="22"/>
          <w:szCs w:val="22"/>
          <w:color w:val="auto"/>
        </w:rPr>
      </w:pPr>
    </w:p>
    <w:p>
      <w:pPr>
        <w:jc w:val="both"/>
        <w:ind w:left="660" w:firstLine="1288"/>
        <w:spacing w:after="0" w:line="235" w:lineRule="auto"/>
        <w:tabs>
          <w:tab w:leader="none" w:pos="2906" w:val="left"/>
        </w:tabs>
        <w:numPr>
          <w:ilvl w:val="1"/>
          <w:numId w:val="114"/>
        </w:numPr>
        <w:rPr>
          <w:rFonts w:ascii="Arial" w:cs="Arial" w:eastAsia="Arial" w:hAnsi="Arial"/>
          <w:sz w:val="22"/>
          <w:szCs w:val="22"/>
          <w:color w:val="auto"/>
        </w:rPr>
      </w:pPr>
      <w:r>
        <w:rPr>
          <w:rFonts w:ascii="Arial" w:cs="Arial" w:eastAsia="Arial" w:hAnsi="Arial"/>
          <w:sz w:val="22"/>
          <w:szCs w:val="22"/>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88" w:lineRule="exact"/>
        <w:rPr>
          <w:rFonts w:ascii="Arial" w:cs="Arial" w:eastAsia="Arial" w:hAnsi="Arial"/>
          <w:sz w:val="22"/>
          <w:szCs w:val="22"/>
          <w:color w:val="auto"/>
        </w:rPr>
      </w:pPr>
    </w:p>
    <w:p>
      <w:pPr>
        <w:jc w:val="both"/>
        <w:ind w:left="660" w:firstLine="1288"/>
        <w:spacing w:after="0" w:line="238" w:lineRule="auto"/>
        <w:tabs>
          <w:tab w:leader="none" w:pos="2690" w:val="left"/>
        </w:tabs>
        <w:numPr>
          <w:ilvl w:val="1"/>
          <w:numId w:val="114"/>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185" w:lineRule="exact"/>
        <w:rPr>
          <w:rFonts w:ascii="Arial" w:cs="Arial" w:eastAsia="Arial" w:hAnsi="Arial"/>
          <w:sz w:val="22"/>
          <w:szCs w:val="22"/>
          <w:color w:val="auto"/>
        </w:rPr>
      </w:pPr>
    </w:p>
    <w:p>
      <w:pPr>
        <w:jc w:val="both"/>
        <w:ind w:left="660" w:firstLine="1936"/>
        <w:spacing w:after="0" w:line="236" w:lineRule="auto"/>
        <w:tabs>
          <w:tab w:leader="none" w:pos="3439" w:val="left"/>
        </w:tabs>
        <w:numPr>
          <w:ilvl w:val="2"/>
          <w:numId w:val="114"/>
        </w:numPr>
        <w:rPr>
          <w:rFonts w:ascii="Arial" w:cs="Arial" w:eastAsia="Arial" w:hAnsi="Arial"/>
          <w:sz w:val="22"/>
          <w:szCs w:val="22"/>
          <w:color w:val="auto"/>
        </w:rPr>
      </w:pPr>
      <w:r>
        <w:rPr>
          <w:rFonts w:ascii="Arial" w:cs="Arial" w:eastAsia="Arial" w:hAnsi="Arial"/>
          <w:sz w:val="22"/>
          <w:szCs w:val="22"/>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87" w:lineRule="exact"/>
        <w:rPr>
          <w:rFonts w:ascii="Arial" w:cs="Arial" w:eastAsia="Arial" w:hAnsi="Arial"/>
          <w:sz w:val="22"/>
          <w:szCs w:val="22"/>
          <w:color w:val="auto"/>
        </w:rPr>
      </w:pPr>
    </w:p>
    <w:p>
      <w:pPr>
        <w:jc w:val="both"/>
        <w:ind w:left="660" w:firstLine="1936"/>
        <w:spacing w:after="0" w:line="274" w:lineRule="auto"/>
        <w:tabs>
          <w:tab w:leader="none" w:pos="3402" w:val="left"/>
        </w:tabs>
        <w:numPr>
          <w:ilvl w:val="2"/>
          <w:numId w:val="114"/>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58" w:lineRule="exact"/>
        <w:rPr>
          <w:rFonts w:ascii="Arial" w:cs="Arial" w:eastAsia="Arial" w:hAnsi="Arial"/>
          <w:sz w:val="19"/>
          <w:szCs w:val="19"/>
          <w:color w:val="auto"/>
        </w:rPr>
      </w:pPr>
    </w:p>
    <w:p>
      <w:pPr>
        <w:jc w:val="both"/>
        <w:ind w:left="660" w:firstLine="1936"/>
        <w:spacing w:after="0" w:line="238" w:lineRule="auto"/>
        <w:tabs>
          <w:tab w:leader="none" w:pos="3592" w:val="left"/>
        </w:tabs>
        <w:numPr>
          <w:ilvl w:val="2"/>
          <w:numId w:val="114"/>
        </w:numPr>
        <w:rPr>
          <w:rFonts w:ascii="Arial" w:cs="Arial" w:eastAsia="Arial" w:hAnsi="Arial"/>
          <w:sz w:val="22"/>
          <w:szCs w:val="22"/>
          <w:color w:val="auto"/>
        </w:rPr>
      </w:pPr>
      <w:r>
        <w:rPr>
          <w:rFonts w:ascii="Arial" w:cs="Arial" w:eastAsia="Arial" w:hAnsi="Arial"/>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575437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0" w:name="page121"/>
    <w:bookmarkEnd w:id="120"/>
    <w:p>
      <w:pPr>
        <w:jc w:val="both"/>
        <w:ind w:left="640" w:firstLine="1288"/>
        <w:spacing w:after="0" w:line="298" w:lineRule="auto"/>
        <w:tabs>
          <w:tab w:leader="none" w:pos="272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78740</wp:posOffset>
            </wp:positionV>
            <wp:extent cx="575437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b w:val="1"/>
          <w:bCs w:val="1"/>
          <w:color w:val="auto"/>
        </w:rPr>
        <w:t>Exhibit 10.67</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TIME-BASED RESTRICTED STOCK UNIT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39" w:lineRule="exact"/>
        <w:rPr>
          <w:sz w:val="20"/>
          <w:szCs w:val="20"/>
          <w:color w:val="auto"/>
        </w:rPr>
      </w:pPr>
    </w:p>
    <w:p>
      <w:pPr>
        <w:jc w:val="both"/>
        <w:ind w:firstLine="1296"/>
        <w:spacing w:after="0" w:line="235" w:lineRule="auto"/>
        <w:tabs>
          <w:tab w:leader="none" w:pos="2054" w:val="left"/>
        </w:tabs>
        <w:numPr>
          <w:ilvl w:val="0"/>
          <w:numId w:val="116"/>
        </w:numPr>
        <w:rPr>
          <w:rFonts w:ascii="Arial" w:cs="Arial" w:eastAsia="Arial" w:hAnsi="Arial"/>
          <w:sz w:val="22"/>
          <w:szCs w:val="22"/>
          <w:color w:val="auto"/>
        </w:rPr>
      </w:pPr>
      <w:r>
        <w:rPr>
          <w:rFonts w:ascii="Arial" w:cs="Arial" w:eastAsia="Arial" w:hAnsi="Arial"/>
          <w:sz w:val="22"/>
          <w:szCs w:val="22"/>
          <w:color w:val="auto"/>
        </w:rPr>
        <w:t>Matson, Inc., a Hawaii corporation (along with any subsequent corporate 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88" w:lineRule="exact"/>
        <w:rPr>
          <w:rFonts w:ascii="Arial" w:cs="Arial" w:eastAsia="Arial" w:hAnsi="Arial"/>
          <w:sz w:val="22"/>
          <w:szCs w:val="22"/>
          <w:color w:val="auto"/>
        </w:rPr>
      </w:pPr>
    </w:p>
    <w:p>
      <w:pPr>
        <w:jc w:val="both"/>
        <w:ind w:firstLine="1296"/>
        <w:spacing w:after="0" w:line="297" w:lineRule="auto"/>
        <w:tabs>
          <w:tab w:leader="none" w:pos="2112"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34" w:lineRule="exact"/>
        <w:rPr>
          <w:rFonts w:ascii="Arial" w:cs="Arial" w:eastAsia="Arial" w:hAnsi="Arial"/>
          <w:sz w:val="19"/>
          <w:szCs w:val="19"/>
          <w:color w:val="auto"/>
        </w:rPr>
      </w:pPr>
    </w:p>
    <w:p>
      <w:pPr>
        <w:ind w:firstLine="1296"/>
        <w:spacing w:after="0" w:line="251" w:lineRule="auto"/>
        <w:tabs>
          <w:tab w:leader="none" w:pos="219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6"/>
        <w:spacing w:after="0" w:line="237" w:lineRule="auto"/>
        <w:tabs>
          <w:tab w:leader="none" w:pos="2026" w:val="left"/>
        </w:tabs>
        <w:numPr>
          <w:ilvl w:val="0"/>
          <w:numId w:val="117"/>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Restricted Stock Units</w:t>
      </w:r>
      <w:r>
        <w:rPr>
          <w:rFonts w:ascii="Arial" w:cs="Arial" w:eastAsia="Arial" w:hAnsi="Arial"/>
          <w:sz w:val="22"/>
          <w:szCs w:val="22"/>
          <w:color w:val="auto"/>
        </w:rPr>
        <w:t>. The Corporation hereby awards to Participant,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Date, restricted stock units under the Plan. The number of shares of Common Stock underlying the awarded restricted stock units and the applicable service vesting requirements for those units and the underlying Shares are set forth in the Award Notice. The remaining terms and conditions governing the Award shall be as set forth in this Agreement.</w:t>
      </w:r>
    </w:p>
    <w:p>
      <w:pPr>
        <w:spacing w:after="0" w:line="182" w:lineRule="exact"/>
        <w:rPr>
          <w:rFonts w:ascii="Arial" w:cs="Arial" w:eastAsia="Arial" w:hAnsi="Arial"/>
          <w:sz w:val="22"/>
          <w:szCs w:val="22"/>
          <w:color w:val="auto"/>
        </w:rPr>
      </w:pPr>
    </w:p>
    <w:p>
      <w:pPr>
        <w:jc w:val="both"/>
        <w:ind w:firstLine="1296"/>
        <w:spacing w:after="0" w:line="245" w:lineRule="auto"/>
        <w:tabs>
          <w:tab w:leader="none" w:pos="2066" w:val="left"/>
        </w:tabs>
        <w:numPr>
          <w:ilvl w:val="0"/>
          <w:numId w:val="117"/>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Limited Transferability</w:t>
      </w:r>
      <w:r>
        <w:rPr>
          <w:rFonts w:ascii="Arial" w:cs="Arial" w:eastAsia="Arial" w:hAnsi="Arial"/>
          <w:sz w:val="21"/>
          <w:szCs w:val="21"/>
          <w:color w:val="auto"/>
        </w:rPr>
        <w:t>. Prior to the actual issuance of the Shares which vest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 may not transfer any interest in the restricted stock units subject to the Award or the underlying Shares or pledge or otherwise hedge the sale of those units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645160</wp:posOffset>
            </wp:positionV>
            <wp:extent cx="638873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22" w:name="page123"/>
    <w:bookmarkEnd w:id="122"/>
    <w:p>
      <w:pPr>
        <w:ind w:left="1940" w:hanging="644"/>
        <w:spacing w:after="0"/>
        <w:tabs>
          <w:tab w:leader="none" w:pos="1940"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Cessation of Service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36" w:lineRule="auto"/>
        <w:tabs>
          <w:tab w:leader="none" w:pos="2802" w:val="left"/>
        </w:tabs>
        <w:numPr>
          <w:ilvl w:val="1"/>
          <w:numId w:val="118"/>
        </w:numPr>
        <w:rPr>
          <w:rFonts w:ascii="Arial" w:cs="Arial" w:eastAsia="Arial" w:hAnsi="Arial"/>
          <w:sz w:val="22"/>
          <w:szCs w:val="22"/>
          <w:color w:val="auto"/>
        </w:rPr>
      </w:pPr>
      <w:r>
        <w:rPr>
          <w:rFonts w:ascii="Arial" w:cs="Arial" w:eastAsia="Arial" w:hAnsi="Arial"/>
          <w:sz w:val="22"/>
          <w:szCs w:val="22"/>
          <w:color w:val="auto"/>
        </w:rPr>
        <w:t>Except to the extent otherwise provided in this Paragraph 3 or Paragraph 5 below, should Participant cease Service for any reason prior to vesting in one or more Shares subject to this Award, then the Award shall be automatically cancelled with respect to those unvested Shares, and the number of restricted stock units shall be reduced accordingly. Participant shall thereupon cease to have any right or entitlement to receive any Shares under those cancelled units.</w:t>
      </w:r>
    </w:p>
    <w:p>
      <w:pPr>
        <w:spacing w:after="0" w:line="187" w:lineRule="exact"/>
        <w:rPr>
          <w:rFonts w:ascii="Arial" w:cs="Arial" w:eastAsia="Arial" w:hAnsi="Arial"/>
          <w:sz w:val="22"/>
          <w:szCs w:val="22"/>
          <w:color w:val="auto"/>
        </w:rPr>
      </w:pPr>
    </w:p>
    <w:p>
      <w:pPr>
        <w:jc w:val="both"/>
        <w:ind w:firstLine="1944"/>
        <w:spacing w:after="0" w:line="238" w:lineRule="auto"/>
        <w:tabs>
          <w:tab w:leader="none" w:pos="2824" w:val="left"/>
        </w:tabs>
        <w:numPr>
          <w:ilvl w:val="1"/>
          <w:numId w:val="118"/>
        </w:numPr>
        <w:rPr>
          <w:rFonts w:ascii="Arial" w:cs="Arial" w:eastAsia="Arial" w:hAnsi="Arial"/>
          <w:sz w:val="22"/>
          <w:szCs w:val="22"/>
          <w:color w:val="auto"/>
        </w:rPr>
      </w:pPr>
      <w:r>
        <w:rPr>
          <w:rFonts w:ascii="Arial" w:cs="Arial" w:eastAsia="Arial" w:hAnsi="Arial"/>
          <w:sz w:val="22"/>
          <w:szCs w:val="22"/>
          <w:color w:val="auto"/>
        </w:rPr>
        <w:t>Should Participant’s Service terminate by reason of his or her death or Permanent Disability prior to vesting in one or more Shares subject to this Award, then the restricted stock units shall vest in full upon Participant’s termination of Service. The Shares subject to those vested units shall be issued in accordance with the applicable provisions of Paragraph 7.</w:t>
      </w:r>
    </w:p>
    <w:p>
      <w:pPr>
        <w:spacing w:after="0" w:line="185" w:lineRule="exact"/>
        <w:rPr>
          <w:rFonts w:ascii="Arial" w:cs="Arial" w:eastAsia="Arial" w:hAnsi="Arial"/>
          <w:sz w:val="22"/>
          <w:szCs w:val="22"/>
          <w:color w:val="auto"/>
        </w:rPr>
      </w:pPr>
    </w:p>
    <w:p>
      <w:pPr>
        <w:jc w:val="both"/>
        <w:ind w:firstLine="1944"/>
        <w:spacing w:after="0" w:line="274" w:lineRule="auto"/>
        <w:tabs>
          <w:tab w:leader="none" w:pos="2802" w:val="left"/>
        </w:tabs>
        <w:numPr>
          <w:ilvl w:val="1"/>
          <w:numId w:val="118"/>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Early Retirement or Normal Retirement prior to vesting in all the Shares subject to this Award in accordance with the annual installment vesting schedule set forth in the Award Notice, then Participant shall immediately vest in that number of additional Shares (if any) in which Participant would have otherwise been vested at the time of such termination had the Shares subject to this Award vested in a series of successive equal monthly installments over the duration of the vesting schedule set forth in the Award Notice. The Shares which are deemed to vest on the basis of such monthly installment vesting schedule shall, together with any other Shares which are at the time vested but unissued, be issued in accordance with the applicable provisions of Paragraph 7. The balance of the Award shall be automatically cancelled and cease to be outstanding upon such termination of Service.</w:t>
      </w:r>
    </w:p>
    <w:p>
      <w:pPr>
        <w:spacing w:after="0" w:line="152" w:lineRule="exact"/>
        <w:rPr>
          <w:rFonts w:ascii="Arial" w:cs="Arial" w:eastAsia="Arial" w:hAnsi="Arial"/>
          <w:sz w:val="19"/>
          <w:szCs w:val="19"/>
          <w:color w:val="auto"/>
        </w:rPr>
      </w:pPr>
    </w:p>
    <w:p>
      <w:pPr>
        <w:ind w:left="1940" w:hanging="644"/>
        <w:spacing w:after="0"/>
        <w:tabs>
          <w:tab w:leader="none" w:pos="1940" w:val="left"/>
        </w:tabs>
        <w:numPr>
          <w:ilvl w:val="0"/>
          <w:numId w:val="118"/>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p>
    <w:p>
      <w:pPr>
        <w:spacing w:after="0" w:line="212" w:lineRule="exact"/>
        <w:rPr>
          <w:rFonts w:ascii="Arial" w:cs="Arial" w:eastAsia="Arial" w:hAnsi="Arial"/>
          <w:sz w:val="22"/>
          <w:szCs w:val="22"/>
          <w:color w:val="auto"/>
        </w:rPr>
      </w:pPr>
    </w:p>
    <w:p>
      <w:pPr>
        <w:jc w:val="both"/>
        <w:ind w:firstLine="1944"/>
        <w:spacing w:after="0" w:line="238" w:lineRule="auto"/>
        <w:tabs>
          <w:tab w:leader="none" w:pos="283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5" w:lineRule="exact"/>
        <w:rPr>
          <w:rFonts w:ascii="Arial" w:cs="Arial" w:eastAsia="Arial" w:hAnsi="Arial"/>
          <w:sz w:val="22"/>
          <w:szCs w:val="22"/>
          <w:color w:val="auto"/>
        </w:rPr>
      </w:pPr>
    </w:p>
    <w:p>
      <w:pPr>
        <w:jc w:val="both"/>
        <w:ind w:firstLine="1944"/>
        <w:spacing w:after="0" w:line="244" w:lineRule="auto"/>
        <w:tabs>
          <w:tab w:leader="none" w:pos="2865" w:val="left"/>
        </w:tabs>
        <w:numPr>
          <w:ilvl w:val="1"/>
          <w:numId w:val="118"/>
        </w:numPr>
        <w:rPr>
          <w:rFonts w:ascii="Arial" w:cs="Arial" w:eastAsia="Arial" w:hAnsi="Arial"/>
          <w:sz w:val="21"/>
          <w:szCs w:val="21"/>
          <w:color w:val="auto"/>
        </w:rPr>
      </w:pPr>
      <w:r>
        <w:rPr>
          <w:rFonts w:ascii="Arial" w:cs="Arial" w:eastAsia="Arial" w:hAnsi="Arial"/>
          <w:sz w:val="21"/>
          <w:szCs w:val="21"/>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the last business day of that calendar quarter. However, each such distribution shall be subject to the Corporation’s collection of the Withholding Taxes applicable to that distribution.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23" w:name="page124"/>
    <w:bookmarkEnd w:id="123"/>
    <w:p>
      <w:pPr>
        <w:ind w:left="1940" w:hanging="644"/>
        <w:spacing w:after="0"/>
        <w:tabs>
          <w:tab w:leader="none" w:pos="1940" w:val="left"/>
        </w:tabs>
        <w:numPr>
          <w:ilvl w:val="0"/>
          <w:numId w:val="119"/>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p>
    <w:p>
      <w:pPr>
        <w:spacing w:after="0" w:line="212" w:lineRule="exact"/>
        <w:rPr>
          <w:rFonts w:ascii="Arial" w:cs="Arial" w:eastAsia="Arial" w:hAnsi="Arial"/>
          <w:sz w:val="22"/>
          <w:szCs w:val="22"/>
          <w:color w:val="auto"/>
        </w:rPr>
      </w:pPr>
    </w:p>
    <w:p>
      <w:pPr>
        <w:jc w:val="both"/>
        <w:ind w:firstLine="1944"/>
        <w:spacing w:after="0" w:line="270" w:lineRule="auto"/>
        <w:tabs>
          <w:tab w:leader="none" w:pos="2818"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shall initially be credited with the Fair Market Value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restricted stock units subject to this Award or the underlying Shares shall occur at the time of the Change in Control, and the Service-vesting provisions set forth in the Award Notice shall continue in full force and effect.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944"/>
        <w:spacing w:after="0" w:line="244" w:lineRule="auto"/>
        <w:tabs>
          <w:tab w:leader="none" w:pos="287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In the event this Award is assumed, otherwise continued in effect, or replaced in connection with such Change in Control, the restricted stock units subject to the Award shall be adjusted immediately after the consummation of that Change in Control so as to apply to the number and class of securities into which the Shares subject to those units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restricted stock units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87" w:lineRule="exact"/>
        <w:rPr>
          <w:rFonts w:ascii="Arial" w:cs="Arial" w:eastAsia="Arial" w:hAnsi="Arial"/>
          <w:sz w:val="21"/>
          <w:szCs w:val="21"/>
          <w:color w:val="auto"/>
        </w:rPr>
      </w:pPr>
    </w:p>
    <w:p>
      <w:pPr>
        <w:jc w:val="both"/>
        <w:ind w:firstLine="1944"/>
        <w:spacing w:after="0" w:line="275" w:lineRule="auto"/>
        <w:tabs>
          <w:tab w:leader="none" w:pos="2975"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Upon Participant’s Separation from Service due to an Involuntary Termination occurring within twenty-four (24) months after a Change in Control in which this Award is assumed or continued in effect, all of the restricted stock units at the time subject to this Award shall vest, or any substitute equivalent award, and the Shares underlying those units shall be issued to Participant in accordance with the applicable provisions of Paragraph 7. Should the restricted stock units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24" w:name="page125"/>
    <w:bookmarkEnd w:id="124"/>
    <w:p>
      <w:pPr>
        <w:spacing w:after="0" w:line="251" w:lineRule="auto"/>
        <w:rPr>
          <w:sz w:val="20"/>
          <w:szCs w:val="20"/>
          <w:color w:val="auto"/>
        </w:rPr>
      </w:pPr>
      <w:r>
        <w:rPr>
          <w:rFonts w:ascii="Arial" w:cs="Arial" w:eastAsia="Arial" w:hAnsi="Arial"/>
          <w:sz w:val="22"/>
          <w:szCs w:val="22"/>
          <w:color w:val="auto"/>
        </w:rPr>
        <w:t>Participant shall vest and be entitled to such distribution only if such Involuntary Termination occurs within twenty-four (24) months following the Change in Control.</w:t>
      </w:r>
    </w:p>
    <w:p>
      <w:pPr>
        <w:spacing w:after="0" w:line="174" w:lineRule="exact"/>
        <w:rPr>
          <w:sz w:val="20"/>
          <w:szCs w:val="20"/>
          <w:color w:val="auto"/>
        </w:rPr>
      </w:pPr>
    </w:p>
    <w:p>
      <w:pPr>
        <w:jc w:val="both"/>
        <w:ind w:firstLine="1944"/>
        <w:spacing w:after="0" w:line="287" w:lineRule="auto"/>
        <w:tabs>
          <w:tab w:leader="none" w:pos="2691"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If the restricted stock units subject to this Award at the time of the Change in Control are not assumed or otherwise continued in effect or replaced with substitute equivalent award in accordance with Paragraph 5(a), then those units shall vest immediately prior to the closing of the Change in Control, and Participant shall become entitled to a vested distribution in accordance with the applicable provisions of Paragraph 7.</w:t>
      </w:r>
    </w:p>
    <w:p>
      <w:pPr>
        <w:spacing w:after="0" w:line="143" w:lineRule="exact"/>
        <w:rPr>
          <w:rFonts w:ascii="Arial" w:cs="Arial" w:eastAsia="Arial" w:hAnsi="Arial"/>
          <w:sz w:val="19"/>
          <w:szCs w:val="19"/>
          <w:color w:val="auto"/>
        </w:rPr>
      </w:pPr>
    </w:p>
    <w:p>
      <w:pPr>
        <w:jc w:val="both"/>
        <w:ind w:firstLine="1944"/>
        <w:spacing w:after="0"/>
        <w:tabs>
          <w:tab w:leader="none" w:pos="2815" w:val="left"/>
        </w:tabs>
        <w:numPr>
          <w:ilvl w:val="1"/>
          <w:numId w:val="120"/>
        </w:numPr>
        <w:rPr>
          <w:rFonts w:ascii="Arial" w:cs="Arial" w:eastAsia="Arial" w:hAnsi="Arial"/>
          <w:sz w:val="22"/>
          <w:szCs w:val="22"/>
          <w:color w:val="auto"/>
        </w:rPr>
      </w:pPr>
      <w:r>
        <w:rPr>
          <w:rFonts w:ascii="Arial" w:cs="Arial" w:eastAsia="Arial" w:hAnsi="Arial"/>
          <w:sz w:val="22"/>
          <w:szCs w:val="22"/>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80" w:lineRule="exact"/>
        <w:rPr>
          <w:rFonts w:ascii="Arial" w:cs="Arial" w:eastAsia="Arial" w:hAnsi="Arial"/>
          <w:sz w:val="22"/>
          <w:szCs w:val="22"/>
          <w:color w:val="auto"/>
        </w:rPr>
      </w:pPr>
    </w:p>
    <w:p>
      <w:pPr>
        <w:jc w:val="both"/>
        <w:ind w:firstLine="1296"/>
        <w:spacing w:after="0" w:line="244" w:lineRule="auto"/>
        <w:tabs>
          <w:tab w:leader="none" w:pos="1972" w:val="left"/>
        </w:tabs>
        <w:numPr>
          <w:ilvl w:val="0"/>
          <w:numId w:val="121"/>
        </w:numPr>
        <w:rPr>
          <w:rFonts w:ascii="Arial" w:cs="Arial" w:eastAsia="Arial" w:hAnsi="Arial"/>
          <w:sz w:val="21"/>
          <w:szCs w:val="21"/>
          <w:color w:val="auto"/>
        </w:rPr>
      </w:pPr>
      <w:r>
        <w:rPr>
          <w:rFonts w:ascii="Arial" w:cs="Arial" w:eastAsia="Arial" w:hAnsi="Arial"/>
          <w:sz w:val="21"/>
          <w:szCs w:val="21"/>
          <w:b w:val="1"/>
          <w:bCs w:val="1"/>
          <w:u w:val="single" w:color="auto"/>
          <w:color w:val="auto"/>
        </w:rPr>
        <w:t>Adjustment in Shares</w:t>
      </w:r>
      <w:r>
        <w:rPr>
          <w:rFonts w:ascii="Arial" w:cs="Arial" w:eastAsia="Arial" w:hAnsi="Arial"/>
          <w:sz w:val="21"/>
          <w:szCs w:val="21"/>
          <w:color w:val="auto"/>
        </w:rPr>
        <w:t>. Should any change be made to the Common Stock by reason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184" w:lineRule="exact"/>
        <w:rPr>
          <w:rFonts w:ascii="Arial" w:cs="Arial" w:eastAsia="Arial" w:hAnsi="Arial"/>
          <w:sz w:val="21"/>
          <w:szCs w:val="21"/>
          <w:color w:val="auto"/>
        </w:rPr>
      </w:pPr>
    </w:p>
    <w:p>
      <w:pPr>
        <w:ind w:left="2460" w:hanging="1164"/>
        <w:spacing w:after="0"/>
        <w:tabs>
          <w:tab w:leader="none" w:pos="2460" w:val="left"/>
        </w:tabs>
        <w:numPr>
          <w:ilvl w:val="0"/>
          <w:numId w:val="121"/>
        </w:numPr>
        <w:rPr>
          <w:rFonts w:ascii="Arial" w:cs="Arial" w:eastAsia="Arial" w:hAnsi="Arial"/>
          <w:sz w:val="21"/>
          <w:szCs w:val="21"/>
          <w:color w:val="auto"/>
        </w:rPr>
      </w:pPr>
      <w:r>
        <w:rPr>
          <w:rFonts w:ascii="Arial" w:cs="Arial" w:eastAsia="Arial" w:hAnsi="Arial"/>
          <w:sz w:val="21"/>
          <w:szCs w:val="21"/>
          <w:b w:val="1"/>
          <w:bCs w:val="1"/>
          <w:u w:val="single" w:color="auto"/>
          <w:color w:val="auto"/>
        </w:rPr>
        <w:t>Issuance or Distribution of Shares or Other Vested Amounts and Applicable</w:t>
      </w:r>
    </w:p>
    <w:p>
      <w:pPr>
        <w:spacing w:after="0" w:line="2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b w:val="1"/>
          <w:bCs w:val="1"/>
          <w:u w:val="single" w:color="auto"/>
          <w:color w:val="auto"/>
        </w:rPr>
        <w:t>Withholding Taxes.</w:t>
      </w:r>
    </w:p>
    <w:p>
      <w:pPr>
        <w:spacing w:after="0" w:line="188" w:lineRule="exact"/>
        <w:rPr>
          <w:rFonts w:ascii="Arial" w:cs="Arial" w:eastAsia="Arial" w:hAnsi="Arial"/>
          <w:sz w:val="21"/>
          <w:szCs w:val="21"/>
          <w:color w:val="auto"/>
        </w:rPr>
      </w:pPr>
    </w:p>
    <w:p>
      <w:pPr>
        <w:ind w:firstLine="1944"/>
        <w:spacing w:after="0" w:line="328" w:lineRule="auto"/>
        <w:tabs>
          <w:tab w:leader="none" w:pos="2677"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The following provisions shall govern the issuance of the Shares (or any replacement or substitute amounts under Paragraph 5) which vest in accordance with the provisions of this Agreement:</w:t>
      </w:r>
    </w:p>
    <w:p>
      <w:pPr>
        <w:spacing w:after="0" w:line="105" w:lineRule="exact"/>
        <w:rPr>
          <w:sz w:val="20"/>
          <w:szCs w:val="20"/>
          <w:color w:val="auto"/>
        </w:rPr>
      </w:pPr>
    </w:p>
    <w:p>
      <w:pPr>
        <w:jc w:val="both"/>
        <w:ind w:left="640" w:firstLine="1304"/>
        <w:spacing w:after="0" w:line="238" w:lineRule="auto"/>
        <w:tabs>
          <w:tab w:leader="none" w:pos="269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On each Vesting and Issuance Date specified in the Award Notice, the Shares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85" w:lineRule="exact"/>
        <w:rPr>
          <w:rFonts w:ascii="Arial" w:cs="Arial" w:eastAsia="Arial" w:hAnsi="Arial"/>
          <w:sz w:val="22"/>
          <w:szCs w:val="22"/>
          <w:color w:val="auto"/>
        </w:rPr>
      </w:pPr>
    </w:p>
    <w:p>
      <w:pPr>
        <w:jc w:val="both"/>
        <w:ind w:left="640" w:firstLine="1304"/>
        <w:spacing w:after="0"/>
        <w:tabs>
          <w:tab w:leader="none" w:pos="270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Shares which vest on an accelerated basis upon the Participant’s cessation of Service under Paragraph 3(b) or 3(c) or upon his or her Involuntary Termination under Paragraph 5(c) shall be issued on the date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5" w:name="page126"/>
    <w:bookmarkEnd w:id="125"/>
    <w:p>
      <w:pPr>
        <w:jc w:val="both"/>
        <w:ind w:left="120"/>
        <w:spacing w:after="0" w:line="235" w:lineRule="auto"/>
        <w:rPr>
          <w:sz w:val="20"/>
          <w:szCs w:val="20"/>
          <w:color w:val="auto"/>
        </w:rPr>
      </w:pPr>
      <w:r>
        <w:rPr>
          <w:rFonts w:ascii="Arial" w:cs="Arial" w:eastAsia="Arial" w:hAnsi="Arial"/>
          <w:sz w:val="22"/>
          <w:szCs w:val="22"/>
          <w:color w:val="auto"/>
        </w:rPr>
        <w:t>Participant’s Separation from Service due to such cessation of 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89" w:lineRule="exact"/>
        <w:rPr>
          <w:sz w:val="20"/>
          <w:szCs w:val="20"/>
          <w:color w:val="auto"/>
        </w:rPr>
      </w:pPr>
    </w:p>
    <w:p>
      <w:pPr>
        <w:jc w:val="both"/>
        <w:ind w:left="120" w:firstLine="1304"/>
        <w:spacing w:after="0" w:line="246" w:lineRule="auto"/>
        <w:tabs>
          <w:tab w:leader="none" w:pos="2292" w:val="left"/>
        </w:tabs>
        <w:numPr>
          <w:ilvl w:val="0"/>
          <w:numId w:val="123"/>
        </w:numPr>
        <w:rPr>
          <w:rFonts w:ascii="Arial" w:cs="Arial" w:eastAsia="Arial" w:hAnsi="Arial"/>
          <w:sz w:val="21"/>
          <w:szCs w:val="21"/>
          <w:color w:val="auto"/>
        </w:rPr>
      </w:pPr>
      <w:r>
        <w:rPr>
          <w:rFonts w:ascii="Arial" w:cs="Arial" w:eastAsia="Arial" w:hAnsi="Arial"/>
          <w:sz w:val="21"/>
          <w:szCs w:val="21"/>
          <w:color w:val="auto"/>
        </w:rPr>
        <w:t xml:space="preserve">Shares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Arial" w:cs="Arial" w:eastAsia="Arial" w:hAnsi="Arial"/>
          <w:sz w:val="21"/>
          <w:szCs w:val="21"/>
          <w:b w:val="1"/>
          <w:bCs w:val="1"/>
          <w:i w:val="1"/>
          <w:iCs w:val="1"/>
          <w:color w:val="auto"/>
        </w:rPr>
        <w:t>earliest</w:t>
      </w:r>
      <w:r>
        <w:rPr>
          <w:rFonts w:ascii="Arial" w:cs="Arial" w:eastAsia="Arial" w:hAnsi="Arial"/>
          <w:sz w:val="21"/>
          <w:szCs w:val="21"/>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Code Section 409A.</w:t>
      </w:r>
    </w:p>
    <w:p>
      <w:pPr>
        <w:spacing w:after="0" w:line="180" w:lineRule="exact"/>
        <w:rPr>
          <w:rFonts w:ascii="Arial" w:cs="Arial" w:eastAsia="Arial" w:hAnsi="Arial"/>
          <w:sz w:val="21"/>
          <w:szCs w:val="21"/>
          <w:color w:val="auto"/>
        </w:rPr>
      </w:pPr>
    </w:p>
    <w:p>
      <w:pPr>
        <w:jc w:val="both"/>
        <w:ind w:left="120" w:firstLine="1304"/>
        <w:spacing w:after="0" w:line="272" w:lineRule="auto"/>
        <w:tabs>
          <w:tab w:leader="none" w:pos="229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161" w:lineRule="exact"/>
        <w:rPr>
          <w:rFonts w:ascii="Arial" w:cs="Arial" w:eastAsia="Arial" w:hAnsi="Arial"/>
          <w:sz w:val="19"/>
          <w:szCs w:val="19"/>
          <w:color w:val="auto"/>
        </w:rPr>
      </w:pPr>
    </w:p>
    <w:p>
      <w:pPr>
        <w:jc w:val="both"/>
        <w:ind w:left="120" w:firstLine="1304"/>
        <w:spacing w:after="0" w:line="252" w:lineRule="auto"/>
        <w:tabs>
          <w:tab w:leader="none" w:pos="2208"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74" w:lineRule="exact"/>
        <w:rPr>
          <w:rFonts w:ascii="Arial" w:cs="Arial" w:eastAsia="Arial" w:hAnsi="Arial"/>
          <w:sz w:val="21"/>
          <w:szCs w:val="21"/>
          <w:color w:val="auto"/>
        </w:rPr>
      </w:pPr>
    </w:p>
    <w:p>
      <w:pPr>
        <w:jc w:val="both"/>
        <w:ind w:left="120" w:firstLine="1304"/>
        <w:spacing w:after="0"/>
        <w:tabs>
          <w:tab w:leader="none" w:pos="2341"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200" w:lineRule="exact"/>
        <w:rPr>
          <w:sz w:val="20"/>
          <w:szCs w:val="20"/>
          <w:color w:val="auto"/>
        </w:rPr>
      </w:pPr>
    </w:p>
    <w:p>
      <w:pPr>
        <w:spacing w:after="0" w:line="20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126" w:name="page127"/>
    <w:bookmarkEnd w:id="126"/>
    <w:p>
      <w:pPr>
        <w:jc w:val="both"/>
        <w:ind w:left="640" w:firstLine="1304"/>
        <w:spacing w:after="0" w:line="287" w:lineRule="auto"/>
        <w:tabs>
          <w:tab w:leader="none" w:pos="279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44" w:lineRule="exact"/>
        <w:rPr>
          <w:sz w:val="20"/>
          <w:szCs w:val="20"/>
          <w:color w:val="auto"/>
        </w:rPr>
      </w:pPr>
    </w:p>
    <w:p>
      <w:pPr>
        <w:jc w:val="both"/>
        <w:ind w:firstLine="1944"/>
        <w:spacing w:after="0"/>
        <w:tabs>
          <w:tab w:leader="none" w:pos="274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86" w:lineRule="exact"/>
        <w:rPr>
          <w:rFonts w:ascii="Arial" w:cs="Arial" w:eastAsia="Arial" w:hAnsi="Arial"/>
          <w:sz w:val="22"/>
          <w:szCs w:val="22"/>
          <w:color w:val="auto"/>
        </w:rPr>
      </w:pPr>
    </w:p>
    <w:p>
      <w:pPr>
        <w:jc w:val="both"/>
        <w:ind w:firstLine="1944"/>
        <w:spacing w:after="0" w:line="275" w:lineRule="auto"/>
        <w:tabs>
          <w:tab w:leader="none" w:pos="2930" w:val="left"/>
        </w:tabs>
        <w:numPr>
          <w:ilvl w:val="1"/>
          <w:numId w:val="125"/>
        </w:numPr>
        <w:rPr>
          <w:rFonts w:ascii="Arial" w:cs="Arial" w:eastAsia="Arial" w:hAnsi="Arial"/>
          <w:sz w:val="19"/>
          <w:szCs w:val="19"/>
          <w:color w:val="auto"/>
        </w:rPr>
      </w:pPr>
      <w:r>
        <w:rPr>
          <w:rFonts w:ascii="Arial" w:cs="Arial" w:eastAsia="Arial" w:hAnsi="Arial"/>
          <w:sz w:val="19"/>
          <w:szCs w:val="19"/>
          <w:color w:val="auto"/>
        </w:rPr>
        <w:t>The Corporation may, in its sole discretion, establish a procedure to permit the satisfaction of the Withholding Taxes by the Participant in the form of cash and shall inform Participant. In that event,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delivers such payment to the Corporation not later than that issuance date. Otherwise the Corporation shall collect the Withholding Taxes applicable to the Share issuance through the following automatic share withholding method:</w:t>
      </w:r>
    </w:p>
    <w:p>
      <w:pPr>
        <w:spacing w:after="0" w:line="158" w:lineRule="exact"/>
        <w:rPr>
          <w:rFonts w:ascii="Arial" w:cs="Arial" w:eastAsia="Arial" w:hAnsi="Arial"/>
          <w:sz w:val="19"/>
          <w:szCs w:val="19"/>
          <w:color w:val="auto"/>
        </w:rPr>
      </w:pPr>
    </w:p>
    <w:p>
      <w:pPr>
        <w:jc w:val="both"/>
        <w:ind w:firstLine="1296"/>
        <w:spacing w:after="0" w:line="279" w:lineRule="auto"/>
        <w:tabs>
          <w:tab w:leader="none" w:pos="211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On each applicable issuance date, the Corporation shall withhold, from the vested Shares otherwise issuable to Participant at that time, a portion of those Shares with a Fair Market Value (measured as of the issuance date) equal to the applicable Withholding Taxes;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w:t>
      </w:r>
    </w:p>
    <w:p>
      <w:pPr>
        <w:spacing w:after="0" w:line="150" w:lineRule="exact"/>
        <w:rPr>
          <w:rFonts w:ascii="Arial" w:cs="Arial" w:eastAsia="Arial" w:hAnsi="Arial"/>
          <w:sz w:val="19"/>
          <w:szCs w:val="19"/>
          <w:color w:val="auto"/>
        </w:rPr>
      </w:pPr>
    </w:p>
    <w:p>
      <w:pPr>
        <w:jc w:val="both"/>
        <w:ind w:firstLine="1944"/>
        <w:spacing w:after="0" w:line="273" w:lineRule="auto"/>
        <w:tabs>
          <w:tab w:leader="none" w:pos="2747" w:val="left"/>
        </w:tabs>
        <w:numPr>
          <w:ilvl w:val="1"/>
          <w:numId w:val="126"/>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Code Section 3121(v).</w:t>
      </w:r>
    </w:p>
    <w:p>
      <w:pPr>
        <w:spacing w:after="0" w:line="156" w:lineRule="exact"/>
        <w:rPr>
          <w:rFonts w:ascii="Arial" w:cs="Arial" w:eastAsia="Arial" w:hAnsi="Arial"/>
          <w:sz w:val="19"/>
          <w:szCs w:val="19"/>
          <w:color w:val="auto"/>
        </w:rPr>
      </w:pPr>
    </w:p>
    <w:p>
      <w:pPr>
        <w:jc w:val="both"/>
        <w:ind w:firstLine="1944"/>
        <w:spacing w:after="0"/>
        <w:tabs>
          <w:tab w:leader="none" w:pos="2675" w:val="left"/>
        </w:tabs>
        <w:numPr>
          <w:ilvl w:val="1"/>
          <w:numId w:val="126"/>
        </w:numPr>
        <w:rPr>
          <w:rFonts w:ascii="Arial" w:cs="Arial" w:eastAsia="Arial" w:hAnsi="Arial"/>
          <w:sz w:val="22"/>
          <w:szCs w:val="22"/>
          <w:color w:val="auto"/>
        </w:rPr>
      </w:pPr>
      <w:r>
        <w:rPr>
          <w:rFonts w:ascii="Arial" w:cs="Arial" w:eastAsia="Arial" w:hAnsi="Arial"/>
          <w:sz w:val="22"/>
          <w:szCs w:val="22"/>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7" w:name="page128"/>
    <w:bookmarkEnd w:id="127"/>
    <w:p>
      <w:pPr>
        <w:spacing w:after="0" w:line="274" w:lineRule="auto"/>
        <w:rPr>
          <w:sz w:val="20"/>
          <w:szCs w:val="20"/>
          <w:color w:val="auto"/>
        </w:rPr>
      </w:pPr>
      <w:r>
        <w:rPr>
          <w:rFonts w:ascii="Arial" w:cs="Arial" w:eastAsia="Arial" w:hAnsi="Arial"/>
          <w:sz w:val="21"/>
          <w:szCs w:val="21"/>
          <w:color w:val="auto"/>
        </w:rPr>
        <w:t>total number of shares of Common Stock to be issued at the time the Award vests shall, to the extent necessary, be rounded down to the next whole share in order to avoid the issuance of a fractional share.</w:t>
      </w:r>
    </w:p>
    <w:p>
      <w:pPr>
        <w:spacing w:after="0" w:line="145" w:lineRule="exact"/>
        <w:rPr>
          <w:sz w:val="20"/>
          <w:szCs w:val="20"/>
          <w:color w:val="auto"/>
        </w:rPr>
      </w:pPr>
    </w:p>
    <w:p>
      <w:pPr>
        <w:jc w:val="both"/>
        <w:ind w:firstLine="1296"/>
        <w:spacing w:after="0" w:line="243" w:lineRule="auto"/>
        <w:tabs>
          <w:tab w:leader="none" w:pos="1985" w:val="left"/>
        </w:tabs>
        <w:numPr>
          <w:ilvl w:val="0"/>
          <w:numId w:val="127"/>
        </w:numPr>
        <w:rPr>
          <w:rFonts w:ascii="Arial" w:cs="Arial" w:eastAsia="Arial" w:hAnsi="Arial"/>
          <w:sz w:val="22"/>
          <w:szCs w:val="22"/>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to the contrary in this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the extent this Award may be deemed to create a deferred compensation arrangement under Code Section 409A, then the following limitation and provisions shall apply:</w:t>
      </w:r>
    </w:p>
    <w:p>
      <w:pPr>
        <w:spacing w:after="0" w:line="182" w:lineRule="exact"/>
        <w:rPr>
          <w:rFonts w:ascii="Arial" w:cs="Arial" w:eastAsia="Arial" w:hAnsi="Arial"/>
          <w:sz w:val="22"/>
          <w:szCs w:val="22"/>
          <w:color w:val="auto"/>
        </w:rPr>
      </w:pPr>
    </w:p>
    <w:p>
      <w:pPr>
        <w:jc w:val="both"/>
        <w:ind w:left="640" w:firstLine="1304"/>
        <w:spacing w:after="0" w:line="269" w:lineRule="auto"/>
        <w:tabs>
          <w:tab w:leader="none" w:pos="2859"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w:t>
      </w:r>
    </w:p>
    <w:p>
      <w:pPr>
        <w:spacing w:after="0" w:line="3" w:lineRule="exact"/>
        <w:rPr>
          <w:rFonts w:ascii="Arial" w:cs="Arial" w:eastAsia="Arial" w:hAnsi="Arial"/>
          <w:sz w:val="19"/>
          <w:szCs w:val="19"/>
          <w:color w:val="auto"/>
        </w:rPr>
      </w:pPr>
    </w:p>
    <w:p>
      <w:pPr>
        <w:jc w:val="both"/>
        <w:ind w:left="640"/>
        <w:spacing w:after="0" w:line="233" w:lineRule="auto"/>
        <w:rPr>
          <w:rFonts w:ascii="Arial" w:cs="Arial" w:eastAsia="Arial" w:hAnsi="Arial"/>
          <w:sz w:val="19"/>
          <w:szCs w:val="19"/>
          <w:color w:val="auto"/>
        </w:rPr>
      </w:pPr>
      <w:r>
        <w:rPr>
          <w:rFonts w:ascii="Arial" w:cs="Arial" w:eastAsia="Arial" w:hAnsi="Arial"/>
          <w:sz w:val="22"/>
          <w:szCs w:val="22"/>
          <w:color w:val="auto"/>
        </w:rPr>
        <w:t>(2).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88" w:lineRule="exact"/>
        <w:rPr>
          <w:rFonts w:ascii="Arial" w:cs="Arial" w:eastAsia="Arial" w:hAnsi="Arial"/>
          <w:sz w:val="19"/>
          <w:szCs w:val="19"/>
          <w:color w:val="auto"/>
        </w:rPr>
      </w:pPr>
    </w:p>
    <w:p>
      <w:pPr>
        <w:jc w:val="both"/>
        <w:ind w:left="640" w:firstLine="1304"/>
        <w:spacing w:after="0"/>
        <w:tabs>
          <w:tab w:leader="none" w:pos="2986" w:val="left"/>
        </w:tabs>
        <w:numPr>
          <w:ilvl w:val="1"/>
          <w:numId w:val="127"/>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296"/>
        <w:spacing w:after="0" w:line="239" w:lineRule="auto"/>
        <w:tabs>
          <w:tab w:leader="none" w:pos="2188" w:val="left"/>
        </w:tabs>
        <w:numPr>
          <w:ilvl w:val="0"/>
          <w:numId w:val="127"/>
        </w:numPr>
        <w:rPr>
          <w:rFonts w:ascii="Arial" w:cs="Arial" w:eastAsia="Arial" w:hAnsi="Arial"/>
          <w:sz w:val="22"/>
          <w:szCs w:val="22"/>
          <w:color w:val="auto"/>
        </w:rPr>
      </w:pPr>
      <w:r>
        <w:rPr>
          <w:rFonts w:ascii="Arial" w:cs="Arial" w:eastAsia="Arial" w:hAnsi="Arial"/>
          <w:sz w:val="22"/>
          <w:szCs w:val="22"/>
          <w:b w:val="1"/>
          <w:bCs w:val="1"/>
          <w:u w:val="single" w:color="auto"/>
          <w:color w:val="auto"/>
        </w:rPr>
        <w:t>Compliance with Laws and Regulations</w:t>
      </w:r>
      <w:r>
        <w:rPr>
          <w:rFonts w:ascii="Arial" w:cs="Arial" w:eastAsia="Arial" w:hAnsi="Arial"/>
          <w:sz w:val="22"/>
          <w:szCs w:val="22"/>
          <w:color w:val="auto"/>
        </w:rPr>
        <w:t>. The issuance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80" w:lineRule="exact"/>
        <w:rPr>
          <w:rFonts w:ascii="Arial" w:cs="Arial" w:eastAsia="Arial" w:hAnsi="Arial"/>
          <w:sz w:val="22"/>
          <w:szCs w:val="22"/>
          <w:color w:val="auto"/>
        </w:rPr>
      </w:pPr>
    </w:p>
    <w:p>
      <w:pPr>
        <w:jc w:val="both"/>
        <w:ind w:firstLine="1296"/>
        <w:spacing w:after="0" w:line="274" w:lineRule="auto"/>
        <w:tabs>
          <w:tab w:leader="none" w:pos="1972" w:val="left"/>
        </w:tabs>
        <w:numPr>
          <w:ilvl w:val="0"/>
          <w:numId w:val="12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 contrary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8" w:name="page129"/>
    <w:bookmarkEnd w:id="128"/>
    <w:p>
      <w:pPr>
        <w:jc w:val="both"/>
        <w:ind w:firstLine="1296"/>
        <w:spacing w:after="0" w:line="236" w:lineRule="auto"/>
        <w:tabs>
          <w:tab w:leader="none" w:pos="1991" w:val="left"/>
        </w:tabs>
        <w:numPr>
          <w:ilvl w:val="0"/>
          <w:numId w:val="128"/>
        </w:numPr>
        <w:rPr>
          <w:rFonts w:ascii="Arial" w:cs="Arial" w:eastAsia="Arial" w:hAnsi="Arial"/>
          <w:sz w:val="22"/>
          <w:szCs w:val="22"/>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required to be given or delivered to the Corporation under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82" w:lineRule="exact"/>
        <w:rPr>
          <w:rFonts w:ascii="Arial" w:cs="Arial" w:eastAsia="Arial" w:hAnsi="Arial"/>
          <w:sz w:val="22"/>
          <w:szCs w:val="22"/>
          <w:color w:val="auto"/>
        </w:rPr>
      </w:pPr>
    </w:p>
    <w:p>
      <w:pPr>
        <w:jc w:val="both"/>
        <w:ind w:firstLine="1296"/>
        <w:spacing w:after="0" w:line="254" w:lineRule="auto"/>
        <w:tabs>
          <w:tab w:leader="none" w:pos="2080" w:val="left"/>
        </w:tabs>
        <w:numPr>
          <w:ilvl w:val="0"/>
          <w:numId w:val="128"/>
        </w:numPr>
        <w:rPr>
          <w:rFonts w:ascii="Arial" w:cs="Arial" w:eastAsia="Arial" w:hAnsi="Arial"/>
          <w:sz w:val="21"/>
          <w:szCs w:val="21"/>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Except to the extent otherwise provided in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66" w:lineRule="exact"/>
        <w:rPr>
          <w:rFonts w:ascii="Arial" w:cs="Arial" w:eastAsia="Arial" w:hAnsi="Arial"/>
          <w:sz w:val="21"/>
          <w:szCs w:val="21"/>
          <w:color w:val="auto"/>
        </w:rPr>
      </w:pPr>
    </w:p>
    <w:p>
      <w:pPr>
        <w:ind w:left="1940" w:hanging="644"/>
        <w:spacing w:after="0"/>
        <w:tabs>
          <w:tab w:leader="none" w:pos="1940" w:val="left"/>
        </w:tabs>
        <w:numPr>
          <w:ilvl w:val="0"/>
          <w:numId w:val="128"/>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4"/>
        <w:spacing w:after="0" w:line="287" w:lineRule="auto"/>
        <w:tabs>
          <w:tab w:leader="none" w:pos="2745" w:val="left"/>
        </w:tabs>
        <w:numPr>
          <w:ilvl w:val="1"/>
          <w:numId w:val="128"/>
        </w:numPr>
        <w:rPr>
          <w:rFonts w:ascii="Arial" w:cs="Arial" w:eastAsia="Arial" w:hAnsi="Arial"/>
          <w:sz w:val="19"/>
          <w:szCs w:val="19"/>
          <w:color w:val="auto"/>
        </w:rPr>
      </w:pPr>
      <w:r>
        <w:rPr>
          <w:rFonts w:ascii="Arial" w:cs="Arial" w:eastAsia="Arial" w:hAnsi="Arial"/>
          <w:sz w:val="19"/>
          <w:szCs w:val="19"/>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43" w:lineRule="exact"/>
        <w:rPr>
          <w:rFonts w:ascii="Arial" w:cs="Arial" w:eastAsia="Arial" w:hAnsi="Arial"/>
          <w:sz w:val="19"/>
          <w:szCs w:val="19"/>
          <w:color w:val="auto"/>
        </w:rPr>
      </w:pPr>
    </w:p>
    <w:p>
      <w:pPr>
        <w:jc w:val="both"/>
        <w:ind w:firstLine="1944"/>
        <w:spacing w:after="0" w:line="236" w:lineRule="auto"/>
        <w:tabs>
          <w:tab w:leader="none" w:pos="2760"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187" w:lineRule="exact"/>
        <w:rPr>
          <w:rFonts w:ascii="Arial" w:cs="Arial" w:eastAsia="Arial" w:hAnsi="Arial"/>
          <w:sz w:val="22"/>
          <w:szCs w:val="22"/>
          <w:color w:val="auto"/>
        </w:rPr>
      </w:pPr>
    </w:p>
    <w:p>
      <w:pPr>
        <w:jc w:val="both"/>
        <w:ind w:firstLine="1944"/>
        <w:spacing w:after="0"/>
        <w:tabs>
          <w:tab w:leader="none" w:pos="275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Participant hereby acknowledges the receipt of a copy of the official prospectus for the Plan. A copy of the Plan is available upon request made to the Human Resources Department at the Corporation’s principal offices (1411 Sand Island Parkway, Honolulu, Hawaii 96819).</w:t>
      </w:r>
    </w:p>
    <w:p>
      <w:pPr>
        <w:spacing w:after="0" w:line="180" w:lineRule="exact"/>
        <w:rPr>
          <w:rFonts w:ascii="Arial" w:cs="Arial" w:eastAsia="Arial" w:hAnsi="Arial"/>
          <w:sz w:val="22"/>
          <w:szCs w:val="22"/>
          <w:color w:val="auto"/>
        </w:rPr>
      </w:pPr>
    </w:p>
    <w:p>
      <w:pPr>
        <w:ind w:firstLine="1296"/>
        <w:spacing w:after="0" w:line="280" w:lineRule="auto"/>
        <w:tabs>
          <w:tab w:leader="none" w:pos="2012" w:val="left"/>
        </w:tabs>
        <w:numPr>
          <w:ilvl w:val="0"/>
          <w:numId w:val="128"/>
        </w:numPr>
        <w:rPr>
          <w:rFonts w:ascii="Arial" w:cs="Arial" w:eastAsia="Arial" w:hAnsi="Arial"/>
          <w:sz w:val="21"/>
          <w:szCs w:val="2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interpretation, performance and enforcement of this Agreement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be governed by the laws of the State of Hawaii without regard to that State’s conflict-of-laws rules.</w:t>
      </w:r>
    </w:p>
    <w:p>
      <w:pPr>
        <w:spacing w:after="0" w:line="138" w:lineRule="exact"/>
        <w:rPr>
          <w:rFonts w:ascii="Arial" w:cs="Arial" w:eastAsia="Arial" w:hAnsi="Arial"/>
          <w:sz w:val="21"/>
          <w:szCs w:val="21"/>
          <w:color w:val="auto"/>
        </w:rPr>
      </w:pPr>
    </w:p>
    <w:p>
      <w:pPr>
        <w:ind w:left="1940" w:hanging="644"/>
        <w:spacing w:after="0"/>
        <w:tabs>
          <w:tab w:leader="none" w:pos="1940" w:val="left"/>
        </w:tabs>
        <w:numPr>
          <w:ilvl w:val="0"/>
          <w:numId w:val="128"/>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44"/>
        <w:spacing w:after="0" w:line="279" w:lineRule="auto"/>
        <w:tabs>
          <w:tab w:leader="none" w:pos="250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29" w:name="page130"/>
    <w:bookmarkEnd w:id="129"/>
    <w:p>
      <w:pPr>
        <w:jc w:val="both"/>
        <w:spacing w:after="0" w:line="270" w:lineRule="auto"/>
        <w:rPr>
          <w:sz w:val="20"/>
          <w:szCs w:val="20"/>
          <w:color w:val="auto"/>
        </w:rPr>
      </w:pPr>
      <w:r>
        <w:rPr>
          <w:rFonts w:ascii="Arial" w:cs="Arial" w:eastAsia="Arial" w:hAnsi="Arial"/>
          <w:sz w:val="19"/>
          <w:szCs w:val="19"/>
          <w:color w:val="auto"/>
        </w:rPr>
        <w:t>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71" w:lineRule="exact"/>
        <w:rPr>
          <w:sz w:val="20"/>
          <w:szCs w:val="20"/>
          <w:color w:val="auto"/>
        </w:rPr>
      </w:pPr>
    </w:p>
    <w:p>
      <w:pPr>
        <w:ind w:firstLine="1944"/>
        <w:spacing w:after="0" w:line="251" w:lineRule="auto"/>
        <w:tabs>
          <w:tab w:leader="none" w:pos="2521" w:val="left"/>
        </w:tabs>
        <w:numPr>
          <w:ilvl w:val="1"/>
          <w:numId w:val="129"/>
        </w:numPr>
        <w:rPr>
          <w:rFonts w:ascii="Arial" w:cs="Arial" w:eastAsia="Arial" w:hAnsi="Arial"/>
          <w:sz w:val="22"/>
          <w:szCs w:val="22"/>
          <w:color w:val="auto"/>
        </w:rPr>
      </w:pPr>
      <w:r>
        <w:rPr>
          <w:rFonts w:ascii="Arial" w:cs="Arial" w:eastAsia="Arial" w:hAnsi="Arial"/>
          <w:sz w:val="22"/>
          <w:szCs w:val="22"/>
          <w:color w:val="auto"/>
        </w:rPr>
        <w:t>Each party fully understands and agrees that they are giving up certain rights otherwise afforded to them by civil court actions, including but not limited to the right to a jury trial.</w:t>
      </w:r>
    </w:p>
    <w:p>
      <w:pPr>
        <w:spacing w:after="0" w:line="167" w:lineRule="exact"/>
        <w:rPr>
          <w:rFonts w:ascii="Arial" w:cs="Arial" w:eastAsia="Arial" w:hAnsi="Arial"/>
          <w:sz w:val="22"/>
          <w:szCs w:val="22"/>
          <w:color w:val="auto"/>
        </w:rPr>
      </w:pPr>
    </w:p>
    <w:p>
      <w:pPr>
        <w:jc w:val="both"/>
        <w:ind w:firstLine="1296"/>
        <w:spacing w:after="0" w:line="272" w:lineRule="auto"/>
        <w:tabs>
          <w:tab w:leader="none" w:pos="2066" w:val="left"/>
        </w:tabs>
        <w:numPr>
          <w:ilvl w:val="0"/>
          <w:numId w:val="130"/>
        </w:numPr>
        <w:rPr>
          <w:rFonts w:ascii="Arial" w:cs="Arial" w:eastAsia="Arial" w:hAnsi="Arial"/>
          <w:sz w:val="19"/>
          <w:szCs w:val="19"/>
          <w:color w:val="auto"/>
        </w:rPr>
      </w:pPr>
      <w:r>
        <w:rPr>
          <w:rFonts w:ascii="Arial" w:cs="Arial" w:eastAsia="Arial" w:hAnsi="Arial"/>
          <w:sz w:val="19"/>
          <w:szCs w:val="19"/>
          <w:b w:val="1"/>
          <w:bCs w:val="1"/>
          <w:u w:val="single" w:color="auto"/>
          <w:color w:val="auto"/>
        </w:rPr>
        <w:t>Coverage under Recoupment Policy</w:t>
      </w:r>
      <w:r>
        <w:rPr>
          <w:rFonts w:ascii="Arial" w:cs="Arial" w:eastAsia="Arial" w:hAnsi="Arial"/>
          <w:sz w:val="19"/>
          <w:szCs w:val="19"/>
          <w:color w:val="auto"/>
        </w:rPr>
        <w:t>. If Participant is on the Award Date, or at any time</w:t>
      </w:r>
      <w:r>
        <w:rPr>
          <w:rFonts w:ascii="Arial" w:cs="Arial" w:eastAsia="Arial" w:hAnsi="Arial"/>
          <w:sz w:val="19"/>
          <w:szCs w:val="19"/>
          <w:b w:val="1"/>
          <w:bCs w:val="1"/>
          <w:color w:val="auto"/>
        </w:rPr>
        <w:t xml:space="preserve"> </w:t>
      </w:r>
      <w:r>
        <w:rPr>
          <w:rFonts w:ascii="Arial" w:cs="Arial" w:eastAsia="Arial" w:hAnsi="Arial"/>
          <w:sz w:val="19"/>
          <w:szCs w:val="19"/>
          <w:color w:val="auto"/>
        </w:rPr>
        <w:t>thereafter becomes, either an executive officer of the Corporation subject to Section 16 of the 1934 Act, or a participant in the Corporation’s Performance Improvement Incentive Plan, then Participant shall be subject to the Matson, Inc. Policy Regarding Recoupment of Certain Compensation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w:t>
      </w:r>
      <w:r>
        <w:rPr>
          <w:rFonts w:ascii="Arial" w:cs="Arial" w:eastAsia="Arial" w:hAnsi="Arial"/>
          <w:sz w:val="19"/>
          <w:szCs w:val="19"/>
          <w:b w:val="1"/>
          <w:bCs w:val="1"/>
          <w:i w:val="1"/>
          <w:iCs w:val="1"/>
          <w:color w:val="auto"/>
        </w:rPr>
        <w:t>incentive compensation</w:t>
      </w:r>
      <w:r>
        <w:rPr>
          <w:rFonts w:ascii="Arial" w:cs="Arial" w:eastAsia="Arial" w:hAnsi="Arial"/>
          <w:sz w:val="19"/>
          <w:szCs w:val="19"/>
          <w:color w:val="auto"/>
        </w:rPr>
        <w:t>” means all cash or equity-based award (e.g.,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52" w:lineRule="exact"/>
        <w:rPr>
          <w:rFonts w:ascii="Arial" w:cs="Arial" w:eastAsia="Arial" w:hAnsi="Arial"/>
          <w:sz w:val="19"/>
          <w:szCs w:val="19"/>
          <w:color w:val="auto"/>
        </w:rPr>
      </w:pPr>
    </w:p>
    <w:p>
      <w:pPr>
        <w:ind w:left="1940" w:hanging="644"/>
        <w:spacing w:after="0"/>
        <w:tabs>
          <w:tab w:leader="none" w:pos="1940" w:val="left"/>
        </w:tabs>
        <w:numPr>
          <w:ilvl w:val="0"/>
          <w:numId w:val="130"/>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1944"/>
        <w:spacing w:after="0" w:line="251" w:lineRule="auto"/>
        <w:tabs>
          <w:tab w:leader="none" w:pos="2640" w:val="left"/>
        </w:tabs>
        <w:numPr>
          <w:ilvl w:val="1"/>
          <w:numId w:val="130"/>
        </w:numPr>
        <w:rPr>
          <w:rFonts w:ascii="Arial" w:cs="Arial" w:eastAsia="Arial" w:hAnsi="Arial"/>
          <w:sz w:val="22"/>
          <w:szCs w:val="22"/>
          <w:color w:val="auto"/>
        </w:rPr>
      </w:pPr>
      <w:r>
        <w:rPr>
          <w:rFonts w:ascii="Arial" w:cs="Arial" w:eastAsia="Arial" w:hAnsi="Arial"/>
          <w:sz w:val="22"/>
          <w:szCs w:val="22"/>
          <w:color w:val="auto"/>
        </w:rPr>
        <w:t>Participant hereby explicitly and unambiguously consents to the collection, use and transfer, in electronic or other form, of Participant’s personal data as described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0" w:name="page131"/>
    <w:bookmarkEnd w:id="130"/>
    <w:p>
      <w:pPr>
        <w:spacing w:after="0" w:line="251" w:lineRule="auto"/>
        <w:rPr>
          <w:sz w:val="20"/>
          <w:szCs w:val="20"/>
          <w:color w:val="auto"/>
        </w:rPr>
      </w:pPr>
      <w:r>
        <w:rPr>
          <w:rFonts w:ascii="Arial" w:cs="Arial" w:eastAsia="Arial" w:hAnsi="Arial"/>
          <w:sz w:val="22"/>
          <w:szCs w:val="22"/>
          <w:color w:val="auto"/>
        </w:rPr>
        <w:t>in this Agreement by the Corporation for the exclusive purpose of implementing, administering and managing Participant’s participation in the Plan.</w:t>
      </w:r>
    </w:p>
    <w:p>
      <w:pPr>
        <w:spacing w:after="0" w:line="174" w:lineRule="exact"/>
        <w:rPr>
          <w:sz w:val="20"/>
          <w:szCs w:val="20"/>
          <w:color w:val="auto"/>
        </w:rPr>
      </w:pPr>
    </w:p>
    <w:p>
      <w:pPr>
        <w:jc w:val="both"/>
        <w:ind w:firstLine="1944"/>
        <w:spacing w:after="0" w:line="271" w:lineRule="auto"/>
        <w:tabs>
          <w:tab w:leader="none" w:pos="2586" w:val="left"/>
        </w:tabs>
        <w:numPr>
          <w:ilvl w:val="1"/>
          <w:numId w:val="131"/>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59" w:lineRule="exact"/>
        <w:rPr>
          <w:rFonts w:ascii="Arial" w:cs="Arial" w:eastAsia="Arial" w:hAnsi="Arial"/>
          <w:sz w:val="19"/>
          <w:szCs w:val="19"/>
          <w:color w:val="auto"/>
        </w:rPr>
      </w:pPr>
    </w:p>
    <w:p>
      <w:pPr>
        <w:jc w:val="both"/>
        <w:ind w:firstLine="1296"/>
        <w:spacing w:after="0" w:line="239" w:lineRule="auto"/>
        <w:tabs>
          <w:tab w:leader="none" w:pos="2012" w:val="left"/>
        </w:tabs>
        <w:numPr>
          <w:ilvl w:val="0"/>
          <w:numId w:val="13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 by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296"/>
        <w:spacing w:after="0" w:line="243" w:lineRule="auto"/>
        <w:tabs>
          <w:tab w:leader="none" w:pos="1958" w:val="left"/>
        </w:tabs>
        <w:numPr>
          <w:ilvl w:val="0"/>
          <w:numId w:val="132"/>
        </w:numPr>
        <w:rPr>
          <w:rFonts w:ascii="Arial" w:cs="Arial" w:eastAsia="Arial" w:hAnsi="Arial"/>
          <w:sz w:val="22"/>
          <w:szCs w:val="22"/>
          <w:color w:val="auto"/>
        </w:rPr>
      </w:pPr>
      <w:r>
        <w:rPr>
          <w:rFonts w:ascii="Arial" w:cs="Arial" w:eastAsia="Arial" w:hAnsi="Arial"/>
          <w:sz w:val="22"/>
          <w:szCs w:val="22"/>
          <w:b w:val="1"/>
          <w:bCs w:val="1"/>
          <w:u w:val="single" w:color="auto"/>
          <w:color w:val="auto"/>
        </w:rPr>
        <w:t>Other Agreements Superseded</w:t>
      </w:r>
      <w:r>
        <w:rPr>
          <w:rFonts w:ascii="Arial" w:cs="Arial" w:eastAsia="Arial" w:hAnsi="Arial"/>
          <w:sz w:val="22"/>
          <w:szCs w:val="22"/>
          <w:color w:val="auto"/>
        </w:rPr>
        <w:t>. The Award Notice, this Agreement, and the Plan constitute</w:t>
      </w:r>
      <w:r>
        <w:rPr>
          <w:rFonts w:ascii="Arial" w:cs="Arial" w:eastAsia="Arial" w:hAnsi="Arial"/>
          <w:sz w:val="22"/>
          <w:szCs w:val="22"/>
          <w:b w:val="1"/>
          <w:bCs w:val="1"/>
          <w:color w:val="auto"/>
        </w:rPr>
        <w:t xml:space="preserve"> </w:t>
      </w:r>
      <w:r>
        <w:rPr>
          <w:rFonts w:ascii="Arial" w:cs="Arial" w:eastAsia="Arial" w:hAnsi="Arial"/>
          <w:sz w:val="22"/>
          <w:szCs w:val="22"/>
          <w:color w:val="auto"/>
        </w:rPr>
        <w:t>the entire understanding between Participant and the Corporation regarding the Award. Any prior agreements, commitments or negotiations concerning the Award are superseded.</w:t>
      </w:r>
    </w:p>
    <w:p>
      <w:pPr>
        <w:spacing w:after="0" w:line="176" w:lineRule="exact"/>
        <w:rPr>
          <w:rFonts w:ascii="Arial" w:cs="Arial" w:eastAsia="Arial" w:hAnsi="Arial"/>
          <w:sz w:val="22"/>
          <w:szCs w:val="22"/>
          <w:color w:val="auto"/>
        </w:rPr>
      </w:pPr>
    </w:p>
    <w:p>
      <w:pPr>
        <w:jc w:val="both"/>
        <w:ind w:firstLine="1296"/>
        <w:spacing w:after="0" w:line="301" w:lineRule="auto"/>
        <w:tabs>
          <w:tab w:leader="none" w:pos="2120" w:val="left"/>
        </w:tabs>
        <w:numPr>
          <w:ilvl w:val="0"/>
          <w:numId w:val="132"/>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Plan Document</w:t>
      </w:r>
      <w:r>
        <w:rPr>
          <w:rFonts w:ascii="Arial" w:cs="Arial" w:eastAsia="Arial" w:hAnsi="Arial"/>
          <w:sz w:val="19"/>
          <w:szCs w:val="19"/>
          <w:color w:val="auto"/>
        </w:rPr>
        <w:t>. The Award is subject to all the provisions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2"/>
          <w:szCs w:val="22"/>
          <w:b w:val="1"/>
          <w:bCs w:val="1"/>
          <w:color w:val="auto"/>
        </w:rPr>
        <w:t>APPENDIX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1"/>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41" w:hanging="644"/>
        <w:spacing w:after="0"/>
        <w:tabs>
          <w:tab w:leader="none" w:pos="1941" w:val="left"/>
        </w:tabs>
        <w:numPr>
          <w:ilvl w:val="1"/>
          <w:numId w:val="133"/>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206" w:lineRule="exact"/>
        <w:rPr>
          <w:rFonts w:ascii="Arial" w:cs="Arial" w:eastAsia="Arial" w:hAnsi="Arial"/>
          <w:sz w:val="22"/>
          <w:szCs w:val="22"/>
          <w:color w:val="auto"/>
        </w:rPr>
      </w:pPr>
    </w:p>
    <w:p>
      <w:pPr>
        <w:ind w:left="1" w:firstLine="1296"/>
        <w:spacing w:after="0" w:line="256" w:lineRule="auto"/>
        <w:tabs>
          <w:tab w:leader="none" w:pos="2103" w:val="left"/>
        </w:tabs>
        <w:numPr>
          <w:ilvl w:val="1"/>
          <w:numId w:val="13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of this Agreement.</w:t>
      </w:r>
    </w:p>
    <w:p>
      <w:pPr>
        <w:spacing w:after="0" w:line="162" w:lineRule="exact"/>
        <w:rPr>
          <w:rFonts w:ascii="Arial" w:cs="Arial" w:eastAsia="Arial" w:hAnsi="Arial"/>
          <w:sz w:val="22"/>
          <w:szCs w:val="22"/>
          <w:color w:val="auto"/>
        </w:rPr>
      </w:pPr>
    </w:p>
    <w:p>
      <w:pPr>
        <w:ind w:left="1" w:firstLine="1296"/>
        <w:spacing w:after="0" w:line="256" w:lineRule="auto"/>
        <w:tabs>
          <w:tab w:leader="none" w:pos="1941" w:val="left"/>
        </w:tabs>
        <w:numPr>
          <w:ilvl w:val="1"/>
          <w:numId w:val="13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restricted stock units are awarded to Participant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Agreement and shall be the date specified in the Award Notice.</w:t>
      </w:r>
    </w:p>
    <w:p>
      <w:pPr>
        <w:spacing w:after="0" w:line="162" w:lineRule="exact"/>
        <w:rPr>
          <w:rFonts w:ascii="Arial" w:cs="Arial" w:eastAsia="Arial" w:hAnsi="Arial"/>
          <w:sz w:val="22"/>
          <w:szCs w:val="22"/>
          <w:color w:val="auto"/>
        </w:rPr>
      </w:pPr>
    </w:p>
    <w:p>
      <w:pPr>
        <w:jc w:val="both"/>
        <w:ind w:left="1" w:firstLine="1296"/>
        <w:spacing w:after="0" w:line="243" w:lineRule="auto"/>
        <w:tabs>
          <w:tab w:leader="none" w:pos="2237" w:val="left"/>
        </w:tabs>
        <w:numPr>
          <w:ilvl w:val="1"/>
          <w:numId w:val="13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Notice of Award of Time-Based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delivered to Participant in which there is set forth the basic terms of the restricted stock units subject to this Agreement, including (without limitation) the applicable vesting schedule for those units.</w:t>
      </w:r>
    </w:p>
    <w:p>
      <w:pPr>
        <w:spacing w:after="0" w:line="176" w:lineRule="exact"/>
        <w:rPr>
          <w:rFonts w:ascii="Arial" w:cs="Arial" w:eastAsia="Arial" w:hAnsi="Arial"/>
          <w:sz w:val="22"/>
          <w:szCs w:val="22"/>
          <w:color w:val="auto"/>
        </w:rPr>
      </w:pPr>
    </w:p>
    <w:p>
      <w:pPr>
        <w:jc w:val="both"/>
        <w:ind w:left="1" w:firstLine="1296"/>
        <w:spacing w:after="0" w:line="276" w:lineRule="auto"/>
        <w:tabs>
          <w:tab w:leader="none" w:pos="1969" w:val="left"/>
        </w:tabs>
        <w:numPr>
          <w:ilvl w:val="1"/>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 Participant is, at the time the Corporation (or any Parent or Subsidiary) purports to terminate Participant’s Employee status for Cause, a party to a Change in Control Benefits Agreement applicable to the Award, the term </w:t>
      </w:r>
      <w:r>
        <w:rPr>
          <w:rFonts w:ascii="Arial" w:cs="Arial" w:eastAsia="Arial" w:hAnsi="Arial"/>
          <w:sz w:val="19"/>
          <w:szCs w:val="19"/>
          <w:b w:val="1"/>
          <w:bCs w:val="1"/>
          <w:color w:val="auto"/>
        </w:rPr>
        <w:t xml:space="preserve">Cause </w:t>
      </w:r>
      <w:r>
        <w:rPr>
          <w:rFonts w:ascii="Arial" w:cs="Arial" w:eastAsia="Arial" w:hAnsi="Arial"/>
          <w:sz w:val="19"/>
          <w:szCs w:val="19"/>
          <w:color w:val="auto"/>
        </w:rPr>
        <w:t>shall have the meaning ascribed to that term in such Change in Control Benefits Agreement. The foregoing</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50" w:lineRule="exact"/>
        <w:rPr>
          <w:rFonts w:ascii="Arial" w:cs="Arial" w:eastAsia="Arial" w:hAnsi="Arial"/>
          <w:sz w:val="19"/>
          <w:szCs w:val="19"/>
          <w:color w:val="auto"/>
        </w:rPr>
      </w:pPr>
    </w:p>
    <w:p>
      <w:pPr>
        <w:jc w:val="both"/>
        <w:ind w:left="1" w:firstLine="1296"/>
        <w:spacing w:after="0" w:line="301" w:lineRule="auto"/>
        <w:tabs>
          <w:tab w:leader="none" w:pos="1994" w:val="left"/>
        </w:tabs>
        <w:numPr>
          <w:ilvl w:val="1"/>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 party to a Change in Control Benefits Agreement applicable to the Award, the term Change in Control shall have the meaning ascribed to that term in such Change in Control Benefits Agreement.</w:t>
      </w:r>
    </w:p>
    <w:p>
      <w:pPr>
        <w:spacing w:after="0" w:line="123" w:lineRule="exact"/>
        <w:rPr>
          <w:rFonts w:ascii="Arial" w:cs="Arial" w:eastAsia="Arial" w:hAnsi="Arial"/>
          <w:sz w:val="19"/>
          <w:szCs w:val="19"/>
          <w:color w:val="auto"/>
        </w:rPr>
      </w:pPr>
    </w:p>
    <w:p>
      <w:pPr>
        <w:jc w:val="both"/>
        <w:ind w:left="1" w:firstLine="1296"/>
        <w:spacing w:after="0" w:line="284" w:lineRule="auto"/>
        <w:tabs>
          <w:tab w:leader="none" w:pos="2250" w:val="left"/>
        </w:tabs>
        <w:numPr>
          <w:ilvl w:val="1"/>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any separate agreement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38" w:lineRule="exact"/>
        <w:rPr>
          <w:rFonts w:ascii="Arial" w:cs="Arial" w:eastAsia="Arial" w:hAnsi="Arial"/>
          <w:sz w:val="19"/>
          <w:szCs w:val="19"/>
          <w:color w:val="auto"/>
        </w:rPr>
      </w:pPr>
    </w:p>
    <w:p>
      <w:pPr>
        <w:jc w:val="both"/>
        <w:ind w:left="1" w:firstLine="1296"/>
        <w:spacing w:after="0" w:line="280" w:lineRule="auto"/>
        <w:tabs>
          <w:tab w:leader="none" w:pos="2007" w:val="left"/>
        </w:tabs>
        <w:numPr>
          <w:ilvl w:val="1"/>
          <w:numId w:val="133"/>
        </w:numPr>
        <w:rPr>
          <w:rFonts w:ascii="Arial" w:cs="Arial" w:eastAsia="Arial" w:hAnsi="Arial"/>
          <w:sz w:val="19"/>
          <w:szCs w:val="19"/>
          <w:color w:val="auto"/>
        </w:rPr>
      </w:pPr>
      <w:r>
        <w:rPr>
          <w:rFonts w:ascii="Arial" w:cs="Arial" w:eastAsia="Arial" w:hAnsi="Arial"/>
          <w:sz w:val="19"/>
          <w:szCs w:val="19"/>
          <w:b w:val="1"/>
          <w:bCs w:val="1"/>
          <w:u w:val="single" w:color="auto"/>
          <w:color w:val="auto"/>
        </w:rPr>
        <w:t>Early Retirement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retirement from Service, with the prior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Corporation (or the Parent or Subsidiary employing Participant), on or after the attainment of age fifty-five</w:t>
      </w:r>
    </w:p>
    <w:p>
      <w:pPr>
        <w:ind w:left="421" w:hanging="421"/>
        <w:spacing w:after="0"/>
        <w:tabs>
          <w:tab w:leader="none" w:pos="421"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and the completion of at least five (5)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493395</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1" w:right="919" w:bottom="1440" w:gutter="0" w:footer="0" w:header="0"/>
        </w:sectPr>
      </w:pPr>
    </w:p>
    <w:bookmarkStart w:id="132" w:name="page133"/>
    <w:bookmarkEnd w:id="132"/>
    <w:p>
      <w:pPr>
        <w:jc w:val="both"/>
        <w:ind w:firstLine="1296"/>
        <w:spacing w:after="0" w:line="239" w:lineRule="auto"/>
        <w:tabs>
          <w:tab w:leader="none" w:pos="1990" w:val="left"/>
        </w:tabs>
        <w:numPr>
          <w:ilvl w:val="0"/>
          <w:numId w:val="135"/>
        </w:numPr>
        <w:rPr>
          <w:rFonts w:ascii="Arial" w:cs="Arial" w:eastAsia="Arial" w:hAnsi="Arial"/>
          <w:sz w:val="22"/>
          <w:szCs w:val="22"/>
          <w:color w:val="auto"/>
        </w:rPr>
      </w:pPr>
      <w:r>
        <w:rPr>
          <w:rFonts w:ascii="Arial" w:cs="Arial" w:eastAsia="Arial" w:hAnsi="Arial"/>
          <w:sz w:val="22"/>
          <w:szCs w:val="22"/>
          <w:b w:val="1"/>
          <w:bCs w:val="1"/>
          <w:u w:val="single" w:color="auto"/>
          <w:color w:val="auto"/>
        </w:rPr>
        <w:t>Good Reason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provided however</w:t>
      </w:r>
      <w:r>
        <w:rPr>
          <w:rFonts w:ascii="Arial" w:cs="Arial" w:eastAsia="Arial" w:hAnsi="Arial"/>
          <w:sz w:val="22"/>
          <w:szCs w:val="22"/>
          <w:color w:val="auto"/>
        </w:rPr>
        <w:t>, in the event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Participant is at the time of his or her cessation of Employee status a party to a Change in Control Benefits Agreement applicable to the Award evidenced by this Agreement, the term </w:t>
      </w:r>
      <w:r>
        <w:rPr>
          <w:rFonts w:ascii="Arial" w:cs="Arial" w:eastAsia="Arial" w:hAnsi="Arial"/>
          <w:sz w:val="22"/>
          <w:szCs w:val="22"/>
          <w:b w:val="1"/>
          <w:bCs w:val="1"/>
          <w:color w:val="auto"/>
        </w:rPr>
        <w:t>Good Reason</w:t>
      </w:r>
      <w:r>
        <w:rPr>
          <w:rFonts w:ascii="Arial" w:cs="Arial" w:eastAsia="Arial" w:hAnsi="Arial"/>
          <w:sz w:val="22"/>
          <w:szCs w:val="22"/>
          <w:color w:val="auto"/>
        </w:rPr>
        <w:t xml:space="preserve"> shall have the meaning ascribed to that term in such Change in Control Benefits Agreement.</w:t>
      </w:r>
    </w:p>
    <w:p>
      <w:pPr>
        <w:spacing w:after="0" w:line="181" w:lineRule="exact"/>
        <w:rPr>
          <w:rFonts w:ascii="Arial" w:cs="Arial" w:eastAsia="Arial" w:hAnsi="Arial"/>
          <w:sz w:val="22"/>
          <w:szCs w:val="22"/>
          <w:color w:val="auto"/>
        </w:rPr>
      </w:pPr>
    </w:p>
    <w:p>
      <w:pPr>
        <w:ind w:firstLine="1296"/>
        <w:spacing w:after="0" w:line="256" w:lineRule="auto"/>
        <w:tabs>
          <w:tab w:leader="none" w:pos="1880" w:val="left"/>
        </w:tabs>
        <w:numPr>
          <w:ilvl w:val="0"/>
          <w:numId w:val="135"/>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 retirement at</w:t>
      </w:r>
      <w:r>
        <w:rPr>
          <w:rFonts w:ascii="Arial" w:cs="Arial" w:eastAsia="Arial" w:hAnsi="Arial"/>
          <w:sz w:val="22"/>
          <w:szCs w:val="22"/>
          <w:b w:val="1"/>
          <w:bCs w:val="1"/>
          <w:color w:val="auto"/>
        </w:rPr>
        <w:t xml:space="preserve"> </w:t>
      </w:r>
      <w:r>
        <w:rPr>
          <w:rFonts w:ascii="Arial" w:cs="Arial" w:eastAsia="Arial" w:hAnsi="Arial"/>
          <w:sz w:val="22"/>
          <w:szCs w:val="22"/>
          <w:color w:val="auto"/>
        </w:rPr>
        <w:t>or after the attainment of age sixty-five (65).</w:t>
      </w:r>
    </w:p>
    <w:p>
      <w:pPr>
        <w:spacing w:after="0" w:line="162" w:lineRule="exact"/>
        <w:rPr>
          <w:rFonts w:ascii="Arial" w:cs="Arial" w:eastAsia="Arial" w:hAnsi="Arial"/>
          <w:sz w:val="22"/>
          <w:szCs w:val="22"/>
          <w:color w:val="auto"/>
        </w:rPr>
      </w:pPr>
    </w:p>
    <w:p>
      <w:pPr>
        <w:ind w:left="1940" w:hanging="644"/>
        <w:spacing w:after="0"/>
        <w:tabs>
          <w:tab w:leader="none" w:pos="1940" w:val="left"/>
        </w:tabs>
        <w:numPr>
          <w:ilvl w:val="0"/>
          <w:numId w:val="135"/>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 Agreement.</w:t>
      </w:r>
    </w:p>
    <w:p>
      <w:pPr>
        <w:spacing w:after="0" w:line="240" w:lineRule="exact"/>
        <w:rPr>
          <w:rFonts w:ascii="Arial" w:cs="Arial" w:eastAsia="Arial" w:hAnsi="Arial"/>
          <w:sz w:val="19"/>
          <w:szCs w:val="19"/>
          <w:color w:val="auto"/>
        </w:rPr>
      </w:pPr>
    </w:p>
    <w:p>
      <w:pPr>
        <w:ind w:left="1920" w:hanging="624"/>
        <w:spacing w:after="0"/>
        <w:tabs>
          <w:tab w:leader="none" w:pos="1920" w:val="left"/>
        </w:tabs>
        <w:numPr>
          <w:ilvl w:val="0"/>
          <w:numId w:val="135"/>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rFonts w:ascii="Arial" w:cs="Arial" w:eastAsia="Arial" w:hAnsi="Arial"/>
          <w:sz w:val="22"/>
          <w:szCs w:val="22"/>
          <w:color w:val="auto"/>
        </w:rPr>
      </w:pPr>
    </w:p>
    <w:p>
      <w:pPr>
        <w:jc w:val="both"/>
        <w:ind w:firstLine="1296"/>
        <w:spacing w:after="0" w:line="280" w:lineRule="auto"/>
        <w:tabs>
          <w:tab w:leader="none" w:pos="2177" w:val="left"/>
        </w:tabs>
        <w:numPr>
          <w:ilvl w:val="0"/>
          <w:numId w:val="135"/>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on which there occurs a Change in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that also qualifies as: (i) a change in the ownership of the Corporation, as determined in accordance</w:t>
      </w:r>
    </w:p>
    <w:p>
      <w:pPr>
        <w:jc w:val="both"/>
        <w:spacing w:after="0" w:line="233" w:lineRule="auto"/>
        <w:rPr>
          <w:sz w:val="20"/>
          <w:szCs w:val="20"/>
          <w:color w:val="auto"/>
        </w:rPr>
      </w:pPr>
      <w:r>
        <w:rPr>
          <w:rFonts w:ascii="Arial" w:cs="Arial" w:eastAsia="Arial" w:hAnsi="Arial"/>
          <w:sz w:val="22"/>
          <w:szCs w:val="22"/>
          <w:color w:val="auto"/>
        </w:rPr>
        <w:t>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82" w:lineRule="exact"/>
        <w:rPr>
          <w:sz w:val="20"/>
          <w:szCs w:val="20"/>
          <w:color w:val="auto"/>
        </w:rPr>
      </w:pPr>
    </w:p>
    <w:p>
      <w:pPr>
        <w:jc w:val="both"/>
        <w:ind w:firstLine="1296"/>
        <w:spacing w:after="0" w:line="270" w:lineRule="auto"/>
        <w:tabs>
          <w:tab w:leader="none" w:pos="1939" w:val="left"/>
        </w:tabs>
        <w:numPr>
          <w:ilvl w:val="0"/>
          <w:numId w:val="136"/>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 by reason</w:t>
      </w:r>
      <w:r>
        <w:rPr>
          <w:rFonts w:ascii="Arial" w:cs="Arial" w:eastAsia="Arial" w:hAnsi="Arial"/>
          <w:sz w:val="19"/>
          <w:szCs w:val="19"/>
          <w:b w:val="1"/>
          <w:bCs w:val="1"/>
          <w:color w:val="auto"/>
        </w:rPr>
        <w:t xml:space="preserve"> </w:t>
      </w:r>
      <w:r>
        <w:rPr>
          <w:rFonts w:ascii="Arial" w:cs="Arial" w:eastAsia="Arial" w:hAnsi="Arial"/>
          <w:sz w:val="19"/>
          <w:szCs w:val="19"/>
          <w:color w:val="auto"/>
        </w:rPr>
        <w:t>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33" w:name="page134"/>
    <w:bookmarkEnd w:id="133"/>
    <w:p>
      <w:pPr>
        <w:jc w:val="both"/>
        <w:ind w:firstLine="1296"/>
        <w:spacing w:after="0" w:line="239" w:lineRule="auto"/>
        <w:tabs>
          <w:tab w:leader="none" w:pos="2020" w:val="left"/>
        </w:tabs>
        <w:numPr>
          <w:ilvl w:val="0"/>
          <w:numId w:val="137"/>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 any Parent</w:t>
      </w:r>
      <w:r>
        <w:rPr>
          <w:rFonts w:ascii="Arial" w:cs="Arial" w:eastAsia="Arial" w:hAnsi="Arial"/>
          <w:sz w:val="22"/>
          <w:szCs w:val="22"/>
          <w:b w:val="1"/>
          <w:bCs w:val="1"/>
          <w:color w:val="auto"/>
        </w:rPr>
        <w:t xml:space="preserve"> </w:t>
      </w:r>
      <w:r>
        <w:rPr>
          <w:rFonts w:ascii="Arial" w:cs="Arial" w:eastAsia="Arial" w:hAnsi="Arial"/>
          <w:sz w:val="22"/>
          <w:szCs w:val="22"/>
          <w:color w:val="auto"/>
        </w:rPr>
        <w:t>or Subsidiary) in the capacity of an Employee, a non-employee member of the board of directors or a consultant or independent advisor. In addition, the following provisions shall govern the determination of Participant’s period of Service:</w:t>
      </w:r>
    </w:p>
    <w:p>
      <w:pPr>
        <w:spacing w:after="0" w:line="187" w:lineRule="exact"/>
        <w:rPr>
          <w:rFonts w:ascii="Arial" w:cs="Arial" w:eastAsia="Arial" w:hAnsi="Arial"/>
          <w:sz w:val="22"/>
          <w:szCs w:val="22"/>
          <w:color w:val="auto"/>
        </w:rPr>
      </w:pPr>
    </w:p>
    <w:p>
      <w:pPr>
        <w:jc w:val="both"/>
        <w:ind w:left="640" w:firstLine="1304"/>
        <w:spacing w:after="0" w:line="258" w:lineRule="auto"/>
        <w:tabs>
          <w:tab w:leader="none" w:pos="2533" w:val="left"/>
        </w:tabs>
        <w:numPr>
          <w:ilvl w:val="1"/>
          <w:numId w:val="137"/>
        </w:numPr>
        <w:rPr>
          <w:rFonts w:ascii="Arial" w:cs="Arial" w:eastAsia="Arial" w:hAnsi="Arial"/>
          <w:sz w:val="21"/>
          <w:szCs w:val="21"/>
          <w:color w:val="auto"/>
        </w:rPr>
      </w:pPr>
      <w:r>
        <w:rPr>
          <w:rFonts w:ascii="Arial" w:cs="Arial" w:eastAsia="Arial" w:hAnsi="Arial"/>
          <w:sz w:val="21"/>
          <w:szCs w:val="21"/>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93" w:lineRule="exact"/>
        <w:rPr>
          <w:rFonts w:ascii="Arial" w:cs="Arial" w:eastAsia="Arial" w:hAnsi="Arial"/>
          <w:sz w:val="21"/>
          <w:szCs w:val="21"/>
          <w:color w:val="auto"/>
        </w:rPr>
      </w:pPr>
    </w:p>
    <w:p>
      <w:pPr>
        <w:jc w:val="both"/>
        <w:ind w:left="640" w:firstLine="1304"/>
        <w:spacing w:after="0" w:line="249" w:lineRule="auto"/>
        <w:tabs>
          <w:tab w:leader="none" w:pos="2597" w:val="left"/>
        </w:tabs>
        <w:numPr>
          <w:ilvl w:val="1"/>
          <w:numId w:val="137"/>
        </w:numPr>
        <w:rPr>
          <w:rFonts w:ascii="Arial" w:cs="Arial" w:eastAsia="Arial" w:hAnsi="Arial"/>
          <w:sz w:val="21"/>
          <w:szCs w:val="21"/>
          <w:color w:val="auto"/>
        </w:rPr>
      </w:pPr>
      <w:r>
        <w:rPr>
          <w:rFonts w:ascii="Arial" w:cs="Arial" w:eastAsia="Arial" w:hAnsi="Arial"/>
          <w:sz w:val="21"/>
          <w:szCs w:val="21"/>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205" w:lineRule="exact"/>
        <w:rPr>
          <w:rFonts w:ascii="Arial" w:cs="Arial" w:eastAsia="Arial" w:hAnsi="Arial"/>
          <w:sz w:val="21"/>
          <w:szCs w:val="21"/>
          <w:color w:val="auto"/>
        </w:rPr>
      </w:pPr>
    </w:p>
    <w:p>
      <w:pPr>
        <w:jc w:val="both"/>
        <w:ind w:left="640" w:firstLine="1304"/>
        <w:spacing w:after="0" w:line="238" w:lineRule="auto"/>
        <w:tabs>
          <w:tab w:leader="none" w:pos="274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212" w:lineRule="exact"/>
        <w:rPr>
          <w:rFonts w:ascii="Arial" w:cs="Arial" w:eastAsia="Arial" w:hAnsi="Arial"/>
          <w:sz w:val="22"/>
          <w:szCs w:val="22"/>
          <w:color w:val="auto"/>
        </w:rPr>
      </w:pPr>
    </w:p>
    <w:p>
      <w:pPr>
        <w:jc w:val="both"/>
        <w:ind w:left="640" w:firstLine="1952"/>
        <w:spacing w:after="0" w:line="287" w:lineRule="auto"/>
        <w:tabs>
          <w:tab w:leader="none" w:pos="3285" w:val="left"/>
        </w:tabs>
        <w:numPr>
          <w:ilvl w:val="2"/>
          <w:numId w:val="137"/>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70" w:lineRule="exact"/>
        <w:rPr>
          <w:rFonts w:ascii="Arial" w:cs="Arial" w:eastAsia="Arial" w:hAnsi="Arial"/>
          <w:sz w:val="19"/>
          <w:szCs w:val="19"/>
          <w:color w:val="auto"/>
        </w:rPr>
      </w:pPr>
    </w:p>
    <w:p>
      <w:pPr>
        <w:jc w:val="both"/>
        <w:ind w:left="640" w:firstLine="1952"/>
        <w:spacing w:after="0" w:line="275" w:lineRule="auto"/>
        <w:tabs>
          <w:tab w:leader="none" w:pos="3287" w:val="left"/>
        </w:tabs>
        <w:numPr>
          <w:ilvl w:val="2"/>
          <w:numId w:val="137"/>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85" w:lineRule="exact"/>
        <w:rPr>
          <w:rFonts w:ascii="Arial" w:cs="Arial" w:eastAsia="Arial" w:hAnsi="Arial"/>
          <w:sz w:val="19"/>
          <w:szCs w:val="19"/>
          <w:color w:val="auto"/>
        </w:rPr>
      </w:pPr>
    </w:p>
    <w:p>
      <w:pPr>
        <w:jc w:val="both"/>
        <w:ind w:left="640" w:firstLine="1952"/>
        <w:spacing w:after="0" w:line="258" w:lineRule="auto"/>
        <w:tabs>
          <w:tab w:leader="none" w:pos="3248" w:val="left"/>
        </w:tabs>
        <w:numPr>
          <w:ilvl w:val="2"/>
          <w:numId w:val="137"/>
        </w:numPr>
        <w:rPr>
          <w:rFonts w:ascii="Arial" w:cs="Arial" w:eastAsia="Arial" w:hAnsi="Arial"/>
          <w:sz w:val="21"/>
          <w:szCs w:val="21"/>
          <w:color w:val="auto"/>
        </w:rPr>
      </w:pPr>
      <w:r>
        <w:rPr>
          <w:rFonts w:ascii="Arial" w:cs="Arial" w:eastAsia="Arial" w:hAnsi="Arial"/>
          <w:sz w:val="21"/>
          <w:szCs w:val="21"/>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1" w:right="919" w:bottom="1440" w:gutter="0" w:footer="0" w:header="0"/>
        </w:sectPr>
      </w:pPr>
    </w:p>
    <w:bookmarkStart w:id="134" w:name="page135"/>
    <w:bookmarkEnd w:id="134"/>
    <w:p>
      <w:pPr>
        <w:jc w:val="both"/>
        <w:ind w:left="120" w:firstLine="1304"/>
        <w:spacing w:after="0" w:line="241" w:lineRule="auto"/>
        <w:tabs>
          <w:tab w:leader="none" w:pos="2087" w:val="left"/>
        </w:tabs>
        <w:numPr>
          <w:ilvl w:val="0"/>
          <w:numId w:val="138"/>
        </w:numPr>
        <w:rPr>
          <w:rFonts w:ascii="Arial" w:cs="Arial" w:eastAsia="Arial" w:hAnsi="Arial"/>
          <w:sz w:val="22"/>
          <w:szCs w:val="22"/>
          <w:color w:val="auto"/>
        </w:rPr>
      </w:pPr>
      <w:r>
        <w:rPr>
          <w:rFonts w:ascii="Arial" w:cs="Arial" w:eastAsia="Arial" w:hAnsi="Arial"/>
          <w:sz w:val="22"/>
          <w:szCs w:val="22"/>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400"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10.68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 AWARD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ind w:left="2380" w:hanging="1081"/>
        <w:spacing w:after="0"/>
        <w:tabs>
          <w:tab w:leader="none" w:pos="238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53" w:lineRule="exact"/>
        <w:rPr>
          <w:sz w:val="20"/>
          <w:szCs w:val="20"/>
          <w:color w:val="auto"/>
        </w:rPr>
      </w:pPr>
    </w:p>
    <w:p>
      <w:pPr>
        <w:jc w:val="both"/>
        <w:ind w:firstLine="1299"/>
        <w:spacing w:after="0" w:line="238" w:lineRule="auto"/>
        <w:tabs>
          <w:tab w:leader="none" w:pos="216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85" w:lineRule="exact"/>
        <w:rPr>
          <w:rFonts w:ascii="Arial" w:cs="Arial" w:eastAsia="Arial" w:hAnsi="Arial"/>
          <w:sz w:val="22"/>
          <w:szCs w:val="22"/>
          <w:color w:val="auto"/>
        </w:rPr>
      </w:pPr>
    </w:p>
    <w:p>
      <w:pPr>
        <w:ind w:firstLine="1299"/>
        <w:spacing w:after="0" w:line="251" w:lineRule="auto"/>
        <w:tabs>
          <w:tab w:leader="none" w:pos="2027" w:val="left"/>
        </w:tabs>
        <w:numPr>
          <w:ilvl w:val="0"/>
          <w:numId w:val="140"/>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9"/>
        <w:spacing w:after="0" w:line="237" w:lineRule="auto"/>
        <w:tabs>
          <w:tab w:leader="none" w:pos="2039" w:val="left"/>
        </w:tabs>
        <w:numPr>
          <w:ilvl w:val="0"/>
          <w:numId w:val="141"/>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Performance Shares</w:t>
      </w:r>
      <w:r>
        <w:rPr>
          <w:rFonts w:ascii="Arial" w:cs="Arial" w:eastAsia="Arial" w:hAnsi="Arial"/>
          <w:sz w:val="22"/>
          <w:szCs w:val="22"/>
          <w:color w:val="auto"/>
        </w:rPr>
        <w:t>. The Corporation hereby awards to Participant,</w:t>
      </w:r>
      <w:r>
        <w:rPr>
          <w:rFonts w:ascii="Arial" w:cs="Arial" w:eastAsia="Arial" w:hAnsi="Arial"/>
          <w:sz w:val="22"/>
          <w:szCs w:val="22"/>
          <w:b w:val="1"/>
          <w:bCs w:val="1"/>
          <w:color w:val="auto"/>
        </w:rPr>
        <w:t xml:space="preserve"> </w:t>
      </w:r>
      <w:r>
        <w:rPr>
          <w:rFonts w:ascii="Arial" w:cs="Arial" w:eastAsia="Arial" w:hAnsi="Arial"/>
          <w:sz w:val="22"/>
          <w:szCs w:val="22"/>
          <w:color w:val="auto"/>
        </w:rPr>
        <w:t>as of the 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82" w:lineRule="exact"/>
        <w:rPr>
          <w:rFonts w:ascii="Arial" w:cs="Arial" w:eastAsia="Arial" w:hAnsi="Arial"/>
          <w:sz w:val="22"/>
          <w:szCs w:val="22"/>
          <w:color w:val="auto"/>
        </w:rPr>
      </w:pPr>
    </w:p>
    <w:p>
      <w:pPr>
        <w:jc w:val="both"/>
        <w:ind w:firstLine="1299"/>
        <w:spacing w:after="0" w:line="273" w:lineRule="auto"/>
        <w:tabs>
          <w:tab w:leader="none" w:pos="2066"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which vest</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Participant may not transfer any interest in the Performance Shares subject to the Award or the underlying Shares or pledge or otherwise hedge the sale of those Performance Shares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399" w:lineRule="exact"/>
        <w:rPr>
          <w:rFonts w:ascii="Arial" w:cs="Arial" w:eastAsia="Arial" w:hAnsi="Arial"/>
          <w:sz w:val="19"/>
          <w:szCs w:val="19"/>
          <w:color w:val="auto"/>
        </w:rPr>
      </w:pPr>
    </w:p>
    <w:p>
      <w:pPr>
        <w:jc w:val="both"/>
        <w:ind w:firstLine="1299"/>
        <w:spacing w:after="0" w:line="301" w:lineRule="auto"/>
        <w:tabs>
          <w:tab w:leader="none" w:pos="1999" w:val="left"/>
        </w:tabs>
        <w:numPr>
          <w:ilvl w:val="0"/>
          <w:numId w:val="141"/>
        </w:numPr>
        <w:rPr>
          <w:rFonts w:ascii="Arial" w:cs="Arial" w:eastAsia="Arial" w:hAnsi="Arial"/>
          <w:sz w:val="19"/>
          <w:szCs w:val="19"/>
          <w:color w:val="auto"/>
        </w:rPr>
      </w:pPr>
      <w:r>
        <w:rPr>
          <w:rFonts w:ascii="Arial" w:cs="Arial" w:eastAsia="Arial" w:hAnsi="Arial"/>
          <w:sz w:val="19"/>
          <w:szCs w:val="19"/>
          <w:b w:val="1"/>
          <w:bCs w:val="1"/>
          <w:u w:val="single" w:color="auto"/>
          <w:color w:val="auto"/>
        </w:rPr>
        <w:t>Vesting Requirements</w:t>
      </w:r>
      <w:r>
        <w:rPr>
          <w:rFonts w:ascii="Arial" w:cs="Arial" w:eastAsia="Arial" w:hAnsi="Arial"/>
          <w:sz w:val="19"/>
          <w:szCs w:val="19"/>
          <w:color w:val="auto"/>
        </w:rPr>
        <w:t>. The actual number of Shares that may vest and become</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pursuant to the Performance Shares shall be determined pursuant to a two-step process: (i) first there shall be calculated the maximum number of Shares in which Participant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455930</wp:posOffset>
            </wp:positionV>
            <wp:extent cx="575437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36" w:name="page137"/>
    <w:bookmarkEnd w:id="136"/>
    <w:p>
      <w:pPr>
        <w:spacing w:after="0" w:line="277" w:lineRule="auto"/>
        <w:rPr>
          <w:sz w:val="20"/>
          <w:szCs w:val="20"/>
          <w:color w:val="auto"/>
        </w:rPr>
      </w:pPr>
      <w:r>
        <w:rPr>
          <w:rFonts w:ascii="Arial" w:cs="Arial" w:eastAsia="Arial" w:hAnsi="Arial"/>
          <w:sz w:val="19"/>
          <w:szCs w:val="19"/>
          <w:color w:val="auto"/>
        </w:rPr>
        <w:t>vest based upon the level at which the Performance Goal specified on Schedule I to the Award Notice is actually attained and (ii) then the number of the Performance-Qualified Shares resulting from the clause</w:t>
      </w:r>
    </w:p>
    <w:p>
      <w:pPr>
        <w:jc w:val="both"/>
        <w:ind w:firstLine="3"/>
        <w:spacing w:after="0" w:line="234" w:lineRule="auto"/>
        <w:tabs>
          <w:tab w:leader="none" w:pos="28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87" w:lineRule="exact"/>
        <w:rPr>
          <w:rFonts w:ascii="Arial" w:cs="Arial" w:eastAsia="Arial" w:hAnsi="Arial"/>
          <w:sz w:val="22"/>
          <w:szCs w:val="22"/>
          <w:color w:val="auto"/>
        </w:rPr>
      </w:pPr>
    </w:p>
    <w:p>
      <w:pPr>
        <w:jc w:val="both"/>
        <w:ind w:firstLine="1948"/>
        <w:spacing w:after="0" w:line="236" w:lineRule="auto"/>
        <w:tabs>
          <w:tab w:leader="none" w:pos="2846" w:val="left"/>
        </w:tabs>
        <w:numPr>
          <w:ilvl w:val="2"/>
          <w:numId w:val="142"/>
        </w:numPr>
        <w:rPr>
          <w:rFonts w:ascii="Arial" w:cs="Arial" w:eastAsia="Arial" w:hAnsi="Arial"/>
          <w:sz w:val="22"/>
          <w:szCs w:val="22"/>
          <w:color w:val="auto"/>
        </w:rPr>
      </w:pPr>
      <w:r>
        <w:rPr>
          <w:rFonts w:ascii="Arial" w:cs="Arial" w:eastAsia="Arial" w:hAnsi="Arial"/>
          <w:sz w:val="22"/>
          <w:szCs w:val="22"/>
          <w:b w:val="1"/>
          <w:bCs w:val="1"/>
          <w:i w:val="1"/>
          <w:iCs w:val="1"/>
          <w:color w:val="auto"/>
        </w:rPr>
        <w:t>Performance Vesting</w:t>
      </w:r>
      <w:r>
        <w:rPr>
          <w:rFonts w:ascii="Arial" w:cs="Arial" w:eastAsia="Arial" w:hAnsi="Arial"/>
          <w:sz w:val="22"/>
          <w:szCs w:val="22"/>
          <w:color w:val="auto"/>
        </w:rPr>
        <w:t>: Following the completion of the Performance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Period, the 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w:t>
      </w:r>
    </w:p>
    <w:p>
      <w:pPr>
        <w:spacing w:after="0" w:line="187" w:lineRule="exact"/>
        <w:rPr>
          <w:rFonts w:ascii="Arial" w:cs="Arial" w:eastAsia="Arial" w:hAnsi="Arial"/>
          <w:sz w:val="22"/>
          <w:szCs w:val="22"/>
          <w:color w:val="auto"/>
        </w:rPr>
      </w:pPr>
    </w:p>
    <w:p>
      <w:pPr>
        <w:jc w:val="both"/>
        <w:ind w:firstLine="1948"/>
        <w:spacing w:after="0" w:line="258" w:lineRule="auto"/>
        <w:tabs>
          <w:tab w:leader="none" w:pos="2966" w:val="left"/>
        </w:tabs>
        <w:numPr>
          <w:ilvl w:val="2"/>
          <w:numId w:val="142"/>
        </w:numPr>
        <w:rPr>
          <w:rFonts w:ascii="Arial" w:cs="Arial" w:eastAsia="Arial" w:hAnsi="Arial"/>
          <w:sz w:val="21"/>
          <w:szCs w:val="21"/>
          <w:color w:val="auto"/>
        </w:rPr>
      </w:pPr>
      <w:r>
        <w:rPr>
          <w:rFonts w:ascii="Arial" w:cs="Arial" w:eastAsia="Arial" w:hAnsi="Arial"/>
          <w:sz w:val="21"/>
          <w:szCs w:val="21"/>
          <w:b w:val="1"/>
          <w:bCs w:val="1"/>
          <w:i w:val="1"/>
          <w:iCs w:val="1"/>
          <w:color w:val="auto"/>
        </w:rPr>
        <w:t>Service Vesting</w:t>
      </w:r>
      <w:r>
        <w:rPr>
          <w:rFonts w:ascii="Arial" w:cs="Arial" w:eastAsia="Arial" w:hAnsi="Arial"/>
          <w:sz w:val="21"/>
          <w:szCs w:val="21"/>
          <w:color w:val="auto"/>
        </w:rPr>
        <w:t>: The Performance-Qualified Shares so determined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represent the maximum number of Shares in which Participant can vest hereunder. The actual number of Shares in which Participant shall vest shall be determined as follows:</w:t>
      </w:r>
    </w:p>
    <w:p>
      <w:pPr>
        <w:spacing w:after="0" w:line="166" w:lineRule="exact"/>
        <w:rPr>
          <w:rFonts w:ascii="Arial" w:cs="Arial" w:eastAsia="Arial" w:hAnsi="Arial"/>
          <w:sz w:val="21"/>
          <w:szCs w:val="21"/>
          <w:color w:val="auto"/>
        </w:rPr>
      </w:pPr>
    </w:p>
    <w:p>
      <w:pPr>
        <w:jc w:val="both"/>
        <w:ind w:left="660" w:firstLine="1936"/>
        <w:spacing w:after="0" w:line="282" w:lineRule="auto"/>
        <w:tabs>
          <w:tab w:leader="none" w:pos="3368" w:val="left"/>
        </w:tabs>
        <w:numPr>
          <w:ilvl w:val="3"/>
          <w:numId w:val="142"/>
        </w:numPr>
        <w:rPr>
          <w:rFonts w:ascii="Arial" w:cs="Arial" w:eastAsia="Arial" w:hAnsi="Arial"/>
          <w:sz w:val="19"/>
          <w:szCs w:val="19"/>
          <w:color w:val="auto"/>
        </w:rPr>
      </w:pPr>
      <w:r>
        <w:rPr>
          <w:rFonts w:ascii="Arial" w:cs="Arial" w:eastAsia="Arial" w:hAnsi="Arial"/>
          <w:sz w:val="19"/>
          <w:szCs w:val="19"/>
          <w:color w:val="auto"/>
        </w:rPr>
        <w:t>If Participant continues in Service through the completion of the three (3)-year Performance Period, Participant shall vest in all of the Performance-Qualified Shares. The Shares underlying those particular Performance-Qualified Shares shall generally be issued to Participant during the period beginning with the first business day of the first calendar year following the completion of the Performance Period and ending on March 15th of that year.</w:t>
      </w:r>
    </w:p>
    <w:p>
      <w:pPr>
        <w:spacing w:after="0" w:line="147" w:lineRule="exact"/>
        <w:rPr>
          <w:rFonts w:ascii="Arial" w:cs="Arial" w:eastAsia="Arial" w:hAnsi="Arial"/>
          <w:sz w:val="19"/>
          <w:szCs w:val="19"/>
          <w:color w:val="auto"/>
        </w:rPr>
      </w:pPr>
    </w:p>
    <w:p>
      <w:pPr>
        <w:jc w:val="both"/>
        <w:ind w:left="660" w:firstLine="1936"/>
        <w:spacing w:after="0" w:line="269" w:lineRule="auto"/>
        <w:tabs>
          <w:tab w:leader="none" w:pos="3582" w:val="left"/>
        </w:tabs>
        <w:numPr>
          <w:ilvl w:val="3"/>
          <w:numId w:val="142"/>
        </w:numPr>
        <w:rPr>
          <w:rFonts w:ascii="Arial" w:cs="Arial" w:eastAsia="Arial" w:hAnsi="Arial"/>
          <w:sz w:val="19"/>
          <w:szCs w:val="19"/>
          <w:color w:val="auto"/>
        </w:rPr>
      </w:pPr>
      <w:r>
        <w:rPr>
          <w:rFonts w:ascii="Arial" w:cs="Arial" w:eastAsia="Arial" w:hAnsi="Arial"/>
          <w:sz w:val="19"/>
          <w:szCs w:val="19"/>
          <w:color w:val="auto"/>
        </w:rPr>
        <w:t xml:space="preserve">If Participant ceases Service </w:t>
      </w:r>
      <w:r>
        <w:rPr>
          <w:rFonts w:ascii="Arial" w:cs="Arial" w:eastAsia="Arial" w:hAnsi="Arial"/>
          <w:sz w:val="19"/>
          <w:szCs w:val="19"/>
          <w:b w:val="1"/>
          <w:bCs w:val="1"/>
          <w:i w:val="1"/>
          <w:iCs w:val="1"/>
          <w:color w:val="auto"/>
        </w:rPr>
        <w:t>prior to</w:t>
      </w:r>
      <w:r>
        <w:rPr>
          <w:rFonts w:ascii="Arial" w:cs="Arial" w:eastAsia="Arial" w:hAnsi="Arial"/>
          <w:sz w:val="19"/>
          <w:szCs w:val="19"/>
          <w:color w:val="auto"/>
        </w:rPr>
        <w:t xml:space="preserve"> the completion of the Performance Period by reason of Early Retirement, Normal Retirement, death or Permanent Disability, then Participant shall, upon the completion of such Performance Period, vest in a portion of the Performance-Qualified Shares determined by multiplying (x) the maximum number of Performance-Qualified Shares in which Participant would have vested, based on the actual level of Performance Goal attainment for the Performance Period, had Participant completed the three (3)-year Service vesting requirement set forth in subparagraph (i) above by</w:t>
      </w:r>
    </w:p>
    <w:p>
      <w:pPr>
        <w:spacing w:after="0" w:line="5" w:lineRule="exact"/>
        <w:rPr>
          <w:rFonts w:ascii="Arial" w:cs="Arial" w:eastAsia="Arial" w:hAnsi="Arial"/>
          <w:sz w:val="19"/>
          <w:szCs w:val="19"/>
          <w:color w:val="auto"/>
        </w:rPr>
      </w:pPr>
    </w:p>
    <w:p>
      <w:pPr>
        <w:jc w:val="both"/>
        <w:ind w:left="660" w:hanging="9"/>
        <w:spacing w:after="0" w:line="273" w:lineRule="auto"/>
        <w:tabs>
          <w:tab w:leader="none" w:pos="983" w:val="left"/>
        </w:tabs>
        <w:numPr>
          <w:ilvl w:val="1"/>
          <w:numId w:val="142"/>
        </w:numPr>
        <w:rPr>
          <w:rFonts w:ascii="Arial" w:cs="Arial" w:eastAsia="Arial" w:hAnsi="Arial"/>
          <w:sz w:val="19"/>
          <w:szCs w:val="19"/>
          <w:color w:val="auto"/>
        </w:rPr>
      </w:pPr>
      <w:r>
        <w:rPr>
          <w:rFonts w:ascii="Arial" w:cs="Arial" w:eastAsia="Arial" w:hAnsi="Arial"/>
          <w:sz w:val="19"/>
          <w:szCs w:val="19"/>
          <w:color w:val="auto"/>
        </w:rPr>
        <w:t>a fraction, the numerator of which is the number of months of actual Service completed by Participant in such Performance Period (rounded to the closest whole month), and the denominator of which is thirty-six (36) months. The Shares underlying the Performance-Qualified Shares in which Participant vests in accordance with this subparagraph (ii) shall generally be issued to Participant (or in the event of the death of Participant, then to Participant’s heirs or beneficiaries) during the period beginning with the first business day of the first calendar year following the completion of the Performance Period and ending on March 15th of that year.</w:t>
      </w:r>
    </w:p>
    <w:p>
      <w:pPr>
        <w:spacing w:after="0" w:line="160" w:lineRule="exact"/>
        <w:rPr>
          <w:rFonts w:ascii="Arial" w:cs="Arial" w:eastAsia="Arial" w:hAnsi="Arial"/>
          <w:sz w:val="19"/>
          <w:szCs w:val="19"/>
          <w:color w:val="auto"/>
        </w:rPr>
      </w:pPr>
    </w:p>
    <w:p>
      <w:pPr>
        <w:jc w:val="both"/>
        <w:ind w:left="660" w:firstLine="1936"/>
        <w:spacing w:after="0" w:line="238" w:lineRule="auto"/>
        <w:tabs>
          <w:tab w:leader="none" w:pos="3463" w:val="left"/>
        </w:tabs>
        <w:numPr>
          <w:ilvl w:val="3"/>
          <w:numId w:val="143"/>
        </w:numPr>
        <w:rPr>
          <w:rFonts w:ascii="Arial" w:cs="Arial" w:eastAsia="Arial" w:hAnsi="Arial"/>
          <w:sz w:val="22"/>
          <w:szCs w:val="22"/>
          <w:color w:val="auto"/>
        </w:rPr>
      </w:pPr>
      <w:r>
        <w:rPr>
          <w:rFonts w:ascii="Arial" w:cs="Arial" w:eastAsia="Arial" w:hAnsi="Arial"/>
          <w:sz w:val="22"/>
          <w:szCs w:val="22"/>
          <w:color w:val="auto"/>
        </w:rPr>
        <w:t>If Participant’s Service ceases for any other reason prior to the completion of the Performance Period, then Participant shall not vest in any of the Performance-Qualified Shares and all of Participant's right, title and interest to the Shares subject to this Award shall cease.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37" w:name="page138"/>
    <w:bookmarkEnd w:id="137"/>
    <w:p>
      <w:pPr>
        <w:jc w:val="both"/>
        <w:ind w:firstLine="1296"/>
        <w:spacing w:after="0" w:line="241" w:lineRule="auto"/>
        <w:rPr>
          <w:sz w:val="20"/>
          <w:szCs w:val="20"/>
          <w:color w:val="auto"/>
        </w:rPr>
      </w:pPr>
      <w:r>
        <w:rPr>
          <w:rFonts w:ascii="Arial" w:cs="Arial" w:eastAsia="Arial" w:hAnsi="Arial"/>
          <w:sz w:val="22"/>
          <w:szCs w:val="22"/>
          <w:color w:val="auto"/>
        </w:rPr>
        <w:t>Schedule I attached to this Agreement sets forth examples illustrating the calculation of the number of Shares in which the Participant may vest based upon hypothetical levels of Performance Goal attainment and service vesting requirements.</w:t>
      </w:r>
    </w:p>
    <w:p>
      <w:pPr>
        <w:spacing w:after="0" w:line="178" w:lineRule="exact"/>
        <w:rPr>
          <w:sz w:val="20"/>
          <w:szCs w:val="20"/>
          <w:color w:val="auto"/>
        </w:rPr>
      </w:pPr>
    </w:p>
    <w:p>
      <w:pPr>
        <w:jc w:val="both"/>
        <w:ind w:firstLine="1299"/>
        <w:spacing w:after="0" w:line="239" w:lineRule="auto"/>
        <w:tabs>
          <w:tab w:leader="none" w:pos="2080" w:val="left"/>
        </w:tabs>
        <w:numPr>
          <w:ilvl w:val="0"/>
          <w:numId w:val="144"/>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holder of this Award shall not have any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0" w:lineRule="exact"/>
        <w:rPr>
          <w:rFonts w:ascii="Arial" w:cs="Arial" w:eastAsia="Arial" w:hAnsi="Arial"/>
          <w:sz w:val="22"/>
          <w:szCs w:val="22"/>
          <w:color w:val="auto"/>
        </w:rPr>
      </w:pPr>
    </w:p>
    <w:p>
      <w:pPr>
        <w:jc w:val="both"/>
        <w:ind w:firstLine="1299"/>
        <w:spacing w:after="0" w:line="254" w:lineRule="auto"/>
        <w:tabs>
          <w:tab w:leader="none" w:pos="2377" w:val="left"/>
        </w:tabs>
        <w:numPr>
          <w:ilvl w:val="0"/>
          <w:numId w:val="144"/>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w:t>
      </w:r>
      <w:r>
        <w:rPr>
          <w:rFonts w:ascii="Arial" w:cs="Arial" w:eastAsia="Arial" w:hAnsi="Arial"/>
          <w:sz w:val="21"/>
          <w:szCs w:val="21"/>
          <w:color w:val="auto"/>
        </w:rPr>
        <w:t>. Notwithstanding Paragraph 3 above, the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shall 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72" w:lineRule="exact"/>
        <w:rPr>
          <w:rFonts w:ascii="Arial" w:cs="Arial" w:eastAsia="Arial" w:hAnsi="Arial"/>
          <w:sz w:val="21"/>
          <w:szCs w:val="21"/>
          <w:color w:val="auto"/>
        </w:rPr>
      </w:pPr>
    </w:p>
    <w:p>
      <w:pPr>
        <w:jc w:val="both"/>
        <w:ind w:firstLine="1948"/>
        <w:spacing w:after="0" w:line="236" w:lineRule="auto"/>
        <w:tabs>
          <w:tab w:leader="none" w:pos="2973"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87" w:lineRule="exact"/>
        <w:rPr>
          <w:rFonts w:ascii="Arial" w:cs="Arial" w:eastAsia="Arial" w:hAnsi="Arial"/>
          <w:sz w:val="22"/>
          <w:szCs w:val="22"/>
          <w:color w:val="auto"/>
        </w:rPr>
      </w:pPr>
    </w:p>
    <w:p>
      <w:pPr>
        <w:jc w:val="both"/>
        <w:ind w:left="660" w:firstLine="1936"/>
        <w:spacing w:after="0" w:line="236" w:lineRule="auto"/>
        <w:tabs>
          <w:tab w:leader="none" w:pos="3445" w:val="left"/>
        </w:tabs>
        <w:numPr>
          <w:ilvl w:val="2"/>
          <w:numId w:val="144"/>
        </w:numPr>
        <w:rPr>
          <w:rFonts w:ascii="Arial" w:cs="Arial" w:eastAsia="Arial" w:hAnsi="Arial"/>
          <w:sz w:val="22"/>
          <w:szCs w:val="22"/>
          <w:color w:val="auto"/>
        </w:rPr>
      </w:pPr>
      <w:r>
        <w:rPr>
          <w:rFonts w:ascii="Arial" w:cs="Arial" w:eastAsia="Arial" w:hAnsi="Arial"/>
          <w:sz w:val="22"/>
          <w:szCs w:val="22"/>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87" w:lineRule="exact"/>
        <w:rPr>
          <w:rFonts w:ascii="Arial" w:cs="Arial" w:eastAsia="Arial" w:hAnsi="Arial"/>
          <w:sz w:val="22"/>
          <w:szCs w:val="22"/>
          <w:color w:val="auto"/>
        </w:rPr>
      </w:pPr>
    </w:p>
    <w:p>
      <w:pPr>
        <w:jc w:val="both"/>
        <w:ind w:left="660" w:firstLine="1936"/>
        <w:spacing w:after="0" w:line="272" w:lineRule="auto"/>
        <w:tabs>
          <w:tab w:leader="none" w:pos="3764" w:val="left"/>
        </w:tabs>
        <w:numPr>
          <w:ilvl w:val="2"/>
          <w:numId w:val="144"/>
        </w:numPr>
        <w:rPr>
          <w:rFonts w:ascii="Arial" w:cs="Arial" w:eastAsia="Arial" w:hAnsi="Arial"/>
          <w:sz w:val="19"/>
          <w:szCs w:val="19"/>
          <w:color w:val="auto"/>
        </w:rPr>
      </w:pPr>
      <w:r>
        <w:rPr>
          <w:rFonts w:ascii="Arial" w:cs="Arial" w:eastAsia="Arial" w:hAnsi="Arial"/>
          <w:sz w:val="19"/>
          <w:szCs w:val="19"/>
          <w:color w:val="auto"/>
        </w:rPr>
        <w:t>If Participant ceases Service prior to completion of the Performance Period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months of actual Service completed by Participant in such Performance Period (rounded to the closest whole month),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 Change in Control, (ii) the date of Participant’s Separation from Service due to such cessation of Service.</w:t>
      </w:r>
    </w:p>
    <w:p>
      <w:pPr>
        <w:spacing w:after="0" w:line="161" w:lineRule="exact"/>
        <w:rPr>
          <w:rFonts w:ascii="Arial" w:cs="Arial" w:eastAsia="Arial" w:hAnsi="Arial"/>
          <w:sz w:val="19"/>
          <w:szCs w:val="19"/>
          <w:color w:val="auto"/>
        </w:rPr>
      </w:pPr>
    </w:p>
    <w:p>
      <w:pPr>
        <w:jc w:val="both"/>
        <w:ind w:left="660" w:firstLine="1936"/>
        <w:spacing w:after="0" w:line="238" w:lineRule="auto"/>
        <w:tabs>
          <w:tab w:leader="none" w:pos="3254" w:val="left"/>
        </w:tabs>
        <w:numPr>
          <w:ilvl w:val="2"/>
          <w:numId w:val="144"/>
        </w:numPr>
        <w:rPr>
          <w:rFonts w:ascii="Arial" w:cs="Arial" w:eastAsia="Arial" w:hAnsi="Arial"/>
          <w:sz w:val="22"/>
          <w:szCs w:val="22"/>
          <w:color w:val="auto"/>
        </w:rPr>
      </w:pPr>
      <w:r>
        <w:rPr>
          <w:rFonts w:ascii="Arial" w:cs="Arial" w:eastAsia="Arial" w:hAnsi="Arial"/>
          <w:sz w:val="22"/>
          <w:szCs w:val="22"/>
          <w:color w:val="auto"/>
        </w:rPr>
        <w:t>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 outstanding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38" w:name="page139"/>
    <w:bookmarkEnd w:id="138"/>
    <w:p>
      <w:pPr>
        <w:jc w:val="both"/>
        <w:ind w:left="660"/>
        <w:spacing w:after="0" w:line="274" w:lineRule="auto"/>
        <w:rPr>
          <w:sz w:val="20"/>
          <w:szCs w:val="20"/>
          <w:color w:val="auto"/>
        </w:rPr>
      </w:pPr>
      <w:r>
        <w:rPr>
          <w:rFonts w:ascii="Arial" w:cs="Arial" w:eastAsia="Arial" w:hAnsi="Arial"/>
          <w:sz w:val="19"/>
          <w:szCs w:val="19"/>
          <w:color w:val="auto"/>
        </w:rPr>
        <w:t xml:space="preserve">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59" w:lineRule="exact"/>
        <w:rPr>
          <w:sz w:val="20"/>
          <w:szCs w:val="20"/>
          <w:color w:val="auto"/>
        </w:rPr>
      </w:pPr>
    </w:p>
    <w:p>
      <w:pPr>
        <w:jc w:val="both"/>
        <w:ind w:left="660" w:firstLine="1936"/>
        <w:spacing w:after="0" w:line="236" w:lineRule="auto"/>
        <w:tabs>
          <w:tab w:leader="none" w:pos="3374" w:val="left"/>
        </w:tabs>
        <w:numPr>
          <w:ilvl w:val="2"/>
          <w:numId w:val="145"/>
        </w:numPr>
        <w:rPr>
          <w:rFonts w:ascii="Arial" w:cs="Arial" w:eastAsia="Arial" w:hAnsi="Arial"/>
          <w:sz w:val="22"/>
          <w:szCs w:val="22"/>
          <w:color w:val="auto"/>
        </w:rPr>
      </w:pPr>
      <w:r>
        <w:rPr>
          <w:rFonts w:ascii="Arial" w:cs="Arial" w:eastAsia="Arial" w:hAnsi="Arial"/>
          <w:sz w:val="22"/>
          <w:szCs w:val="22"/>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87" w:lineRule="exact"/>
        <w:rPr>
          <w:rFonts w:ascii="Arial" w:cs="Arial" w:eastAsia="Arial" w:hAnsi="Arial"/>
          <w:sz w:val="22"/>
          <w:szCs w:val="22"/>
          <w:color w:val="auto"/>
        </w:rPr>
      </w:pPr>
    </w:p>
    <w:p>
      <w:pPr>
        <w:jc w:val="both"/>
        <w:ind w:firstLine="1948"/>
        <w:spacing w:after="0" w:line="244" w:lineRule="auto"/>
        <w:tabs>
          <w:tab w:leader="none" w:pos="2813" w:val="left"/>
        </w:tabs>
        <w:numPr>
          <w:ilvl w:val="1"/>
          <w:numId w:val="146"/>
        </w:numPr>
        <w:rPr>
          <w:rFonts w:ascii="Arial" w:cs="Arial" w:eastAsia="Arial" w:hAnsi="Arial"/>
          <w:sz w:val="21"/>
          <w:szCs w:val="21"/>
          <w:color w:val="auto"/>
        </w:rPr>
      </w:pPr>
      <w:r>
        <w:rPr>
          <w:rFonts w:ascii="Arial" w:cs="Arial" w:eastAsia="Arial" w:hAnsi="Arial"/>
          <w:sz w:val="21"/>
          <w:szCs w:val="21"/>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84" w:lineRule="exact"/>
        <w:rPr>
          <w:rFonts w:ascii="Arial" w:cs="Arial" w:eastAsia="Arial" w:hAnsi="Arial"/>
          <w:sz w:val="21"/>
          <w:szCs w:val="21"/>
          <w:color w:val="auto"/>
        </w:rPr>
      </w:pPr>
    </w:p>
    <w:p>
      <w:pPr>
        <w:jc w:val="both"/>
        <w:ind w:firstLine="1948"/>
        <w:spacing w:after="0" w:line="269" w:lineRule="auto"/>
        <w:tabs>
          <w:tab w:leader="none" w:pos="2995" w:val="left"/>
        </w:tabs>
        <w:numPr>
          <w:ilvl w:val="1"/>
          <w:numId w:val="146"/>
        </w:numPr>
        <w:rPr>
          <w:rFonts w:ascii="Arial" w:cs="Arial" w:eastAsia="Arial" w:hAnsi="Arial"/>
          <w:sz w:val="19"/>
          <w:szCs w:val="19"/>
          <w:color w:val="auto"/>
        </w:rPr>
      </w:pPr>
      <w:r>
        <w:rPr>
          <w:rFonts w:ascii="Arial" w:cs="Arial" w:eastAsia="Arial" w:hAnsi="Arial"/>
          <w:sz w:val="19"/>
          <w:szCs w:val="19"/>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 occurs within twenty-four (24) months following the Change in Control. Such vested portion of the award shall be issued or distributed, as applicable, on the date of Participant’s Separation from Service, provided such Separation from Service occurs within twenty-four</w:t>
      </w:r>
    </w:p>
    <w:p>
      <w:pPr>
        <w:jc w:val="both"/>
        <w:ind w:firstLine="3"/>
        <w:spacing w:after="0" w:line="287" w:lineRule="auto"/>
        <w:tabs>
          <w:tab w:leader="none" w:pos="42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months after a Qualifying Change in Control. Except for the number of Shares, or such equivalent award, distributed in accordance with the foregoing provisions of this Paragraph 5(c), Participant shall have no further right or entitlement to any additional Shares or other cash or property hereunder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upon such Separation from Service.</w:t>
      </w:r>
    </w:p>
    <w:p>
      <w:pPr>
        <w:spacing w:after="0" w:line="207" w:lineRule="exact"/>
        <w:rPr>
          <w:sz w:val="20"/>
          <w:szCs w:val="20"/>
          <w:color w:val="auto"/>
        </w:rPr>
      </w:pPr>
    </w:p>
    <w:p>
      <w:pPr>
        <w:jc w:val="both"/>
        <w:ind w:firstLine="1948"/>
        <w:spacing w:after="0"/>
        <w:tabs>
          <w:tab w:leader="none" w:pos="2813" w:val="left"/>
        </w:tabs>
        <w:numPr>
          <w:ilvl w:val="0"/>
          <w:numId w:val="148"/>
        </w:numPr>
        <w:rPr>
          <w:rFonts w:ascii="Arial" w:cs="Arial" w:eastAsia="Arial" w:hAnsi="Arial"/>
          <w:sz w:val="22"/>
          <w:szCs w:val="22"/>
          <w:color w:val="auto"/>
        </w:rPr>
      </w:pPr>
      <w:r>
        <w:rPr>
          <w:rFonts w:ascii="Arial" w:cs="Arial" w:eastAsia="Arial" w:hAnsi="Arial"/>
          <w:sz w:val="22"/>
          <w:szCs w:val="22"/>
          <w:color w:val="auto"/>
        </w:rPr>
        <w:t>If the Award is not (1) assumed by the successor entity, (2) otherwise continued in effect or (3) replaced with a substitute equivalent award in accordance with Paragraph 5(a), then the following provisions shall apply:</w:t>
      </w:r>
    </w:p>
    <w:p>
      <w:pPr>
        <w:spacing w:after="0" w:line="186" w:lineRule="exact"/>
        <w:rPr>
          <w:rFonts w:ascii="Arial" w:cs="Arial" w:eastAsia="Arial" w:hAnsi="Arial"/>
          <w:sz w:val="22"/>
          <w:szCs w:val="22"/>
          <w:color w:val="auto"/>
        </w:rPr>
      </w:pPr>
    </w:p>
    <w:p>
      <w:pPr>
        <w:jc w:val="both"/>
        <w:ind w:left="660" w:firstLine="1936"/>
        <w:spacing w:after="0" w:line="272" w:lineRule="auto"/>
        <w:tabs>
          <w:tab w:leader="none" w:pos="3271"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Code Section 409A.</w:t>
      </w:r>
    </w:p>
    <w:p>
      <w:pPr>
        <w:spacing w:after="0" w:line="161" w:lineRule="exact"/>
        <w:rPr>
          <w:rFonts w:ascii="Arial" w:cs="Arial" w:eastAsia="Arial" w:hAnsi="Arial"/>
          <w:sz w:val="19"/>
          <w:szCs w:val="19"/>
          <w:color w:val="auto"/>
        </w:rPr>
      </w:pPr>
    </w:p>
    <w:p>
      <w:pPr>
        <w:jc w:val="both"/>
        <w:ind w:left="660" w:firstLine="1936"/>
        <w:spacing w:after="0" w:line="268" w:lineRule="auto"/>
        <w:tabs>
          <w:tab w:leader="none" w:pos="3462" w:val="left"/>
        </w:tabs>
        <w:numPr>
          <w:ilvl w:val="1"/>
          <w:numId w:val="148"/>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Wall Street Journal</w:t>
      </w:r>
      <w:r>
        <w:rPr>
          <w:rFonts w:ascii="Arial" w:cs="Arial" w:eastAsia="Arial" w:hAnsi="Arial"/>
          <w:sz w:val="19"/>
          <w:szCs w:val="19"/>
          <w:color w:val="auto"/>
        </w:rPr>
        <w:t>. The cash retention account, together with all accrued interest thereon</w:t>
      </w:r>
    </w:p>
    <w:p>
      <w:pPr>
        <w:spacing w:after="0" w:line="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1"/>
          <w:szCs w:val="21"/>
          <w:color w:val="auto"/>
        </w:rPr>
        <w:t>through the actual payment date, shall be distributed, as to each Share to which that cash</w:t>
      </w:r>
    </w:p>
    <w:p>
      <w:pPr>
        <w:spacing w:after="0" w:line="233"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retention accounts pertains, in accordance with the foregoing distribution provisions of Paragraph 5(d)(i) above. Participant’s interest in the account shall at all times be that of a general, unsecured creditor.</w:t>
      </w:r>
    </w:p>
    <w:p>
      <w:pPr>
        <w:spacing w:after="0" w:line="186" w:lineRule="exact"/>
        <w:rPr>
          <w:sz w:val="20"/>
          <w:szCs w:val="20"/>
          <w:color w:val="auto"/>
        </w:rPr>
      </w:pPr>
    </w:p>
    <w:p>
      <w:pPr>
        <w:jc w:val="both"/>
        <w:ind w:left="660" w:firstLine="1936"/>
        <w:spacing w:after="0" w:line="235" w:lineRule="auto"/>
        <w:tabs>
          <w:tab w:leader="none" w:pos="3471" w:val="left"/>
        </w:tabs>
        <w:numPr>
          <w:ilvl w:val="0"/>
          <w:numId w:val="149"/>
        </w:numPr>
        <w:rPr>
          <w:rFonts w:ascii="Arial" w:cs="Arial" w:eastAsia="Arial" w:hAnsi="Arial"/>
          <w:sz w:val="22"/>
          <w:szCs w:val="22"/>
          <w:color w:val="auto"/>
        </w:rPr>
      </w:pPr>
      <w:r>
        <w:rPr>
          <w:rFonts w:ascii="Arial" w:cs="Arial" w:eastAsia="Arial" w:hAnsi="Arial"/>
          <w:sz w:val="22"/>
          <w:szCs w:val="22"/>
          <w:color w:val="auto"/>
        </w:rPr>
        <w:t>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 the number of months of actual Service completed by Participant in such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0" w:name="page141"/>
    <w:bookmarkEnd w:id="140"/>
    <w:p>
      <w:pPr>
        <w:jc w:val="both"/>
        <w:ind w:left="660"/>
        <w:spacing w:after="0" w:line="245" w:lineRule="auto"/>
        <w:rPr>
          <w:sz w:val="20"/>
          <w:szCs w:val="20"/>
          <w:color w:val="auto"/>
        </w:rPr>
      </w:pPr>
      <w:r>
        <w:rPr>
          <w:rFonts w:ascii="Arial" w:cs="Arial" w:eastAsia="Arial" w:hAnsi="Arial"/>
          <w:sz w:val="21"/>
          <w:szCs w:val="21"/>
          <w:color w:val="auto"/>
        </w:rPr>
        <w:t xml:space="preserve">Performance Period (rounded to the closest whole month),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21"/>
          <w:szCs w:val="21"/>
          <w:b w:val="1"/>
          <w:bCs w:val="1"/>
          <w:i w:val="1"/>
          <w:iCs w:val="1"/>
          <w:color w:val="auto"/>
        </w:rPr>
        <w:t>earlier</w:t>
      </w:r>
      <w:r>
        <w:rPr>
          <w:rFonts w:ascii="Arial" w:cs="Arial" w:eastAsia="Arial" w:hAnsi="Arial"/>
          <w:sz w:val="21"/>
          <w:szCs w:val="21"/>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Code Section 409A.</w:t>
      </w:r>
    </w:p>
    <w:p>
      <w:pPr>
        <w:spacing w:after="0" w:line="186" w:lineRule="exact"/>
        <w:rPr>
          <w:sz w:val="20"/>
          <w:szCs w:val="20"/>
          <w:color w:val="auto"/>
        </w:rPr>
      </w:pPr>
    </w:p>
    <w:p>
      <w:pPr>
        <w:jc w:val="both"/>
        <w:ind w:left="660" w:firstLine="1936"/>
        <w:spacing w:after="0"/>
        <w:tabs>
          <w:tab w:leader="none" w:pos="3377" w:val="left"/>
        </w:tabs>
        <w:numPr>
          <w:ilvl w:val="1"/>
          <w:numId w:val="150"/>
        </w:numPr>
        <w:rPr>
          <w:rFonts w:ascii="Arial" w:cs="Arial" w:eastAsia="Arial" w:hAnsi="Arial"/>
          <w:sz w:val="22"/>
          <w:szCs w:val="22"/>
          <w:color w:val="auto"/>
        </w:rPr>
      </w:pPr>
      <w:r>
        <w:rPr>
          <w:rFonts w:ascii="Arial" w:cs="Arial" w:eastAsia="Arial" w:hAnsi="Arial"/>
          <w:sz w:val="22"/>
          <w:szCs w:val="22"/>
          <w:color w:val="auto"/>
        </w:rPr>
        <w:t>Except for the amount of consideration so calculated, Participant shall have no further right or entitlement to any additional Shares or consideration under this Award.</w:t>
      </w:r>
    </w:p>
    <w:p>
      <w:pPr>
        <w:spacing w:after="0" w:line="180" w:lineRule="exact"/>
        <w:rPr>
          <w:rFonts w:ascii="Arial" w:cs="Arial" w:eastAsia="Arial" w:hAnsi="Arial"/>
          <w:sz w:val="22"/>
          <w:szCs w:val="22"/>
          <w:color w:val="auto"/>
        </w:rPr>
      </w:pPr>
    </w:p>
    <w:p>
      <w:pPr>
        <w:jc w:val="both"/>
        <w:ind w:firstLine="1299"/>
        <w:spacing w:after="0" w:line="273" w:lineRule="auto"/>
        <w:tabs>
          <w:tab w:leader="none" w:pos="2228" w:val="left"/>
        </w:tabs>
        <w:numPr>
          <w:ilvl w:val="0"/>
          <w:numId w:val="151"/>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6" w:lineRule="exact"/>
        <w:rPr>
          <w:rFonts w:ascii="Arial" w:cs="Arial" w:eastAsia="Arial" w:hAnsi="Arial"/>
          <w:sz w:val="19"/>
          <w:szCs w:val="19"/>
          <w:color w:val="auto"/>
        </w:rPr>
      </w:pPr>
    </w:p>
    <w:p>
      <w:pPr>
        <w:jc w:val="both"/>
        <w:ind w:firstLine="1299"/>
        <w:spacing w:after="0" w:line="272" w:lineRule="auto"/>
        <w:tabs>
          <w:tab w:leader="none" w:pos="2066" w:val="left"/>
        </w:tabs>
        <w:numPr>
          <w:ilvl w:val="0"/>
          <w:numId w:val="151"/>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940" w:hanging="641"/>
        <w:spacing w:after="0"/>
        <w:tabs>
          <w:tab w:leader="none" w:pos="1940" w:val="left"/>
        </w:tabs>
        <w:numPr>
          <w:ilvl w:val="0"/>
          <w:numId w:val="151"/>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Vested Shares and Applicable Withholding Taxes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3427730</wp:posOffset>
            </wp:positionH>
            <wp:positionV relativeFrom="paragraph">
              <wp:posOffset>-2604135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1" w:name="page142"/>
    <w:bookmarkEnd w:id="141"/>
    <w:p>
      <w:pPr>
        <w:jc w:val="both"/>
        <w:ind w:firstLine="1948"/>
        <w:spacing w:after="0" w:line="287" w:lineRule="auto"/>
        <w:tabs>
          <w:tab w:leader="none" w:pos="271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43" w:lineRule="exact"/>
        <w:rPr>
          <w:rFonts w:ascii="Arial" w:cs="Arial" w:eastAsia="Arial" w:hAnsi="Arial"/>
          <w:sz w:val="19"/>
          <w:szCs w:val="19"/>
          <w:color w:val="auto"/>
        </w:rPr>
      </w:pPr>
    </w:p>
    <w:p>
      <w:pPr>
        <w:jc w:val="both"/>
        <w:ind w:firstLine="1948"/>
        <w:spacing w:after="0" w:line="297" w:lineRule="auto"/>
        <w:tabs>
          <w:tab w:leader="none" w:pos="2679"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34" w:lineRule="exact"/>
        <w:rPr>
          <w:rFonts w:ascii="Arial" w:cs="Arial" w:eastAsia="Arial" w:hAnsi="Arial"/>
          <w:sz w:val="19"/>
          <w:szCs w:val="19"/>
          <w:color w:val="auto"/>
        </w:rPr>
      </w:pPr>
    </w:p>
    <w:p>
      <w:pPr>
        <w:jc w:val="both"/>
        <w:ind w:firstLine="1948"/>
        <w:spacing w:after="0" w:line="245" w:lineRule="auto"/>
        <w:tabs>
          <w:tab w:leader="none" w:pos="2877"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Corporation may, in its sole discretion, establish a procedure to permit the satisfaction of the Withholding Taxes by the Participant in the form of cash and shall inform Participant. In that event,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delivers such payment to the Corporation not later than that issuance date. Otherwise the Corporation shall collect the Withholding Taxes applicable to the Share issuance through the following automatic share withholding method:</w:t>
      </w:r>
    </w:p>
    <w:p>
      <w:pPr>
        <w:spacing w:after="0" w:line="185" w:lineRule="exact"/>
        <w:rPr>
          <w:sz w:val="20"/>
          <w:szCs w:val="20"/>
          <w:color w:val="auto"/>
        </w:rPr>
      </w:pPr>
    </w:p>
    <w:p>
      <w:pPr>
        <w:jc w:val="both"/>
        <w:ind w:firstLine="1948"/>
        <w:spacing w:after="0" w:line="275" w:lineRule="auto"/>
        <w:tabs>
          <w:tab w:leader="none" w:pos="267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On the applicable issuance date, the Corporation shall withhold, from the vested Shares otherwise issuable to Participant at that time, a portion of those Shares with a Fair Market Value (measured as of the issuance date) equal to the applicable Withholding Taxes; provided</w:t>
      </w:r>
      <w:r>
        <w:rPr>
          <w:rFonts w:ascii="Arial" w:cs="Arial" w:eastAsia="Arial" w:hAnsi="Arial"/>
          <w:sz w:val="19"/>
          <w:szCs w:val="19"/>
          <w:b w:val="1"/>
          <w:bCs w:val="1"/>
          <w:i w:val="1"/>
          <w:iCs w:val="1"/>
          <w:color w:val="auto"/>
        </w:rPr>
        <w:t>, 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or such greater amount as may be permitted by the financial accounting standards then applicable to the Corporation.</w:t>
      </w:r>
    </w:p>
    <w:p>
      <w:pPr>
        <w:spacing w:after="0" w:line="158" w:lineRule="exact"/>
        <w:rPr>
          <w:sz w:val="20"/>
          <w:szCs w:val="20"/>
          <w:color w:val="auto"/>
        </w:rPr>
      </w:pPr>
    </w:p>
    <w:p>
      <w:pPr>
        <w:jc w:val="both"/>
        <w:ind w:firstLine="1948"/>
        <w:spacing w:after="0" w:line="272" w:lineRule="auto"/>
        <w:tabs>
          <w:tab w:leader="none" w:pos="300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 applicable only to the extent necessary to comply with the applicable tax withholding requirements of Code Section 3121(v).</w:t>
      </w:r>
    </w:p>
    <w:p>
      <w:pPr>
        <w:spacing w:after="0" w:line="161" w:lineRule="exact"/>
        <w:rPr>
          <w:rFonts w:ascii="Arial" w:cs="Arial" w:eastAsia="Arial" w:hAnsi="Arial"/>
          <w:sz w:val="19"/>
          <w:szCs w:val="19"/>
          <w:color w:val="auto"/>
        </w:rPr>
      </w:pPr>
    </w:p>
    <w:p>
      <w:pPr>
        <w:ind w:left="2620" w:hanging="672"/>
        <w:spacing w:after="0"/>
        <w:tabs>
          <w:tab w:leader="none" w:pos="262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Except as otherwise provided in Paragraph 5 or this Paragraph 8,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2" w:name="page143"/>
    <w:bookmarkEnd w:id="142"/>
    <w:p>
      <w:pPr>
        <w:jc w:val="both"/>
        <w:spacing w:after="0" w:line="287" w:lineRule="auto"/>
        <w:rPr>
          <w:sz w:val="20"/>
          <w:szCs w:val="20"/>
          <w:color w:val="auto"/>
        </w:rPr>
      </w:pPr>
      <w:r>
        <w:rPr>
          <w:rFonts w:ascii="Arial" w:cs="Arial" w:eastAsia="Arial" w:hAnsi="Arial"/>
          <w:sz w:val="19"/>
          <w:szCs w:val="19"/>
          <w:color w:val="auto"/>
        </w:rPr>
        <w:t>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down to the next whole share in order to avoid the issuance of a fractional share.</w:t>
      </w:r>
    </w:p>
    <w:p>
      <w:pPr>
        <w:spacing w:after="0" w:line="138" w:lineRule="exact"/>
        <w:rPr>
          <w:sz w:val="20"/>
          <w:szCs w:val="20"/>
          <w:color w:val="auto"/>
        </w:rPr>
      </w:pPr>
    </w:p>
    <w:p>
      <w:pPr>
        <w:jc w:val="both"/>
        <w:ind w:firstLine="1299"/>
        <w:spacing w:after="0" w:line="261" w:lineRule="auto"/>
        <w:tabs>
          <w:tab w:leader="none" w:pos="2147" w:val="left"/>
        </w:tabs>
        <w:numPr>
          <w:ilvl w:val="0"/>
          <w:numId w:val="155"/>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color w:val="auto"/>
        </w:rPr>
        <w:t>. Notwithstanding any provision to the contrary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the extent this Award may be deemed to create a deferred compensation arrangement under Code Section 409A, then the following limitation and provisions shall apply:</w:t>
      </w:r>
    </w:p>
    <w:p>
      <w:pPr>
        <w:spacing w:after="0" w:line="163" w:lineRule="exact"/>
        <w:rPr>
          <w:rFonts w:ascii="Arial" w:cs="Arial" w:eastAsia="Arial" w:hAnsi="Arial"/>
          <w:sz w:val="21"/>
          <w:szCs w:val="21"/>
          <w:color w:val="auto"/>
        </w:rPr>
      </w:pPr>
    </w:p>
    <w:p>
      <w:pPr>
        <w:jc w:val="both"/>
        <w:ind w:left="660" w:firstLine="1288"/>
        <w:spacing w:after="0" w:line="269" w:lineRule="auto"/>
        <w:tabs>
          <w:tab w:leader="none" w:pos="2651"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w:t>
      </w:r>
    </w:p>
    <w:p>
      <w:pPr>
        <w:spacing w:after="0" w:line="1" w:lineRule="exact"/>
        <w:rPr>
          <w:rFonts w:ascii="Arial" w:cs="Arial" w:eastAsia="Arial" w:hAnsi="Arial"/>
          <w:sz w:val="19"/>
          <w:szCs w:val="19"/>
          <w:color w:val="auto"/>
        </w:rPr>
      </w:pPr>
    </w:p>
    <w:p>
      <w:pPr>
        <w:jc w:val="both"/>
        <w:ind w:left="660"/>
        <w:spacing w:after="0" w:line="233" w:lineRule="auto"/>
        <w:rPr>
          <w:rFonts w:ascii="Arial" w:cs="Arial" w:eastAsia="Arial" w:hAnsi="Arial"/>
          <w:sz w:val="19"/>
          <w:szCs w:val="19"/>
          <w:color w:val="auto"/>
        </w:rPr>
      </w:pPr>
      <w:r>
        <w:rPr>
          <w:rFonts w:ascii="Arial" w:cs="Arial" w:eastAsia="Arial" w:hAnsi="Arial"/>
          <w:sz w:val="22"/>
          <w:szCs w:val="22"/>
          <w:color w:val="auto"/>
        </w:rPr>
        <w:t>(2).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88" w:lineRule="exact"/>
        <w:rPr>
          <w:rFonts w:ascii="Arial" w:cs="Arial" w:eastAsia="Arial" w:hAnsi="Arial"/>
          <w:sz w:val="19"/>
          <w:szCs w:val="19"/>
          <w:color w:val="auto"/>
        </w:rPr>
      </w:pPr>
    </w:p>
    <w:p>
      <w:pPr>
        <w:jc w:val="both"/>
        <w:ind w:left="660" w:firstLine="1288"/>
        <w:spacing w:after="0" w:line="258" w:lineRule="auto"/>
        <w:tabs>
          <w:tab w:leader="none" w:pos="3143" w:val="left"/>
        </w:tabs>
        <w:numPr>
          <w:ilvl w:val="1"/>
          <w:numId w:val="155"/>
        </w:numPr>
        <w:rPr>
          <w:rFonts w:ascii="Arial" w:cs="Arial" w:eastAsia="Arial" w:hAnsi="Arial"/>
          <w:sz w:val="21"/>
          <w:szCs w:val="21"/>
          <w:color w:val="auto"/>
        </w:rPr>
      </w:pPr>
      <w:r>
        <w:rPr>
          <w:rFonts w:ascii="Arial" w:cs="Arial" w:eastAsia="Arial" w:hAnsi="Arial"/>
          <w:sz w:val="21"/>
          <w:szCs w:val="21"/>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60" w:lineRule="exact"/>
        <w:rPr>
          <w:rFonts w:ascii="Arial" w:cs="Arial" w:eastAsia="Arial" w:hAnsi="Arial"/>
          <w:sz w:val="21"/>
          <w:szCs w:val="21"/>
          <w:color w:val="auto"/>
        </w:rPr>
      </w:pPr>
    </w:p>
    <w:p>
      <w:pPr>
        <w:jc w:val="both"/>
        <w:ind w:firstLine="1299"/>
        <w:spacing w:after="0" w:line="289" w:lineRule="auto"/>
        <w:tabs>
          <w:tab w:leader="none" w:pos="2080" w:val="left"/>
        </w:tabs>
        <w:numPr>
          <w:ilvl w:val="0"/>
          <w:numId w:val="15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color w:val="auto"/>
        </w:rPr>
        <w:t>. The issuance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36" w:lineRule="exact"/>
        <w:rPr>
          <w:rFonts w:ascii="Arial" w:cs="Arial" w:eastAsia="Arial" w:hAnsi="Arial"/>
          <w:sz w:val="19"/>
          <w:szCs w:val="19"/>
          <w:color w:val="auto"/>
        </w:rPr>
      </w:pPr>
    </w:p>
    <w:p>
      <w:pPr>
        <w:jc w:val="both"/>
        <w:ind w:firstLine="1299"/>
        <w:spacing w:after="0" w:line="249" w:lineRule="auto"/>
        <w:tabs>
          <w:tab w:leader="none" w:pos="2072" w:val="left"/>
        </w:tabs>
        <w:numPr>
          <w:ilvl w:val="0"/>
          <w:numId w:val="155"/>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 required to be given or delivered to the Corporation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this 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71" w:lineRule="exact"/>
        <w:rPr>
          <w:rFonts w:ascii="Arial" w:cs="Arial" w:eastAsia="Arial" w:hAnsi="Arial"/>
          <w:sz w:val="21"/>
          <w:szCs w:val="21"/>
          <w:color w:val="auto"/>
        </w:rPr>
      </w:pPr>
    </w:p>
    <w:p>
      <w:pPr>
        <w:jc w:val="both"/>
        <w:ind w:firstLine="1299"/>
        <w:spacing w:after="0" w:line="301" w:lineRule="auto"/>
        <w:tabs>
          <w:tab w:leader="none" w:pos="2309" w:val="left"/>
        </w:tabs>
        <w:numPr>
          <w:ilvl w:val="0"/>
          <w:numId w:val="155"/>
        </w:numPr>
        <w:rPr>
          <w:rFonts w:ascii="Arial" w:cs="Arial" w:eastAsia="Arial" w:hAnsi="Arial"/>
          <w:sz w:val="19"/>
          <w:szCs w:val="19"/>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color w:val="auto"/>
        </w:rPr>
        <w:t>. Except to the extent otherwise provided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provisions of this Agreement shall inure to the benefit of, and be binding upon, the Corporation and its successors and assigns and Participant, Participant’s assigns, the legal</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3" w:name="page144"/>
    <w:bookmarkEnd w:id="143"/>
    <w:p>
      <w:pPr>
        <w:spacing w:after="0" w:line="251" w:lineRule="auto"/>
        <w:rPr>
          <w:sz w:val="20"/>
          <w:szCs w:val="20"/>
          <w:color w:val="auto"/>
        </w:rPr>
      </w:pPr>
      <w:r>
        <w:rPr>
          <w:rFonts w:ascii="Arial" w:cs="Arial" w:eastAsia="Arial" w:hAnsi="Arial"/>
          <w:sz w:val="22"/>
          <w:szCs w:val="22"/>
          <w:color w:val="auto"/>
        </w:rPr>
        <w:t>representatives, heirs and legatees of Participant’s estate and any beneficiaries of the Award designated by Participant.</w:t>
      </w:r>
    </w:p>
    <w:p>
      <w:pPr>
        <w:spacing w:after="0" w:line="168" w:lineRule="exact"/>
        <w:rPr>
          <w:sz w:val="20"/>
          <w:szCs w:val="20"/>
          <w:color w:val="auto"/>
        </w:rPr>
      </w:pPr>
    </w:p>
    <w:p>
      <w:pPr>
        <w:ind w:left="1940" w:hanging="641"/>
        <w:spacing w:after="0"/>
        <w:tabs>
          <w:tab w:leader="none" w:pos="1940" w:val="left"/>
        </w:tabs>
        <w:numPr>
          <w:ilvl w:val="0"/>
          <w:numId w:val="156"/>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8"/>
        <w:spacing w:after="0" w:line="236" w:lineRule="auto"/>
        <w:tabs>
          <w:tab w:leader="none" w:pos="2727" w:val="left"/>
        </w:tabs>
        <w:numPr>
          <w:ilvl w:val="1"/>
          <w:numId w:val="156"/>
        </w:numPr>
        <w:rPr>
          <w:rFonts w:ascii="Arial" w:cs="Arial" w:eastAsia="Arial" w:hAnsi="Arial"/>
          <w:sz w:val="22"/>
          <w:szCs w:val="22"/>
          <w:color w:val="auto"/>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7" w:lineRule="exact"/>
        <w:rPr>
          <w:rFonts w:ascii="Arial" w:cs="Arial" w:eastAsia="Arial" w:hAnsi="Arial"/>
          <w:sz w:val="22"/>
          <w:szCs w:val="22"/>
          <w:color w:val="auto"/>
        </w:rPr>
      </w:pPr>
    </w:p>
    <w:p>
      <w:pPr>
        <w:jc w:val="both"/>
        <w:ind w:firstLine="1948"/>
        <w:spacing w:after="0" w:line="282" w:lineRule="auto"/>
        <w:tabs>
          <w:tab w:leader="none" w:pos="2733"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147" w:lineRule="exact"/>
        <w:rPr>
          <w:rFonts w:ascii="Arial" w:cs="Arial" w:eastAsia="Arial" w:hAnsi="Arial"/>
          <w:sz w:val="19"/>
          <w:szCs w:val="19"/>
          <w:color w:val="auto"/>
        </w:rPr>
      </w:pPr>
    </w:p>
    <w:p>
      <w:pPr>
        <w:jc w:val="both"/>
        <w:ind w:firstLine="1948"/>
        <w:spacing w:after="0" w:line="297" w:lineRule="auto"/>
        <w:tabs>
          <w:tab w:leader="none" w:pos="2633" w:val="left"/>
        </w:tabs>
        <w:numPr>
          <w:ilvl w:val="1"/>
          <w:numId w:val="156"/>
        </w:numPr>
        <w:rPr>
          <w:rFonts w:ascii="Arial" w:cs="Arial" w:eastAsia="Arial" w:hAnsi="Arial"/>
          <w:sz w:val="19"/>
          <w:szCs w:val="19"/>
          <w:color w:val="auto"/>
        </w:rPr>
      </w:pPr>
      <w:r>
        <w:rPr>
          <w:rFonts w:ascii="Arial" w:cs="Arial" w:eastAsia="Arial" w:hAnsi="Arial"/>
          <w:sz w:val="19"/>
          <w:szCs w:val="19"/>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28" w:lineRule="exact"/>
        <w:rPr>
          <w:rFonts w:ascii="Arial" w:cs="Arial" w:eastAsia="Arial" w:hAnsi="Arial"/>
          <w:sz w:val="19"/>
          <w:szCs w:val="19"/>
          <w:color w:val="auto"/>
        </w:rPr>
      </w:pPr>
    </w:p>
    <w:p>
      <w:pPr>
        <w:jc w:val="both"/>
        <w:ind w:firstLine="1299"/>
        <w:spacing w:after="0" w:line="243" w:lineRule="auto"/>
        <w:tabs>
          <w:tab w:leader="none" w:pos="2228" w:val="left"/>
        </w:tabs>
        <w:numPr>
          <w:ilvl w:val="0"/>
          <w:numId w:val="15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interpretation, performance and enforcement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laws of the State of Hawaii without regard to that State’s conflict-of-laws rules.</w:t>
      </w:r>
    </w:p>
    <w:p>
      <w:pPr>
        <w:spacing w:after="0" w:line="176" w:lineRule="exact"/>
        <w:rPr>
          <w:rFonts w:ascii="Arial" w:cs="Arial" w:eastAsia="Arial" w:hAnsi="Arial"/>
          <w:sz w:val="22"/>
          <w:szCs w:val="22"/>
          <w:color w:val="auto"/>
        </w:rPr>
      </w:pPr>
    </w:p>
    <w:p>
      <w:pPr>
        <w:ind w:left="1940" w:hanging="641"/>
        <w:spacing w:after="0"/>
        <w:tabs>
          <w:tab w:leader="none" w:pos="1940" w:val="left"/>
        </w:tabs>
        <w:numPr>
          <w:ilvl w:val="0"/>
          <w:numId w:val="156"/>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48"/>
        <w:spacing w:after="0" w:line="270" w:lineRule="auto"/>
        <w:tabs>
          <w:tab w:leader="none" w:pos="2893" w:val="left"/>
        </w:tabs>
        <w:numPr>
          <w:ilvl w:val="1"/>
          <w:numId w:val="156"/>
        </w:numPr>
        <w:rPr>
          <w:rFonts w:ascii="Arial" w:cs="Arial" w:eastAsia="Arial" w:hAnsi="Arial"/>
          <w:sz w:val="19"/>
          <w:szCs w:val="19"/>
          <w:color w:val="auto"/>
        </w:rPr>
      </w:pPr>
      <w:r>
        <w:rPr>
          <w:rFonts w:ascii="Arial" w:cs="Arial" w:eastAsia="Arial" w:hAnsi="Arial"/>
          <w:sz w:val="19"/>
          <w:szCs w:val="19"/>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4" w:name="page145"/>
    <w:bookmarkEnd w:id="144"/>
    <w:p>
      <w:pPr>
        <w:jc w:val="both"/>
        <w:spacing w:after="0" w:line="274" w:lineRule="auto"/>
        <w:rPr>
          <w:sz w:val="20"/>
          <w:szCs w:val="20"/>
          <w:color w:val="auto"/>
        </w:rPr>
      </w:pPr>
      <w:r>
        <w:rPr>
          <w:rFonts w:ascii="Arial" w:cs="Arial" w:eastAsia="Arial" w:hAnsi="Arial"/>
          <w:sz w:val="19"/>
          <w:szCs w:val="19"/>
          <w:color w:val="auto"/>
        </w:rPr>
        <w:t>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53" w:lineRule="exact"/>
        <w:rPr>
          <w:sz w:val="20"/>
          <w:szCs w:val="20"/>
          <w:color w:val="auto"/>
        </w:rPr>
      </w:pPr>
    </w:p>
    <w:p>
      <w:pPr>
        <w:jc w:val="both"/>
        <w:ind w:firstLine="1948"/>
        <w:spacing w:after="0" w:line="243" w:lineRule="auto"/>
        <w:tabs>
          <w:tab w:leader="none" w:pos="2872" w:val="left"/>
        </w:tabs>
        <w:numPr>
          <w:ilvl w:val="1"/>
          <w:numId w:val="157"/>
        </w:numPr>
        <w:rPr>
          <w:rFonts w:ascii="Arial" w:cs="Arial" w:eastAsia="Arial" w:hAnsi="Arial"/>
          <w:sz w:val="22"/>
          <w:szCs w:val="22"/>
          <w:color w:val="auto"/>
        </w:rPr>
      </w:pPr>
      <w:r>
        <w:rPr>
          <w:rFonts w:ascii="Arial" w:cs="Arial" w:eastAsia="Arial" w:hAnsi="Arial"/>
          <w:sz w:val="22"/>
          <w:szCs w:val="22"/>
          <w:b w:val="1"/>
          <w:bCs w:val="1"/>
          <w:color w:val="auto"/>
        </w:rPr>
        <w:t>Each party fully understands and agrees that they are giving up certain rights otherwise afforded to them by civil court actions, including but not limited to the right to a jury trial.</w:t>
      </w:r>
    </w:p>
    <w:p>
      <w:pPr>
        <w:spacing w:after="0" w:line="176" w:lineRule="exact"/>
        <w:rPr>
          <w:rFonts w:ascii="Arial" w:cs="Arial" w:eastAsia="Arial" w:hAnsi="Arial"/>
          <w:sz w:val="22"/>
          <w:szCs w:val="22"/>
          <w:color w:val="auto"/>
        </w:rPr>
      </w:pPr>
    </w:p>
    <w:p>
      <w:pPr>
        <w:jc w:val="both"/>
        <w:ind w:firstLine="1299"/>
        <w:spacing w:after="0" w:line="271" w:lineRule="auto"/>
        <w:tabs>
          <w:tab w:leader="none" w:pos="2039" w:val="left"/>
        </w:tabs>
        <w:numPr>
          <w:ilvl w:val="0"/>
          <w:numId w:val="158"/>
        </w:numPr>
        <w:rPr>
          <w:rFonts w:ascii="Arial" w:cs="Arial" w:eastAsia="Arial" w:hAnsi="Arial"/>
          <w:sz w:val="19"/>
          <w:szCs w:val="19"/>
          <w:color w:val="auto"/>
        </w:rPr>
      </w:pPr>
      <w:r>
        <w:rPr>
          <w:rFonts w:ascii="Arial" w:cs="Arial" w:eastAsia="Arial" w:hAnsi="Arial"/>
          <w:sz w:val="19"/>
          <w:szCs w:val="19"/>
          <w:b w:val="1"/>
          <w:bCs w:val="1"/>
          <w:u w:val="single" w:color="auto"/>
          <w:color w:val="auto"/>
        </w:rPr>
        <w:t>Coverage under Recoupment Policy</w:t>
      </w:r>
      <w:r>
        <w:rPr>
          <w:rFonts w:ascii="Arial" w:cs="Arial" w:eastAsia="Arial" w:hAnsi="Arial"/>
          <w:sz w:val="19"/>
          <w:szCs w:val="19"/>
          <w:color w:val="auto"/>
        </w:rPr>
        <w:t>. If Participant is on the Award Date, or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thereafter becomes, either an executive officer of the Corporation subject to Section 16 of the 1934 Act, or a participant in the Corporation’s Performance Improvement Incentive Plan, then Participant shall be subject to the Matson, Inc. Policy Regarding Recoupment of Certain Compensation (the “Recoupment Policy”),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“incentive compensation” means all cash or equity-based award (e.g.,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ind w:left="2000" w:hanging="701"/>
        <w:spacing w:after="0"/>
        <w:tabs>
          <w:tab w:leader="none" w:pos="2000" w:val="left"/>
        </w:tabs>
        <w:numPr>
          <w:ilvl w:val="0"/>
          <w:numId w:val="158"/>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8"/>
        <w:spacing w:after="0" w:line="238" w:lineRule="auto"/>
        <w:tabs>
          <w:tab w:leader="none" w:pos="3099" w:val="left"/>
        </w:tabs>
        <w:numPr>
          <w:ilvl w:val="1"/>
          <w:numId w:val="158"/>
        </w:numPr>
        <w:rPr>
          <w:rFonts w:ascii="Arial" w:cs="Arial" w:eastAsia="Arial" w:hAnsi="Arial"/>
          <w:sz w:val="22"/>
          <w:szCs w:val="22"/>
          <w:color w:val="auto"/>
        </w:rPr>
      </w:pPr>
      <w:r>
        <w:rPr>
          <w:rFonts w:ascii="Arial" w:cs="Arial" w:eastAsia="Arial" w:hAnsi="Arial"/>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85" w:lineRule="exact"/>
        <w:rPr>
          <w:rFonts w:ascii="Arial" w:cs="Arial" w:eastAsia="Arial" w:hAnsi="Arial"/>
          <w:sz w:val="22"/>
          <w:szCs w:val="22"/>
          <w:color w:val="auto"/>
        </w:rPr>
      </w:pPr>
    </w:p>
    <w:p>
      <w:pPr>
        <w:jc w:val="both"/>
        <w:ind w:firstLine="1948"/>
        <w:spacing w:after="0" w:line="277" w:lineRule="auto"/>
        <w:tabs>
          <w:tab w:leader="none" w:pos="2982" w:val="left"/>
        </w:tabs>
        <w:numPr>
          <w:ilvl w:val="1"/>
          <w:numId w:val="158"/>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5" w:name="page146"/>
    <w:bookmarkEnd w:id="145"/>
    <w:p>
      <w:pPr>
        <w:jc w:val="both"/>
        <w:spacing w:after="0" w:line="245" w:lineRule="auto"/>
        <w:rPr>
          <w:sz w:val="20"/>
          <w:szCs w:val="20"/>
          <w:color w:val="auto"/>
        </w:rPr>
      </w:pPr>
      <w:r>
        <w:rPr>
          <w:rFonts w:ascii="Arial" w:cs="Arial" w:eastAsia="Arial" w:hAnsi="Arial"/>
          <w:sz w:val="21"/>
          <w:szCs w:val="21"/>
          <w:color w:val="auto"/>
        </w:rPr>
        <w:t>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198" w:lineRule="exact"/>
        <w:rPr>
          <w:sz w:val="20"/>
          <w:szCs w:val="20"/>
          <w:color w:val="auto"/>
        </w:rPr>
      </w:pPr>
    </w:p>
    <w:p>
      <w:pPr>
        <w:jc w:val="both"/>
        <w:ind w:firstLine="1299"/>
        <w:spacing w:after="0"/>
        <w:tabs>
          <w:tab w:leader="none" w:pos="2161" w:val="left"/>
        </w:tabs>
        <w:numPr>
          <w:ilvl w:val="0"/>
          <w:numId w:val="159"/>
        </w:numPr>
        <w:rPr>
          <w:rFonts w:ascii="Arial" w:cs="Arial" w:eastAsia="Arial" w:hAnsi="Arial"/>
          <w:sz w:val="22"/>
          <w:szCs w:val="22"/>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This Agreement may not be altered, modified, or amended except by</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205" w:lineRule="exact"/>
        <w:rPr>
          <w:rFonts w:ascii="Arial" w:cs="Arial" w:eastAsia="Arial" w:hAnsi="Arial"/>
          <w:sz w:val="22"/>
          <w:szCs w:val="22"/>
          <w:color w:val="auto"/>
        </w:rPr>
      </w:pPr>
    </w:p>
    <w:p>
      <w:pPr>
        <w:jc w:val="both"/>
        <w:ind w:firstLine="1299"/>
        <w:spacing w:after="0" w:line="241" w:lineRule="auto"/>
        <w:tabs>
          <w:tab w:leader="none" w:pos="2201" w:val="left"/>
        </w:tabs>
        <w:numPr>
          <w:ilvl w:val="0"/>
          <w:numId w:val="159"/>
        </w:numPr>
        <w:rPr>
          <w:rFonts w:ascii="Arial" w:cs="Arial" w:eastAsia="Arial" w:hAnsi="Arial"/>
          <w:sz w:val="22"/>
          <w:szCs w:val="22"/>
          <w:color w:val="auto"/>
        </w:rPr>
      </w:pPr>
      <w:r>
        <w:rPr>
          <w:rFonts w:ascii="Arial" w:cs="Arial" w:eastAsia="Arial" w:hAnsi="Arial"/>
          <w:sz w:val="20"/>
          <w:szCs w:val="20"/>
          <w:b w:val="1"/>
          <w:bCs w:val="1"/>
          <w:color w:val="auto"/>
        </w:rPr>
        <w:t>Other Agreements Superseded</w:t>
      </w:r>
      <w:r>
        <w:rPr>
          <w:rFonts w:ascii="Arial" w:cs="Arial" w:eastAsia="Arial" w:hAnsi="Arial"/>
          <w:sz w:val="20"/>
          <w:szCs w:val="20"/>
          <w:color w:val="auto"/>
        </w:rPr>
        <w:t>. The Award Notice, this Agreement, and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the entire understanding between Participant and the Corporation regarding the Award. Any prior agreements, commitments or negotiations concerning the Award are superseded.</w:t>
      </w:r>
    </w:p>
    <w:p>
      <w:pPr>
        <w:spacing w:after="0" w:line="202" w:lineRule="exact"/>
        <w:rPr>
          <w:rFonts w:ascii="Arial" w:cs="Arial" w:eastAsia="Arial" w:hAnsi="Arial"/>
          <w:sz w:val="22"/>
          <w:szCs w:val="22"/>
          <w:color w:val="auto"/>
        </w:rPr>
      </w:pPr>
    </w:p>
    <w:p>
      <w:pPr>
        <w:jc w:val="both"/>
        <w:ind w:firstLine="1299"/>
        <w:spacing w:after="0" w:line="310" w:lineRule="auto"/>
        <w:tabs>
          <w:tab w:leader="none" w:pos="2039" w:val="left"/>
        </w:tabs>
        <w:numPr>
          <w:ilvl w:val="0"/>
          <w:numId w:val="159"/>
        </w:numPr>
        <w:rPr>
          <w:rFonts w:ascii="Arial" w:cs="Arial" w:eastAsia="Arial" w:hAnsi="Arial"/>
          <w:sz w:val="18"/>
          <w:szCs w:val="18"/>
          <w:color w:val="auto"/>
        </w:rPr>
      </w:pPr>
      <w:r>
        <w:rPr>
          <w:rFonts w:ascii="Arial" w:cs="Arial" w:eastAsia="Arial" w:hAnsi="Arial"/>
          <w:sz w:val="17"/>
          <w:szCs w:val="17"/>
          <w:b w:val="1"/>
          <w:bCs w:val="1"/>
          <w:u w:val="single" w:color="auto"/>
          <w:color w:val="auto"/>
        </w:rPr>
        <w:t>Governing Plan Document</w:t>
      </w:r>
      <w:r>
        <w:rPr>
          <w:rFonts w:ascii="Arial" w:cs="Arial" w:eastAsia="Arial" w:hAnsi="Arial"/>
          <w:sz w:val="17"/>
          <w:szCs w:val="17"/>
          <w:color w:val="auto"/>
        </w:rPr>
        <w:t>. The Award is subject to all the provisions of the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6" w:name="page147"/>
    <w:bookmarkEnd w:id="146"/>
    <w:p>
      <w:pPr>
        <w:ind w:left="3880"/>
        <w:spacing w:after="0"/>
        <w:rPr>
          <w:sz w:val="20"/>
          <w:szCs w:val="20"/>
          <w:color w:val="auto"/>
        </w:rPr>
      </w:pPr>
      <w:r>
        <w:rPr>
          <w:rFonts w:ascii="Arial" w:cs="Arial" w:eastAsia="Arial" w:hAnsi="Arial"/>
          <w:sz w:val="22"/>
          <w:szCs w:val="22"/>
          <w:b w:val="1"/>
          <w:bCs w:val="1"/>
          <w:color w:val="auto"/>
        </w:rPr>
        <w:t>APPENDIX A</w:t>
      </w:r>
    </w:p>
    <w:p>
      <w:pPr>
        <w:spacing w:after="0" w:line="207" w:lineRule="exact"/>
        <w:rPr>
          <w:sz w:val="20"/>
          <w:szCs w:val="20"/>
          <w:color w:val="auto"/>
        </w:rPr>
      </w:pPr>
    </w:p>
    <w:p>
      <w:pPr>
        <w:ind w:left="382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2000" w:hanging="701"/>
        <w:spacing w:after="0"/>
        <w:tabs>
          <w:tab w:leader="none" w:pos="2000"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Performance Share Award Agreement.</w:t>
      </w:r>
    </w:p>
    <w:p>
      <w:pPr>
        <w:spacing w:after="0" w:line="206" w:lineRule="exact"/>
        <w:rPr>
          <w:rFonts w:ascii="Arial" w:cs="Arial" w:eastAsia="Arial" w:hAnsi="Arial"/>
          <w:sz w:val="22"/>
          <w:szCs w:val="22"/>
          <w:color w:val="auto"/>
        </w:rPr>
      </w:pPr>
    </w:p>
    <w:p>
      <w:pPr>
        <w:ind w:firstLine="1299"/>
        <w:spacing w:after="0" w:line="256" w:lineRule="auto"/>
        <w:tabs>
          <w:tab w:leader="none" w:pos="1981"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Performance Shares made to Participant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terms of this Agreement.</w:t>
      </w:r>
    </w:p>
    <w:p>
      <w:pPr>
        <w:spacing w:after="0" w:line="162" w:lineRule="exact"/>
        <w:rPr>
          <w:rFonts w:ascii="Arial" w:cs="Arial" w:eastAsia="Arial" w:hAnsi="Arial"/>
          <w:sz w:val="22"/>
          <w:szCs w:val="22"/>
          <w:color w:val="auto"/>
        </w:rPr>
      </w:pPr>
    </w:p>
    <w:p>
      <w:pPr>
        <w:jc w:val="both"/>
        <w:ind w:firstLine="1299"/>
        <w:spacing w:after="0" w:line="243" w:lineRule="auto"/>
        <w:tabs>
          <w:tab w:leader="none" w:pos="2345"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Performance Shares are awarded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pursuant to the Agreement and shall be the date specified in Paragraph 1 of the Award Notice.</w:t>
      </w:r>
    </w:p>
    <w:p>
      <w:pPr>
        <w:spacing w:after="0" w:line="176" w:lineRule="exact"/>
        <w:rPr>
          <w:rFonts w:ascii="Arial" w:cs="Arial" w:eastAsia="Arial" w:hAnsi="Arial"/>
          <w:sz w:val="22"/>
          <w:szCs w:val="22"/>
          <w:color w:val="auto"/>
        </w:rPr>
      </w:pPr>
    </w:p>
    <w:p>
      <w:pPr>
        <w:jc w:val="both"/>
        <w:ind w:firstLine="1299"/>
        <w:spacing w:after="0" w:line="243" w:lineRule="auto"/>
        <w:tabs>
          <w:tab w:leader="none" w:pos="2047"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Notice of Award of Performance Shares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Participant in which there is set forth the basic terms of the Performance Shares subject to this Agreement.</w:t>
      </w:r>
    </w:p>
    <w:p>
      <w:pPr>
        <w:spacing w:after="0" w:line="176" w:lineRule="exact"/>
        <w:rPr>
          <w:rFonts w:ascii="Arial" w:cs="Arial" w:eastAsia="Arial" w:hAnsi="Arial"/>
          <w:sz w:val="22"/>
          <w:szCs w:val="22"/>
          <w:color w:val="auto"/>
        </w:rPr>
      </w:pPr>
    </w:p>
    <w:p>
      <w:pPr>
        <w:jc w:val="both"/>
        <w:ind w:firstLine="1299"/>
        <w:spacing w:after="0" w:line="237" w:lineRule="auto"/>
        <w:tabs>
          <w:tab w:leader="none" w:pos="2320"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Cause</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 document;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however</w:t>
      </w:r>
      <w:r>
        <w:rPr>
          <w:rFonts w:ascii="Arial" w:cs="Arial" w:eastAsia="Arial" w:hAnsi="Arial"/>
          <w:sz w:val="22"/>
          <w:szCs w:val="22"/>
          <w:color w:val="auto"/>
        </w:rPr>
        <w:t>, that in the event Participant is, at the time the Corporation (or any Parent or Subsidiary)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purports to terminate Participant’s Employee status for Cause, a party to a Change in Control Benefits Agreement applicable to the Award, the term </w:t>
      </w:r>
      <w:r>
        <w:rPr>
          <w:rFonts w:ascii="Arial" w:cs="Arial" w:eastAsia="Arial" w:hAnsi="Arial"/>
          <w:sz w:val="22"/>
          <w:szCs w:val="22"/>
          <w:b w:val="1"/>
          <w:bCs w:val="1"/>
          <w:color w:val="auto"/>
        </w:rPr>
        <w:t>Cause</w:t>
      </w:r>
      <w:r>
        <w:rPr>
          <w:rFonts w:ascii="Arial" w:cs="Arial" w:eastAsia="Arial" w:hAnsi="Arial"/>
          <w:sz w:val="22"/>
          <w:szCs w:val="22"/>
          <w:color w:val="auto"/>
        </w:rPr>
        <w:t xml:space="preserve"> shall have the meaning ascribed to that term in such Change in Control Benefits Agreement.</w:t>
      </w:r>
    </w:p>
    <w:p>
      <w:pPr>
        <w:spacing w:after="0" w:line="182" w:lineRule="exact"/>
        <w:rPr>
          <w:rFonts w:ascii="Arial" w:cs="Arial" w:eastAsia="Arial" w:hAnsi="Arial"/>
          <w:sz w:val="22"/>
          <w:szCs w:val="22"/>
          <w:color w:val="auto"/>
        </w:rPr>
      </w:pPr>
    </w:p>
    <w:p>
      <w:pPr>
        <w:jc w:val="both"/>
        <w:ind w:firstLine="1299"/>
        <w:spacing w:after="0" w:line="239" w:lineRule="auto"/>
        <w:tabs>
          <w:tab w:leader="none" w:pos="2223" w:val="left"/>
        </w:tabs>
        <w:numPr>
          <w:ilvl w:val="0"/>
          <w:numId w:val="160"/>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provided,</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however</w:t>
      </w:r>
      <w:r>
        <w:rPr>
          <w:rFonts w:ascii="Arial" w:cs="Arial" w:eastAsia="Arial" w:hAnsi="Arial"/>
          <w:sz w:val="22"/>
          <w:szCs w:val="22"/>
          <w:color w:val="auto"/>
        </w:rPr>
        <w:t>, that in the event Participant is a party to a Change in Control Benefits Agreement applicable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Award, the term Change in Control shall have the meaning ascribed to that term in such Change in Control Benefits Agreement.</w:t>
      </w:r>
    </w:p>
    <w:p>
      <w:pPr>
        <w:spacing w:after="0" w:line="180" w:lineRule="exact"/>
        <w:rPr>
          <w:rFonts w:ascii="Arial" w:cs="Arial" w:eastAsia="Arial" w:hAnsi="Arial"/>
          <w:sz w:val="22"/>
          <w:szCs w:val="22"/>
          <w:color w:val="auto"/>
        </w:rPr>
      </w:pPr>
    </w:p>
    <w:p>
      <w:pPr>
        <w:jc w:val="both"/>
        <w:ind w:firstLine="1299"/>
        <w:spacing w:after="0" w:line="249" w:lineRule="auto"/>
        <w:tabs>
          <w:tab w:leader="none" w:pos="2195" w:val="left"/>
        </w:tabs>
        <w:numPr>
          <w:ilvl w:val="0"/>
          <w:numId w:val="160"/>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Benefits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separate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71" w:lineRule="exact"/>
        <w:rPr>
          <w:rFonts w:ascii="Arial" w:cs="Arial" w:eastAsia="Arial" w:hAnsi="Arial"/>
          <w:sz w:val="21"/>
          <w:szCs w:val="21"/>
          <w:color w:val="auto"/>
        </w:rPr>
      </w:pPr>
    </w:p>
    <w:p>
      <w:pPr>
        <w:jc w:val="both"/>
        <w:ind w:firstLine="1299"/>
        <w:spacing w:after="0" w:line="251" w:lineRule="auto"/>
        <w:tabs>
          <w:tab w:leader="none" w:pos="2317" w:val="left"/>
        </w:tabs>
        <w:numPr>
          <w:ilvl w:val="0"/>
          <w:numId w:val="160"/>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number of Shares obtained by</w:t>
      </w:r>
      <w:r>
        <w:rPr>
          <w:rFonts w:ascii="Arial" w:cs="Arial" w:eastAsia="Arial" w:hAnsi="Arial"/>
          <w:sz w:val="21"/>
          <w:szCs w:val="21"/>
          <w:b w:val="1"/>
          <w:bCs w:val="1"/>
          <w:color w:val="auto"/>
        </w:rPr>
        <w:t xml:space="preserve"> </w:t>
      </w:r>
      <w:r>
        <w:rPr>
          <w:rFonts w:ascii="Arial" w:cs="Arial" w:eastAsia="Arial" w:hAnsi="Arial"/>
          <w:sz w:val="21"/>
          <w:szCs w:val="21"/>
          <w:color w:val="auto"/>
        </w:rPr>
        <w:t>multiplying the Vested Percentage by the greater of (i) the number of Performance-Qualified Shares issuable under the Award at Target Level Attainment of the Performance Goal, or (ii) the number of Performance-Qualified Shares issuable under the Award based on actual performance of the Performance Goal through the date of the Change in Control.</w:t>
      </w:r>
    </w:p>
    <w:p>
      <w:pPr>
        <w:spacing w:after="0" w:line="168" w:lineRule="exact"/>
        <w:rPr>
          <w:rFonts w:ascii="Arial" w:cs="Arial" w:eastAsia="Arial" w:hAnsi="Arial"/>
          <w:sz w:val="21"/>
          <w:szCs w:val="21"/>
          <w:color w:val="auto"/>
        </w:rPr>
      </w:pPr>
    </w:p>
    <w:p>
      <w:pPr>
        <w:jc w:val="both"/>
        <w:ind w:firstLine="1299"/>
        <w:spacing w:after="0" w:line="261" w:lineRule="auto"/>
        <w:tabs>
          <w:tab w:leader="none" w:pos="2192" w:val="left"/>
        </w:tabs>
        <w:numPr>
          <w:ilvl w:val="0"/>
          <w:numId w:val="160"/>
        </w:numPr>
        <w:rPr>
          <w:rFonts w:ascii="Arial" w:cs="Arial" w:eastAsia="Arial" w:hAnsi="Arial"/>
          <w:sz w:val="21"/>
          <w:szCs w:val="21"/>
          <w:color w:val="auto"/>
        </w:rPr>
      </w:pPr>
      <w:r>
        <w:rPr>
          <w:rFonts w:ascii="Arial" w:cs="Arial" w:eastAsia="Arial" w:hAnsi="Arial"/>
          <w:sz w:val="21"/>
          <w:szCs w:val="21"/>
          <w:b w:val="1"/>
          <w:bCs w:val="1"/>
          <w:u w:val="single" w:color="auto"/>
          <w:color w:val="auto"/>
        </w:rPr>
        <w:t>Early Retirement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Participant’s retirement from Service,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prior approval of the Corporation (or the Parent or Subsidiary employing Participant), on or after the attainment of age fifty-five (55) and the completion of at least five (5) years of Service.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47" w:name="page148"/>
    <w:bookmarkEnd w:id="147"/>
    <w:p>
      <w:pPr>
        <w:jc w:val="both"/>
        <w:ind w:firstLine="1299"/>
        <w:spacing w:after="0" w:line="301" w:lineRule="auto"/>
        <w:tabs>
          <w:tab w:leader="none" w:pos="2056" w:val="left"/>
        </w:tabs>
        <w:numPr>
          <w:ilvl w:val="0"/>
          <w:numId w:val="161"/>
        </w:numPr>
        <w:rPr>
          <w:rFonts w:ascii="Arial" w:cs="Arial" w:eastAsia="Arial" w:hAnsi="Arial"/>
          <w:sz w:val="19"/>
          <w:szCs w:val="19"/>
          <w:color w:val="auto"/>
        </w:rPr>
      </w:pPr>
      <w:r>
        <w:rPr>
          <w:rFonts w:ascii="Arial" w:cs="Arial" w:eastAsia="Arial" w:hAnsi="Arial"/>
          <w:sz w:val="19"/>
          <w:szCs w:val="19"/>
          <w:b w:val="1"/>
          <w:bCs w:val="1"/>
          <w:u w:val="single" w:color="auto"/>
          <w:color w:val="auto"/>
        </w:rPr>
        <w:t xml:space="preserve">Extraordinary Level Attainment </w:t>
      </w:r>
      <w:r>
        <w:rPr>
          <w:rFonts w:ascii="Arial" w:cs="Arial" w:eastAsia="Arial" w:hAnsi="Arial"/>
          <w:sz w:val="19"/>
          <w:szCs w:val="19"/>
          <w:color w:val="auto"/>
        </w:rPr>
        <w:t>the Performance Goal set forth in Schedule I to the Extraordinary Level attainment for that goal.</w:t>
      </w:r>
    </w:p>
    <w:p>
      <w:pPr>
        <w:spacing w:after="0" w:line="20" w:lineRule="exact"/>
        <w:rPr>
          <w:sz w:val="20"/>
          <w:szCs w:val="20"/>
          <w:color w:val="auto"/>
        </w:rPr>
      </w:pPr>
      <w:r>
        <w:rPr>
          <w:sz w:val="20"/>
          <w:szCs w:val="20"/>
          <w:color w:val="auto"/>
        </w:rPr>
        <w:br w:type="column"/>
      </w:r>
    </w:p>
    <w:p>
      <w:pPr>
        <w:ind w:hanging="49"/>
        <w:spacing w:after="0" w:line="329" w:lineRule="auto"/>
        <w:rPr>
          <w:sz w:val="20"/>
          <w:szCs w:val="20"/>
          <w:color w:val="auto"/>
        </w:rPr>
      </w:pPr>
      <w:r>
        <w:rPr>
          <w:rFonts w:ascii="Arial" w:cs="Arial" w:eastAsia="Arial" w:hAnsi="Arial"/>
          <w:sz w:val="19"/>
          <w:szCs w:val="19"/>
          <w:color w:val="auto"/>
        </w:rPr>
        <w:t>shall mean the Corporation’s achievement of Award Notice at the level designated as</w:t>
      </w:r>
    </w:p>
    <w:p>
      <w:pPr>
        <w:spacing w:after="0" w:line="341" w:lineRule="exact"/>
        <w:rPr>
          <w:sz w:val="20"/>
          <w:szCs w:val="20"/>
          <w:color w:val="auto"/>
        </w:rPr>
      </w:pPr>
    </w:p>
    <w:p>
      <w:pPr>
        <w:sectPr>
          <w:pgSz w:w="11900" w:h="16838" w:orient="portrait"/>
          <w:cols w:equalWidth="0" w:num="2">
            <w:col w:w="5080" w:space="120"/>
            <w:col w:w="3860"/>
          </w:cols>
          <w:pgMar w:left="1420" w:top="111" w:right="1419" w:bottom="1440" w:gutter="0" w:footer="0" w:header="0"/>
        </w:sectPr>
      </w:pPr>
    </w:p>
    <w:p>
      <w:pPr>
        <w:jc w:val="both"/>
        <w:ind w:firstLine="1299"/>
        <w:spacing w:after="0" w:line="289" w:lineRule="auto"/>
        <w:tabs>
          <w:tab w:leader="none" w:pos="2020"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event Participant is at the time of his or her cessation of Employee status a party to a Change in Control Benefits Agreement applicable to the Award evidenced by this Agreement, the term </w:t>
      </w:r>
      <w:r>
        <w:rPr>
          <w:rFonts w:ascii="Arial" w:cs="Arial" w:eastAsia="Arial" w:hAnsi="Arial"/>
          <w:sz w:val="19"/>
          <w:szCs w:val="19"/>
          <w:b w:val="1"/>
          <w:bCs w:val="1"/>
          <w:color w:val="auto"/>
        </w:rPr>
        <w:t>Good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Reason </w:t>
      </w:r>
      <w:r>
        <w:rPr>
          <w:rFonts w:ascii="Arial" w:cs="Arial" w:eastAsia="Arial" w:hAnsi="Arial"/>
          <w:sz w:val="19"/>
          <w:szCs w:val="19"/>
          <w:color w:val="auto"/>
        </w:rPr>
        <w:t>shall have the meaning ascribed to that term in such Change in Control Benefits Agreement.</w:t>
      </w:r>
    </w:p>
    <w:p>
      <w:pPr>
        <w:spacing w:after="0" w:line="136" w:lineRule="exact"/>
        <w:rPr>
          <w:rFonts w:ascii="Arial" w:cs="Arial" w:eastAsia="Arial" w:hAnsi="Arial"/>
          <w:sz w:val="19"/>
          <w:szCs w:val="19"/>
          <w:color w:val="auto"/>
        </w:rPr>
      </w:pPr>
    </w:p>
    <w:p>
      <w:pPr>
        <w:ind w:firstLine="1299"/>
        <w:spacing w:after="0" w:line="256" w:lineRule="auto"/>
        <w:tabs>
          <w:tab w:leader="none" w:pos="2009"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at or after the attainment of age sixty-five (65).</w:t>
      </w:r>
    </w:p>
    <w:p>
      <w:pPr>
        <w:spacing w:after="0" w:line="162" w:lineRule="exact"/>
        <w:rPr>
          <w:rFonts w:ascii="Arial" w:cs="Arial" w:eastAsia="Arial" w:hAnsi="Arial"/>
          <w:sz w:val="22"/>
          <w:szCs w:val="22"/>
          <w:color w:val="auto"/>
        </w:rPr>
      </w:pPr>
    </w:p>
    <w:p>
      <w:pPr>
        <w:ind w:left="2080" w:hanging="781"/>
        <w:spacing w:after="0"/>
        <w:tabs>
          <w:tab w:leader="none" w:pos="2080"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2" w:lineRule="exact"/>
        <w:rPr>
          <w:rFonts w:ascii="Arial" w:cs="Arial" w:eastAsia="Arial" w:hAnsi="Arial"/>
          <w:sz w:val="19"/>
          <w:szCs w:val="19"/>
          <w:color w:val="auto"/>
        </w:rPr>
      </w:pPr>
    </w:p>
    <w:p>
      <w:pPr>
        <w:ind w:left="2080" w:hanging="781"/>
        <w:spacing w:after="0"/>
        <w:tabs>
          <w:tab w:leader="none" w:pos="2080"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 Goal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performance goal specified on Schedule I of</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Award Notice.</w:t>
      </w:r>
    </w:p>
    <w:p>
      <w:pPr>
        <w:spacing w:after="0" w:line="182" w:lineRule="exact"/>
        <w:rPr>
          <w:rFonts w:ascii="Arial" w:cs="Arial" w:eastAsia="Arial" w:hAnsi="Arial"/>
          <w:sz w:val="19"/>
          <w:szCs w:val="19"/>
          <w:color w:val="auto"/>
        </w:rPr>
      </w:pPr>
    </w:p>
    <w:p>
      <w:pPr>
        <w:ind w:firstLine="1299"/>
        <w:spacing w:after="0" w:line="256" w:lineRule="auto"/>
        <w:tabs>
          <w:tab w:leader="none" w:pos="2006"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period specified on Schedule I of the Award</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over which the attainment of the Performance Goal is to be measured.</w:t>
      </w:r>
    </w:p>
    <w:p>
      <w:pPr>
        <w:spacing w:after="0" w:line="162" w:lineRule="exact"/>
        <w:rPr>
          <w:rFonts w:ascii="Arial" w:cs="Arial" w:eastAsia="Arial" w:hAnsi="Arial"/>
          <w:sz w:val="22"/>
          <w:szCs w:val="22"/>
          <w:color w:val="auto"/>
        </w:rPr>
      </w:pPr>
    </w:p>
    <w:p>
      <w:pPr>
        <w:jc w:val="both"/>
        <w:ind w:firstLine="1299"/>
        <w:spacing w:after="0" w:line="248" w:lineRule="auto"/>
        <w:tabs>
          <w:tab w:leader="none" w:pos="2068" w:val="left"/>
        </w:tabs>
        <w:numPr>
          <w:ilvl w:val="0"/>
          <w:numId w:val="162"/>
        </w:numPr>
        <w:rPr>
          <w:rFonts w:ascii="Arial" w:cs="Arial" w:eastAsia="Arial" w:hAnsi="Arial"/>
          <w:sz w:val="21"/>
          <w:szCs w:val="21"/>
          <w:color w:val="auto"/>
        </w:rPr>
      </w:pPr>
      <w:r>
        <w:rPr>
          <w:rFonts w:ascii="Arial" w:cs="Arial" w:eastAsia="Arial" w:hAnsi="Arial"/>
          <w:sz w:val="21"/>
          <w:szCs w:val="21"/>
          <w:b w:val="1"/>
          <w:bCs w:val="1"/>
          <w:u w:val="single" w:color="auto"/>
          <w:color w:val="auto"/>
        </w:rPr>
        <w:t>Performance-Qualified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maximum number of Shares in</w:t>
      </w:r>
      <w:r>
        <w:rPr>
          <w:rFonts w:ascii="Arial" w:cs="Arial" w:eastAsia="Arial" w:hAnsi="Arial"/>
          <w:sz w:val="21"/>
          <w:szCs w:val="21"/>
          <w:b w:val="1"/>
          <w:bCs w:val="1"/>
          <w:color w:val="auto"/>
        </w:rPr>
        <w:t xml:space="preserve"> </w:t>
      </w:r>
      <w:r>
        <w:rPr>
          <w:rFonts w:ascii="Arial" w:cs="Arial" w:eastAsia="Arial" w:hAnsi="Arial"/>
          <w:sz w:val="21"/>
          <w:szCs w:val="21"/>
          <w:color w:val="auto"/>
        </w:rPr>
        <w:t>which Participant can vest based on the level at which the Performance Goal for the Performance Period is attained and shall be calculated in accordance with the provisions of the Award Notice. In no event shall the number of such Performance-Qualified Shares exceed two hundred percent (200%) of the designated number of Performance Shares set forth in the Performance Shares section of the Award Notice. Each Performance-Qualified Share that vests pursuant to the terms of the Award shall entitle Participant to receive one Share.</w:t>
      </w:r>
    </w:p>
    <w:p>
      <w:pPr>
        <w:spacing w:after="0" w:line="171" w:lineRule="exact"/>
        <w:rPr>
          <w:rFonts w:ascii="Arial" w:cs="Arial" w:eastAsia="Arial" w:hAnsi="Arial"/>
          <w:sz w:val="21"/>
          <w:szCs w:val="21"/>
          <w:color w:val="auto"/>
        </w:rPr>
      </w:pPr>
    </w:p>
    <w:p>
      <w:pPr>
        <w:jc w:val="both"/>
        <w:ind w:firstLine="1299"/>
        <w:spacing w:after="0" w:line="239" w:lineRule="auto"/>
        <w:tabs>
          <w:tab w:leader="none" w:pos="2195"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phantom shares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awarded under this Agreement that shall be applied to the calculation of the maximum number of Performance-Qualified Shares (if any) based on the level at which the Performance Goal is in fact attained over the applicable Performance Period.</w:t>
      </w:r>
    </w:p>
    <w:p>
      <w:pPr>
        <w:spacing w:after="0" w:line="180" w:lineRule="exact"/>
        <w:rPr>
          <w:rFonts w:ascii="Arial" w:cs="Arial" w:eastAsia="Arial" w:hAnsi="Arial"/>
          <w:sz w:val="22"/>
          <w:szCs w:val="22"/>
          <w:color w:val="auto"/>
        </w:rPr>
      </w:pPr>
    </w:p>
    <w:p>
      <w:pPr>
        <w:ind w:left="1980" w:hanging="681"/>
        <w:spacing w:after="0"/>
        <w:tabs>
          <w:tab w:leader="none" w:pos="1980" w:val="left"/>
        </w:tabs>
        <w:numPr>
          <w:ilvl w:val="0"/>
          <w:numId w:val="162"/>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rFonts w:ascii="Arial" w:cs="Arial" w:eastAsia="Arial" w:hAnsi="Arial"/>
          <w:sz w:val="22"/>
          <w:szCs w:val="22"/>
          <w:color w:val="auto"/>
        </w:rPr>
      </w:pPr>
    </w:p>
    <w:p>
      <w:pPr>
        <w:ind w:left="2180" w:hanging="881"/>
        <w:spacing w:after="0"/>
        <w:tabs>
          <w:tab w:leader="none" w:pos="2180"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on which there occurs a</w:t>
      </w:r>
    </w:p>
    <w:p>
      <w:pPr>
        <w:spacing w:after="0" w:line="49"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83" w:lineRule="exact"/>
        <w:rPr>
          <w:sz w:val="20"/>
          <w:szCs w:val="20"/>
          <w:color w:val="auto"/>
        </w:rPr>
      </w:pPr>
    </w:p>
    <w:p>
      <w:pPr>
        <w:ind w:left="4360" w:right="420" w:hanging="3061"/>
        <w:spacing w:after="0" w:line="666" w:lineRule="auto"/>
        <w:tabs>
          <w:tab w:leader="none" w:pos="1949" w:val="left"/>
        </w:tabs>
        <w:numPr>
          <w:ilvl w:val="0"/>
          <w:numId w:val="163"/>
        </w:numPr>
        <w:rPr>
          <w:rFonts w:ascii="Arial" w:cs="Arial" w:eastAsia="Arial" w:hAnsi="Arial"/>
          <w:sz w:val="22"/>
          <w:szCs w:val="22"/>
          <w:color w:val="auto"/>
        </w:rPr>
      </w:pPr>
      <w:r>
        <w:rPr>
          <w:rFonts w:ascii="Arial" w:cs="Arial" w:eastAsia="Arial" w:hAnsi="Arial"/>
          <w:sz w:val="22"/>
          <w:szCs w:val="22"/>
          <w:b w:val="1"/>
          <w:bCs w:val="1"/>
          <w:u w:val="single" w:color="auto"/>
          <w:color w:val="auto"/>
        </w:rPr>
        <w:t>Separation from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Participant’s cessation of 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-221615</wp:posOffset>
            </wp:positionV>
            <wp:extent cx="575437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148" w:name="page149"/>
    <w:bookmarkEnd w:id="148"/>
    <w:p>
      <w:pPr>
        <w:jc w:val="both"/>
        <w:spacing w:after="0" w:line="270" w:lineRule="auto"/>
        <w:rPr>
          <w:sz w:val="20"/>
          <w:szCs w:val="20"/>
          <w:color w:val="auto"/>
        </w:rPr>
      </w:pPr>
      <w:r>
        <w:rPr>
          <w:rFonts w:ascii="Arial" w:cs="Arial" w:eastAsia="Arial" w:hAnsi="Arial"/>
          <w:sz w:val="19"/>
          <w:szCs w:val="19"/>
          <w:color w:val="auto"/>
        </w:rPr>
        <w:t>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400" w:lineRule="exact"/>
        <w:rPr>
          <w:sz w:val="20"/>
          <w:szCs w:val="20"/>
          <w:color w:val="auto"/>
        </w:rPr>
      </w:pPr>
    </w:p>
    <w:p>
      <w:pPr>
        <w:jc w:val="both"/>
        <w:ind w:firstLine="1299"/>
        <w:spacing w:after="0" w:line="274" w:lineRule="auto"/>
        <w:tabs>
          <w:tab w:leader="none" w:pos="2006" w:val="left"/>
        </w:tabs>
        <w:numPr>
          <w:ilvl w:val="1"/>
          <w:numId w:val="164"/>
        </w:numPr>
        <w:rPr>
          <w:rFonts w:ascii="Arial" w:cs="Arial" w:eastAsia="Arial" w:hAnsi="Arial"/>
          <w:sz w:val="19"/>
          <w:szCs w:val="19"/>
          <w:color w:val="auto"/>
        </w:rPr>
      </w:pPr>
      <w:r>
        <w:rPr>
          <w:rFonts w:ascii="Arial" w:cs="Arial" w:eastAsia="Arial" w:hAnsi="Arial"/>
          <w:sz w:val="19"/>
          <w:szCs w:val="19"/>
          <w:b w:val="1"/>
          <w:bCs w:val="1"/>
          <w:u w:val="single" w:color="auto"/>
          <w:color w:val="auto"/>
        </w:rPr>
        <w:t>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performance of services for the 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Parent or Subsidiary) in the capacity of an Employee, a non-employee member of a board of directors (including the Board), or a Consultant. For purposes of this Agreement, Participant shall be deemed to cease Service immediately upon the occurrence of the either of the following events: (i) Participant no longer performs services in any of the foregoing capacities for the Corporation (or any Parent or Subsidiary) or (ii) the entity for which Participant performs such services ceases to remain a Parent or Subsidiary of the Corporation, even though Participant may subsequently continue to perform services for that entity. Service as an Employee shall not be deemed to cease during a period of military leave, sick leave or other personal leave approved by the Plan Administrator;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the following special provisions shall be in effect for any such leave:</w:t>
      </w:r>
    </w:p>
    <w:p>
      <w:pPr>
        <w:spacing w:after="0" w:line="158" w:lineRule="exact"/>
        <w:rPr>
          <w:rFonts w:ascii="Arial" w:cs="Arial" w:eastAsia="Arial" w:hAnsi="Arial"/>
          <w:sz w:val="19"/>
          <w:szCs w:val="19"/>
          <w:color w:val="auto"/>
        </w:rPr>
      </w:pPr>
    </w:p>
    <w:p>
      <w:pPr>
        <w:ind w:left="2660" w:hanging="712"/>
        <w:spacing w:after="0"/>
        <w:tabs>
          <w:tab w:leader="none" w:pos="2660" w:val="left"/>
        </w:tabs>
        <w:numPr>
          <w:ilvl w:val="2"/>
          <w:numId w:val="164"/>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w:t>
      </w:r>
    </w:p>
    <w:p>
      <w:pPr>
        <w:spacing w:after="0" w:line="42" w:lineRule="exact"/>
        <w:rPr>
          <w:rFonts w:ascii="Arial" w:cs="Arial" w:eastAsia="Arial" w:hAnsi="Arial"/>
          <w:sz w:val="19"/>
          <w:szCs w:val="19"/>
          <w:color w:val="auto"/>
        </w:rPr>
      </w:pPr>
    </w:p>
    <w:p>
      <w:pPr>
        <w:jc w:val="both"/>
        <w:ind w:left="660" w:hanging="9"/>
        <w:spacing w:after="0" w:line="233" w:lineRule="auto"/>
        <w:tabs>
          <w:tab w:leader="none" w:pos="99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88" w:lineRule="exact"/>
        <w:rPr>
          <w:rFonts w:ascii="Arial" w:cs="Arial" w:eastAsia="Arial" w:hAnsi="Arial"/>
          <w:sz w:val="22"/>
          <w:szCs w:val="22"/>
          <w:color w:val="auto"/>
        </w:rPr>
      </w:pPr>
    </w:p>
    <w:p>
      <w:pPr>
        <w:jc w:val="both"/>
        <w:ind w:left="660" w:firstLine="1288"/>
        <w:spacing w:after="0" w:line="236" w:lineRule="auto"/>
        <w:tabs>
          <w:tab w:leader="none" w:pos="2715" w:val="left"/>
        </w:tabs>
        <w:numPr>
          <w:ilvl w:val="2"/>
          <w:numId w:val="165"/>
        </w:numPr>
        <w:rPr>
          <w:rFonts w:ascii="Arial" w:cs="Arial" w:eastAsia="Arial" w:hAnsi="Arial"/>
          <w:sz w:val="22"/>
          <w:szCs w:val="22"/>
          <w:color w:val="auto"/>
        </w:rPr>
      </w:pPr>
      <w:r>
        <w:rPr>
          <w:rFonts w:ascii="Arial" w:cs="Arial" w:eastAsia="Arial" w:hAnsi="Arial"/>
          <w:sz w:val="22"/>
          <w:szCs w:val="22"/>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49" w:name="page150"/>
    <w:bookmarkEnd w:id="149"/>
    <w:p>
      <w:pPr>
        <w:jc w:val="both"/>
        <w:ind w:left="660"/>
        <w:spacing w:after="0" w:line="249" w:lineRule="auto"/>
        <w:rPr>
          <w:sz w:val="20"/>
          <w:szCs w:val="20"/>
          <w:color w:val="auto"/>
        </w:rPr>
      </w:pPr>
      <w:r>
        <w:rPr>
          <w:rFonts w:ascii="Arial" w:cs="Arial" w:eastAsia="Arial" w:hAnsi="Arial"/>
          <w:sz w:val="21"/>
          <w:szCs w:val="21"/>
          <w:color w:val="auto"/>
        </w:rPr>
        <w:t>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79" w:lineRule="exact"/>
        <w:rPr>
          <w:sz w:val="20"/>
          <w:szCs w:val="20"/>
          <w:color w:val="auto"/>
        </w:rPr>
      </w:pPr>
    </w:p>
    <w:p>
      <w:pPr>
        <w:jc w:val="both"/>
        <w:ind w:left="660" w:firstLine="1288"/>
        <w:spacing w:after="0" w:line="297" w:lineRule="auto"/>
        <w:tabs>
          <w:tab w:leader="none" w:pos="2638" w:val="left"/>
        </w:tabs>
        <w:numPr>
          <w:ilvl w:val="1"/>
          <w:numId w:val="166"/>
        </w:numPr>
        <w:rPr>
          <w:rFonts w:ascii="Arial" w:cs="Arial" w:eastAsia="Arial" w:hAnsi="Arial"/>
          <w:sz w:val="19"/>
          <w:szCs w:val="19"/>
          <w:color w:val="auto"/>
        </w:rPr>
      </w:pPr>
      <w:r>
        <w:rPr>
          <w:rFonts w:ascii="Arial" w:cs="Arial" w:eastAsia="Arial" w:hAnsi="Arial"/>
          <w:sz w:val="19"/>
          <w:szCs w:val="19"/>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28" w:lineRule="exact"/>
        <w:rPr>
          <w:rFonts w:ascii="Arial" w:cs="Arial" w:eastAsia="Arial" w:hAnsi="Arial"/>
          <w:sz w:val="19"/>
          <w:szCs w:val="19"/>
          <w:color w:val="auto"/>
        </w:rPr>
      </w:pPr>
    </w:p>
    <w:p>
      <w:pPr>
        <w:ind w:firstLine="1299"/>
        <w:spacing w:after="0" w:line="280" w:lineRule="auto"/>
        <w:tabs>
          <w:tab w:leader="none" w:pos="2100" w:val="left"/>
        </w:tabs>
        <w:numPr>
          <w:ilvl w:val="0"/>
          <w:numId w:val="167"/>
        </w:numPr>
        <w:rPr>
          <w:rFonts w:ascii="Arial" w:cs="Arial" w:eastAsia="Arial" w:hAnsi="Arial"/>
          <w:sz w:val="21"/>
          <w:szCs w:val="21"/>
          <w:color w:val="auto"/>
        </w:rPr>
      </w:pPr>
      <w:r>
        <w:rPr>
          <w:rFonts w:ascii="Arial" w:cs="Arial" w:eastAsia="Arial" w:hAnsi="Arial"/>
          <w:sz w:val="21"/>
          <w:szCs w:val="21"/>
          <w:b w:val="1"/>
          <w:bCs w:val="1"/>
          <w:u w:val="single" w:color="auto"/>
          <w:color w:val="auto"/>
        </w:rPr>
        <w:t>Shares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shares of Common Stock which may vest and become</w:t>
      </w:r>
      <w:r>
        <w:rPr>
          <w:rFonts w:ascii="Arial" w:cs="Arial" w:eastAsia="Arial" w:hAnsi="Arial"/>
          <w:sz w:val="21"/>
          <w:szCs w:val="21"/>
          <w:b w:val="1"/>
          <w:bCs w:val="1"/>
          <w:color w:val="auto"/>
        </w:rPr>
        <w:t xml:space="preserve"> </w:t>
      </w:r>
      <w:r>
        <w:rPr>
          <w:rFonts w:ascii="Arial" w:cs="Arial" w:eastAsia="Arial" w:hAnsi="Arial"/>
          <w:sz w:val="21"/>
          <w:szCs w:val="21"/>
          <w:color w:val="auto"/>
        </w:rPr>
        <w:t>issuable under the Award pursuant to the terms of this Agreement and the Award Notice.</w:t>
      </w:r>
    </w:p>
    <w:p>
      <w:pPr>
        <w:spacing w:after="0" w:line="138" w:lineRule="exact"/>
        <w:rPr>
          <w:rFonts w:ascii="Arial" w:cs="Arial" w:eastAsia="Arial" w:hAnsi="Arial"/>
          <w:sz w:val="21"/>
          <w:szCs w:val="21"/>
          <w:color w:val="auto"/>
        </w:rPr>
      </w:pPr>
    </w:p>
    <w:p>
      <w:pPr>
        <w:jc w:val="both"/>
        <w:ind w:firstLine="1299"/>
        <w:spacing w:after="0" w:line="243" w:lineRule="auto"/>
        <w:tabs>
          <w:tab w:leader="none" w:pos="2183" w:val="left"/>
        </w:tabs>
        <w:numPr>
          <w:ilvl w:val="0"/>
          <w:numId w:val="167"/>
        </w:numPr>
        <w:rPr>
          <w:rFonts w:ascii="Arial" w:cs="Arial" w:eastAsia="Arial" w:hAnsi="Arial"/>
          <w:sz w:val="22"/>
          <w:szCs w:val="22"/>
          <w:color w:val="auto"/>
        </w:rPr>
      </w:pPr>
      <w:r>
        <w:rPr>
          <w:rFonts w:ascii="Arial" w:cs="Arial" w:eastAsia="Arial" w:hAnsi="Arial"/>
          <w:sz w:val="22"/>
          <w:szCs w:val="22"/>
          <w:b w:val="1"/>
          <w:bCs w:val="1"/>
          <w:u w:val="single" w:color="auto"/>
          <w:color w:val="auto"/>
        </w:rPr>
        <w:t>Target Level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 set forth in Schedule I to the Award Notice at the level designated as Target Level attainment for that goal.</w:t>
      </w:r>
    </w:p>
    <w:p>
      <w:pPr>
        <w:spacing w:after="0" w:line="176" w:lineRule="exact"/>
        <w:rPr>
          <w:rFonts w:ascii="Arial" w:cs="Arial" w:eastAsia="Arial" w:hAnsi="Arial"/>
          <w:sz w:val="22"/>
          <w:szCs w:val="22"/>
          <w:color w:val="auto"/>
        </w:rPr>
      </w:pPr>
    </w:p>
    <w:p>
      <w:pPr>
        <w:jc w:val="both"/>
        <w:ind w:firstLine="1299"/>
        <w:spacing w:after="0" w:line="254" w:lineRule="auto"/>
        <w:tabs>
          <w:tab w:leader="none" w:pos="1993" w:val="left"/>
        </w:tabs>
        <w:numPr>
          <w:ilvl w:val="0"/>
          <w:numId w:val="167"/>
        </w:numPr>
        <w:rPr>
          <w:rFonts w:ascii="Arial" w:cs="Arial" w:eastAsia="Arial" w:hAnsi="Arial"/>
          <w:sz w:val="21"/>
          <w:szCs w:val="21"/>
          <w:color w:val="auto"/>
        </w:rPr>
      </w:pPr>
      <w:r>
        <w:rPr>
          <w:rFonts w:ascii="Arial" w:cs="Arial" w:eastAsia="Arial" w:hAnsi="Arial"/>
          <w:sz w:val="21"/>
          <w:szCs w:val="21"/>
          <w:b w:val="1"/>
          <w:bCs w:val="1"/>
          <w:u w:val="single" w:color="auto"/>
          <w:color w:val="auto"/>
        </w:rPr>
        <w:t>Vested Percentage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(i) fifty percent (50%) if the Change in Control is</w:t>
      </w:r>
      <w:r>
        <w:rPr>
          <w:rFonts w:ascii="Arial" w:cs="Arial" w:eastAsia="Arial" w:hAnsi="Arial"/>
          <w:sz w:val="21"/>
          <w:szCs w:val="21"/>
          <w:b w:val="1"/>
          <w:bCs w:val="1"/>
          <w:color w:val="auto"/>
        </w:rPr>
        <w:t xml:space="preserve"> </w:t>
      </w:r>
      <w:r>
        <w:rPr>
          <w:rFonts w:ascii="Arial" w:cs="Arial" w:eastAsia="Arial" w:hAnsi="Arial"/>
          <w:sz w:val="21"/>
          <w:szCs w:val="21"/>
          <w:color w:val="auto"/>
        </w:rPr>
        <w:t>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0" w:name="page151"/>
    <w:bookmarkEnd w:id="150"/>
    <w:p>
      <w:pPr>
        <w:ind w:left="3880"/>
        <w:spacing w:after="0"/>
        <w:rPr>
          <w:sz w:val="20"/>
          <w:szCs w:val="20"/>
          <w:color w:val="auto"/>
        </w:rPr>
      </w:pPr>
      <w:r>
        <w:rPr>
          <w:rFonts w:ascii="Arial" w:cs="Arial" w:eastAsia="Arial" w:hAnsi="Arial"/>
          <w:sz w:val="22"/>
          <w:szCs w:val="22"/>
          <w:b w:val="1"/>
          <w:bCs w:val="1"/>
          <w:color w:val="auto"/>
        </w:rPr>
        <w:t>SCHEDULE I</w:t>
      </w:r>
    </w:p>
    <w:p>
      <w:pPr>
        <w:spacing w:after="0" w:line="207" w:lineRule="exact"/>
        <w:rPr>
          <w:sz w:val="20"/>
          <w:szCs w:val="20"/>
          <w:color w:val="auto"/>
        </w:rPr>
      </w:pPr>
    </w:p>
    <w:p>
      <w:pPr>
        <w:ind w:left="2140"/>
        <w:spacing w:after="0"/>
        <w:rPr>
          <w:sz w:val="20"/>
          <w:szCs w:val="20"/>
          <w:color w:val="auto"/>
        </w:rPr>
      </w:pPr>
      <w:r>
        <w:rPr>
          <w:rFonts w:ascii="Arial" w:cs="Arial" w:eastAsia="Arial" w:hAnsi="Arial"/>
          <w:sz w:val="22"/>
          <w:szCs w:val="22"/>
          <w:b w:val="1"/>
          <w:bCs w:val="1"/>
          <w:color w:val="auto"/>
        </w:rPr>
        <w:t>ILLUSTRATION OF VESTING CALCULATIONS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examples are for illustration purposes only:</w:t>
      </w:r>
    </w:p>
    <w:p>
      <w:pPr>
        <w:spacing w:after="0" w:line="206" w:lineRule="exact"/>
        <w:rPr>
          <w:sz w:val="20"/>
          <w:szCs w:val="20"/>
          <w:color w:val="auto"/>
        </w:rPr>
      </w:pPr>
    </w:p>
    <w:p>
      <w:pPr>
        <w:jc w:val="both"/>
        <w:ind w:firstLine="3"/>
        <w:spacing w:after="0" w:line="248" w:lineRule="auto"/>
        <w:tabs>
          <w:tab w:leader="none" w:pos="338" w:val="left"/>
        </w:tabs>
        <w:numPr>
          <w:ilvl w:val="0"/>
          <w:numId w:val="168"/>
        </w:numPr>
        <w:rPr>
          <w:rFonts w:ascii="Arial" w:cs="Arial" w:eastAsia="Arial" w:hAnsi="Arial"/>
          <w:sz w:val="21"/>
          <w:szCs w:val="21"/>
          <w:color w:val="auto"/>
        </w:rPr>
      </w:pPr>
      <w:r>
        <w:rPr>
          <w:rFonts w:ascii="Arial" w:cs="Arial" w:eastAsia="Arial" w:hAnsi="Arial"/>
          <w:sz w:val="21"/>
          <w:szCs w:val="21"/>
          <w:color w:val="auto"/>
        </w:rPr>
        <w:t>Participant receives an Award for 100 Performance Shares at Target Level and Participant continues in Service until the expiration of the requisite three (3)-year Service vesting period. If the Performance Goal is attained at the Target Level, Participant shall vest in 100 Performance Shares following the completion of the Performance Period. If the Performance Goal is attained at the Extraordinary Level, Participant shall vest in an additional 100 Shares for a total of 200 Shares following the completion of the Performance Period.</w:t>
      </w:r>
    </w:p>
    <w:p>
      <w:pPr>
        <w:spacing w:after="0" w:line="177" w:lineRule="exact"/>
        <w:rPr>
          <w:rFonts w:ascii="Arial" w:cs="Arial" w:eastAsia="Arial" w:hAnsi="Arial"/>
          <w:sz w:val="21"/>
          <w:szCs w:val="21"/>
          <w:color w:val="auto"/>
        </w:rPr>
      </w:pPr>
    </w:p>
    <w:p>
      <w:pPr>
        <w:jc w:val="both"/>
        <w:ind w:firstLine="3"/>
        <w:spacing w:after="0" w:line="249" w:lineRule="auto"/>
        <w:tabs>
          <w:tab w:leader="none" w:pos="392" w:val="left"/>
        </w:tabs>
        <w:numPr>
          <w:ilvl w:val="0"/>
          <w:numId w:val="168"/>
        </w:numPr>
        <w:rPr>
          <w:rFonts w:ascii="Arial" w:cs="Arial" w:eastAsia="Arial" w:hAnsi="Arial"/>
          <w:sz w:val="21"/>
          <w:szCs w:val="21"/>
          <w:color w:val="auto"/>
        </w:rPr>
      </w:pPr>
      <w:r>
        <w:rPr>
          <w:rFonts w:ascii="Arial" w:cs="Arial" w:eastAsia="Arial" w:hAnsi="Arial"/>
          <w:sz w:val="21"/>
          <w:szCs w:val="21"/>
          <w:color w:val="auto"/>
        </w:rPr>
        <w:t>Participant receives an Award for 100 Performance Shares at Target Level and Participant ceases Service due to Permanent Disability halfway through the Performance Period. If the Performance Goal is attained at the Target Level, Participant shall vest in 50 of the Shares. On the other hand, if the Performance Goal is attained at the Extraordinary Level, Participant shall vest in an additional 50 Shares for a total of 100 Performance Shares.</w:t>
      </w:r>
    </w:p>
    <w:p>
      <w:pPr>
        <w:spacing w:after="0" w:line="178" w:lineRule="exact"/>
        <w:rPr>
          <w:rFonts w:ascii="Arial" w:cs="Arial" w:eastAsia="Arial" w:hAnsi="Arial"/>
          <w:sz w:val="21"/>
          <w:szCs w:val="21"/>
          <w:color w:val="auto"/>
        </w:rPr>
      </w:pPr>
    </w:p>
    <w:p>
      <w:pPr>
        <w:jc w:val="both"/>
        <w:ind w:firstLine="3"/>
        <w:spacing w:after="0" w:line="279" w:lineRule="auto"/>
        <w:tabs>
          <w:tab w:leader="none" w:pos="37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continues in Service through the completion of the three (3)-year Service vesting period. If the Performance Goal is attained at a point halfway between the Threshold and Target Levels, Participant would vest in 62 of the Shares following the completion of the Performance Period. On the other hand, if the Performance Goal is attained at a point halfway between the Target and Extraordinary Levels, Participant would vest in 150 of the Shares following the completion of the Performance Period.</w:t>
      </w:r>
    </w:p>
    <w:p>
      <w:pPr>
        <w:spacing w:after="0" w:line="150" w:lineRule="exact"/>
        <w:rPr>
          <w:rFonts w:ascii="Arial" w:cs="Arial" w:eastAsia="Arial" w:hAnsi="Arial"/>
          <w:sz w:val="19"/>
          <w:szCs w:val="19"/>
          <w:color w:val="auto"/>
        </w:rPr>
      </w:pPr>
    </w:p>
    <w:p>
      <w:pPr>
        <w:jc w:val="both"/>
        <w:ind w:firstLine="3"/>
        <w:spacing w:after="0" w:line="279" w:lineRule="auto"/>
        <w:tabs>
          <w:tab w:leader="none" w:pos="39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Participant receives an Award for 100 Performance Shares at Target Level and Participant ceases Service due to Permanent Disability halfway through the Performance Period. If the Performance Goal is attained at a point halfway between the Threshold and Target Levels, Participant would vest in 31 of the Shares following the completion of the Performance Period. On the other hand, if the Performance Goal is attained at a point halfway between the Target and Extraordinary Levels, Participant would vest in 75 of the Shares following the completion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469265</wp:posOffset>
            </wp:positionV>
            <wp:extent cx="575437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10.69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 AWARD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1299"/>
        <w:spacing w:after="0" w:line="279" w:lineRule="auto"/>
        <w:tabs>
          <w:tab w:leader="none" w:pos="232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 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50" w:lineRule="exact"/>
        <w:rPr>
          <w:rFonts w:ascii="Arial" w:cs="Arial" w:eastAsia="Arial" w:hAnsi="Arial"/>
          <w:sz w:val="19"/>
          <w:szCs w:val="19"/>
          <w:color w:val="auto"/>
        </w:rPr>
      </w:pPr>
    </w:p>
    <w:p>
      <w:pPr>
        <w:jc w:val="both"/>
        <w:ind w:firstLine="1299"/>
        <w:spacing w:after="0" w:line="238" w:lineRule="auto"/>
        <w:tabs>
          <w:tab w:leader="none" w:pos="212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85" w:lineRule="exact"/>
        <w:rPr>
          <w:rFonts w:ascii="Arial" w:cs="Arial" w:eastAsia="Arial" w:hAnsi="Arial"/>
          <w:sz w:val="22"/>
          <w:szCs w:val="22"/>
          <w:color w:val="auto"/>
        </w:rPr>
      </w:pPr>
    </w:p>
    <w:p>
      <w:pPr>
        <w:ind w:firstLine="1299"/>
        <w:spacing w:after="0" w:line="251" w:lineRule="auto"/>
        <w:tabs>
          <w:tab w:leader="none" w:pos="1991"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9"/>
        <w:spacing w:after="0" w:line="237" w:lineRule="auto"/>
        <w:tabs>
          <w:tab w:leader="none" w:pos="1904" w:val="left"/>
        </w:tabs>
        <w:numPr>
          <w:ilvl w:val="0"/>
          <w:numId w:val="170"/>
        </w:numPr>
        <w:rPr>
          <w:rFonts w:ascii="Arial" w:cs="Arial" w:eastAsia="Arial" w:hAnsi="Arial"/>
          <w:sz w:val="22"/>
          <w:szCs w:val="22"/>
          <w:color w:val="auto"/>
        </w:rPr>
      </w:pPr>
      <w:r>
        <w:rPr>
          <w:rFonts w:ascii="Arial" w:cs="Arial" w:eastAsia="Arial" w:hAnsi="Arial"/>
          <w:sz w:val="22"/>
          <w:szCs w:val="22"/>
          <w:b w:val="1"/>
          <w:bCs w:val="1"/>
          <w:u w:val="single" w:color="auto"/>
          <w:color w:val="auto"/>
        </w:rPr>
        <w:t>Grant of Performance Shares</w:t>
      </w:r>
      <w:r>
        <w:rPr>
          <w:rFonts w:ascii="Arial" w:cs="Arial" w:eastAsia="Arial" w:hAnsi="Arial"/>
          <w:sz w:val="22"/>
          <w:szCs w:val="22"/>
          <w:color w:val="auto"/>
        </w:rPr>
        <w:t>. The Corporation hereby awards to Participant,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Award Date, Performance Shares under the Plan. The number of shares of Common Stock underlying the award and the applicable performance vesting requirements for those shares are set forth in the Award Notice. The remaining terms and conditions governing the Award shall be as set forth in this Agreement.</w:t>
      </w:r>
    </w:p>
    <w:p>
      <w:pPr>
        <w:spacing w:after="0" w:line="182" w:lineRule="exact"/>
        <w:rPr>
          <w:rFonts w:ascii="Arial" w:cs="Arial" w:eastAsia="Arial" w:hAnsi="Arial"/>
          <w:sz w:val="22"/>
          <w:szCs w:val="22"/>
          <w:color w:val="auto"/>
        </w:rPr>
      </w:pPr>
    </w:p>
    <w:p>
      <w:pPr>
        <w:jc w:val="both"/>
        <w:ind w:firstLine="1299"/>
        <w:spacing w:after="0" w:line="273" w:lineRule="auto"/>
        <w:tabs>
          <w:tab w:leader="none" w:pos="2026" w:val="left"/>
        </w:tabs>
        <w:numPr>
          <w:ilvl w:val="0"/>
          <w:numId w:val="170"/>
        </w:numPr>
        <w:rPr>
          <w:rFonts w:ascii="Arial" w:cs="Arial" w:eastAsia="Arial" w:hAnsi="Arial"/>
          <w:sz w:val="19"/>
          <w:szCs w:val="19"/>
          <w:color w:val="auto"/>
        </w:rPr>
      </w:pPr>
      <w:r>
        <w:rPr>
          <w:rFonts w:ascii="Arial" w:cs="Arial" w:eastAsia="Arial" w:hAnsi="Arial"/>
          <w:sz w:val="19"/>
          <w:szCs w:val="19"/>
          <w:b w:val="1"/>
          <w:bCs w:val="1"/>
          <w:u w:val="single" w:color="auto"/>
          <w:color w:val="auto"/>
        </w:rPr>
        <w:t>Limited Transferability</w:t>
      </w:r>
      <w:r>
        <w:rPr>
          <w:rFonts w:ascii="Arial" w:cs="Arial" w:eastAsia="Arial" w:hAnsi="Arial"/>
          <w:sz w:val="19"/>
          <w:szCs w:val="19"/>
          <w:color w:val="auto"/>
        </w:rPr>
        <w:t>. Prior to the actual issuance of the Shares which vest</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Participant may not transfer any interest in the Performance Shares subject to the Award or the underlying Shares or pledge or otherwise hedge the sale of those Performance Shares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399" w:lineRule="exact"/>
        <w:rPr>
          <w:rFonts w:ascii="Arial" w:cs="Arial" w:eastAsia="Arial" w:hAnsi="Arial"/>
          <w:sz w:val="19"/>
          <w:szCs w:val="19"/>
          <w:color w:val="auto"/>
        </w:rPr>
      </w:pPr>
    </w:p>
    <w:p>
      <w:pPr>
        <w:jc w:val="both"/>
        <w:ind w:firstLine="1299"/>
        <w:spacing w:after="0" w:line="301" w:lineRule="auto"/>
        <w:tabs>
          <w:tab w:leader="none" w:pos="1972" w:val="left"/>
        </w:tabs>
        <w:numPr>
          <w:ilvl w:val="0"/>
          <w:numId w:val="170"/>
        </w:numPr>
        <w:rPr>
          <w:rFonts w:ascii="Arial" w:cs="Arial" w:eastAsia="Arial" w:hAnsi="Arial"/>
          <w:sz w:val="19"/>
          <w:szCs w:val="19"/>
          <w:color w:val="auto"/>
        </w:rPr>
      </w:pPr>
      <w:r>
        <w:rPr>
          <w:rFonts w:ascii="Arial" w:cs="Arial" w:eastAsia="Arial" w:hAnsi="Arial"/>
          <w:sz w:val="19"/>
          <w:szCs w:val="19"/>
          <w:b w:val="1"/>
          <w:bCs w:val="1"/>
          <w:u w:val="single" w:color="auto"/>
          <w:color w:val="auto"/>
        </w:rPr>
        <w:t>Vesting Requirements</w:t>
      </w:r>
      <w:r>
        <w:rPr>
          <w:rFonts w:ascii="Arial" w:cs="Arial" w:eastAsia="Arial" w:hAnsi="Arial"/>
          <w:sz w:val="19"/>
          <w:szCs w:val="19"/>
          <w:color w:val="auto"/>
        </w:rPr>
        <w:t>. The actual number of Shares that may vest and become</w:t>
      </w:r>
      <w:r>
        <w:rPr>
          <w:rFonts w:ascii="Arial" w:cs="Arial" w:eastAsia="Arial" w:hAnsi="Arial"/>
          <w:sz w:val="19"/>
          <w:szCs w:val="19"/>
          <w:b w:val="1"/>
          <w:bCs w:val="1"/>
          <w:color w:val="auto"/>
        </w:rPr>
        <w:t xml:space="preserve"> </w:t>
      </w:r>
      <w:r>
        <w:rPr>
          <w:rFonts w:ascii="Arial" w:cs="Arial" w:eastAsia="Arial" w:hAnsi="Arial"/>
          <w:sz w:val="19"/>
          <w:szCs w:val="19"/>
          <w:color w:val="auto"/>
        </w:rPr>
        <w:t>issuable pursuant to the Performance Shares shall be determined pursuant to a two-step process: (i) first there shall be calculated the maximum number of Shares in which Participant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575437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52" w:name="page153"/>
    <w:bookmarkEnd w:id="152"/>
    <w:p>
      <w:pPr>
        <w:jc w:val="both"/>
        <w:spacing w:after="0" w:line="282" w:lineRule="auto"/>
        <w:rPr>
          <w:sz w:val="20"/>
          <w:szCs w:val="20"/>
          <w:color w:val="auto"/>
        </w:rPr>
      </w:pPr>
      <w:r>
        <w:rPr>
          <w:rFonts w:ascii="Arial" w:cs="Arial" w:eastAsia="Arial" w:hAnsi="Arial"/>
          <w:sz w:val="19"/>
          <w:szCs w:val="19"/>
          <w:color w:val="auto"/>
        </w:rPr>
        <w:t>vest based upon the level at which the Performance Goal specified on Schedule I to the Award Notice is actually attained as modified by the TSR Modifier and (ii) then the number of the Performance-Qualified Shares resulting from the clause (i) calculation in which Participant shall actually vest shall be determined on the basis of his or her completion of the applicable Service vesting provisions set forth below. Accordingly, the vesting of the Shares shall be calculated as follows:</w:t>
      </w:r>
    </w:p>
    <w:p>
      <w:pPr>
        <w:spacing w:after="0" w:line="148" w:lineRule="exact"/>
        <w:rPr>
          <w:sz w:val="20"/>
          <w:szCs w:val="20"/>
          <w:color w:val="auto"/>
        </w:rPr>
      </w:pPr>
    </w:p>
    <w:p>
      <w:pPr>
        <w:jc w:val="both"/>
        <w:ind w:firstLine="1948"/>
        <w:spacing w:after="0" w:line="236" w:lineRule="auto"/>
        <w:tabs>
          <w:tab w:leader="none" w:pos="2846" w:val="left"/>
        </w:tabs>
        <w:numPr>
          <w:ilvl w:val="1"/>
          <w:numId w:val="171"/>
        </w:numPr>
        <w:rPr>
          <w:rFonts w:ascii="Arial" w:cs="Arial" w:eastAsia="Arial" w:hAnsi="Arial"/>
          <w:sz w:val="22"/>
          <w:szCs w:val="22"/>
          <w:color w:val="auto"/>
        </w:rPr>
      </w:pPr>
      <w:r>
        <w:rPr>
          <w:rFonts w:ascii="Arial" w:cs="Arial" w:eastAsia="Arial" w:hAnsi="Arial"/>
          <w:sz w:val="22"/>
          <w:szCs w:val="22"/>
          <w:b w:val="1"/>
          <w:bCs w:val="1"/>
          <w:i w:val="1"/>
          <w:iCs w:val="1"/>
          <w:color w:val="auto"/>
        </w:rPr>
        <w:t>Performance Vesting</w:t>
      </w:r>
      <w:r>
        <w:rPr>
          <w:rFonts w:ascii="Arial" w:cs="Arial" w:eastAsia="Arial" w:hAnsi="Arial"/>
          <w:sz w:val="22"/>
          <w:szCs w:val="22"/>
          <w:color w:val="auto"/>
        </w:rPr>
        <w:t>: Following the completion of the Performance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Period, the Plan Administrator shall determine the applicable number of Performance-Qualified Shares in accordance with the provisions of the Award Notice and Schedule I attached thereto. The Plan Administrator generally expects to complete this determination within sixty (60) days after the end of the Performance Period.</w:t>
      </w:r>
    </w:p>
    <w:p>
      <w:pPr>
        <w:spacing w:after="0" w:line="187" w:lineRule="exact"/>
        <w:rPr>
          <w:rFonts w:ascii="Arial" w:cs="Arial" w:eastAsia="Arial" w:hAnsi="Arial"/>
          <w:sz w:val="22"/>
          <w:szCs w:val="22"/>
          <w:color w:val="auto"/>
        </w:rPr>
      </w:pPr>
    </w:p>
    <w:p>
      <w:pPr>
        <w:jc w:val="both"/>
        <w:ind w:firstLine="1948"/>
        <w:spacing w:after="0" w:line="258" w:lineRule="auto"/>
        <w:tabs>
          <w:tab w:leader="none" w:pos="2966" w:val="left"/>
        </w:tabs>
        <w:numPr>
          <w:ilvl w:val="1"/>
          <w:numId w:val="171"/>
        </w:numPr>
        <w:rPr>
          <w:rFonts w:ascii="Arial" w:cs="Arial" w:eastAsia="Arial" w:hAnsi="Arial"/>
          <w:sz w:val="21"/>
          <w:szCs w:val="21"/>
          <w:color w:val="auto"/>
        </w:rPr>
      </w:pPr>
      <w:r>
        <w:rPr>
          <w:rFonts w:ascii="Arial" w:cs="Arial" w:eastAsia="Arial" w:hAnsi="Arial"/>
          <w:sz w:val="21"/>
          <w:szCs w:val="21"/>
          <w:b w:val="1"/>
          <w:bCs w:val="1"/>
          <w:i w:val="1"/>
          <w:iCs w:val="1"/>
          <w:color w:val="auto"/>
        </w:rPr>
        <w:t>Service Vesting</w:t>
      </w:r>
      <w:r>
        <w:rPr>
          <w:rFonts w:ascii="Arial" w:cs="Arial" w:eastAsia="Arial" w:hAnsi="Arial"/>
          <w:sz w:val="21"/>
          <w:szCs w:val="21"/>
          <w:color w:val="auto"/>
        </w:rPr>
        <w:t>: The Performance-Qualified Shares so determined</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represent the maximum number of Shares in which Participant can vest hereunder. The actual number of Shares in which Participant shall vest shall be determined as follows:</w:t>
      </w:r>
    </w:p>
    <w:p>
      <w:pPr>
        <w:spacing w:after="0" w:line="166" w:lineRule="exact"/>
        <w:rPr>
          <w:rFonts w:ascii="Arial" w:cs="Arial" w:eastAsia="Arial" w:hAnsi="Arial"/>
          <w:sz w:val="21"/>
          <w:szCs w:val="21"/>
          <w:color w:val="auto"/>
        </w:rPr>
      </w:pPr>
    </w:p>
    <w:p>
      <w:pPr>
        <w:jc w:val="both"/>
        <w:ind w:left="660" w:firstLine="1936"/>
        <w:spacing w:after="0" w:line="282" w:lineRule="auto"/>
        <w:tabs>
          <w:tab w:leader="none" w:pos="3403" w:val="left"/>
        </w:tabs>
        <w:numPr>
          <w:ilvl w:val="2"/>
          <w:numId w:val="171"/>
        </w:numPr>
        <w:rPr>
          <w:rFonts w:ascii="Arial" w:cs="Arial" w:eastAsia="Arial" w:hAnsi="Arial"/>
          <w:sz w:val="19"/>
          <w:szCs w:val="19"/>
          <w:color w:val="auto"/>
        </w:rPr>
      </w:pPr>
      <w:r>
        <w:rPr>
          <w:rFonts w:ascii="Arial" w:cs="Arial" w:eastAsia="Arial" w:hAnsi="Arial"/>
          <w:sz w:val="19"/>
          <w:szCs w:val="19"/>
          <w:color w:val="auto"/>
        </w:rPr>
        <w:t>If Participant continues in Service through the completion of the three (3)-year Performance Period, Participant shall vest in all of the Performance-Qualified Shares. The Shares underlying those particular Performance-Qualified Shares shall generally be issued to Participant during the period beginning with the first business day of the first calendar year following the completion of the Performance Period and ending on March 15th of that year.</w:t>
      </w:r>
    </w:p>
    <w:p>
      <w:pPr>
        <w:spacing w:after="0" w:line="147" w:lineRule="exact"/>
        <w:rPr>
          <w:rFonts w:ascii="Arial" w:cs="Arial" w:eastAsia="Arial" w:hAnsi="Arial"/>
          <w:sz w:val="19"/>
          <w:szCs w:val="19"/>
          <w:color w:val="auto"/>
        </w:rPr>
      </w:pPr>
    </w:p>
    <w:p>
      <w:pPr>
        <w:jc w:val="both"/>
        <w:ind w:left="660" w:firstLine="1936"/>
        <w:spacing w:after="0" w:line="269" w:lineRule="auto"/>
        <w:tabs>
          <w:tab w:leader="none" w:pos="3634" w:val="left"/>
        </w:tabs>
        <w:numPr>
          <w:ilvl w:val="2"/>
          <w:numId w:val="171"/>
        </w:numPr>
        <w:rPr>
          <w:rFonts w:ascii="Arial" w:cs="Arial" w:eastAsia="Arial" w:hAnsi="Arial"/>
          <w:sz w:val="19"/>
          <w:szCs w:val="19"/>
          <w:color w:val="auto"/>
        </w:rPr>
      </w:pPr>
      <w:r>
        <w:rPr>
          <w:rFonts w:ascii="Arial" w:cs="Arial" w:eastAsia="Arial" w:hAnsi="Arial"/>
          <w:sz w:val="19"/>
          <w:szCs w:val="19"/>
          <w:color w:val="auto"/>
        </w:rPr>
        <w:t xml:space="preserve">If Participant ceases Service </w:t>
      </w:r>
      <w:r>
        <w:rPr>
          <w:rFonts w:ascii="Arial" w:cs="Arial" w:eastAsia="Arial" w:hAnsi="Arial"/>
          <w:sz w:val="19"/>
          <w:szCs w:val="19"/>
          <w:b w:val="1"/>
          <w:bCs w:val="1"/>
          <w:i w:val="1"/>
          <w:iCs w:val="1"/>
          <w:color w:val="auto"/>
        </w:rPr>
        <w:t>prior to</w:t>
      </w:r>
      <w:r>
        <w:rPr>
          <w:rFonts w:ascii="Arial" w:cs="Arial" w:eastAsia="Arial" w:hAnsi="Arial"/>
          <w:sz w:val="19"/>
          <w:szCs w:val="19"/>
          <w:color w:val="auto"/>
        </w:rPr>
        <w:t xml:space="preserve"> the completion of the Performance Period by reason of Early Retirement, Normal Retirement, death or Permanent Disability, then Participant shall, upon the completion of such Performance Period, vest in a portion of the Performance-Qualified Shares determined by multiplying (x) the maximum number of Performance-Qualified Shares in which Participant would have vested, based on the actual level of Performance Goal attainment for the Performance Period, had Participant completed the three (3)-year Service vesting requirement set forth in subparagraph (i) above by</w:t>
      </w:r>
    </w:p>
    <w:p>
      <w:pPr>
        <w:spacing w:after="0" w:line="5" w:lineRule="exact"/>
        <w:rPr>
          <w:rFonts w:ascii="Arial" w:cs="Arial" w:eastAsia="Arial" w:hAnsi="Arial"/>
          <w:sz w:val="19"/>
          <w:szCs w:val="19"/>
          <w:color w:val="auto"/>
        </w:rPr>
      </w:pPr>
    </w:p>
    <w:p>
      <w:pPr>
        <w:jc w:val="both"/>
        <w:ind w:left="660" w:hanging="9"/>
        <w:spacing w:after="0" w:line="273" w:lineRule="auto"/>
        <w:tabs>
          <w:tab w:leader="none" w:pos="983"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 fraction, the numerator of which is the number of months of actual Service completed by Participant in such Performance Period (rounded to the closest whole month), and the denominator of which is thirty-six (36) months. The Shares underlying the Performance-Qualified Shares in which Participant vests in accordance with this subparagraph (ii) shall generally be issued to Participant (or in the event of the death of Participant, then to Participant’s heirs or beneficiaries) during the period beginning with the first business day of the first calendar year following the completion of the Performance Period and ending on March 15th of that year.</w:t>
      </w:r>
    </w:p>
    <w:p>
      <w:pPr>
        <w:spacing w:after="0" w:line="160" w:lineRule="exact"/>
        <w:rPr>
          <w:rFonts w:ascii="Arial" w:cs="Arial" w:eastAsia="Arial" w:hAnsi="Arial"/>
          <w:sz w:val="19"/>
          <w:szCs w:val="19"/>
          <w:color w:val="auto"/>
        </w:rPr>
      </w:pPr>
    </w:p>
    <w:p>
      <w:pPr>
        <w:jc w:val="both"/>
        <w:ind w:left="660" w:firstLine="1936"/>
        <w:spacing w:after="0" w:line="238" w:lineRule="auto"/>
        <w:tabs>
          <w:tab w:leader="none" w:pos="3463" w:val="left"/>
        </w:tabs>
        <w:numPr>
          <w:ilvl w:val="2"/>
          <w:numId w:val="172"/>
        </w:numPr>
        <w:rPr>
          <w:rFonts w:ascii="Arial" w:cs="Arial" w:eastAsia="Arial" w:hAnsi="Arial"/>
          <w:sz w:val="22"/>
          <w:szCs w:val="22"/>
          <w:color w:val="auto"/>
        </w:rPr>
      </w:pPr>
      <w:r>
        <w:rPr>
          <w:rFonts w:ascii="Arial" w:cs="Arial" w:eastAsia="Arial" w:hAnsi="Arial"/>
          <w:sz w:val="22"/>
          <w:szCs w:val="22"/>
          <w:color w:val="auto"/>
        </w:rPr>
        <w:t>If Participant’s Service ceases for any other reason prior to the completion of the Performance Period, then Participant shall not vest in any of the Performance-Qualified Shares and all of Participant's right, title and interest to the Shares subject to this Award shall cease.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3" w:name="page154"/>
    <w:bookmarkEnd w:id="153"/>
    <w:p>
      <w:pPr>
        <w:jc w:val="both"/>
        <w:ind w:firstLine="1296"/>
        <w:spacing w:after="0" w:line="241" w:lineRule="auto"/>
        <w:rPr>
          <w:sz w:val="20"/>
          <w:szCs w:val="20"/>
          <w:color w:val="auto"/>
        </w:rPr>
      </w:pPr>
      <w:r>
        <w:rPr>
          <w:rFonts w:ascii="Arial" w:cs="Arial" w:eastAsia="Arial" w:hAnsi="Arial"/>
          <w:sz w:val="22"/>
          <w:szCs w:val="22"/>
          <w:color w:val="auto"/>
        </w:rPr>
        <w:t>Schedule I attached to this Agreement sets forth examples illustrating the calculation of the number of Shares in which the Participant may vest based upon hypothetical levels of Performance Goal attainment and service vesting requirements.</w:t>
      </w:r>
    </w:p>
    <w:p>
      <w:pPr>
        <w:spacing w:after="0" w:line="178" w:lineRule="exact"/>
        <w:rPr>
          <w:sz w:val="20"/>
          <w:szCs w:val="20"/>
          <w:color w:val="auto"/>
        </w:rPr>
      </w:pPr>
    </w:p>
    <w:p>
      <w:pPr>
        <w:jc w:val="both"/>
        <w:ind w:firstLine="1299"/>
        <w:spacing w:after="0" w:line="239" w:lineRule="auto"/>
        <w:tabs>
          <w:tab w:leader="none" w:pos="2039" w:val="left"/>
        </w:tabs>
        <w:numPr>
          <w:ilvl w:val="0"/>
          <w:numId w:val="173"/>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w:t>
      </w:r>
      <w:r>
        <w:rPr>
          <w:rFonts w:ascii="Arial" w:cs="Arial" w:eastAsia="Arial" w:hAnsi="Arial"/>
          <w:sz w:val="22"/>
          <w:szCs w:val="22"/>
          <w:color w:val="auto"/>
        </w:rPr>
        <w:t>. The holder of this Award shall not have any stockholder</w:t>
      </w:r>
      <w:r>
        <w:rPr>
          <w:rFonts w:ascii="Arial" w:cs="Arial" w:eastAsia="Arial" w:hAnsi="Arial"/>
          <w:sz w:val="22"/>
          <w:szCs w:val="22"/>
          <w:b w:val="1"/>
          <w:bCs w:val="1"/>
          <w:color w:val="auto"/>
        </w:rPr>
        <w:t xml:space="preserve"> </w:t>
      </w:r>
      <w:r>
        <w:rPr>
          <w:rFonts w:ascii="Arial" w:cs="Arial" w:eastAsia="Arial" w:hAnsi="Arial"/>
          <w:sz w:val="22"/>
          <w:szCs w:val="22"/>
          <w:color w:val="auto"/>
        </w:rPr>
        <w:t>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0" w:lineRule="exact"/>
        <w:rPr>
          <w:rFonts w:ascii="Arial" w:cs="Arial" w:eastAsia="Arial" w:hAnsi="Arial"/>
          <w:sz w:val="22"/>
          <w:szCs w:val="22"/>
          <w:color w:val="auto"/>
        </w:rPr>
      </w:pPr>
    </w:p>
    <w:p>
      <w:pPr>
        <w:jc w:val="both"/>
        <w:ind w:firstLine="1299"/>
        <w:spacing w:after="0" w:line="254" w:lineRule="auto"/>
        <w:tabs>
          <w:tab w:leader="none" w:pos="2323" w:val="left"/>
        </w:tabs>
        <w:numPr>
          <w:ilvl w:val="0"/>
          <w:numId w:val="173"/>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w:t>
      </w:r>
      <w:r>
        <w:rPr>
          <w:rFonts w:ascii="Arial" w:cs="Arial" w:eastAsia="Arial" w:hAnsi="Arial"/>
          <w:sz w:val="21"/>
          <w:szCs w:val="21"/>
          <w:color w:val="auto"/>
        </w:rPr>
        <w:t>. Notwithstanding Paragraph 3 above, the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provisions shall apply to the extent a Change in Control is consummated prior to the completion of the applicable Performance Period and shall have no force or effect in the event the closing of the Change in Control occurs on or after the completion of the Performance Period.</w:t>
      </w:r>
    </w:p>
    <w:p>
      <w:pPr>
        <w:spacing w:after="0" w:line="172" w:lineRule="exact"/>
        <w:rPr>
          <w:rFonts w:ascii="Arial" w:cs="Arial" w:eastAsia="Arial" w:hAnsi="Arial"/>
          <w:sz w:val="21"/>
          <w:szCs w:val="21"/>
          <w:color w:val="auto"/>
        </w:rPr>
      </w:pPr>
    </w:p>
    <w:p>
      <w:pPr>
        <w:jc w:val="both"/>
        <w:ind w:firstLine="1921"/>
        <w:spacing w:after="0" w:line="236" w:lineRule="auto"/>
        <w:tabs>
          <w:tab w:leader="none" w:pos="2959" w:val="left"/>
        </w:tabs>
        <w:numPr>
          <w:ilvl w:val="1"/>
          <w:numId w:val="173"/>
        </w:numPr>
        <w:rPr>
          <w:rFonts w:ascii="Arial" w:cs="Arial" w:eastAsia="Arial" w:hAnsi="Arial"/>
          <w:sz w:val="22"/>
          <w:szCs w:val="22"/>
          <w:color w:val="auto"/>
        </w:rPr>
      </w:pPr>
      <w:r>
        <w:rPr>
          <w:rFonts w:ascii="Arial" w:cs="Arial" w:eastAsia="Arial" w:hAnsi="Arial"/>
          <w:sz w:val="22"/>
          <w:szCs w:val="22"/>
          <w:color w:val="auto"/>
        </w:rPr>
        <w:t>This Award may be assumed by the successor entity or otherwise continued in full force and effect, provided, however, that the securities subject to such Award following such assumption or continuation are actively traded on an established securities exchange, or may be replaced with a substitute equivalent award established by the successor entity. In such event, the following provisions shall be in effect:</w:t>
      </w:r>
    </w:p>
    <w:p>
      <w:pPr>
        <w:spacing w:after="0" w:line="187" w:lineRule="exact"/>
        <w:rPr>
          <w:rFonts w:ascii="Arial" w:cs="Arial" w:eastAsia="Arial" w:hAnsi="Arial"/>
          <w:sz w:val="22"/>
          <w:szCs w:val="22"/>
          <w:color w:val="auto"/>
        </w:rPr>
      </w:pPr>
    </w:p>
    <w:p>
      <w:pPr>
        <w:jc w:val="both"/>
        <w:ind w:left="660" w:firstLine="1936"/>
        <w:spacing w:after="0" w:line="236" w:lineRule="auto"/>
        <w:tabs>
          <w:tab w:leader="none" w:pos="3477" w:val="left"/>
        </w:tabs>
        <w:numPr>
          <w:ilvl w:val="2"/>
          <w:numId w:val="173"/>
        </w:numPr>
        <w:rPr>
          <w:rFonts w:ascii="Arial" w:cs="Arial" w:eastAsia="Arial" w:hAnsi="Arial"/>
          <w:sz w:val="22"/>
          <w:szCs w:val="22"/>
          <w:color w:val="auto"/>
        </w:rPr>
      </w:pPr>
      <w:r>
        <w:rPr>
          <w:rFonts w:ascii="Arial" w:cs="Arial" w:eastAsia="Arial" w:hAnsi="Arial"/>
          <w:sz w:val="22"/>
          <w:szCs w:val="22"/>
          <w:color w:val="auto"/>
        </w:rPr>
        <w:t>The Performance-Vesting requirements of this Agreement shall terminate, and the assumption or continuation of this Award shall be effected in accordance with Paragraph 5(b) below on the basis of the number of Change in Control Shares. The Service-vesting and issuance provisions of Paragraph 3(b)(i) shall continue in effect with respect to the assumed or continued Award.</w:t>
      </w:r>
    </w:p>
    <w:p>
      <w:pPr>
        <w:spacing w:after="0" w:line="187" w:lineRule="exact"/>
        <w:rPr>
          <w:rFonts w:ascii="Arial" w:cs="Arial" w:eastAsia="Arial" w:hAnsi="Arial"/>
          <w:sz w:val="22"/>
          <w:szCs w:val="22"/>
          <w:color w:val="auto"/>
        </w:rPr>
      </w:pPr>
    </w:p>
    <w:p>
      <w:pPr>
        <w:jc w:val="both"/>
        <w:ind w:left="660" w:firstLine="1936"/>
        <w:spacing w:after="0" w:line="272" w:lineRule="auto"/>
        <w:tabs>
          <w:tab w:leader="none" w:pos="3828" w:val="left"/>
        </w:tabs>
        <w:numPr>
          <w:ilvl w:val="2"/>
          <w:numId w:val="173"/>
        </w:numPr>
        <w:rPr>
          <w:rFonts w:ascii="Arial" w:cs="Arial" w:eastAsia="Arial" w:hAnsi="Arial"/>
          <w:sz w:val="19"/>
          <w:szCs w:val="19"/>
          <w:color w:val="auto"/>
        </w:rPr>
      </w:pPr>
      <w:r>
        <w:rPr>
          <w:rFonts w:ascii="Arial" w:cs="Arial" w:eastAsia="Arial" w:hAnsi="Arial"/>
          <w:sz w:val="19"/>
          <w:szCs w:val="19"/>
          <w:color w:val="auto"/>
        </w:rPr>
        <w:t>If Participant ceases Service prior to completion of the Performance Period by reason of Early Retirement, Normal Retirement, death or Permanent Disability, then Participant shall, upon the closing of the Change in Control or (if later) such cessation of Service, vest in that number of Shares determined by multiplying (x) the number of Change in Control Shares by (y) a fraction, the numerator of which is the number of months of actual Service completed by Participant in such Performance Period (rounded to the closest whole month), and the denominator of which is thirty-six (36) months. The Shares in which Participant so vests shall be issued to Participant on the earlier of (i) the date the Shares would have otherwise been issued pursuant to the provisions of Paragraph 3(b)(ii) in the absence of such Change in Control or, should such cessation of Service occur after such Change in Control but within twenty-four (24) months after the closing of a Qualifying Change in Control, (ii) the date of Participant’s Separation from Service due to such cessation of Service.</w:t>
      </w:r>
    </w:p>
    <w:p>
      <w:pPr>
        <w:spacing w:after="0" w:line="161" w:lineRule="exact"/>
        <w:rPr>
          <w:rFonts w:ascii="Arial" w:cs="Arial" w:eastAsia="Arial" w:hAnsi="Arial"/>
          <w:sz w:val="19"/>
          <w:szCs w:val="19"/>
          <w:color w:val="auto"/>
        </w:rPr>
      </w:pPr>
    </w:p>
    <w:p>
      <w:pPr>
        <w:jc w:val="both"/>
        <w:ind w:left="660" w:firstLine="1936"/>
        <w:spacing w:after="0" w:line="238" w:lineRule="auto"/>
        <w:tabs>
          <w:tab w:leader="none" w:pos="3482" w:val="left"/>
        </w:tabs>
        <w:numPr>
          <w:ilvl w:val="2"/>
          <w:numId w:val="173"/>
        </w:numPr>
        <w:rPr>
          <w:rFonts w:ascii="Arial" w:cs="Arial" w:eastAsia="Arial" w:hAnsi="Arial"/>
          <w:sz w:val="22"/>
          <w:szCs w:val="22"/>
          <w:color w:val="auto"/>
        </w:rPr>
      </w:pPr>
      <w:r>
        <w:rPr>
          <w:rFonts w:ascii="Arial" w:cs="Arial" w:eastAsia="Arial" w:hAnsi="Arial"/>
          <w:sz w:val="22"/>
          <w:szCs w:val="22"/>
          <w:color w:val="auto"/>
        </w:rPr>
        <w:t>To the extent the substitute equivalent award is in the form of cash, a cash retention account shall be established and shall initially be credited with the Fair Market Value (at the effective time of the Change in Control) of the number of Change in Control Shares, and interest shall accrue on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4" w:name="page155"/>
    <w:bookmarkEnd w:id="154"/>
    <w:p>
      <w:pPr>
        <w:jc w:val="both"/>
        <w:ind w:left="660"/>
        <w:spacing w:after="0" w:line="274" w:lineRule="auto"/>
        <w:rPr>
          <w:sz w:val="20"/>
          <w:szCs w:val="20"/>
          <w:color w:val="auto"/>
        </w:rPr>
      </w:pPr>
      <w:r>
        <w:rPr>
          <w:rFonts w:ascii="Arial" w:cs="Arial" w:eastAsia="Arial" w:hAnsi="Arial"/>
          <w:sz w:val="19"/>
          <w:szCs w:val="19"/>
          <w:color w:val="auto"/>
        </w:rPr>
        <w:t xml:space="preserve">outstanding balance of such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shall vest and be paid out in accordance with the Service vesting and issuance provisions of Paragraph 3(b)(i) or (to the extent applicable) in accordance with the pro-rata Service vesting and issuance provisions of Paragraph 5(a)(ii) above. The Participant’s interest in the account shall at all times be that of a general, unsecured creditor.</w:t>
      </w:r>
    </w:p>
    <w:p>
      <w:pPr>
        <w:spacing w:after="0" w:line="160" w:lineRule="exact"/>
        <w:rPr>
          <w:sz w:val="20"/>
          <w:szCs w:val="20"/>
          <w:color w:val="auto"/>
        </w:rPr>
      </w:pPr>
    </w:p>
    <w:p>
      <w:pPr>
        <w:jc w:val="both"/>
        <w:ind w:left="660" w:firstLine="1936"/>
        <w:spacing w:after="0" w:line="236" w:lineRule="auto"/>
        <w:tabs>
          <w:tab w:leader="none" w:pos="3411" w:val="left"/>
        </w:tabs>
        <w:numPr>
          <w:ilvl w:val="2"/>
          <w:numId w:val="174"/>
        </w:numPr>
        <w:rPr>
          <w:rFonts w:ascii="Arial" w:cs="Arial" w:eastAsia="Arial" w:hAnsi="Arial"/>
          <w:sz w:val="22"/>
          <w:szCs w:val="22"/>
          <w:color w:val="auto"/>
        </w:rPr>
      </w:pPr>
      <w:r>
        <w:rPr>
          <w:rFonts w:ascii="Arial" w:cs="Arial" w:eastAsia="Arial" w:hAnsi="Arial"/>
          <w:sz w:val="22"/>
          <w:szCs w:val="22"/>
          <w:color w:val="auto"/>
        </w:rPr>
        <w:t>In the event of such assumption or continuation of this Award or such replacement of the Award with a substitute equivalent award, no accelerated vesting of the Performance Shares subject to this Award or the underlying Shares shall occur at the time of the Change in Control, and the Service-vesting provisions of Paragraph 3(b) shall continue in full force and effect.</w:t>
      </w:r>
    </w:p>
    <w:p>
      <w:pPr>
        <w:spacing w:after="0" w:line="187" w:lineRule="exact"/>
        <w:rPr>
          <w:rFonts w:ascii="Arial" w:cs="Arial" w:eastAsia="Arial" w:hAnsi="Arial"/>
          <w:sz w:val="22"/>
          <w:szCs w:val="22"/>
          <w:color w:val="auto"/>
        </w:rPr>
      </w:pPr>
    </w:p>
    <w:p>
      <w:pPr>
        <w:jc w:val="both"/>
        <w:ind w:firstLine="1948"/>
        <w:spacing w:after="0" w:line="244" w:lineRule="auto"/>
        <w:tabs>
          <w:tab w:leader="none" w:pos="2845" w:val="left"/>
        </w:tabs>
        <w:numPr>
          <w:ilvl w:val="1"/>
          <w:numId w:val="175"/>
        </w:numPr>
        <w:rPr>
          <w:rFonts w:ascii="Arial" w:cs="Arial" w:eastAsia="Arial" w:hAnsi="Arial"/>
          <w:sz w:val="21"/>
          <w:szCs w:val="21"/>
          <w:color w:val="auto"/>
        </w:rPr>
      </w:pPr>
      <w:r>
        <w:rPr>
          <w:rFonts w:ascii="Arial" w:cs="Arial" w:eastAsia="Arial" w:hAnsi="Arial"/>
          <w:sz w:val="21"/>
          <w:szCs w:val="21"/>
          <w:color w:val="auto"/>
        </w:rPr>
        <w:t>In the event this Award is assumed, otherwise continued in effect, or replaced in connection with such Change in Control, the securities subject to the Award shall be adjusted immediately after the consummation of that Change in Control so as to apply to the number and class of securities into which the number of Change in Control Shares would have been converted in consummation of that Change in Control had that number of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Performance Shares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184" w:lineRule="exact"/>
        <w:rPr>
          <w:rFonts w:ascii="Arial" w:cs="Arial" w:eastAsia="Arial" w:hAnsi="Arial"/>
          <w:sz w:val="21"/>
          <w:szCs w:val="21"/>
          <w:color w:val="auto"/>
        </w:rPr>
      </w:pPr>
    </w:p>
    <w:p>
      <w:pPr>
        <w:jc w:val="both"/>
        <w:ind w:firstLine="1948"/>
        <w:spacing w:after="0" w:line="269" w:lineRule="auto"/>
        <w:tabs>
          <w:tab w:leader="none" w:pos="2995" w:val="left"/>
        </w:tabs>
        <w:numPr>
          <w:ilvl w:val="1"/>
          <w:numId w:val="175"/>
        </w:numPr>
        <w:rPr>
          <w:rFonts w:ascii="Arial" w:cs="Arial" w:eastAsia="Arial" w:hAnsi="Arial"/>
          <w:sz w:val="19"/>
          <w:szCs w:val="19"/>
          <w:color w:val="auto"/>
        </w:rPr>
      </w:pPr>
      <w:r>
        <w:rPr>
          <w:rFonts w:ascii="Arial" w:cs="Arial" w:eastAsia="Arial" w:hAnsi="Arial"/>
          <w:sz w:val="19"/>
          <w:szCs w:val="19"/>
          <w:color w:val="auto"/>
        </w:rPr>
        <w:t>Upon Participant’s Separation from Service due to an Involuntary Termination occurring within twenty-four (24) months after a Change in Control in which this Award is assumed or continued in effect, Participant shall immediately vest in that number of Shares equal to the Change in Control Shares that remain unvested, and that number of Shares shall be issued to Participant on the date of Participant’s Separation from Service due to such cessation of Service. Should this Award be replaced with a substitute equivalent award in accordance with Paragraph 5(a), then that award shall vest upon Participant’s Separation from Service due to the Involuntary Termination, provided and only if such Involuntary Termination occurs within twenty-four (24) months following the Change in Control. Such vested portion of the award shall be issued or distributed, as applicable, on the date of Participant’s Separation from Service, provided such Separation from Service occurs within twenty-four</w:t>
      </w:r>
    </w:p>
    <w:p>
      <w:pPr>
        <w:ind w:firstLine="3"/>
        <w:spacing w:after="0" w:line="308" w:lineRule="auto"/>
        <w:tabs>
          <w:tab w:leader="none" w:pos="42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months after a Qualifying Change in Control. Except for the number of Shares, or such equivalent award, distributed in accordance with the foregoing provisions of this Paragraph 5(c), Participant shall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5" w:name="page156"/>
    <w:bookmarkEnd w:id="155"/>
    <w:p>
      <w:pPr>
        <w:spacing w:after="0" w:line="251" w:lineRule="auto"/>
        <w:rPr>
          <w:sz w:val="20"/>
          <w:szCs w:val="20"/>
          <w:color w:val="auto"/>
        </w:rPr>
      </w:pPr>
      <w:r>
        <w:rPr>
          <w:rFonts w:ascii="Arial" w:cs="Arial" w:eastAsia="Arial" w:hAnsi="Arial"/>
          <w:sz w:val="22"/>
          <w:szCs w:val="22"/>
          <w:color w:val="auto"/>
        </w:rPr>
        <w:t>have no further right or entitlement to any additional Shares or other cash or property hereunder upon such Separation from Service.</w:t>
      </w:r>
    </w:p>
    <w:p>
      <w:pPr>
        <w:spacing w:after="0" w:line="174" w:lineRule="exact"/>
        <w:rPr>
          <w:sz w:val="20"/>
          <w:szCs w:val="20"/>
          <w:color w:val="auto"/>
        </w:rPr>
      </w:pPr>
    </w:p>
    <w:p>
      <w:pPr>
        <w:jc w:val="both"/>
        <w:ind w:firstLine="1948"/>
        <w:spacing w:after="0"/>
        <w:tabs>
          <w:tab w:leader="none" w:pos="281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If the Award is not (1) assumed by the successor entity, (2) otherwise continued in effect or (3) replaced with a substitute equivalent award in accordance with Paragraph 5(a), then the following provisions shall apply:</w:t>
      </w:r>
    </w:p>
    <w:p>
      <w:pPr>
        <w:spacing w:after="0" w:line="186" w:lineRule="exact"/>
        <w:rPr>
          <w:rFonts w:ascii="Arial" w:cs="Arial" w:eastAsia="Arial" w:hAnsi="Arial"/>
          <w:sz w:val="22"/>
          <w:szCs w:val="22"/>
          <w:color w:val="auto"/>
        </w:rPr>
      </w:pPr>
    </w:p>
    <w:p>
      <w:pPr>
        <w:jc w:val="both"/>
        <w:ind w:left="660" w:firstLine="1936"/>
        <w:spacing w:after="0" w:line="272" w:lineRule="auto"/>
        <w:tabs>
          <w:tab w:leader="none" w:pos="3498" w:val="left"/>
        </w:tabs>
        <w:numPr>
          <w:ilvl w:val="1"/>
          <w:numId w:val="177"/>
        </w:numPr>
        <w:rPr>
          <w:rFonts w:ascii="Arial" w:cs="Arial" w:eastAsia="Arial" w:hAnsi="Arial"/>
          <w:sz w:val="19"/>
          <w:szCs w:val="19"/>
          <w:color w:val="auto"/>
        </w:rPr>
      </w:pPr>
      <w:r>
        <w:rPr>
          <w:rFonts w:ascii="Arial" w:cs="Arial" w:eastAsia="Arial" w:hAnsi="Arial"/>
          <w:sz w:val="19"/>
          <w:szCs w:val="19"/>
          <w:color w:val="auto"/>
        </w:rPr>
        <w:t xml:space="preserve">If Participant continues in Service through the effective date of the Change in Control, then Participant shall, upon the closing of such Change in Control, vest in that number of Shares equal to the Change in Control Shares.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earliest</w:t>
      </w:r>
      <w:r>
        <w:rPr>
          <w:rFonts w:ascii="Arial" w:cs="Arial" w:eastAsia="Arial" w:hAnsi="Arial"/>
          <w:sz w:val="19"/>
          <w:szCs w:val="19"/>
          <w:color w:val="auto"/>
        </w:rPr>
        <w:t xml:space="preserve"> to occur of (x) the date the Share would have otherwise been issued pursuant to the Service vesting and issuance provisions set forth in Paragraph 3(b)(i) in the absence of such Change in Control, (y) the date of Participant’s Separation from Service, provided such Separation from Service occurs within twenty-four (24) months after a Qualifying Change in Control, or (z) the first date upon or following a Qualifying Change in Control transaction on which the distribution can be made without contravention of any applicable provisions of Code Section 409A.</w:t>
      </w:r>
    </w:p>
    <w:p>
      <w:pPr>
        <w:spacing w:after="0" w:line="161" w:lineRule="exact"/>
        <w:rPr>
          <w:rFonts w:ascii="Arial" w:cs="Arial" w:eastAsia="Arial" w:hAnsi="Arial"/>
          <w:sz w:val="19"/>
          <w:szCs w:val="19"/>
          <w:color w:val="auto"/>
        </w:rPr>
      </w:pPr>
    </w:p>
    <w:p>
      <w:pPr>
        <w:jc w:val="both"/>
        <w:ind w:left="660" w:firstLine="1936"/>
        <w:spacing w:after="0" w:line="271" w:lineRule="auto"/>
        <w:tabs>
          <w:tab w:leader="none" w:pos="3507" w:val="left"/>
        </w:tabs>
        <w:numPr>
          <w:ilvl w:val="1"/>
          <w:numId w:val="177"/>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each Share that vests on an accelerated basis in accordance with Paragraph 5(d)(i) above. Such account shall be credited with the amount of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9,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Wall Street Journal</w:t>
      </w:r>
      <w:r>
        <w:rPr>
          <w:rFonts w:ascii="Arial" w:cs="Arial" w:eastAsia="Arial" w:hAnsi="Arial"/>
          <w:sz w:val="19"/>
          <w:szCs w:val="19"/>
          <w:color w:val="auto"/>
        </w:rPr>
        <w:t>. The cash retention account, together with all accrued interest thereon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through the actual payment date, shall be distributed, as to each Share to which that cash retention accounts pertains, in accordance with the foregoing distribution provisions of Paragraph 5(d)(i) above. Participant’s interest in the account shall at all times be that of a general, unsecured creditor.</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660" w:firstLine="1936"/>
        <w:spacing w:after="0" w:line="236" w:lineRule="auto"/>
        <w:tabs>
          <w:tab w:leader="none" w:pos="3571" w:val="left"/>
        </w:tabs>
        <w:numPr>
          <w:ilvl w:val="1"/>
          <w:numId w:val="177"/>
        </w:numPr>
        <w:rPr>
          <w:rFonts w:ascii="Arial" w:cs="Arial" w:eastAsia="Arial" w:hAnsi="Arial"/>
          <w:sz w:val="22"/>
          <w:szCs w:val="22"/>
          <w:color w:val="auto"/>
        </w:rPr>
      </w:pPr>
      <w:r>
        <w:rPr>
          <w:rFonts w:ascii="Arial" w:cs="Arial" w:eastAsia="Arial" w:hAnsi="Arial"/>
          <w:sz w:val="22"/>
          <w:szCs w:val="22"/>
          <w:color w:val="auto"/>
        </w:rPr>
        <w:t>If Participant ceases Service prior to the effective date of the Change in Control by reason of Early Retirement, Normal Retirement, death or Permanent Disability then Participant shall, upon the closing of such Change in Control, vest in that number of Shares determined by multiplying (x) the number of Change in Control Shares by (y) a fraction, the numerator of which is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6" w:name="page157"/>
    <w:bookmarkEnd w:id="156"/>
    <w:p>
      <w:pPr>
        <w:jc w:val="both"/>
        <w:ind w:left="660"/>
        <w:spacing w:after="0" w:line="274" w:lineRule="auto"/>
        <w:rPr>
          <w:sz w:val="20"/>
          <w:szCs w:val="20"/>
          <w:color w:val="auto"/>
        </w:rPr>
      </w:pPr>
      <w:r>
        <w:rPr>
          <w:rFonts w:ascii="Arial" w:cs="Arial" w:eastAsia="Arial" w:hAnsi="Arial"/>
          <w:sz w:val="19"/>
          <w:szCs w:val="19"/>
          <w:color w:val="auto"/>
        </w:rPr>
        <w:t xml:space="preserve">the number of months of actual Service completed by Participant in such Performance Period (rounded to the closest whole month), and the denominator of which is thirty-six (36) months. The Shares in which Participant so vests shall be converted into the right to receive the same consideration per share of Common Stock payable to the other stockholders of the Corporation in consummation of the Change in Control. Such consideration per Share shall be distributed to Participant on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(A) the date the Share would have otherwise been issued pursuant to the provisions of Paragraph 3(b)(ii) in the absence of such Change in Control or (B) the first date upon or following a Qualifying Change in Control transaction on which the distribution can be made without contravention of any applicable provisions of Code Section 409A.</w:t>
      </w:r>
    </w:p>
    <w:p>
      <w:pPr>
        <w:spacing w:after="0" w:line="159" w:lineRule="exact"/>
        <w:rPr>
          <w:sz w:val="20"/>
          <w:szCs w:val="20"/>
          <w:color w:val="auto"/>
        </w:rPr>
      </w:pPr>
    </w:p>
    <w:p>
      <w:pPr>
        <w:jc w:val="both"/>
        <w:ind w:left="660" w:firstLine="1855"/>
        <w:spacing w:after="0"/>
        <w:tabs>
          <w:tab w:leader="none" w:pos="3369" w:val="left"/>
        </w:tabs>
        <w:numPr>
          <w:ilvl w:val="1"/>
          <w:numId w:val="178"/>
        </w:numPr>
        <w:rPr>
          <w:rFonts w:ascii="Arial" w:cs="Arial" w:eastAsia="Arial" w:hAnsi="Arial"/>
          <w:sz w:val="22"/>
          <w:szCs w:val="22"/>
          <w:color w:val="auto"/>
        </w:rPr>
      </w:pPr>
      <w:r>
        <w:rPr>
          <w:rFonts w:ascii="Arial" w:cs="Arial" w:eastAsia="Arial" w:hAnsi="Arial"/>
          <w:sz w:val="22"/>
          <w:szCs w:val="22"/>
          <w:color w:val="auto"/>
        </w:rPr>
        <w:t>Except for the amount of consideration so calculated, Participant shall have no further right or entitlement to any additional Shares or consideration under this Award.</w:t>
      </w:r>
    </w:p>
    <w:p>
      <w:pPr>
        <w:spacing w:after="0" w:line="180" w:lineRule="exact"/>
        <w:rPr>
          <w:rFonts w:ascii="Arial" w:cs="Arial" w:eastAsia="Arial" w:hAnsi="Arial"/>
          <w:sz w:val="22"/>
          <w:szCs w:val="22"/>
          <w:color w:val="auto"/>
        </w:rPr>
      </w:pPr>
    </w:p>
    <w:p>
      <w:pPr>
        <w:jc w:val="both"/>
        <w:ind w:firstLine="1299"/>
        <w:spacing w:after="0" w:line="273" w:lineRule="auto"/>
        <w:tabs>
          <w:tab w:leader="none" w:pos="2188" w:val="left"/>
        </w:tabs>
        <w:numPr>
          <w:ilvl w:val="0"/>
          <w:numId w:val="179"/>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56" w:lineRule="exact"/>
        <w:rPr>
          <w:rFonts w:ascii="Arial" w:cs="Arial" w:eastAsia="Arial" w:hAnsi="Arial"/>
          <w:sz w:val="19"/>
          <w:szCs w:val="19"/>
          <w:color w:val="auto"/>
        </w:rPr>
      </w:pPr>
    </w:p>
    <w:p>
      <w:pPr>
        <w:jc w:val="both"/>
        <w:ind w:firstLine="1299"/>
        <w:spacing w:after="0" w:line="272" w:lineRule="auto"/>
        <w:tabs>
          <w:tab w:leader="none" w:pos="2026" w:val="left"/>
        </w:tabs>
        <w:numPr>
          <w:ilvl w:val="0"/>
          <w:numId w:val="179"/>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5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7" w:name="page158"/>
    <w:bookmarkEnd w:id="157"/>
    <w:p>
      <w:pPr>
        <w:ind w:left="1900" w:hanging="601"/>
        <w:spacing w:after="0"/>
        <w:tabs>
          <w:tab w:leader="none" w:pos="1900" w:val="left"/>
        </w:tabs>
        <w:numPr>
          <w:ilvl w:val="0"/>
          <w:numId w:val="180"/>
        </w:numPr>
        <w:rPr>
          <w:rFonts w:ascii="Arial" w:cs="Arial" w:eastAsia="Arial" w:hAnsi="Arial"/>
          <w:sz w:val="22"/>
          <w:szCs w:val="22"/>
          <w:color w:val="auto"/>
        </w:rPr>
      </w:pPr>
      <w:r>
        <w:rPr>
          <w:rFonts w:ascii="Arial" w:cs="Arial" w:eastAsia="Arial" w:hAnsi="Arial"/>
          <w:sz w:val="22"/>
          <w:szCs w:val="22"/>
          <w:b w:val="1"/>
          <w:bCs w:val="1"/>
          <w:u w:val="single" w:color="auto"/>
          <w:color w:val="auto"/>
        </w:rPr>
        <w:t>Issuance of Vested Shares and Applicable Withholding Taxes</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21"/>
        <w:spacing w:after="0" w:line="287" w:lineRule="auto"/>
        <w:tabs>
          <w:tab w:leader="none" w:pos="2704" w:val="left"/>
        </w:tabs>
        <w:numPr>
          <w:ilvl w:val="1"/>
          <w:numId w:val="180"/>
        </w:numPr>
        <w:rPr>
          <w:rFonts w:ascii="Arial" w:cs="Arial" w:eastAsia="Arial" w:hAnsi="Arial"/>
          <w:sz w:val="19"/>
          <w:szCs w:val="19"/>
          <w:color w:val="auto"/>
        </w:rPr>
      </w:pPr>
      <w:r>
        <w:rPr>
          <w:rFonts w:ascii="Arial" w:cs="Arial" w:eastAsia="Arial" w:hAnsi="Arial"/>
          <w:sz w:val="19"/>
          <w:szCs w:val="19"/>
          <w:color w:val="auto"/>
        </w:rPr>
        <w:t>Any Shares to be issued to Participant in accordance with the foregoing provisions of this Agreement shall be in the form of a book entry evidencing ownership of those Shares. Actual certificates for the vested Shares evidenced by book entry ownership shall be promptly delivered upon the request of Participant or any other person having an interest at the time in those Shares.</w:t>
      </w:r>
    </w:p>
    <w:p>
      <w:pPr>
        <w:spacing w:after="0" w:line="143" w:lineRule="exact"/>
        <w:rPr>
          <w:rFonts w:ascii="Arial" w:cs="Arial" w:eastAsia="Arial" w:hAnsi="Arial"/>
          <w:sz w:val="19"/>
          <w:szCs w:val="19"/>
          <w:color w:val="auto"/>
        </w:rPr>
      </w:pPr>
    </w:p>
    <w:p>
      <w:pPr>
        <w:jc w:val="both"/>
        <w:ind w:firstLine="1921"/>
        <w:spacing w:after="0" w:line="297" w:lineRule="auto"/>
        <w:tabs>
          <w:tab w:leader="none" w:pos="2665" w:val="left"/>
        </w:tabs>
        <w:numPr>
          <w:ilvl w:val="1"/>
          <w:numId w:val="180"/>
        </w:numPr>
        <w:rPr>
          <w:rFonts w:ascii="Arial" w:cs="Arial" w:eastAsia="Arial" w:hAnsi="Arial"/>
          <w:sz w:val="19"/>
          <w:szCs w:val="19"/>
          <w:color w:val="auto"/>
        </w:rPr>
      </w:pPr>
      <w:r>
        <w:rPr>
          <w:rFonts w:ascii="Arial" w:cs="Arial" w:eastAsia="Arial" w:hAnsi="Arial"/>
          <w:sz w:val="19"/>
          <w:szCs w:val="19"/>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34" w:lineRule="exact"/>
        <w:rPr>
          <w:rFonts w:ascii="Arial" w:cs="Arial" w:eastAsia="Arial" w:hAnsi="Arial"/>
          <w:sz w:val="19"/>
          <w:szCs w:val="19"/>
          <w:color w:val="auto"/>
        </w:rPr>
      </w:pPr>
    </w:p>
    <w:p>
      <w:pPr>
        <w:jc w:val="both"/>
        <w:ind w:firstLine="1921"/>
        <w:spacing w:after="0" w:line="245" w:lineRule="auto"/>
        <w:tabs>
          <w:tab w:leader="none" w:pos="2592" w:val="left"/>
        </w:tabs>
        <w:numPr>
          <w:ilvl w:val="1"/>
          <w:numId w:val="180"/>
        </w:numPr>
        <w:rPr>
          <w:rFonts w:ascii="Arial" w:cs="Arial" w:eastAsia="Arial" w:hAnsi="Arial"/>
          <w:sz w:val="21"/>
          <w:szCs w:val="21"/>
          <w:color w:val="auto"/>
        </w:rPr>
      </w:pPr>
      <w:r>
        <w:rPr>
          <w:rFonts w:ascii="Arial" w:cs="Arial" w:eastAsia="Arial" w:hAnsi="Arial"/>
          <w:sz w:val="21"/>
          <w:szCs w:val="21"/>
          <w:color w:val="auto"/>
        </w:rPr>
        <w:t>The Corporation may, in its sole discretion, establish a procedure to permit the satisfaction of the Withholding Taxes by the Participant in the form of cash and shall inform Participant. In that event, Participant shall (i) make satisfactory arrangements with the Corporation’s Human Resources Department, on or before the expiration of the notification period designated by the Corporation preceding the applicable issuance date of the Shares, to pay the applicable Withholding Taxes through the delivery of cash or a cash equivalent to the Corporation in the amount of such Withholding Taxes and (ii) delivers such payment to the Corporation not later than that issuance date. Otherwise the Corporation shall collect the Withholding Taxes applicable to the Share issuance through the following automatic share withholding method:</w:t>
      </w:r>
    </w:p>
    <w:p>
      <w:pPr>
        <w:spacing w:after="0" w:line="185" w:lineRule="exact"/>
        <w:rPr>
          <w:sz w:val="20"/>
          <w:szCs w:val="20"/>
          <w:color w:val="auto"/>
        </w:rPr>
      </w:pPr>
    </w:p>
    <w:p>
      <w:pPr>
        <w:jc w:val="both"/>
        <w:ind w:firstLine="1921"/>
        <w:spacing w:after="0" w:line="275" w:lineRule="auto"/>
        <w:tabs>
          <w:tab w:leader="none" w:pos="2561" w:val="left"/>
        </w:tabs>
        <w:numPr>
          <w:ilvl w:val="0"/>
          <w:numId w:val="181"/>
        </w:numPr>
        <w:rPr>
          <w:rFonts w:ascii="Arial" w:cs="Arial" w:eastAsia="Arial" w:hAnsi="Arial"/>
          <w:sz w:val="19"/>
          <w:szCs w:val="19"/>
          <w:color w:val="auto"/>
        </w:rPr>
      </w:pPr>
      <w:r>
        <w:rPr>
          <w:rFonts w:ascii="Arial" w:cs="Arial" w:eastAsia="Arial" w:hAnsi="Arial"/>
          <w:sz w:val="19"/>
          <w:szCs w:val="19"/>
          <w:color w:val="auto"/>
        </w:rPr>
        <w:t>On the applicable issuance date, the Corporation shall withhold, from the vested Shares otherwise issuable to Participant at that time, a portion of those Shares with a Fair Market Value (measured as of the issuance date) equal to the applicable Withholding Taxes; provided</w:t>
      </w:r>
      <w:r>
        <w:rPr>
          <w:rFonts w:ascii="Arial" w:cs="Arial" w:eastAsia="Arial" w:hAnsi="Arial"/>
          <w:sz w:val="19"/>
          <w:szCs w:val="19"/>
          <w:b w:val="1"/>
          <w:bCs w:val="1"/>
          <w:i w:val="1"/>
          <w:iCs w:val="1"/>
          <w:color w:val="auto"/>
        </w:rPr>
        <w:t>, however</w:t>
      </w:r>
      <w:r>
        <w:rPr>
          <w:rFonts w:ascii="Arial" w:cs="Arial" w:eastAsia="Arial" w:hAnsi="Arial"/>
          <w:sz w:val="19"/>
          <w:szCs w:val="19"/>
          <w:color w:val="auto"/>
        </w:rPr>
        <w:t>, that the number of Shares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 or such greater amount as may be permitted by the financial accounting standards then applicable to the Corporation.</w:t>
      </w:r>
    </w:p>
    <w:p>
      <w:pPr>
        <w:spacing w:after="0" w:line="158" w:lineRule="exact"/>
        <w:rPr>
          <w:sz w:val="20"/>
          <w:szCs w:val="20"/>
          <w:color w:val="auto"/>
        </w:rPr>
      </w:pPr>
    </w:p>
    <w:p>
      <w:pPr>
        <w:jc w:val="both"/>
        <w:ind w:firstLine="1921"/>
        <w:spacing w:after="0" w:line="273" w:lineRule="auto"/>
        <w:tabs>
          <w:tab w:leader="none" w:pos="299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8,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8(d) shall be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58" w:name="page159"/>
    <w:bookmarkEnd w:id="158"/>
    <w:p>
      <w:pPr>
        <w:spacing w:after="0" w:line="251" w:lineRule="auto"/>
        <w:rPr>
          <w:sz w:val="20"/>
          <w:szCs w:val="20"/>
          <w:color w:val="auto"/>
        </w:rPr>
      </w:pPr>
      <w:r>
        <w:rPr>
          <w:rFonts w:ascii="Arial" w:cs="Arial" w:eastAsia="Arial" w:hAnsi="Arial"/>
          <w:sz w:val="22"/>
          <w:szCs w:val="22"/>
          <w:color w:val="auto"/>
        </w:rPr>
        <w:t>applicable only to the extent necessary to comply with the applicable tax withholding requirements of Code Section 3121(v).</w:t>
      </w:r>
    </w:p>
    <w:p>
      <w:pPr>
        <w:spacing w:after="0" w:line="174" w:lineRule="exact"/>
        <w:rPr>
          <w:sz w:val="20"/>
          <w:szCs w:val="20"/>
          <w:color w:val="auto"/>
        </w:rPr>
      </w:pPr>
    </w:p>
    <w:p>
      <w:pPr>
        <w:jc w:val="both"/>
        <w:ind w:firstLine="1921"/>
        <w:spacing w:after="0" w:line="282" w:lineRule="auto"/>
        <w:tabs>
          <w:tab w:leader="none" w:pos="2818" w:val="left"/>
        </w:tabs>
        <w:numPr>
          <w:ilvl w:val="1"/>
          <w:numId w:val="183"/>
        </w:numPr>
        <w:rPr>
          <w:rFonts w:ascii="Arial" w:cs="Arial" w:eastAsia="Arial" w:hAnsi="Arial"/>
          <w:sz w:val="19"/>
          <w:szCs w:val="19"/>
          <w:color w:val="auto"/>
        </w:rPr>
      </w:pPr>
      <w:r>
        <w:rPr>
          <w:rFonts w:ascii="Arial" w:cs="Arial" w:eastAsia="Arial" w:hAnsi="Arial"/>
          <w:sz w:val="19"/>
          <w:szCs w:val="19"/>
          <w:color w:val="auto"/>
        </w:rPr>
        <w:t>Except as otherwise provided in Paragraph 5 or this Paragraph 8, the settlement of all restricted stock units which vest under the Award shall be made solely in shares of Common Stock. In no event, however, shall any fractional shares be issued. Accordingly, the total number of shares of Common Stock to be issued at the time the Award vests shall, to the extent necessary, be rounded down to the next whole share in order to avoid the issuance of a fractional share.</w:t>
      </w:r>
    </w:p>
    <w:p>
      <w:pPr>
        <w:spacing w:after="0" w:line="141" w:lineRule="exact"/>
        <w:rPr>
          <w:rFonts w:ascii="Arial" w:cs="Arial" w:eastAsia="Arial" w:hAnsi="Arial"/>
          <w:sz w:val="19"/>
          <w:szCs w:val="19"/>
          <w:color w:val="auto"/>
        </w:rPr>
      </w:pPr>
    </w:p>
    <w:p>
      <w:pPr>
        <w:jc w:val="both"/>
        <w:ind w:firstLine="1299"/>
        <w:spacing w:after="0" w:line="261" w:lineRule="auto"/>
        <w:tabs>
          <w:tab w:leader="none" w:pos="2107" w:val="left"/>
        </w:tabs>
        <w:numPr>
          <w:ilvl w:val="0"/>
          <w:numId w:val="184"/>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color w:val="auto"/>
        </w:rPr>
        <w:t>. Notwithstanding any provision to the contrary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the extent this Award may be deemed to create a deferred compensation arrangement under Code Section 409A, then the following limitation and provisions shall apply:</w:t>
      </w:r>
    </w:p>
    <w:p>
      <w:pPr>
        <w:spacing w:after="0" w:line="164" w:lineRule="exact"/>
        <w:rPr>
          <w:sz w:val="20"/>
          <w:szCs w:val="20"/>
          <w:color w:val="auto"/>
        </w:rPr>
      </w:pPr>
    </w:p>
    <w:p>
      <w:pPr>
        <w:jc w:val="both"/>
        <w:ind w:left="660" w:firstLine="1288"/>
        <w:spacing w:after="0" w:line="269" w:lineRule="auto"/>
        <w:tabs>
          <w:tab w:leader="none" w:pos="2557" w:val="left"/>
        </w:tabs>
        <w:numPr>
          <w:ilvl w:val="1"/>
          <w:numId w:val="185"/>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w:t>
      </w:r>
    </w:p>
    <w:p>
      <w:pPr>
        <w:spacing w:after="0" w:line="1" w:lineRule="exact"/>
        <w:rPr>
          <w:rFonts w:ascii="Arial" w:cs="Arial" w:eastAsia="Arial" w:hAnsi="Arial"/>
          <w:sz w:val="19"/>
          <w:szCs w:val="19"/>
          <w:color w:val="auto"/>
        </w:rPr>
      </w:pPr>
    </w:p>
    <w:p>
      <w:pPr>
        <w:jc w:val="both"/>
        <w:ind w:left="660"/>
        <w:spacing w:after="0" w:line="233" w:lineRule="auto"/>
        <w:rPr>
          <w:rFonts w:ascii="Arial" w:cs="Arial" w:eastAsia="Arial" w:hAnsi="Arial"/>
          <w:sz w:val="19"/>
          <w:szCs w:val="19"/>
          <w:color w:val="auto"/>
        </w:rPr>
      </w:pPr>
      <w:r>
        <w:rPr>
          <w:rFonts w:ascii="Arial" w:cs="Arial" w:eastAsia="Arial" w:hAnsi="Arial"/>
          <w:sz w:val="22"/>
          <w:szCs w:val="22"/>
          <w:color w:val="auto"/>
        </w:rPr>
        <w:t>(2).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88" w:lineRule="exact"/>
        <w:rPr>
          <w:rFonts w:ascii="Arial" w:cs="Arial" w:eastAsia="Arial" w:hAnsi="Arial"/>
          <w:sz w:val="19"/>
          <w:szCs w:val="19"/>
          <w:color w:val="auto"/>
        </w:rPr>
      </w:pPr>
    </w:p>
    <w:p>
      <w:pPr>
        <w:jc w:val="both"/>
        <w:ind w:left="660" w:firstLine="1288"/>
        <w:spacing w:after="0"/>
        <w:tabs>
          <w:tab w:leader="none" w:pos="2503" w:val="left"/>
        </w:tabs>
        <w:numPr>
          <w:ilvl w:val="1"/>
          <w:numId w:val="185"/>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299"/>
        <w:spacing w:after="0" w:line="289" w:lineRule="auto"/>
        <w:tabs>
          <w:tab w:leader="none" w:pos="2080" w:val="left"/>
        </w:tabs>
        <w:numPr>
          <w:ilvl w:val="0"/>
          <w:numId w:val="185"/>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color w:val="auto"/>
        </w:rPr>
        <w:t>. The issuance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36" w:lineRule="exact"/>
        <w:rPr>
          <w:rFonts w:ascii="Arial" w:cs="Arial" w:eastAsia="Arial" w:hAnsi="Arial"/>
          <w:sz w:val="19"/>
          <w:szCs w:val="19"/>
          <w:color w:val="auto"/>
        </w:rPr>
      </w:pPr>
    </w:p>
    <w:p>
      <w:pPr>
        <w:jc w:val="both"/>
        <w:ind w:firstLine="1299"/>
        <w:spacing w:after="0" w:line="254" w:lineRule="auto"/>
        <w:tabs>
          <w:tab w:leader="none" w:pos="2072" w:val="left"/>
        </w:tabs>
        <w:numPr>
          <w:ilvl w:val="0"/>
          <w:numId w:val="185"/>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 required to be given or delivered to the Corporation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this Agreement shall be in writing and addressed to the Corporation at its principal corporate offices. Any notice required to be given or delivered to Participant shall be in writing and addressed to Participant at the address indicated below Participant’s signature line 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59" w:name="page160"/>
    <w:bookmarkEnd w:id="159"/>
    <w:p>
      <w:pPr>
        <w:spacing w:after="0" w:line="251" w:lineRule="auto"/>
        <w:rPr>
          <w:sz w:val="20"/>
          <w:szCs w:val="20"/>
          <w:color w:val="auto"/>
        </w:rPr>
      </w:pPr>
      <w:r>
        <w:rPr>
          <w:rFonts w:ascii="Arial" w:cs="Arial" w:eastAsia="Arial" w:hAnsi="Arial"/>
          <w:sz w:val="22"/>
          <w:szCs w:val="22"/>
          <w:color w:val="auto"/>
        </w:rPr>
        <w:t>the Award Notice. All notices shall be deemed effective upon personal delivery or upon deposit in the U.S. mail, postage prepaid and properly addressed to the party to be notified.</w:t>
      </w:r>
    </w:p>
    <w:p>
      <w:pPr>
        <w:spacing w:after="0" w:line="168" w:lineRule="exact"/>
        <w:rPr>
          <w:sz w:val="20"/>
          <w:szCs w:val="20"/>
          <w:color w:val="auto"/>
        </w:rPr>
      </w:pPr>
    </w:p>
    <w:p>
      <w:pPr>
        <w:jc w:val="both"/>
        <w:ind w:firstLine="1299"/>
        <w:spacing w:after="0" w:line="237" w:lineRule="auto"/>
        <w:tabs>
          <w:tab w:leader="none" w:pos="2309" w:val="left"/>
        </w:tabs>
        <w:numPr>
          <w:ilvl w:val="0"/>
          <w:numId w:val="186"/>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Except to the extent otherwise provided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82" w:lineRule="exact"/>
        <w:rPr>
          <w:rFonts w:ascii="Arial" w:cs="Arial" w:eastAsia="Arial" w:hAnsi="Arial"/>
          <w:sz w:val="22"/>
          <w:szCs w:val="22"/>
          <w:color w:val="auto"/>
        </w:rPr>
      </w:pPr>
    </w:p>
    <w:p>
      <w:pPr>
        <w:ind w:left="2000" w:hanging="701"/>
        <w:spacing w:after="0"/>
        <w:tabs>
          <w:tab w:leader="none" w:pos="2000" w:val="left"/>
        </w:tabs>
        <w:numPr>
          <w:ilvl w:val="0"/>
          <w:numId w:val="186"/>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2012"/>
        <w:spacing w:after="0" w:line="236" w:lineRule="auto"/>
        <w:tabs>
          <w:tab w:leader="none" w:pos="2762"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7" w:lineRule="exact"/>
        <w:rPr>
          <w:rFonts w:ascii="Arial" w:cs="Arial" w:eastAsia="Arial" w:hAnsi="Arial"/>
          <w:sz w:val="22"/>
          <w:szCs w:val="22"/>
          <w:color w:val="auto"/>
        </w:rPr>
      </w:pPr>
    </w:p>
    <w:p>
      <w:pPr>
        <w:jc w:val="both"/>
        <w:ind w:firstLine="2012"/>
        <w:spacing w:after="0" w:line="282" w:lineRule="auto"/>
        <w:tabs>
          <w:tab w:leader="none" w:pos="2814"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147" w:lineRule="exact"/>
        <w:rPr>
          <w:rFonts w:ascii="Arial" w:cs="Arial" w:eastAsia="Arial" w:hAnsi="Arial"/>
          <w:sz w:val="19"/>
          <w:szCs w:val="19"/>
          <w:color w:val="auto"/>
        </w:rPr>
      </w:pPr>
    </w:p>
    <w:p>
      <w:pPr>
        <w:jc w:val="both"/>
        <w:ind w:firstLine="2012"/>
        <w:spacing w:after="0" w:line="297" w:lineRule="auto"/>
        <w:tabs>
          <w:tab w:leader="none" w:pos="2764"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28" w:lineRule="exact"/>
        <w:rPr>
          <w:rFonts w:ascii="Arial" w:cs="Arial" w:eastAsia="Arial" w:hAnsi="Arial"/>
          <w:sz w:val="19"/>
          <w:szCs w:val="19"/>
          <w:color w:val="auto"/>
        </w:rPr>
      </w:pPr>
    </w:p>
    <w:p>
      <w:pPr>
        <w:jc w:val="both"/>
        <w:ind w:firstLine="1299"/>
        <w:spacing w:after="0" w:line="243" w:lineRule="auto"/>
        <w:tabs>
          <w:tab w:leader="none" w:pos="2282" w:val="left"/>
        </w:tabs>
        <w:numPr>
          <w:ilvl w:val="0"/>
          <w:numId w:val="186"/>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interpretation, performance and enforcement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laws of the State of Hawaii without regard to that State’s conflict-of-laws rules.</w:t>
      </w:r>
    </w:p>
    <w:p>
      <w:pPr>
        <w:spacing w:after="0" w:line="176" w:lineRule="exact"/>
        <w:rPr>
          <w:rFonts w:ascii="Arial" w:cs="Arial" w:eastAsia="Arial" w:hAnsi="Arial"/>
          <w:sz w:val="22"/>
          <w:szCs w:val="22"/>
          <w:color w:val="auto"/>
        </w:rPr>
      </w:pPr>
    </w:p>
    <w:p>
      <w:pPr>
        <w:ind w:left="2000" w:hanging="701"/>
        <w:spacing w:after="0"/>
        <w:tabs>
          <w:tab w:leader="none" w:pos="2000" w:val="left"/>
        </w:tabs>
        <w:numPr>
          <w:ilvl w:val="0"/>
          <w:numId w:val="186"/>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2012"/>
        <w:spacing w:after="0" w:line="244" w:lineRule="auto"/>
        <w:tabs>
          <w:tab w:leader="none" w:pos="2928" w:val="left"/>
        </w:tabs>
        <w:numPr>
          <w:ilvl w:val="1"/>
          <w:numId w:val="186"/>
        </w:numPr>
        <w:rPr>
          <w:rFonts w:ascii="Arial" w:cs="Arial" w:eastAsia="Arial" w:hAnsi="Arial"/>
          <w:sz w:val="21"/>
          <w:szCs w:val="21"/>
          <w:color w:val="auto"/>
        </w:rPr>
      </w:pPr>
      <w:r>
        <w:rPr>
          <w:rFonts w:ascii="Arial" w:cs="Arial" w:eastAsia="Arial" w:hAnsi="Arial"/>
          <w:sz w:val="21"/>
          <w:szCs w:val="21"/>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 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0" w:name="page161"/>
    <w:bookmarkEnd w:id="160"/>
    <w:p>
      <w:pPr>
        <w:jc w:val="both"/>
        <w:spacing w:after="0" w:line="271" w:lineRule="auto"/>
        <w:rPr>
          <w:sz w:val="20"/>
          <w:szCs w:val="20"/>
          <w:color w:val="auto"/>
        </w:rPr>
      </w:pPr>
      <w:r>
        <w:rPr>
          <w:rFonts w:ascii="Arial" w:cs="Arial" w:eastAsia="Arial" w:hAnsi="Arial"/>
          <w:sz w:val="19"/>
          <w:szCs w:val="19"/>
          <w:color w:val="auto"/>
        </w:rPr>
        <w:t>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57" w:lineRule="exact"/>
        <w:rPr>
          <w:sz w:val="20"/>
          <w:szCs w:val="20"/>
          <w:color w:val="auto"/>
        </w:rPr>
      </w:pPr>
    </w:p>
    <w:p>
      <w:pPr>
        <w:jc w:val="both"/>
        <w:ind w:firstLine="2012"/>
        <w:spacing w:after="0" w:line="243" w:lineRule="auto"/>
        <w:tabs>
          <w:tab w:leader="none" w:pos="2910" w:val="left"/>
        </w:tabs>
        <w:numPr>
          <w:ilvl w:val="1"/>
          <w:numId w:val="187"/>
        </w:numPr>
        <w:rPr>
          <w:rFonts w:ascii="Arial" w:cs="Arial" w:eastAsia="Arial" w:hAnsi="Arial"/>
          <w:sz w:val="22"/>
          <w:szCs w:val="22"/>
          <w:color w:val="auto"/>
        </w:rPr>
      </w:pPr>
      <w:r>
        <w:rPr>
          <w:rFonts w:ascii="Arial" w:cs="Arial" w:eastAsia="Arial" w:hAnsi="Arial"/>
          <w:sz w:val="22"/>
          <w:szCs w:val="22"/>
          <w:b w:val="1"/>
          <w:bCs w:val="1"/>
          <w:color w:val="auto"/>
        </w:rPr>
        <w:t>Each party fully understands and agrees that they are giving up certain rights otherwise afforded to them by civil court actions, including but not limited to the right to a jury trial.</w:t>
      </w:r>
    </w:p>
    <w:p>
      <w:pPr>
        <w:spacing w:after="0" w:line="176" w:lineRule="exact"/>
        <w:rPr>
          <w:rFonts w:ascii="Arial" w:cs="Arial" w:eastAsia="Arial" w:hAnsi="Arial"/>
          <w:sz w:val="22"/>
          <w:szCs w:val="22"/>
          <w:color w:val="auto"/>
        </w:rPr>
      </w:pPr>
    </w:p>
    <w:p>
      <w:pPr>
        <w:jc w:val="both"/>
        <w:ind w:firstLine="1299"/>
        <w:spacing w:after="0" w:line="271" w:lineRule="auto"/>
        <w:tabs>
          <w:tab w:leader="none" w:pos="2026" w:val="left"/>
        </w:tabs>
        <w:numPr>
          <w:ilvl w:val="0"/>
          <w:numId w:val="188"/>
        </w:numPr>
        <w:rPr>
          <w:rFonts w:ascii="Arial" w:cs="Arial" w:eastAsia="Arial" w:hAnsi="Arial"/>
          <w:sz w:val="19"/>
          <w:szCs w:val="19"/>
          <w:color w:val="auto"/>
        </w:rPr>
      </w:pPr>
      <w:r>
        <w:rPr>
          <w:rFonts w:ascii="Arial" w:cs="Arial" w:eastAsia="Arial" w:hAnsi="Arial"/>
          <w:sz w:val="19"/>
          <w:szCs w:val="19"/>
          <w:b w:val="1"/>
          <w:bCs w:val="1"/>
          <w:u w:val="single" w:color="auto"/>
          <w:color w:val="auto"/>
        </w:rPr>
        <w:t>Coverage under Recoupment Policy</w:t>
      </w:r>
      <w:r>
        <w:rPr>
          <w:rFonts w:ascii="Arial" w:cs="Arial" w:eastAsia="Arial" w:hAnsi="Arial"/>
          <w:sz w:val="19"/>
          <w:szCs w:val="19"/>
          <w:color w:val="auto"/>
        </w:rPr>
        <w:t>. If Participant is on the Award Date, or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thereafter becomes, either an executive officer of the Corporation subject to Section 16 of the 1934 Act, or a participant in the Corporation’s Performance Improvement Incentive Plan, then Participant shall be subject to the Matson, Inc. Policy Regarding Recoupment of Certain Compensation (the “Recoupment Policy”),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“incentive compensation” means all cash or equity-based award (e.g.,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61" w:lineRule="exact"/>
        <w:rPr>
          <w:rFonts w:ascii="Arial" w:cs="Arial" w:eastAsia="Arial" w:hAnsi="Arial"/>
          <w:sz w:val="19"/>
          <w:szCs w:val="19"/>
          <w:color w:val="auto"/>
        </w:rPr>
      </w:pPr>
    </w:p>
    <w:p>
      <w:pPr>
        <w:ind w:left="2000" w:hanging="701"/>
        <w:spacing w:after="0"/>
        <w:tabs>
          <w:tab w:leader="none" w:pos="2000" w:val="left"/>
        </w:tabs>
        <w:numPr>
          <w:ilvl w:val="0"/>
          <w:numId w:val="188"/>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2012"/>
        <w:spacing w:after="0" w:line="238" w:lineRule="auto"/>
        <w:tabs>
          <w:tab w:leader="none" w:pos="3128" w:val="left"/>
        </w:tabs>
        <w:numPr>
          <w:ilvl w:val="1"/>
          <w:numId w:val="188"/>
        </w:numPr>
        <w:rPr>
          <w:rFonts w:ascii="Arial" w:cs="Arial" w:eastAsia="Arial" w:hAnsi="Arial"/>
          <w:sz w:val="22"/>
          <w:szCs w:val="22"/>
          <w:color w:val="auto"/>
        </w:rPr>
      </w:pPr>
      <w:r>
        <w:rPr>
          <w:rFonts w:ascii="Arial" w:cs="Arial" w:eastAsia="Arial" w:hAnsi="Arial"/>
          <w:sz w:val="22"/>
          <w:szCs w:val="22"/>
          <w:color w:val="auto"/>
        </w:rPr>
        <w:t>Participant hereby explicitly and unambiguously consents to the collection, use and transfer, in electronic or other form, of Participant’s personal data as described in this Agreement by the Corporation for the exclusive purpose of implementing, administering and managing Participant’s participation in the Plan.</w:t>
      </w:r>
    </w:p>
    <w:p>
      <w:pPr>
        <w:spacing w:after="0" w:line="185" w:lineRule="exact"/>
        <w:rPr>
          <w:rFonts w:ascii="Arial" w:cs="Arial" w:eastAsia="Arial" w:hAnsi="Arial"/>
          <w:sz w:val="22"/>
          <w:szCs w:val="22"/>
          <w:color w:val="auto"/>
        </w:rPr>
      </w:pPr>
    </w:p>
    <w:p>
      <w:pPr>
        <w:ind w:left="2700" w:hanging="688"/>
        <w:spacing w:after="0"/>
        <w:tabs>
          <w:tab w:leader="none" w:pos="2700" w:val="left"/>
        </w:tabs>
        <w:numPr>
          <w:ilvl w:val="1"/>
          <w:numId w:val="188"/>
        </w:numPr>
        <w:rPr>
          <w:rFonts w:ascii="Arial" w:cs="Arial" w:eastAsia="Arial" w:hAnsi="Arial"/>
          <w:sz w:val="21"/>
          <w:szCs w:val="21"/>
          <w:color w:val="auto"/>
        </w:rPr>
      </w:pPr>
      <w:r>
        <w:rPr>
          <w:rFonts w:ascii="Arial" w:cs="Arial" w:eastAsia="Arial" w:hAnsi="Arial"/>
          <w:sz w:val="21"/>
          <w:szCs w:val="21"/>
          <w:color w:val="auto"/>
        </w:rPr>
        <w:t>Participant understands that the Corporation holds certain personal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1" w:name="page162"/>
    <w:bookmarkEnd w:id="161"/>
    <w:p>
      <w:pPr>
        <w:jc w:val="both"/>
        <w:spacing w:after="0" w:line="271" w:lineRule="auto"/>
        <w:rPr>
          <w:sz w:val="20"/>
          <w:szCs w:val="20"/>
          <w:color w:val="auto"/>
        </w:rPr>
      </w:pPr>
      <w:r>
        <w:rPr>
          <w:rFonts w:ascii="Arial" w:cs="Arial" w:eastAsia="Arial" w:hAnsi="Arial"/>
          <w:sz w:val="19"/>
          <w:szCs w:val="19"/>
          <w:color w:val="auto"/>
        </w:rPr>
        <w:t>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200" w:lineRule="exact"/>
        <w:rPr>
          <w:sz w:val="20"/>
          <w:szCs w:val="20"/>
          <w:color w:val="auto"/>
        </w:rPr>
      </w:pPr>
    </w:p>
    <w:p>
      <w:pPr>
        <w:spacing w:after="0" w:line="221" w:lineRule="exact"/>
        <w:rPr>
          <w:sz w:val="20"/>
          <w:szCs w:val="20"/>
          <w:color w:val="auto"/>
        </w:rPr>
      </w:pPr>
    </w:p>
    <w:p>
      <w:pPr>
        <w:jc w:val="both"/>
        <w:ind w:firstLine="1299"/>
        <w:spacing w:after="0"/>
        <w:tabs>
          <w:tab w:leader="none" w:pos="2161" w:val="left"/>
        </w:tabs>
        <w:numPr>
          <w:ilvl w:val="0"/>
          <w:numId w:val="189"/>
        </w:numPr>
        <w:rPr>
          <w:rFonts w:ascii="Arial" w:cs="Arial" w:eastAsia="Arial" w:hAnsi="Arial"/>
          <w:sz w:val="22"/>
          <w:szCs w:val="22"/>
          <w:color w:val="auto"/>
        </w:rPr>
      </w:pP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This Agreement may not be altered, modified, or amended except by</w:t>
      </w:r>
      <w:r>
        <w:rPr>
          <w:rFonts w:ascii="Arial" w:cs="Arial" w:eastAsia="Arial" w:hAnsi="Arial"/>
          <w:sz w:val="20"/>
          <w:szCs w:val="20"/>
          <w:b w:val="1"/>
          <w:bCs w:val="1"/>
          <w:color w:val="auto"/>
        </w:rPr>
        <w:t xml:space="preserve"> </w:t>
      </w:r>
      <w:r>
        <w:rPr>
          <w:rFonts w:ascii="Arial" w:cs="Arial" w:eastAsia="Arial" w:hAnsi="Arial"/>
          <w:sz w:val="20"/>
          <w:szCs w:val="20"/>
          <w:color w:val="auto"/>
        </w:rPr>
        <w:t>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205" w:lineRule="exact"/>
        <w:rPr>
          <w:rFonts w:ascii="Arial" w:cs="Arial" w:eastAsia="Arial" w:hAnsi="Arial"/>
          <w:sz w:val="22"/>
          <w:szCs w:val="22"/>
          <w:color w:val="auto"/>
        </w:rPr>
      </w:pPr>
    </w:p>
    <w:p>
      <w:pPr>
        <w:jc w:val="both"/>
        <w:ind w:firstLine="1299"/>
        <w:spacing w:after="0" w:line="241" w:lineRule="auto"/>
        <w:tabs>
          <w:tab w:leader="none" w:pos="2201" w:val="left"/>
        </w:tabs>
        <w:numPr>
          <w:ilvl w:val="0"/>
          <w:numId w:val="189"/>
        </w:numPr>
        <w:rPr>
          <w:rFonts w:ascii="Arial" w:cs="Arial" w:eastAsia="Arial" w:hAnsi="Arial"/>
          <w:sz w:val="22"/>
          <w:szCs w:val="22"/>
          <w:color w:val="auto"/>
        </w:rPr>
      </w:pPr>
      <w:r>
        <w:rPr>
          <w:rFonts w:ascii="Arial" w:cs="Arial" w:eastAsia="Arial" w:hAnsi="Arial"/>
          <w:sz w:val="20"/>
          <w:szCs w:val="20"/>
          <w:b w:val="1"/>
          <w:bCs w:val="1"/>
          <w:color w:val="auto"/>
        </w:rPr>
        <w:t>Other Agreements Superseded</w:t>
      </w:r>
      <w:r>
        <w:rPr>
          <w:rFonts w:ascii="Arial" w:cs="Arial" w:eastAsia="Arial" w:hAnsi="Arial"/>
          <w:sz w:val="20"/>
          <w:szCs w:val="20"/>
          <w:color w:val="auto"/>
        </w:rPr>
        <w:t>. The Award Notice, this Agreement, and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constitute the entire understanding between Participant and the Corporation regarding the Award. Any prior agreements, commitments or negotiations concerning the Award are superseded.</w:t>
      </w:r>
    </w:p>
    <w:p>
      <w:pPr>
        <w:spacing w:after="0" w:line="202" w:lineRule="exact"/>
        <w:rPr>
          <w:rFonts w:ascii="Arial" w:cs="Arial" w:eastAsia="Arial" w:hAnsi="Arial"/>
          <w:sz w:val="22"/>
          <w:szCs w:val="22"/>
          <w:color w:val="auto"/>
        </w:rPr>
      </w:pPr>
    </w:p>
    <w:p>
      <w:pPr>
        <w:jc w:val="both"/>
        <w:ind w:firstLine="1299"/>
        <w:spacing w:after="0" w:line="310" w:lineRule="auto"/>
        <w:tabs>
          <w:tab w:leader="none" w:pos="2039" w:val="left"/>
        </w:tabs>
        <w:numPr>
          <w:ilvl w:val="0"/>
          <w:numId w:val="189"/>
        </w:numPr>
        <w:rPr>
          <w:rFonts w:ascii="Arial" w:cs="Arial" w:eastAsia="Arial" w:hAnsi="Arial"/>
          <w:sz w:val="18"/>
          <w:szCs w:val="18"/>
          <w:color w:val="auto"/>
        </w:rPr>
      </w:pPr>
      <w:r>
        <w:rPr>
          <w:rFonts w:ascii="Arial" w:cs="Arial" w:eastAsia="Arial" w:hAnsi="Arial"/>
          <w:sz w:val="17"/>
          <w:szCs w:val="17"/>
          <w:b w:val="1"/>
          <w:bCs w:val="1"/>
          <w:u w:val="single" w:color="auto"/>
          <w:color w:val="auto"/>
        </w:rPr>
        <w:t>Governing Plan Document</w:t>
      </w:r>
      <w:r>
        <w:rPr>
          <w:rFonts w:ascii="Arial" w:cs="Arial" w:eastAsia="Arial" w:hAnsi="Arial"/>
          <w:sz w:val="17"/>
          <w:szCs w:val="17"/>
          <w:color w:val="auto"/>
        </w:rPr>
        <w:t>. The Award is subject to all the provisions of the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2" w:name="page163"/>
    <w:bookmarkEnd w:id="162"/>
    <w:p>
      <w:pPr>
        <w:ind w:left="3880"/>
        <w:spacing w:after="0"/>
        <w:rPr>
          <w:sz w:val="20"/>
          <w:szCs w:val="20"/>
          <w:color w:val="auto"/>
        </w:rPr>
      </w:pPr>
      <w:r>
        <w:rPr>
          <w:rFonts w:ascii="Arial" w:cs="Arial" w:eastAsia="Arial" w:hAnsi="Arial"/>
          <w:sz w:val="22"/>
          <w:szCs w:val="22"/>
          <w:b w:val="1"/>
          <w:bCs w:val="1"/>
          <w:color w:val="auto"/>
        </w:rPr>
        <w:t>APPENDIX A</w:t>
      </w:r>
    </w:p>
    <w:p>
      <w:pPr>
        <w:spacing w:after="0" w:line="207" w:lineRule="exact"/>
        <w:rPr>
          <w:sz w:val="20"/>
          <w:szCs w:val="20"/>
          <w:color w:val="auto"/>
        </w:rPr>
      </w:pPr>
    </w:p>
    <w:p>
      <w:pPr>
        <w:ind w:left="382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0" w:lineRule="exact"/>
        <w:rPr>
          <w:sz w:val="20"/>
          <w:szCs w:val="20"/>
          <w:color w:val="auto"/>
        </w:rPr>
      </w:pPr>
    </w:p>
    <w:p>
      <w:pPr>
        <w:spacing w:after="0" w:line="22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940" w:hanging="641"/>
        <w:spacing w:after="0"/>
        <w:tabs>
          <w:tab w:leader="none" w:pos="1940"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Performance Share Award Agreement.</w:t>
      </w:r>
    </w:p>
    <w:p>
      <w:pPr>
        <w:spacing w:after="0" w:line="206" w:lineRule="exact"/>
        <w:rPr>
          <w:rFonts w:ascii="Arial" w:cs="Arial" w:eastAsia="Arial" w:hAnsi="Arial"/>
          <w:sz w:val="22"/>
          <w:szCs w:val="22"/>
          <w:color w:val="auto"/>
        </w:rPr>
      </w:pPr>
    </w:p>
    <w:p>
      <w:pPr>
        <w:ind w:firstLine="1299"/>
        <w:spacing w:after="0" w:line="256" w:lineRule="auto"/>
        <w:tabs>
          <w:tab w:leader="none" w:pos="1954"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Performance Shares made to Participant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terms of this Agreement.</w:t>
      </w:r>
    </w:p>
    <w:p>
      <w:pPr>
        <w:spacing w:after="0" w:line="162" w:lineRule="exact"/>
        <w:rPr>
          <w:rFonts w:ascii="Arial" w:cs="Arial" w:eastAsia="Arial" w:hAnsi="Arial"/>
          <w:sz w:val="22"/>
          <w:szCs w:val="22"/>
          <w:color w:val="auto"/>
        </w:rPr>
      </w:pPr>
    </w:p>
    <w:p>
      <w:pPr>
        <w:jc w:val="both"/>
        <w:ind w:firstLine="1299"/>
        <w:spacing w:after="0" w:line="243" w:lineRule="auto"/>
        <w:tabs>
          <w:tab w:leader="none" w:pos="2291"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Performance Shares are awarded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pursuant to the Agreement and shall be the date specified in Paragraph 1 of the Award Notice.</w:t>
      </w:r>
    </w:p>
    <w:p>
      <w:pPr>
        <w:spacing w:after="0" w:line="176" w:lineRule="exact"/>
        <w:rPr>
          <w:rFonts w:ascii="Arial" w:cs="Arial" w:eastAsia="Arial" w:hAnsi="Arial"/>
          <w:sz w:val="22"/>
          <w:szCs w:val="22"/>
          <w:color w:val="auto"/>
        </w:rPr>
      </w:pPr>
    </w:p>
    <w:p>
      <w:pPr>
        <w:jc w:val="both"/>
        <w:ind w:firstLine="1299"/>
        <w:spacing w:after="0" w:line="243" w:lineRule="auto"/>
        <w:tabs>
          <w:tab w:leader="none" w:pos="2020"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Notice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Notice of Award of Performance Shares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to Participant in which there is set forth the basic terms of the Performance Shares subject to this Agreement.</w:t>
      </w:r>
    </w:p>
    <w:p>
      <w:pPr>
        <w:spacing w:after="0" w:line="176" w:lineRule="exact"/>
        <w:rPr>
          <w:rFonts w:ascii="Arial" w:cs="Arial" w:eastAsia="Arial" w:hAnsi="Arial"/>
          <w:sz w:val="22"/>
          <w:szCs w:val="22"/>
          <w:color w:val="auto"/>
        </w:rPr>
      </w:pPr>
    </w:p>
    <w:p>
      <w:pPr>
        <w:jc w:val="both"/>
        <w:ind w:firstLine="1299"/>
        <w:spacing w:after="0" w:line="237" w:lineRule="auto"/>
        <w:tabs>
          <w:tab w:leader="none" w:pos="1955"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Cause</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 document; provided, however,</w:t>
      </w:r>
      <w:r>
        <w:rPr>
          <w:rFonts w:ascii="Arial" w:cs="Arial" w:eastAsia="Arial" w:hAnsi="Arial"/>
          <w:sz w:val="22"/>
          <w:szCs w:val="22"/>
          <w:b w:val="1"/>
          <w:bCs w:val="1"/>
          <w:color w:val="auto"/>
        </w:rPr>
        <w:t xml:space="preserve"> </w:t>
      </w:r>
      <w:r>
        <w:rPr>
          <w:rFonts w:ascii="Arial" w:cs="Arial" w:eastAsia="Arial" w:hAnsi="Arial"/>
          <w:sz w:val="22"/>
          <w:szCs w:val="22"/>
          <w:color w:val="auto"/>
        </w:rPr>
        <w:t>that in the event Participant is, at the time the Corporation (or any Parent or Subsidiary) purports to terminate Participant’s Employee status for Cause, a party to a Change in Control Benefits Agreement applicable to the Award, the term Cause shall have the meaning ascribed to that term in such Change in Control Benefits Agreement.</w:t>
      </w:r>
    </w:p>
    <w:p>
      <w:pPr>
        <w:spacing w:after="0" w:line="182" w:lineRule="exact"/>
        <w:rPr>
          <w:rFonts w:ascii="Arial" w:cs="Arial" w:eastAsia="Arial" w:hAnsi="Arial"/>
          <w:sz w:val="22"/>
          <w:szCs w:val="22"/>
          <w:color w:val="auto"/>
        </w:rPr>
      </w:pPr>
    </w:p>
    <w:p>
      <w:pPr>
        <w:jc w:val="both"/>
        <w:ind w:firstLine="1299"/>
        <w:spacing w:after="0" w:line="239" w:lineRule="auto"/>
        <w:tabs>
          <w:tab w:leader="none" w:pos="2169" w:val="left"/>
        </w:tabs>
        <w:numPr>
          <w:ilvl w:val="0"/>
          <w:numId w:val="190"/>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however, that in the event Participant is a party to a Change in Control Benefits Agreement applicable to the Award, the term Change in Control shall have the meaning ascribed to that term in such Change in Control Benefits Agreement.</w:t>
      </w:r>
    </w:p>
    <w:p>
      <w:pPr>
        <w:spacing w:after="0" w:line="180" w:lineRule="exact"/>
        <w:rPr>
          <w:rFonts w:ascii="Arial" w:cs="Arial" w:eastAsia="Arial" w:hAnsi="Arial"/>
          <w:sz w:val="22"/>
          <w:szCs w:val="22"/>
          <w:color w:val="auto"/>
        </w:rPr>
      </w:pPr>
    </w:p>
    <w:p>
      <w:pPr>
        <w:jc w:val="both"/>
        <w:ind w:firstLine="1299"/>
        <w:spacing w:after="0" w:line="249" w:lineRule="auto"/>
        <w:tabs>
          <w:tab w:leader="none" w:pos="2114" w:val="left"/>
        </w:tabs>
        <w:numPr>
          <w:ilvl w:val="0"/>
          <w:numId w:val="190"/>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Benefits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separate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71" w:lineRule="exact"/>
        <w:rPr>
          <w:rFonts w:ascii="Arial" w:cs="Arial" w:eastAsia="Arial" w:hAnsi="Arial"/>
          <w:sz w:val="21"/>
          <w:szCs w:val="21"/>
          <w:color w:val="auto"/>
        </w:rPr>
      </w:pPr>
    </w:p>
    <w:p>
      <w:pPr>
        <w:jc w:val="both"/>
        <w:ind w:firstLine="1299"/>
        <w:spacing w:after="0" w:line="249" w:lineRule="auto"/>
        <w:tabs>
          <w:tab w:leader="none" w:pos="2209" w:val="left"/>
        </w:tabs>
        <w:numPr>
          <w:ilvl w:val="0"/>
          <w:numId w:val="190"/>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number of Shares obtained by</w:t>
      </w:r>
      <w:r>
        <w:rPr>
          <w:rFonts w:ascii="Arial" w:cs="Arial" w:eastAsia="Arial" w:hAnsi="Arial"/>
          <w:sz w:val="21"/>
          <w:szCs w:val="21"/>
          <w:b w:val="1"/>
          <w:bCs w:val="1"/>
          <w:color w:val="auto"/>
        </w:rPr>
        <w:t xml:space="preserve"> </w:t>
      </w:r>
      <w:r>
        <w:rPr>
          <w:rFonts w:ascii="Arial" w:cs="Arial" w:eastAsia="Arial" w:hAnsi="Arial"/>
          <w:sz w:val="21"/>
          <w:szCs w:val="21"/>
          <w:color w:val="auto"/>
        </w:rPr>
        <w:t>multiplying the Vested Percentage by the greater of (i) the number of Performance-Qualified Shares issuable under the Award at Target Level Attainment of the Performance Goal (without any adjustment for the TSR Modifier), or (ii) the number of Performance-Qualified Shares issuable under the Award based on actual performance of the Performance Goal through the date of the Change in Control (without any adjustment for the TSR Modifier).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3" w:name="page164"/>
    <w:bookmarkEnd w:id="163"/>
    <w:p>
      <w:pPr>
        <w:jc w:val="both"/>
        <w:ind w:firstLine="1299"/>
        <w:spacing w:after="0" w:line="261" w:lineRule="auto"/>
        <w:tabs>
          <w:tab w:leader="none" w:pos="1909" w:val="left"/>
        </w:tabs>
        <w:numPr>
          <w:ilvl w:val="0"/>
          <w:numId w:val="191"/>
        </w:numPr>
        <w:rPr>
          <w:rFonts w:ascii="Arial" w:cs="Arial" w:eastAsia="Arial" w:hAnsi="Arial"/>
          <w:sz w:val="21"/>
          <w:szCs w:val="21"/>
          <w:color w:val="auto"/>
        </w:rPr>
      </w:pPr>
      <w:r>
        <w:rPr>
          <w:rFonts w:ascii="Arial" w:cs="Arial" w:eastAsia="Arial" w:hAnsi="Arial"/>
          <w:sz w:val="21"/>
          <w:szCs w:val="21"/>
          <w:b w:val="1"/>
          <w:bCs w:val="1"/>
          <w:u w:val="single" w:color="auto"/>
          <w:color w:val="auto"/>
        </w:rPr>
        <w:t>Early Retirement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Participant’s retirement from Service, with the prior</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of the Corporation (or the Parent or Subsidiary employing Participant), on or after the attainment of age fifty-five (55) and the completion of at least five (5) years of Service.</w:t>
      </w:r>
    </w:p>
    <w:p>
      <w:pPr>
        <w:sectPr>
          <w:pgSz w:w="11900" w:h="16838" w:orient="portrait"/>
          <w:cols w:equalWidth="0" w:num="1">
            <w:col w:w="9060"/>
          </w:cols>
          <w:pgMar w:left="1420" w:top="112" w:right="1419" w:bottom="1440" w:gutter="0" w:footer="0" w:header="0"/>
        </w:sectPr>
      </w:pPr>
    </w:p>
    <w:p>
      <w:pPr>
        <w:spacing w:after="0" w:line="158" w:lineRule="exact"/>
        <w:rPr>
          <w:sz w:val="20"/>
          <w:szCs w:val="20"/>
          <w:color w:val="auto"/>
        </w:rPr>
      </w:pPr>
    </w:p>
    <w:p>
      <w:pPr>
        <w:jc w:val="both"/>
        <w:ind w:firstLine="1299"/>
        <w:spacing w:after="0" w:line="301" w:lineRule="auto"/>
        <w:tabs>
          <w:tab w:leader="none" w:pos="2029" w:val="left"/>
        </w:tabs>
        <w:numPr>
          <w:ilvl w:val="0"/>
          <w:numId w:val="192"/>
        </w:numPr>
        <w:rPr>
          <w:rFonts w:ascii="Arial" w:cs="Arial" w:eastAsia="Arial" w:hAnsi="Arial"/>
          <w:sz w:val="19"/>
          <w:szCs w:val="19"/>
          <w:color w:val="auto"/>
        </w:rPr>
      </w:pPr>
      <w:r>
        <w:rPr>
          <w:rFonts w:ascii="Arial" w:cs="Arial" w:eastAsia="Arial" w:hAnsi="Arial"/>
          <w:sz w:val="19"/>
          <w:szCs w:val="19"/>
          <w:b w:val="1"/>
          <w:bCs w:val="1"/>
          <w:u w:val="single" w:color="auto"/>
          <w:color w:val="auto"/>
        </w:rPr>
        <w:t xml:space="preserve">Extraordinary Level Attainment </w:t>
      </w:r>
      <w:r>
        <w:rPr>
          <w:rFonts w:ascii="Arial" w:cs="Arial" w:eastAsia="Arial" w:hAnsi="Arial"/>
          <w:sz w:val="19"/>
          <w:szCs w:val="19"/>
          <w:color w:val="auto"/>
        </w:rPr>
        <w:t>the Performance Goal set forth in Schedule I to the Extraordinary Level attainment for that goal.</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hanging="72"/>
        <w:spacing w:after="0" w:line="328" w:lineRule="auto"/>
        <w:rPr>
          <w:sz w:val="20"/>
          <w:szCs w:val="20"/>
          <w:color w:val="auto"/>
        </w:rPr>
      </w:pPr>
      <w:r>
        <w:rPr>
          <w:rFonts w:ascii="Arial" w:cs="Arial" w:eastAsia="Arial" w:hAnsi="Arial"/>
          <w:sz w:val="19"/>
          <w:szCs w:val="19"/>
          <w:color w:val="auto"/>
        </w:rPr>
        <w:t>shall mean the Corporation’s achievement of Award Notice at the level designated as</w:t>
      </w:r>
    </w:p>
    <w:p>
      <w:pPr>
        <w:spacing w:after="0" w:line="341" w:lineRule="exact"/>
        <w:rPr>
          <w:sz w:val="20"/>
          <w:szCs w:val="20"/>
          <w:color w:val="auto"/>
        </w:rPr>
      </w:pPr>
    </w:p>
    <w:p>
      <w:pPr>
        <w:sectPr>
          <w:pgSz w:w="11900" w:h="16838" w:orient="portrait"/>
          <w:cols w:equalWidth="0" w:num="2">
            <w:col w:w="5060" w:space="140"/>
            <w:col w:w="3860"/>
          </w:cols>
          <w:pgMar w:left="1420" w:top="112" w:right="1419" w:bottom="1440" w:gutter="0" w:footer="0" w:header="0"/>
          <w:type w:val="continuous"/>
        </w:sectPr>
      </w:pPr>
    </w:p>
    <w:p>
      <w:pPr>
        <w:jc w:val="both"/>
        <w:ind w:firstLine="1299"/>
        <w:spacing w:after="0" w:line="289" w:lineRule="auto"/>
        <w:tabs>
          <w:tab w:leader="none" w:pos="1993" w:val="left"/>
        </w:tabs>
        <w:numPr>
          <w:ilvl w:val="0"/>
          <w:numId w:val="193"/>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provided however, in</w:t>
      </w:r>
      <w:r>
        <w:rPr>
          <w:rFonts w:ascii="Arial" w:cs="Arial" w:eastAsia="Arial" w:hAnsi="Arial"/>
          <w:sz w:val="19"/>
          <w:szCs w:val="19"/>
          <w:b w:val="1"/>
          <w:bCs w:val="1"/>
          <w:color w:val="auto"/>
        </w:rPr>
        <w:t xml:space="preserve"> </w:t>
      </w:r>
      <w:r>
        <w:rPr>
          <w:rFonts w:ascii="Arial" w:cs="Arial" w:eastAsia="Arial" w:hAnsi="Arial"/>
          <w:sz w:val="19"/>
          <w:szCs w:val="19"/>
          <w:color w:val="auto"/>
        </w:rPr>
        <w:t>the event Participant is at the time of his or her cessation of Employee status a party to a Change in Control Benefits Agreement applicable to the Award evidenced by this Agreement, the term Good Reason shall have the meaning ascribed to that term in such Change in Control Benefits Agreement.</w:t>
      </w:r>
    </w:p>
    <w:p>
      <w:pPr>
        <w:spacing w:after="0" w:line="136" w:lineRule="exact"/>
        <w:rPr>
          <w:rFonts w:ascii="Arial" w:cs="Arial" w:eastAsia="Arial" w:hAnsi="Arial"/>
          <w:sz w:val="19"/>
          <w:szCs w:val="19"/>
          <w:color w:val="auto"/>
        </w:rPr>
      </w:pPr>
    </w:p>
    <w:p>
      <w:pPr>
        <w:ind w:firstLine="1299"/>
        <w:spacing w:after="0" w:line="256" w:lineRule="auto"/>
        <w:tabs>
          <w:tab w:leader="none" w:pos="1969" w:val="left"/>
        </w:tabs>
        <w:numPr>
          <w:ilvl w:val="0"/>
          <w:numId w:val="193"/>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at or after the attainment of age sixty-five (65).</w:t>
      </w:r>
    </w:p>
    <w:p>
      <w:pPr>
        <w:spacing w:after="0" w:line="162" w:lineRule="exact"/>
        <w:rPr>
          <w:rFonts w:ascii="Arial" w:cs="Arial" w:eastAsia="Arial" w:hAnsi="Arial"/>
          <w:sz w:val="22"/>
          <w:szCs w:val="22"/>
          <w:color w:val="auto"/>
        </w:rPr>
      </w:pPr>
    </w:p>
    <w:p>
      <w:pPr>
        <w:ind w:left="2080" w:hanging="781"/>
        <w:spacing w:after="0"/>
        <w:tabs>
          <w:tab w:leader="none" w:pos="2080" w:val="left"/>
        </w:tabs>
        <w:numPr>
          <w:ilvl w:val="0"/>
          <w:numId w:val="193"/>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2" w:lineRule="exact"/>
        <w:rPr>
          <w:rFonts w:ascii="Arial" w:cs="Arial" w:eastAsia="Arial" w:hAnsi="Arial"/>
          <w:sz w:val="19"/>
          <w:szCs w:val="19"/>
          <w:color w:val="auto"/>
        </w:rPr>
      </w:pPr>
    </w:p>
    <w:p>
      <w:pPr>
        <w:ind w:left="2040" w:hanging="741"/>
        <w:spacing w:after="0"/>
        <w:tabs>
          <w:tab w:leader="none" w:pos="2040" w:val="left"/>
        </w:tabs>
        <w:numPr>
          <w:ilvl w:val="0"/>
          <w:numId w:val="193"/>
        </w:numPr>
        <w:rPr>
          <w:rFonts w:ascii="Arial" w:cs="Arial" w:eastAsia="Arial" w:hAnsi="Arial"/>
          <w:sz w:val="19"/>
          <w:szCs w:val="19"/>
          <w:color w:val="auto"/>
        </w:rPr>
      </w:pPr>
      <w:r>
        <w:rPr>
          <w:rFonts w:ascii="Arial" w:cs="Arial" w:eastAsia="Arial" w:hAnsi="Arial"/>
          <w:sz w:val="19"/>
          <w:szCs w:val="19"/>
          <w:b w:val="1"/>
          <w:bCs w:val="1"/>
          <w:u w:val="single" w:color="auto"/>
          <w:color w:val="auto"/>
        </w:rPr>
        <w:t>Performance Goal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performance goal specified on Schedule I of</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Award Notice.</w:t>
      </w:r>
    </w:p>
    <w:p>
      <w:pPr>
        <w:spacing w:after="0" w:line="182" w:lineRule="exact"/>
        <w:rPr>
          <w:rFonts w:ascii="Arial" w:cs="Arial" w:eastAsia="Arial" w:hAnsi="Arial"/>
          <w:sz w:val="19"/>
          <w:szCs w:val="19"/>
          <w:color w:val="auto"/>
        </w:rPr>
      </w:pPr>
    </w:p>
    <w:p>
      <w:pPr>
        <w:ind w:firstLine="1299"/>
        <w:spacing w:after="0" w:line="256" w:lineRule="auto"/>
        <w:tabs>
          <w:tab w:leader="none" w:pos="1966" w:val="left"/>
        </w:tabs>
        <w:numPr>
          <w:ilvl w:val="0"/>
          <w:numId w:val="193"/>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Period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period specified on Schedule I of the Award</w:t>
      </w:r>
      <w:r>
        <w:rPr>
          <w:rFonts w:ascii="Arial" w:cs="Arial" w:eastAsia="Arial" w:hAnsi="Arial"/>
          <w:sz w:val="22"/>
          <w:szCs w:val="22"/>
          <w:b w:val="1"/>
          <w:bCs w:val="1"/>
          <w:color w:val="auto"/>
        </w:rPr>
        <w:t xml:space="preserve"> </w:t>
      </w:r>
      <w:r>
        <w:rPr>
          <w:rFonts w:ascii="Arial" w:cs="Arial" w:eastAsia="Arial" w:hAnsi="Arial"/>
          <w:sz w:val="22"/>
          <w:szCs w:val="22"/>
          <w:color w:val="auto"/>
        </w:rPr>
        <w:t>Notice over which the attainment of the Performance Goal is to be measured.</w:t>
      </w:r>
    </w:p>
    <w:p>
      <w:pPr>
        <w:spacing w:after="0" w:line="162" w:lineRule="exact"/>
        <w:rPr>
          <w:rFonts w:ascii="Arial" w:cs="Arial" w:eastAsia="Arial" w:hAnsi="Arial"/>
          <w:sz w:val="22"/>
          <w:szCs w:val="22"/>
          <w:color w:val="auto"/>
        </w:rPr>
      </w:pPr>
    </w:p>
    <w:p>
      <w:pPr>
        <w:jc w:val="both"/>
        <w:ind w:firstLine="1299"/>
        <w:spacing w:after="0" w:line="248" w:lineRule="auto"/>
        <w:tabs>
          <w:tab w:leader="none" w:pos="2027" w:val="left"/>
        </w:tabs>
        <w:numPr>
          <w:ilvl w:val="0"/>
          <w:numId w:val="193"/>
        </w:numPr>
        <w:rPr>
          <w:rFonts w:ascii="Arial" w:cs="Arial" w:eastAsia="Arial" w:hAnsi="Arial"/>
          <w:sz w:val="21"/>
          <w:szCs w:val="21"/>
          <w:color w:val="auto"/>
        </w:rPr>
      </w:pPr>
      <w:r>
        <w:rPr>
          <w:rFonts w:ascii="Arial" w:cs="Arial" w:eastAsia="Arial" w:hAnsi="Arial"/>
          <w:sz w:val="21"/>
          <w:szCs w:val="21"/>
          <w:b w:val="1"/>
          <w:bCs w:val="1"/>
          <w:u w:val="single" w:color="auto"/>
          <w:color w:val="auto"/>
        </w:rPr>
        <w:t>Performance-Qualified Shares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maximum number of Shares in</w:t>
      </w:r>
      <w:r>
        <w:rPr>
          <w:rFonts w:ascii="Arial" w:cs="Arial" w:eastAsia="Arial" w:hAnsi="Arial"/>
          <w:sz w:val="21"/>
          <w:szCs w:val="21"/>
          <w:b w:val="1"/>
          <w:bCs w:val="1"/>
          <w:color w:val="auto"/>
        </w:rPr>
        <w:t xml:space="preserve"> </w:t>
      </w:r>
      <w:r>
        <w:rPr>
          <w:rFonts w:ascii="Arial" w:cs="Arial" w:eastAsia="Arial" w:hAnsi="Arial"/>
          <w:sz w:val="21"/>
          <w:szCs w:val="21"/>
          <w:color w:val="auto"/>
        </w:rPr>
        <w:t>which Participant can vest based on the level at which the Performance Goal for the Performance Period is attained and shall be calculated in accordance with the provisions of the Award Notice. In no event shall the number of such Performance-Qualified Shares exceed two hundred fifty percent (250%) of the designated number of Performance Shares set forth in the Performance Shares section of the Award Notice. Each Performance-Qualified Share that vests pursuant to the terms of the Award shall entitle Participant to receive one Share.</w:t>
      </w:r>
    </w:p>
    <w:p>
      <w:pPr>
        <w:spacing w:after="0" w:line="171" w:lineRule="exact"/>
        <w:rPr>
          <w:rFonts w:ascii="Arial" w:cs="Arial" w:eastAsia="Arial" w:hAnsi="Arial"/>
          <w:sz w:val="21"/>
          <w:szCs w:val="21"/>
          <w:color w:val="auto"/>
        </w:rPr>
      </w:pPr>
    </w:p>
    <w:p>
      <w:pPr>
        <w:jc w:val="both"/>
        <w:ind w:firstLine="1299"/>
        <w:spacing w:after="0" w:line="239" w:lineRule="auto"/>
        <w:tabs>
          <w:tab w:leader="none" w:pos="2155" w:val="left"/>
        </w:tabs>
        <w:numPr>
          <w:ilvl w:val="0"/>
          <w:numId w:val="193"/>
        </w:numPr>
        <w:rPr>
          <w:rFonts w:ascii="Arial" w:cs="Arial" w:eastAsia="Arial" w:hAnsi="Arial"/>
          <w:sz w:val="22"/>
          <w:szCs w:val="22"/>
          <w:color w:val="auto"/>
        </w:rPr>
      </w:pPr>
      <w:r>
        <w:rPr>
          <w:rFonts w:ascii="Arial" w:cs="Arial" w:eastAsia="Arial" w:hAnsi="Arial"/>
          <w:sz w:val="22"/>
          <w:szCs w:val="22"/>
          <w:b w:val="1"/>
          <w:bCs w:val="1"/>
          <w:u w:val="single" w:color="auto"/>
          <w:color w:val="auto"/>
        </w:rPr>
        <w:t>Performance Shares</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number of phantom shares of Common</w:t>
      </w:r>
      <w:r>
        <w:rPr>
          <w:rFonts w:ascii="Arial" w:cs="Arial" w:eastAsia="Arial" w:hAnsi="Arial"/>
          <w:sz w:val="22"/>
          <w:szCs w:val="22"/>
          <w:b w:val="1"/>
          <w:bCs w:val="1"/>
          <w:color w:val="auto"/>
        </w:rPr>
        <w:t xml:space="preserve"> </w:t>
      </w:r>
      <w:r>
        <w:rPr>
          <w:rFonts w:ascii="Arial" w:cs="Arial" w:eastAsia="Arial" w:hAnsi="Arial"/>
          <w:sz w:val="22"/>
          <w:szCs w:val="22"/>
          <w:color w:val="auto"/>
        </w:rPr>
        <w:t>Stock awarded under this Agreement that shall be applied to the calculation of the maximum number of Performance-Qualified Shares (if any) based on the level at which the Performance Goal is in fact attained over the applicable Performance Period.</w:t>
      </w:r>
    </w:p>
    <w:p>
      <w:pPr>
        <w:spacing w:after="0" w:line="180" w:lineRule="exact"/>
        <w:rPr>
          <w:rFonts w:ascii="Arial" w:cs="Arial" w:eastAsia="Arial" w:hAnsi="Arial"/>
          <w:sz w:val="22"/>
          <w:szCs w:val="22"/>
          <w:color w:val="auto"/>
        </w:rPr>
      </w:pPr>
    </w:p>
    <w:p>
      <w:pPr>
        <w:ind w:left="1920" w:hanging="621"/>
        <w:spacing w:after="0"/>
        <w:tabs>
          <w:tab w:leader="none" w:pos="1920" w:val="left"/>
        </w:tabs>
        <w:numPr>
          <w:ilvl w:val="0"/>
          <w:numId w:val="193"/>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rFonts w:ascii="Arial" w:cs="Arial" w:eastAsia="Arial" w:hAnsi="Arial"/>
          <w:sz w:val="22"/>
          <w:szCs w:val="22"/>
          <w:color w:val="auto"/>
        </w:rPr>
      </w:pPr>
    </w:p>
    <w:p>
      <w:pPr>
        <w:jc w:val="both"/>
        <w:ind w:firstLine="1299"/>
        <w:spacing w:after="0" w:line="251" w:lineRule="auto"/>
        <w:tabs>
          <w:tab w:leader="none" w:pos="2132" w:val="left"/>
        </w:tabs>
        <w:numPr>
          <w:ilvl w:val="0"/>
          <w:numId w:val="193"/>
        </w:numPr>
        <w:rPr>
          <w:rFonts w:ascii="Arial" w:cs="Arial" w:eastAsia="Arial" w:hAnsi="Arial"/>
          <w:sz w:val="21"/>
          <w:szCs w:val="21"/>
          <w:color w:val="auto"/>
        </w:rPr>
      </w:pPr>
      <w:r>
        <w:rPr>
          <w:rFonts w:ascii="Arial" w:cs="Arial" w:eastAsia="Arial" w:hAnsi="Arial"/>
          <w:sz w:val="21"/>
          <w:szCs w:val="21"/>
          <w:b w:val="1"/>
          <w:bCs w:val="1"/>
          <w:u w:val="single" w:color="auto"/>
          <w:color w:val="auto"/>
        </w:rPr>
        <w:t>Qualifying Change in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date on which there occurs a</w:t>
      </w:r>
      <w:r>
        <w:rPr>
          <w:rFonts w:ascii="Arial" w:cs="Arial" w:eastAsia="Arial" w:hAnsi="Arial"/>
          <w:sz w:val="21"/>
          <w:szCs w:val="21"/>
          <w:b w:val="1"/>
          <w:bCs w:val="1"/>
          <w:color w:val="auto"/>
        </w:rPr>
        <w:t xml:space="preserve"> </w:t>
      </w:r>
      <w:r>
        <w:rPr>
          <w:rFonts w:ascii="Arial" w:cs="Arial" w:eastAsia="Arial" w:hAnsi="Arial"/>
          <w:sz w:val="21"/>
          <w:szCs w:val="21"/>
          <w:color w:val="auto"/>
        </w:rPr>
        <w:t>Change in Control that also qualifies as: (i) a change in the ownership of the Corporation, as determined in accordance with Section 1.409A-3(i)((5)(v) of the Treasury Regulations, (ii) a change in the effective control of the Corporation, as determined in accordance with Section 1.409A-3(i)((5)(vi) of the Treasury Regulations, or (iii) a change in the ownership of a substantial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64" w:name="page165"/>
    <w:bookmarkEnd w:id="164"/>
    <w:p>
      <w:pPr>
        <w:spacing w:after="0" w:line="251" w:lineRule="auto"/>
        <w:rPr>
          <w:sz w:val="20"/>
          <w:szCs w:val="20"/>
          <w:color w:val="auto"/>
        </w:rPr>
      </w:pPr>
      <w:r>
        <w:rPr>
          <w:rFonts w:ascii="Arial" w:cs="Arial" w:eastAsia="Arial" w:hAnsi="Arial"/>
          <w:sz w:val="22"/>
          <w:szCs w:val="22"/>
          <w:color w:val="auto"/>
        </w:rPr>
        <w:t>portion of the assets of the Corporation, as determined in accordance with Section 1.409A-3(i)((5)(vii) of the Treasury Regulations.</w:t>
      </w:r>
    </w:p>
    <w:p>
      <w:pPr>
        <w:spacing w:after="0" w:line="168" w:lineRule="exact"/>
        <w:rPr>
          <w:sz w:val="20"/>
          <w:szCs w:val="20"/>
          <w:color w:val="auto"/>
        </w:rPr>
      </w:pPr>
    </w:p>
    <w:p>
      <w:pPr>
        <w:jc w:val="both"/>
        <w:ind w:firstLine="1299"/>
        <w:spacing w:after="0" w:line="270" w:lineRule="auto"/>
        <w:tabs>
          <w:tab w:leader="none" w:pos="2115" w:val="left"/>
        </w:tabs>
        <w:numPr>
          <w:ilvl w:val="1"/>
          <w:numId w:val="194"/>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jc w:val="both"/>
        <w:ind w:firstLine="1299"/>
        <w:spacing w:after="0" w:line="274" w:lineRule="auto"/>
        <w:tabs>
          <w:tab w:leader="none" w:pos="2006" w:val="left"/>
        </w:tabs>
        <w:numPr>
          <w:ilvl w:val="1"/>
          <w:numId w:val="194"/>
        </w:numPr>
        <w:rPr>
          <w:rFonts w:ascii="Arial" w:cs="Arial" w:eastAsia="Arial" w:hAnsi="Arial"/>
          <w:sz w:val="19"/>
          <w:szCs w:val="19"/>
          <w:color w:val="auto"/>
        </w:rPr>
      </w:pPr>
      <w:r>
        <w:rPr>
          <w:rFonts w:ascii="Arial" w:cs="Arial" w:eastAsia="Arial" w:hAnsi="Arial"/>
          <w:sz w:val="19"/>
          <w:szCs w:val="19"/>
          <w:b w:val="1"/>
          <w:bCs w:val="1"/>
          <w:u w:val="single" w:color="auto"/>
          <w:color w:val="auto"/>
        </w:rPr>
        <w:t>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Participant’s performance of services for the 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Parent or Subsidiary) in the capacity of an Employee, a non-employee member of a board of directors (including the Board), or a Consultant. For purposes of this Agreement, Participant shall be deemed to cease Service immediately upon the occurrence of the either of the following events: (i) Participant no longer performs services in any of the foregoing capacities for the Corporation (or any Parent or Subsidiary) or (ii) the entity for which Participant performs such services ceases to remain a Parent or Subsidiary of the Corporation, even though Participant may subsequently continue to perform services for that entity. Service as an Employee shall not be deemed to cease during a period of military leave, sick leave or other personal leave approved by the Plan Administrator;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that the following special provisions shall be in effect for any such leave:</w:t>
      </w:r>
    </w:p>
    <w:p>
      <w:pPr>
        <w:spacing w:after="0" w:line="158" w:lineRule="exact"/>
        <w:rPr>
          <w:rFonts w:ascii="Arial" w:cs="Arial" w:eastAsia="Arial" w:hAnsi="Arial"/>
          <w:sz w:val="19"/>
          <w:szCs w:val="19"/>
          <w:color w:val="auto"/>
        </w:rPr>
      </w:pPr>
    </w:p>
    <w:p>
      <w:pPr>
        <w:ind w:left="2660" w:hanging="712"/>
        <w:spacing w:after="0"/>
        <w:tabs>
          <w:tab w:leader="none" w:pos="2660" w:val="left"/>
        </w:tabs>
        <w:numPr>
          <w:ilvl w:val="2"/>
          <w:numId w:val="194"/>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w:t>
      </w:r>
    </w:p>
    <w:p>
      <w:pPr>
        <w:spacing w:after="0" w:line="42" w:lineRule="exact"/>
        <w:rPr>
          <w:rFonts w:ascii="Arial" w:cs="Arial" w:eastAsia="Arial" w:hAnsi="Arial"/>
          <w:sz w:val="19"/>
          <w:szCs w:val="19"/>
          <w:color w:val="auto"/>
        </w:rPr>
      </w:pPr>
    </w:p>
    <w:p>
      <w:pPr>
        <w:jc w:val="both"/>
        <w:ind w:left="660" w:hanging="9"/>
        <w:spacing w:after="0" w:line="233" w:lineRule="auto"/>
        <w:tabs>
          <w:tab w:leader="none" w:pos="994" w:val="left"/>
        </w:tabs>
        <w:numPr>
          <w:ilvl w:val="0"/>
          <w:numId w:val="195"/>
        </w:numPr>
        <w:rPr>
          <w:rFonts w:ascii="Arial" w:cs="Arial" w:eastAsia="Arial" w:hAnsi="Arial"/>
          <w:sz w:val="22"/>
          <w:szCs w:val="22"/>
          <w:color w:val="auto"/>
        </w:rPr>
      </w:pPr>
      <w:r>
        <w:rPr>
          <w:rFonts w:ascii="Arial" w:cs="Arial" w:eastAsia="Arial" w:hAnsi="Arial"/>
          <w:sz w:val="22"/>
          <w:szCs w:val="22"/>
          <w:color w:val="auto"/>
        </w:rPr>
        <w:t>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5" w:name="page166"/>
    <w:bookmarkEnd w:id="165"/>
    <w:p>
      <w:pPr>
        <w:jc w:val="both"/>
        <w:ind w:left="660" w:firstLine="1288"/>
        <w:spacing w:after="0" w:line="274" w:lineRule="auto"/>
        <w:tabs>
          <w:tab w:leader="none" w:pos="279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59" w:lineRule="exact"/>
        <w:rPr>
          <w:rFonts w:ascii="Arial" w:cs="Arial" w:eastAsia="Arial" w:hAnsi="Arial"/>
          <w:sz w:val="19"/>
          <w:szCs w:val="19"/>
          <w:color w:val="auto"/>
        </w:rPr>
      </w:pPr>
    </w:p>
    <w:p>
      <w:pPr>
        <w:jc w:val="both"/>
        <w:ind w:left="660" w:firstLine="1288"/>
        <w:spacing w:after="0" w:line="238" w:lineRule="auto"/>
        <w:tabs>
          <w:tab w:leader="none" w:pos="2827" w:val="left"/>
        </w:tabs>
        <w:numPr>
          <w:ilvl w:val="1"/>
          <w:numId w:val="196"/>
        </w:numPr>
        <w:rPr>
          <w:rFonts w:ascii="Arial" w:cs="Arial" w:eastAsia="Arial" w:hAnsi="Arial"/>
          <w:sz w:val="22"/>
          <w:szCs w:val="22"/>
          <w:color w:val="auto"/>
        </w:rPr>
      </w:pPr>
      <w:r>
        <w:rPr>
          <w:rFonts w:ascii="Arial" w:cs="Arial" w:eastAsia="Arial" w:hAnsi="Arial"/>
          <w:sz w:val="22"/>
          <w:szCs w:val="22"/>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79" w:lineRule="exact"/>
        <w:rPr>
          <w:rFonts w:ascii="Arial" w:cs="Arial" w:eastAsia="Arial" w:hAnsi="Arial"/>
          <w:sz w:val="22"/>
          <w:szCs w:val="22"/>
          <w:color w:val="auto"/>
        </w:rPr>
      </w:pPr>
    </w:p>
    <w:p>
      <w:pPr>
        <w:ind w:firstLine="1299"/>
        <w:spacing w:after="0" w:line="280" w:lineRule="auto"/>
        <w:tabs>
          <w:tab w:leader="none" w:pos="2100" w:val="left"/>
        </w:tabs>
        <w:numPr>
          <w:ilvl w:val="0"/>
          <w:numId w:val="197"/>
        </w:numPr>
        <w:rPr>
          <w:rFonts w:ascii="Arial" w:cs="Arial" w:eastAsia="Arial" w:hAnsi="Arial"/>
          <w:sz w:val="21"/>
          <w:szCs w:val="21"/>
          <w:color w:val="auto"/>
        </w:rPr>
      </w:pPr>
      <w:r>
        <w:rPr>
          <w:rFonts w:ascii="Arial" w:cs="Arial" w:eastAsia="Arial" w:hAnsi="Arial"/>
          <w:sz w:val="21"/>
          <w:szCs w:val="21"/>
          <w:b w:val="1"/>
          <w:bCs w:val="1"/>
          <w:u w:val="single" w:color="auto"/>
          <w:color w:val="auto"/>
        </w:rPr>
        <w:t>Shares</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the shares of Common Stock which may vest and become</w:t>
      </w:r>
      <w:r>
        <w:rPr>
          <w:rFonts w:ascii="Arial" w:cs="Arial" w:eastAsia="Arial" w:hAnsi="Arial"/>
          <w:sz w:val="21"/>
          <w:szCs w:val="21"/>
          <w:b w:val="1"/>
          <w:bCs w:val="1"/>
          <w:color w:val="auto"/>
        </w:rPr>
        <w:t xml:space="preserve"> </w:t>
      </w:r>
      <w:r>
        <w:rPr>
          <w:rFonts w:ascii="Arial" w:cs="Arial" w:eastAsia="Arial" w:hAnsi="Arial"/>
          <w:sz w:val="21"/>
          <w:szCs w:val="21"/>
          <w:color w:val="auto"/>
        </w:rPr>
        <w:t>issuable under the Award pursuant to the terms of this Agreement and the Award Notice.</w:t>
      </w:r>
    </w:p>
    <w:p>
      <w:pPr>
        <w:spacing w:after="0" w:line="138" w:lineRule="exact"/>
        <w:rPr>
          <w:rFonts w:ascii="Arial" w:cs="Arial" w:eastAsia="Arial" w:hAnsi="Arial"/>
          <w:sz w:val="21"/>
          <w:szCs w:val="21"/>
          <w:color w:val="auto"/>
        </w:rPr>
      </w:pPr>
    </w:p>
    <w:p>
      <w:pPr>
        <w:jc w:val="both"/>
        <w:ind w:firstLine="1299"/>
        <w:spacing w:after="0" w:line="243" w:lineRule="auto"/>
        <w:tabs>
          <w:tab w:leader="none" w:pos="2183" w:val="left"/>
        </w:tabs>
        <w:numPr>
          <w:ilvl w:val="0"/>
          <w:numId w:val="197"/>
        </w:numPr>
        <w:rPr>
          <w:rFonts w:ascii="Arial" w:cs="Arial" w:eastAsia="Arial" w:hAnsi="Arial"/>
          <w:sz w:val="22"/>
          <w:szCs w:val="22"/>
          <w:color w:val="auto"/>
        </w:rPr>
      </w:pPr>
      <w:r>
        <w:rPr>
          <w:rFonts w:ascii="Arial" w:cs="Arial" w:eastAsia="Arial" w:hAnsi="Arial"/>
          <w:sz w:val="22"/>
          <w:szCs w:val="22"/>
          <w:b w:val="1"/>
          <w:bCs w:val="1"/>
          <w:u w:val="single" w:color="auto"/>
          <w:color w:val="auto"/>
        </w:rPr>
        <w:t>Target Level Attainment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 set forth in Schedule I to the Award Notice at the level designated as Target Level attainment for that goal.</w:t>
      </w:r>
    </w:p>
    <w:p>
      <w:pPr>
        <w:spacing w:after="0" w:line="176" w:lineRule="exact"/>
        <w:rPr>
          <w:rFonts w:ascii="Arial" w:cs="Arial" w:eastAsia="Arial" w:hAnsi="Arial"/>
          <w:sz w:val="22"/>
          <w:szCs w:val="22"/>
          <w:color w:val="auto"/>
        </w:rPr>
      </w:pPr>
    </w:p>
    <w:p>
      <w:pPr>
        <w:jc w:val="both"/>
        <w:ind w:firstLine="1299"/>
        <w:spacing w:after="0" w:line="243" w:lineRule="auto"/>
        <w:tabs>
          <w:tab w:leader="none" w:pos="2236" w:val="left"/>
        </w:tabs>
        <w:numPr>
          <w:ilvl w:val="0"/>
          <w:numId w:val="197"/>
        </w:numPr>
        <w:rPr>
          <w:rFonts w:ascii="Arial" w:cs="Arial" w:eastAsia="Arial" w:hAnsi="Arial"/>
          <w:sz w:val="22"/>
          <w:szCs w:val="22"/>
          <w:color w:val="auto"/>
        </w:rPr>
      </w:pPr>
      <w:r>
        <w:rPr>
          <w:rFonts w:ascii="Arial" w:cs="Arial" w:eastAsia="Arial" w:hAnsi="Arial"/>
          <w:sz w:val="22"/>
          <w:szCs w:val="22"/>
          <w:b w:val="1"/>
          <w:bCs w:val="1"/>
          <w:u w:val="single" w:color="auto"/>
          <w:color w:val="auto"/>
        </w:rPr>
        <w:t>TSR Modifier</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adjustment on the basis of the relative total</w:t>
      </w:r>
      <w:r>
        <w:rPr>
          <w:rFonts w:ascii="Arial" w:cs="Arial" w:eastAsia="Arial" w:hAnsi="Arial"/>
          <w:sz w:val="22"/>
          <w:szCs w:val="22"/>
          <w:b w:val="1"/>
          <w:bCs w:val="1"/>
          <w:color w:val="auto"/>
        </w:rPr>
        <w:t xml:space="preserve"> </w:t>
      </w:r>
      <w:r>
        <w:rPr>
          <w:rFonts w:ascii="Arial" w:cs="Arial" w:eastAsia="Arial" w:hAnsi="Arial"/>
          <w:sz w:val="22"/>
          <w:szCs w:val="22"/>
          <w:color w:val="auto"/>
        </w:rPr>
        <w:t>shareholder return that is applied to the number of Shares that may vest based on attainment of the Performance Goal as set forth in Schedule I of the Award Notice.</w:t>
      </w:r>
    </w:p>
    <w:p>
      <w:pPr>
        <w:spacing w:after="0" w:line="176" w:lineRule="exact"/>
        <w:rPr>
          <w:rFonts w:ascii="Arial" w:cs="Arial" w:eastAsia="Arial" w:hAnsi="Arial"/>
          <w:sz w:val="22"/>
          <w:szCs w:val="22"/>
          <w:color w:val="auto"/>
        </w:rPr>
      </w:pPr>
    </w:p>
    <w:p>
      <w:pPr>
        <w:jc w:val="both"/>
        <w:ind w:firstLine="1299"/>
        <w:spacing w:after="0" w:line="254" w:lineRule="auto"/>
        <w:tabs>
          <w:tab w:leader="none" w:pos="1965" w:val="left"/>
        </w:tabs>
        <w:numPr>
          <w:ilvl w:val="0"/>
          <w:numId w:val="197"/>
        </w:numPr>
        <w:rPr>
          <w:rFonts w:ascii="Arial" w:cs="Arial" w:eastAsia="Arial" w:hAnsi="Arial"/>
          <w:sz w:val="21"/>
          <w:szCs w:val="21"/>
          <w:color w:val="auto"/>
        </w:rPr>
      </w:pPr>
      <w:r>
        <w:rPr>
          <w:rFonts w:ascii="Arial" w:cs="Arial" w:eastAsia="Arial" w:hAnsi="Arial"/>
          <w:sz w:val="21"/>
          <w:szCs w:val="21"/>
          <w:b w:val="1"/>
          <w:bCs w:val="1"/>
          <w:u w:val="single" w:color="auto"/>
          <w:color w:val="auto"/>
        </w:rPr>
        <w:t>Vested Percentage</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(i) fifty percent (50%) if the Change in Control is</w:t>
      </w:r>
      <w:r>
        <w:rPr>
          <w:rFonts w:ascii="Arial" w:cs="Arial" w:eastAsia="Arial" w:hAnsi="Arial"/>
          <w:sz w:val="21"/>
          <w:szCs w:val="21"/>
          <w:b w:val="1"/>
          <w:bCs w:val="1"/>
          <w:color w:val="auto"/>
        </w:rPr>
        <w:t xml:space="preserve"> </w:t>
      </w:r>
      <w:r>
        <w:rPr>
          <w:rFonts w:ascii="Arial" w:cs="Arial" w:eastAsia="Arial" w:hAnsi="Arial"/>
          <w:sz w:val="21"/>
          <w:szCs w:val="21"/>
          <w:color w:val="auto"/>
        </w:rPr>
        <w:t>consummated during the first eighteen (18) months of the Performance Period and (ii) one hundred percent (100%) if the Change in Control is consummated after the first eighteen (18) months of the Performance Period, but prior to the completion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SCHEDULE I</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ILLUSTRATION OF VESTING CALCULATIONS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examples are for illustration purposes only:</w:t>
      </w:r>
    </w:p>
    <w:p>
      <w:pPr>
        <w:spacing w:after="0" w:line="206" w:lineRule="exact"/>
        <w:rPr>
          <w:sz w:val="20"/>
          <w:szCs w:val="20"/>
          <w:color w:val="auto"/>
        </w:rPr>
      </w:pPr>
    </w:p>
    <w:p>
      <w:pPr>
        <w:jc w:val="both"/>
        <w:ind w:firstLine="3"/>
        <w:spacing w:after="0" w:line="234" w:lineRule="auto"/>
        <w:tabs>
          <w:tab w:leader="none" w:pos="527" w:val="left"/>
        </w:tabs>
        <w:numPr>
          <w:ilvl w:val="0"/>
          <w:numId w:val="198"/>
        </w:numPr>
        <w:rPr>
          <w:rFonts w:ascii="Arial" w:cs="Arial" w:eastAsia="Arial" w:hAnsi="Arial"/>
          <w:sz w:val="22"/>
          <w:szCs w:val="22"/>
          <w:color w:val="auto"/>
        </w:rPr>
      </w:pPr>
      <w:r>
        <w:rPr>
          <w:rFonts w:ascii="Arial" w:cs="Arial" w:eastAsia="Arial" w:hAnsi="Arial"/>
          <w:sz w:val="22"/>
          <w:szCs w:val="22"/>
          <w:color w:val="auto"/>
        </w:rPr>
        <w:t>Participant receives an Award for 100 Shares at Target Level and Participant continues in Service until the expiration of the requisite three (3)-year Service vesting period. If the Performance Goal is attained at the Target Level, Participant shall vest in 100 Shares following the completion of the Performance Period. The actual number of shares issuable to the Participant will range from 75 to 125 based on the TSR Modifier. If the Performance Goal is attained at the Extraordinary Level, Participant shall vest in an additional 100 Shares for a total of 200 Shares following the completion of the Performance Period. The actual number of shares issuable to the Participant will range from 150 to 250 based on the TSR Modifier.</w:t>
      </w:r>
    </w:p>
    <w:p>
      <w:pPr>
        <w:spacing w:after="0" w:line="187" w:lineRule="exact"/>
        <w:rPr>
          <w:rFonts w:ascii="Arial" w:cs="Arial" w:eastAsia="Arial" w:hAnsi="Arial"/>
          <w:sz w:val="22"/>
          <w:szCs w:val="22"/>
          <w:color w:val="auto"/>
        </w:rPr>
      </w:pPr>
    </w:p>
    <w:p>
      <w:pPr>
        <w:jc w:val="both"/>
        <w:ind w:firstLine="3"/>
        <w:spacing w:after="0" w:line="270" w:lineRule="auto"/>
        <w:tabs>
          <w:tab w:leader="none" w:pos="5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ceases Service due to Permanent Disability halfway through the Performance Period. If the Performance Goal is attained at the Target Level, Participant shall vest in 50 of the Shares. The actual number of shares issuable to the Participant will range from 37 to 62 based on the TSR Modifier. On the other hand, if the Performance Goal is attained at the Extraordinary Level, Participant shall vest in an additional 50 Shares for a total of</w:t>
      </w:r>
    </w:p>
    <w:p>
      <w:pPr>
        <w:spacing w:after="0" w:line="4" w:lineRule="exact"/>
        <w:rPr>
          <w:rFonts w:ascii="Arial" w:cs="Arial" w:eastAsia="Arial" w:hAnsi="Arial"/>
          <w:sz w:val="19"/>
          <w:szCs w:val="19"/>
          <w:color w:val="auto"/>
        </w:rPr>
      </w:pPr>
    </w:p>
    <w:p>
      <w:pPr>
        <w:ind w:firstLine="3"/>
        <w:spacing w:after="0" w:line="237" w:lineRule="auto"/>
        <w:tabs>
          <w:tab w:leader="none" w:pos="385" w:val="left"/>
        </w:tabs>
        <w:numPr>
          <w:ilvl w:val="0"/>
          <w:numId w:val="199"/>
        </w:numPr>
        <w:rPr>
          <w:rFonts w:ascii="Arial" w:cs="Arial" w:eastAsia="Arial" w:hAnsi="Arial"/>
          <w:sz w:val="22"/>
          <w:szCs w:val="22"/>
          <w:color w:val="auto"/>
        </w:rPr>
      </w:pPr>
      <w:r>
        <w:rPr>
          <w:rFonts w:ascii="Arial" w:cs="Arial" w:eastAsia="Arial" w:hAnsi="Arial"/>
          <w:sz w:val="22"/>
          <w:szCs w:val="22"/>
          <w:color w:val="auto"/>
        </w:rPr>
        <w:t>Shares. The actual number of shares issuable to the Participant will range from 75 to 125 based on the TSR Modifier.</w:t>
      </w:r>
    </w:p>
    <w:p>
      <w:pPr>
        <w:spacing w:after="0" w:line="184" w:lineRule="exact"/>
        <w:rPr>
          <w:rFonts w:ascii="Arial" w:cs="Arial" w:eastAsia="Arial" w:hAnsi="Arial"/>
          <w:sz w:val="22"/>
          <w:szCs w:val="22"/>
          <w:color w:val="auto"/>
        </w:rPr>
      </w:pPr>
    </w:p>
    <w:p>
      <w:pPr>
        <w:jc w:val="both"/>
        <w:ind w:firstLine="3"/>
        <w:spacing w:after="0" w:line="275" w:lineRule="auto"/>
        <w:tabs>
          <w:tab w:leader="none" w:pos="52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continues in Service through the completion of the three (3)-year Service vesting period. If the Performance Goal is attained at a point halfway between the Threshold and Target Levels, Participant would vest in 62 of the Shares following the completion of the Performance Period. The actual number of shares issuable to the Participant will range from 46 to 77 based on the TSR Modifier. On the other hand, if the Performance Goal is attained at a point halfway between the Target and Extraordinary Levels, Participant would vest in 150 of the Shares following the completion of the Performance Period. The actual number of shares issuable to the Participant will range from 112 to 187 based on the TSR Modifier.</w:t>
      </w:r>
    </w:p>
    <w:p>
      <w:pPr>
        <w:spacing w:after="0" w:line="158" w:lineRule="exact"/>
        <w:rPr>
          <w:rFonts w:ascii="Arial" w:cs="Arial" w:eastAsia="Arial" w:hAnsi="Arial"/>
          <w:sz w:val="19"/>
          <w:szCs w:val="19"/>
          <w:color w:val="auto"/>
        </w:rPr>
      </w:pPr>
    </w:p>
    <w:p>
      <w:pPr>
        <w:jc w:val="both"/>
        <w:ind w:firstLine="3"/>
        <w:spacing w:after="0" w:line="275" w:lineRule="auto"/>
        <w:tabs>
          <w:tab w:leader="none" w:pos="50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Participant receives an Award for 100 Shares at Target Level and Participant ceases Service due to Permanent Disability halfway through the Performance Period. If the Performance Goal is attained at a point halfway between the Threshold and Target Levels, Participant would vest in 31 of the Shares following the completion of the Performance Period. The actual number of shares issuable to the Participant will range from 23 to 38 based on the TSR Modifier. On the other hand, if the Performance Goal is attained at a point halfway between the Target and Extraordinary Levels, Participant would vest in 75 of the Shares following the completion of the Performance Period. The actual number of shares issuable to the Participant will range from 56 to 93 based on the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337185</wp:posOffset>
            </wp:positionV>
            <wp:extent cx="575437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7" w:name="page168"/>
    <w:bookmarkEnd w:id="167"/>
    <w:p>
      <w:pPr>
        <w:jc w:val="right"/>
        <w:spacing w:after="0"/>
        <w:rPr>
          <w:sz w:val="20"/>
          <w:szCs w:val="20"/>
          <w:color w:val="auto"/>
        </w:rPr>
      </w:pPr>
      <w:r>
        <w:rPr>
          <w:rFonts w:ascii="Arial" w:cs="Arial" w:eastAsia="Arial" w:hAnsi="Arial"/>
          <w:sz w:val="22"/>
          <w:szCs w:val="22"/>
          <w:b w:val="1"/>
          <w:bCs w:val="1"/>
          <w:color w:val="auto"/>
        </w:rPr>
        <w:t>Exhibit 10.70</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NOTICE OF AWARD OF PERFORMANCE SHARES</w:t>
      </w:r>
    </w:p>
    <w:p>
      <w:pPr>
        <w:spacing w:after="0" w:line="21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Corporation hereby awards to Participant, as of the Award Date indicated below, an award (the “Award”) of Performance Shares under the Corporation’s 2016 Incentive Compensation Plan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00" w:type="dxa"/>
            <w:vAlign w:val="bottom"/>
          </w:tcPr>
          <w:p>
            <w:pPr>
              <w:ind w:left="180"/>
              <w:spacing w:after="0"/>
              <w:rPr>
                <w:sz w:val="20"/>
                <w:szCs w:val="20"/>
                <w:color w:val="auto"/>
              </w:rPr>
            </w:pPr>
            <w:r>
              <w:rPr>
                <w:rFonts w:ascii="Arial" w:cs="Arial" w:eastAsia="Arial" w:hAnsi="Arial"/>
                <w:sz w:val="22"/>
                <w:szCs w:val="22"/>
                <w:b w:val="1"/>
                <w:bCs w:val="1"/>
                <w:color w:val="auto"/>
              </w:rPr>
              <w:t>AWARD SUMMARY</w:t>
            </w:r>
          </w:p>
        </w:tc>
      </w:tr>
      <w:tr>
        <w:trPr>
          <w:trHeight w:val="490"/>
        </w:trPr>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Participant</w:t>
            </w:r>
          </w:p>
        </w:tc>
        <w:tc>
          <w:tcPr>
            <w:tcW w:w="106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466"/>
        </w:trPr>
        <w:tc>
          <w:tcPr>
            <w:tcW w:w="2000" w:type="dxa"/>
            <w:vAlign w:val="bottom"/>
            <w:gridSpan w:val="5"/>
          </w:tcPr>
          <w:p>
            <w:pPr>
              <w:spacing w:after="0"/>
              <w:rPr>
                <w:sz w:val="20"/>
                <w:szCs w:val="20"/>
                <w:color w:val="auto"/>
              </w:rPr>
            </w:pPr>
            <w:r>
              <w:rPr>
                <w:rFonts w:ascii="Arial" w:cs="Arial" w:eastAsia="Arial" w:hAnsi="Arial"/>
                <w:sz w:val="22"/>
                <w:szCs w:val="22"/>
                <w:color w:val="auto"/>
              </w:rPr>
              <w:t>Award Date:</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0"/>
        </w:trPr>
        <w:tc>
          <w:tcPr>
            <w:tcW w:w="10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466"/>
        </w:trPr>
        <w:tc>
          <w:tcPr>
            <w:tcW w:w="2000" w:type="dxa"/>
            <w:vAlign w:val="bottom"/>
            <w:gridSpan w:val="5"/>
          </w:tcPr>
          <w:p>
            <w:pPr>
              <w:spacing w:after="0"/>
              <w:rPr>
                <w:sz w:val="20"/>
                <w:szCs w:val="20"/>
                <w:color w:val="auto"/>
              </w:rPr>
            </w:pPr>
            <w:r>
              <w:rPr>
                <w:rFonts w:ascii="Arial" w:cs="Arial" w:eastAsia="Arial" w:hAnsi="Arial"/>
                <w:sz w:val="22"/>
                <w:szCs w:val="22"/>
                <w:color w:val="auto"/>
                <w:w w:val="95"/>
              </w:rPr>
              <w:t>Performance Shares:</w:t>
            </w:r>
          </w:p>
        </w:tc>
        <w:tc>
          <w:tcPr>
            <w:tcW w:w="8060" w:type="dxa"/>
            <w:vAlign w:val="bottom"/>
            <w:gridSpan w:val="3"/>
          </w:tcPr>
          <w:p>
            <w:pPr>
              <w:ind w:left="220"/>
              <w:spacing w:after="0"/>
              <w:rPr>
                <w:sz w:val="20"/>
                <w:szCs w:val="20"/>
                <w:color w:val="auto"/>
              </w:rPr>
            </w:pPr>
            <w:r>
              <w:rPr>
                <w:rFonts w:ascii="Arial" w:cs="Arial" w:eastAsia="Arial" w:hAnsi="Arial"/>
                <w:sz w:val="22"/>
                <w:szCs w:val="22"/>
                <w:color w:val="auto"/>
                <w:w w:val="99"/>
              </w:rPr>
              <w:t>The number of shares of Common Stock issuable pursuant to the Award shall be</w:t>
            </w:r>
          </w:p>
        </w:tc>
      </w:tr>
      <w:tr>
        <w:trPr>
          <w:trHeight w:val="242"/>
        </w:trPr>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60" w:type="dxa"/>
            <w:vAlign w:val="bottom"/>
            <w:gridSpan w:val="3"/>
          </w:tcPr>
          <w:p>
            <w:pPr>
              <w:ind w:left="220"/>
              <w:spacing w:after="0" w:line="242" w:lineRule="exact"/>
              <w:rPr>
                <w:sz w:val="20"/>
                <w:szCs w:val="20"/>
                <w:color w:val="auto"/>
              </w:rPr>
            </w:pPr>
            <w:r>
              <w:rPr>
                <w:rFonts w:ascii="Arial" w:cs="Arial" w:eastAsia="Arial" w:hAnsi="Arial"/>
                <w:sz w:val="22"/>
                <w:szCs w:val="22"/>
                <w:color w:val="auto"/>
                <w:w w:val="92"/>
              </w:rPr>
              <w:t>determined  in  accordance  with  the  Vesting  Schedule  below.  For  purposes  of  the</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6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89"/>
              </w:rPr>
              <w:t>percentage calculations set forth in the Performance Vesting section of such schedule, the</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60" w:type="dxa"/>
            <w:vAlign w:val="bottom"/>
            <w:gridSpan w:val="3"/>
          </w:tcPr>
          <w:p>
            <w:pPr>
              <w:ind w:left="220"/>
              <w:spacing w:after="0" w:line="243" w:lineRule="exact"/>
              <w:rPr>
                <w:sz w:val="20"/>
                <w:szCs w:val="20"/>
                <w:color w:val="auto"/>
              </w:rPr>
            </w:pPr>
            <w:r>
              <w:rPr>
                <w:rFonts w:ascii="Arial" w:cs="Arial" w:eastAsia="Arial" w:hAnsi="Arial"/>
                <w:sz w:val="22"/>
                <w:szCs w:val="22"/>
                <w:color w:val="auto"/>
                <w:w w:val="96"/>
              </w:rPr>
              <w:t>number of shares of Common Stock to be utilized is [___] shares (the “Performance</w:t>
            </w:r>
          </w:p>
        </w:tc>
      </w:tr>
      <w:tr>
        <w:trPr>
          <w:trHeight w:val="275"/>
        </w:trPr>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60" w:type="dxa"/>
            <w:vAlign w:val="bottom"/>
            <w:gridSpan w:val="3"/>
          </w:tcPr>
          <w:p>
            <w:pPr>
              <w:ind w:left="220"/>
              <w:spacing w:after="0"/>
              <w:rPr>
                <w:sz w:val="20"/>
                <w:szCs w:val="20"/>
                <w:color w:val="auto"/>
              </w:rPr>
            </w:pPr>
            <w:r>
              <w:rPr>
                <w:rFonts w:ascii="Arial" w:cs="Arial" w:eastAsia="Arial" w:hAnsi="Arial"/>
                <w:sz w:val="22"/>
                <w:szCs w:val="22"/>
                <w:color w:val="auto"/>
              </w:rPr>
              <w:t>Shares”).</w:t>
            </w:r>
          </w:p>
        </w:tc>
      </w:tr>
      <w:tr>
        <w:trPr>
          <w:trHeight w:val="436"/>
        </w:trPr>
        <w:tc>
          <w:tcPr>
            <w:tcW w:w="2000" w:type="dxa"/>
            <w:vAlign w:val="bottom"/>
            <w:gridSpan w:val="5"/>
          </w:tcPr>
          <w:p>
            <w:pPr>
              <w:spacing w:after="0"/>
              <w:rPr>
                <w:sz w:val="20"/>
                <w:szCs w:val="20"/>
                <w:color w:val="auto"/>
              </w:rPr>
            </w:pPr>
            <w:r>
              <w:rPr>
                <w:rFonts w:ascii="Arial" w:cs="Arial" w:eastAsia="Arial" w:hAnsi="Arial"/>
                <w:sz w:val="22"/>
                <w:szCs w:val="22"/>
                <w:color w:val="auto"/>
              </w:rPr>
              <w:t>Vesting Schedule:</w:t>
            </w:r>
          </w:p>
        </w:tc>
        <w:tc>
          <w:tcPr>
            <w:tcW w:w="240" w:type="dxa"/>
            <w:vAlign w:val="bottom"/>
          </w:tcPr>
          <w:p>
            <w:pPr>
              <w:spacing w:after="0"/>
              <w:rPr>
                <w:sz w:val="24"/>
                <w:szCs w:val="24"/>
                <w:color w:val="auto"/>
              </w:rPr>
            </w:pPr>
          </w:p>
        </w:tc>
        <w:tc>
          <w:tcPr>
            <w:tcW w:w="7820" w:type="dxa"/>
            <w:vAlign w:val="bottom"/>
            <w:gridSpan w:val="2"/>
          </w:tcPr>
          <w:p>
            <w:pPr>
              <w:spacing w:after="0"/>
              <w:rPr>
                <w:sz w:val="20"/>
                <w:szCs w:val="20"/>
                <w:color w:val="auto"/>
              </w:rPr>
            </w:pPr>
            <w:r>
              <w:rPr>
                <w:rFonts w:ascii="Arial" w:cs="Arial" w:eastAsia="Arial" w:hAnsi="Arial"/>
                <w:sz w:val="22"/>
                <w:szCs w:val="22"/>
                <w:color w:val="auto"/>
                <w:w w:val="92"/>
              </w:rPr>
              <w:t>The number of shares of Common Stock which may actually vest and become issuable</w:t>
            </w:r>
          </w:p>
        </w:tc>
      </w:tr>
      <w:tr>
        <w:trPr>
          <w:trHeight w:val="242"/>
        </w:trPr>
        <w:tc>
          <w:tcPr>
            <w:tcW w:w="9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2" w:lineRule="exact"/>
              <w:rPr>
                <w:sz w:val="20"/>
                <w:szCs w:val="20"/>
                <w:color w:val="auto"/>
              </w:rPr>
            </w:pPr>
            <w:r>
              <w:rPr>
                <w:rFonts w:ascii="Arial" w:cs="Arial" w:eastAsia="Arial" w:hAnsi="Arial"/>
                <w:sz w:val="22"/>
                <w:szCs w:val="22"/>
                <w:color w:val="auto"/>
                <w:w w:val="91"/>
              </w:rPr>
              <w:t>pursuant to the Award shall be determined pursuant to a two-step process: (i) first there</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3" w:lineRule="exact"/>
              <w:rPr>
                <w:sz w:val="20"/>
                <w:szCs w:val="20"/>
                <w:color w:val="auto"/>
              </w:rPr>
            </w:pPr>
            <w:r>
              <w:rPr>
                <w:rFonts w:ascii="Arial" w:cs="Arial" w:eastAsia="Arial" w:hAnsi="Arial"/>
                <w:sz w:val="22"/>
                <w:szCs w:val="22"/>
                <w:color w:val="auto"/>
                <w:w w:val="89"/>
              </w:rPr>
              <w:t>shall be calculated the maximum number of shares of Common Stock in which Participant</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3" w:lineRule="exact"/>
              <w:rPr>
                <w:sz w:val="20"/>
                <w:szCs w:val="20"/>
                <w:color w:val="auto"/>
              </w:rPr>
            </w:pPr>
            <w:r>
              <w:rPr>
                <w:rFonts w:ascii="Arial" w:cs="Arial" w:eastAsia="Arial" w:hAnsi="Arial"/>
                <w:sz w:val="22"/>
                <w:szCs w:val="22"/>
                <w:color w:val="auto"/>
                <w:w w:val="93"/>
              </w:rPr>
              <w:t>can vest under the Performance Vesting section below based upon the actual level at</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3" w:lineRule="exact"/>
              <w:rPr>
                <w:sz w:val="20"/>
                <w:szCs w:val="20"/>
                <w:color w:val="auto"/>
              </w:rPr>
            </w:pPr>
            <w:r>
              <w:rPr>
                <w:rFonts w:ascii="Arial" w:cs="Arial" w:eastAsia="Arial" w:hAnsi="Arial"/>
                <w:sz w:val="22"/>
                <w:szCs w:val="22"/>
                <w:color w:val="auto"/>
                <w:w w:val="89"/>
              </w:rPr>
              <w:t>which the Performance Goal specified on attached Schedule I is attained and (ii) then the</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3" w:lineRule="exact"/>
              <w:rPr>
                <w:sz w:val="20"/>
                <w:szCs w:val="20"/>
                <w:color w:val="auto"/>
              </w:rPr>
            </w:pPr>
            <w:r>
              <w:rPr>
                <w:rFonts w:ascii="Arial" w:cs="Arial" w:eastAsia="Arial" w:hAnsi="Arial"/>
                <w:sz w:val="22"/>
                <w:szCs w:val="22"/>
                <w:color w:val="auto"/>
                <w:w w:val="91"/>
              </w:rPr>
              <w:t>number of shares calculated under clause (i) in which Participant may actually vest shall</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3" w:lineRule="exact"/>
              <w:rPr>
                <w:sz w:val="20"/>
                <w:szCs w:val="20"/>
                <w:color w:val="auto"/>
              </w:rPr>
            </w:pPr>
            <w:r>
              <w:rPr>
                <w:rFonts w:ascii="Arial" w:cs="Arial" w:eastAsia="Arial" w:hAnsi="Arial"/>
                <w:sz w:val="22"/>
                <w:szCs w:val="22"/>
                <w:color w:val="auto"/>
                <w:w w:val="94"/>
              </w:rPr>
              <w:t>be determined on the basis of his or her satisfaction of the applicable Service vesting</w:t>
            </w:r>
          </w:p>
        </w:tc>
      </w:tr>
      <w:tr>
        <w:trPr>
          <w:trHeight w:val="275"/>
        </w:trPr>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20" w:type="dxa"/>
            <w:vAlign w:val="bottom"/>
            <w:gridSpan w:val="2"/>
          </w:tcPr>
          <w:p>
            <w:pPr>
              <w:spacing w:after="0"/>
              <w:rPr>
                <w:sz w:val="20"/>
                <w:szCs w:val="20"/>
                <w:color w:val="auto"/>
              </w:rPr>
            </w:pPr>
            <w:r>
              <w:rPr>
                <w:rFonts w:ascii="Arial" w:cs="Arial" w:eastAsia="Arial" w:hAnsi="Arial"/>
                <w:sz w:val="22"/>
                <w:szCs w:val="22"/>
                <w:color w:val="auto"/>
              </w:rPr>
              <w:t>requirements set forth in the form Performance Share Award Agreement.</w:t>
            </w:r>
          </w:p>
        </w:tc>
      </w:tr>
      <w:tr>
        <w:trPr>
          <w:trHeight w:val="455"/>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2"/>
          </w:tcPr>
          <w:p>
            <w:pPr>
              <w:spacing w:after="0"/>
              <w:rPr>
                <w:sz w:val="20"/>
                <w:szCs w:val="20"/>
                <w:color w:val="auto"/>
              </w:rPr>
            </w:pPr>
            <w:r>
              <w:rPr>
                <w:rFonts w:ascii="Arial" w:cs="Arial" w:eastAsia="Arial" w:hAnsi="Arial"/>
                <w:sz w:val="22"/>
                <w:szCs w:val="22"/>
                <w:b w:val="1"/>
                <w:bCs w:val="1"/>
                <w:i w:val="1"/>
                <w:iCs w:val="1"/>
                <w:color w:val="auto"/>
                <w:w w:val="92"/>
              </w:rPr>
              <w:t>Performance Vesting</w:t>
            </w:r>
            <w:r>
              <w:rPr>
                <w:rFonts w:ascii="Arial" w:cs="Arial" w:eastAsia="Arial" w:hAnsi="Arial"/>
                <w:sz w:val="22"/>
                <w:szCs w:val="22"/>
                <w:b w:val="1"/>
                <w:bCs w:val="1"/>
                <w:color w:val="auto"/>
                <w:w w:val="92"/>
              </w:rPr>
              <w:t>:</w:t>
            </w:r>
            <w:r>
              <w:rPr>
                <w:rFonts w:ascii="Arial" w:cs="Arial" w:eastAsia="Arial" w:hAnsi="Arial"/>
                <w:sz w:val="22"/>
                <w:szCs w:val="22"/>
                <w:b w:val="1"/>
                <w:bCs w:val="1"/>
                <w:i w:val="1"/>
                <w:iCs w:val="1"/>
                <w:color w:val="auto"/>
                <w:w w:val="92"/>
              </w:rPr>
              <w:t xml:space="preserve">   </w:t>
            </w:r>
            <w:r>
              <w:rPr>
                <w:rFonts w:ascii="Arial" w:cs="Arial" w:eastAsia="Arial" w:hAnsi="Arial"/>
                <w:sz w:val="22"/>
                <w:szCs w:val="22"/>
                <w:color w:val="auto"/>
                <w:w w:val="92"/>
              </w:rPr>
              <w:t>Attached  Schedule  I  specifies  the  Performance  Goal  and</w:t>
            </w:r>
          </w:p>
        </w:tc>
      </w:tr>
      <w:tr>
        <w:trPr>
          <w:trHeight w:val="275"/>
        </w:trPr>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20" w:type="dxa"/>
            <w:vAlign w:val="bottom"/>
            <w:gridSpan w:val="2"/>
          </w:tcPr>
          <w:p>
            <w:pPr>
              <w:spacing w:after="0"/>
              <w:rPr>
                <w:sz w:val="20"/>
                <w:szCs w:val="20"/>
                <w:color w:val="auto"/>
              </w:rPr>
            </w:pPr>
            <w:r>
              <w:rPr>
                <w:rFonts w:ascii="Arial" w:cs="Arial" w:eastAsia="Arial" w:hAnsi="Arial"/>
                <w:sz w:val="22"/>
                <w:szCs w:val="22"/>
                <w:color w:val="auto"/>
              </w:rPr>
              <w:t>Performance Period established for the Award.</w:t>
            </w:r>
          </w:p>
        </w:tc>
      </w:tr>
      <w:tr>
        <w:trPr>
          <w:trHeight w:val="436"/>
        </w:trPr>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2"/>
          </w:tcPr>
          <w:p>
            <w:pPr>
              <w:spacing w:after="0"/>
              <w:rPr>
                <w:sz w:val="20"/>
                <w:szCs w:val="20"/>
                <w:color w:val="auto"/>
              </w:rPr>
            </w:pPr>
            <w:r>
              <w:rPr>
                <w:rFonts w:ascii="Arial" w:cs="Arial" w:eastAsia="Arial" w:hAnsi="Arial"/>
                <w:sz w:val="22"/>
                <w:szCs w:val="22"/>
                <w:color w:val="auto"/>
                <w:w w:val="89"/>
              </w:rPr>
              <w:t>Performance Goal: There are three designated levels of attainment set forth in Schedule I</w:t>
            </w:r>
          </w:p>
        </w:tc>
      </w:tr>
      <w:tr>
        <w:trPr>
          <w:trHeight w:val="20"/>
        </w:trPr>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r>
      <w:tr>
        <w:trPr>
          <w:trHeight w:val="242"/>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2" w:lineRule="exact"/>
              <w:rPr>
                <w:sz w:val="20"/>
                <w:szCs w:val="20"/>
                <w:color w:val="auto"/>
              </w:rPr>
            </w:pPr>
            <w:r>
              <w:rPr>
                <w:rFonts w:ascii="Arial" w:cs="Arial" w:eastAsia="Arial" w:hAnsi="Arial"/>
                <w:sz w:val="22"/>
                <w:szCs w:val="22"/>
                <w:color w:val="auto"/>
                <w:w w:val="95"/>
              </w:rPr>
              <w:t>for  the  Performance  Goal:  Threshold,  Target  and  Extraordinary.   Following  the</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3" w:lineRule="exact"/>
              <w:rPr>
                <w:sz w:val="20"/>
                <w:szCs w:val="20"/>
                <w:color w:val="auto"/>
              </w:rPr>
            </w:pPr>
            <w:r>
              <w:rPr>
                <w:rFonts w:ascii="Arial" w:cs="Arial" w:eastAsia="Arial" w:hAnsi="Arial"/>
                <w:sz w:val="22"/>
                <w:szCs w:val="22"/>
                <w:color w:val="auto"/>
                <w:w w:val="90"/>
              </w:rPr>
              <w:t>completion of the Performance Period, the Plan Administrator shall determine and certify</w:t>
            </w:r>
          </w:p>
        </w:tc>
      </w:tr>
      <w:tr>
        <w:trPr>
          <w:trHeight w:val="243"/>
        </w:trPr>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20" w:type="dxa"/>
            <w:vAlign w:val="bottom"/>
            <w:gridSpan w:val="2"/>
          </w:tcPr>
          <w:p>
            <w:pPr>
              <w:spacing w:after="0" w:line="243" w:lineRule="exact"/>
              <w:rPr>
                <w:sz w:val="20"/>
                <w:szCs w:val="20"/>
                <w:color w:val="auto"/>
              </w:rPr>
            </w:pPr>
            <w:r>
              <w:rPr>
                <w:rFonts w:ascii="Arial" w:cs="Arial" w:eastAsia="Arial" w:hAnsi="Arial"/>
                <w:sz w:val="22"/>
                <w:szCs w:val="22"/>
                <w:color w:val="auto"/>
                <w:w w:val="90"/>
              </w:rPr>
              <w:t>the actual level of attainment for the Performance Goal and shall then measure that level</w:t>
            </w:r>
          </w:p>
        </w:tc>
      </w:tr>
      <w:tr>
        <w:trPr>
          <w:trHeight w:val="275"/>
        </w:trPr>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20" w:type="dxa"/>
            <w:vAlign w:val="bottom"/>
            <w:gridSpan w:val="2"/>
          </w:tcPr>
          <w:p>
            <w:pPr>
              <w:spacing w:after="0"/>
              <w:rPr>
                <w:sz w:val="20"/>
                <w:szCs w:val="20"/>
                <w:color w:val="auto"/>
              </w:rPr>
            </w:pPr>
            <w:r>
              <w:rPr>
                <w:rFonts w:ascii="Arial" w:cs="Arial" w:eastAsia="Arial" w:hAnsi="Arial"/>
                <w:sz w:val="22"/>
                <w:szCs w:val="22"/>
                <w:color w:val="auto"/>
              </w:rPr>
              <w:t>of attainment</w:t>
            </w:r>
          </w:p>
        </w:tc>
      </w:tr>
      <w:tr>
        <w:trPr>
          <w:trHeight w:val="470"/>
        </w:trPr>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2" w:right="919" w:bottom="1440" w:gutter="0" w:footer="0" w:header="0"/>
        </w:sectPr>
      </w:pPr>
    </w:p>
    <w:bookmarkStart w:id="168" w:name="page169"/>
    <w:bookmarkEnd w:id="168"/>
    <w:p>
      <w:pPr>
        <w:jc w:val="both"/>
        <w:ind w:left="2220"/>
        <w:spacing w:after="0" w:line="247" w:lineRule="auto"/>
        <w:rPr>
          <w:sz w:val="20"/>
          <w:szCs w:val="20"/>
          <w:color w:val="auto"/>
        </w:rPr>
      </w:pPr>
      <w:r>
        <w:rPr>
          <w:rFonts w:ascii="Arial" w:cs="Arial" w:eastAsia="Arial" w:hAnsi="Arial"/>
          <w:sz w:val="21"/>
          <w:szCs w:val="21"/>
          <w:color w:val="auto"/>
        </w:rPr>
        <w:t>against the Threshold, Target and Extraordinary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be determined by applying the corresponding percentage below for that level of attainment to the number of Designated Shares set forth above:</w:t>
      </w:r>
    </w:p>
    <w:p>
      <w:pPr>
        <w:sectPr>
          <w:pgSz w:w="11900" w:h="16838" w:orient="portrait"/>
          <w:cols w:equalWidth="0" w:num="1">
            <w:col w:w="10060"/>
          </w:cols>
          <w:pgMar w:left="920" w:top="118" w:right="919" w:bottom="1440" w:gutter="0" w:footer="0" w:header="0"/>
        </w:sectPr>
      </w:pPr>
    </w:p>
    <w:p>
      <w:pPr>
        <w:spacing w:after="0" w:line="206" w:lineRule="exact"/>
        <w:rPr>
          <w:sz w:val="20"/>
          <w:szCs w:val="20"/>
          <w:color w:val="auto"/>
        </w:rPr>
      </w:pPr>
    </w:p>
    <w:p>
      <w:pPr>
        <w:ind w:left="2340"/>
        <w:spacing w:after="0"/>
        <w:rPr>
          <w:sz w:val="20"/>
          <w:szCs w:val="20"/>
          <w:color w:val="auto"/>
        </w:rPr>
      </w:pPr>
      <w:r>
        <w:rPr>
          <w:rFonts w:ascii="Arial" w:cs="Arial" w:eastAsia="Arial" w:hAnsi="Arial"/>
          <w:sz w:val="19"/>
          <w:szCs w:val="19"/>
          <w:color w:val="auto"/>
        </w:rPr>
        <w:t>Attainment below the Threshold Level:</w:t>
      </w:r>
    </w:p>
    <w:p>
      <w:pPr>
        <w:spacing w:after="0" w:line="33"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Attainment at the Threshold Level:</w:t>
      </w:r>
    </w:p>
    <w:p>
      <w:pPr>
        <w:ind w:left="2340"/>
        <w:spacing w:after="0" w:line="230" w:lineRule="auto"/>
        <w:rPr>
          <w:sz w:val="20"/>
          <w:szCs w:val="20"/>
          <w:color w:val="auto"/>
        </w:rPr>
      </w:pPr>
      <w:r>
        <w:rPr>
          <w:rFonts w:ascii="Arial" w:cs="Arial" w:eastAsia="Arial" w:hAnsi="Arial"/>
          <w:sz w:val="22"/>
          <w:szCs w:val="22"/>
          <w:color w:val="auto"/>
        </w:rPr>
        <w:t>Attainment at the Target Level:</w:t>
      </w:r>
    </w:p>
    <w:p>
      <w:pPr>
        <w:spacing w:after="0" w:line="1"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Attainment at Extraordinary Level: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0% of the Performance Shares</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25% of the Performance Shares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100% of the Performance Shares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200% of the Performance Shares</w:t>
      </w:r>
    </w:p>
    <w:p>
      <w:pPr>
        <w:spacing w:after="0" w:line="234" w:lineRule="exact"/>
        <w:rPr>
          <w:sz w:val="20"/>
          <w:szCs w:val="20"/>
          <w:color w:val="auto"/>
        </w:rPr>
      </w:pPr>
    </w:p>
    <w:p>
      <w:pPr>
        <w:sectPr>
          <w:pgSz w:w="11900" w:h="16838" w:orient="portrait"/>
          <w:cols w:equalWidth="0" w:num="2">
            <w:col w:w="5740" w:space="380"/>
            <w:col w:w="3940"/>
          </w:cols>
          <w:pgMar w:left="920" w:top="118" w:right="919" w:bottom="1440" w:gutter="0" w:footer="0" w:header="0"/>
          <w:type w:val="continuous"/>
        </w:sectPr>
      </w:pPr>
    </w:p>
    <w:p>
      <w:pPr>
        <w:spacing w:after="0" w:line="15" w:lineRule="exact"/>
        <w:rPr>
          <w:sz w:val="20"/>
          <w:szCs w:val="20"/>
          <w:color w:val="auto"/>
        </w:rPr>
      </w:pPr>
    </w:p>
    <w:p>
      <w:pPr>
        <w:jc w:val="both"/>
        <w:ind w:left="2200"/>
        <w:spacing w:after="0" w:line="238" w:lineRule="auto"/>
        <w:rPr>
          <w:sz w:val="20"/>
          <w:szCs w:val="20"/>
          <w:color w:val="auto"/>
        </w:rPr>
      </w:pPr>
      <w:r>
        <w:rPr>
          <w:rFonts w:ascii="Arial" w:cs="Arial" w:eastAsia="Arial" w:hAnsi="Arial"/>
          <w:sz w:val="22"/>
          <w:szCs w:val="22"/>
          <w:color w:val="auto"/>
        </w:rPr>
        <w:t>To the extent the actual level of attainment of the Performance Goal is at a point between the Threshold and Target Levels, the maximum number of shares of Common Stock in which Participant can vest shall be pro-rated between the two points on a straight line basis.</w:t>
      </w:r>
    </w:p>
    <w:p>
      <w:pPr>
        <w:spacing w:after="0" w:line="212" w:lineRule="exact"/>
        <w:rPr>
          <w:sz w:val="20"/>
          <w:szCs w:val="20"/>
          <w:color w:val="auto"/>
        </w:rPr>
      </w:pPr>
    </w:p>
    <w:p>
      <w:pPr>
        <w:jc w:val="both"/>
        <w:ind w:left="2200" w:hanging="15"/>
        <w:spacing w:after="0" w:line="238" w:lineRule="auto"/>
        <w:rPr>
          <w:sz w:val="20"/>
          <w:szCs w:val="20"/>
          <w:color w:val="auto"/>
        </w:rPr>
      </w:pPr>
      <w:r>
        <w:rPr>
          <w:rFonts w:ascii="Arial" w:cs="Arial" w:eastAsia="Arial" w:hAnsi="Arial"/>
          <w:sz w:val="22"/>
          <w:szCs w:val="22"/>
          <w:color w:val="auto"/>
        </w:rPr>
        <w:t>To the extent the actual level of attainment of a Performance Goal is at a point between the Target and Extraordinary Levels, the maximum number of shares of Common Stock in which Participant can vest shall be pro-rated between the two points on a straight line basis.</w:t>
      </w:r>
    </w:p>
    <w:p>
      <w:pPr>
        <w:spacing w:after="0" w:line="212" w:lineRule="exact"/>
        <w:rPr>
          <w:sz w:val="20"/>
          <w:szCs w:val="20"/>
          <w:color w:val="auto"/>
        </w:rPr>
      </w:pPr>
    </w:p>
    <w:p>
      <w:pPr>
        <w:jc w:val="both"/>
        <w:ind w:left="2200"/>
        <w:spacing w:after="0" w:line="249" w:lineRule="auto"/>
        <w:rPr>
          <w:sz w:val="20"/>
          <w:szCs w:val="20"/>
          <w:color w:val="auto"/>
        </w:rPr>
      </w:pPr>
      <w:r>
        <w:rPr>
          <w:rFonts w:ascii="Arial" w:cs="Arial" w:eastAsia="Arial" w:hAnsi="Arial"/>
          <w:sz w:val="21"/>
          <w:szCs w:val="21"/>
          <w:u w:val="single" w:color="auto"/>
          <w:color w:val="auto"/>
        </w:rPr>
        <w:t>Performance-Qualified Shares:</w:t>
      </w:r>
      <w:r>
        <w:rPr>
          <w:rFonts w:ascii="Arial" w:cs="Arial" w:eastAsia="Arial" w:hAnsi="Arial"/>
          <w:sz w:val="21"/>
          <w:szCs w:val="21"/>
          <w:color w:val="auto"/>
        </w:rPr>
        <w:t xml:space="preserve"> The maximum number of shares of Common Stock in which Participant can vest on the basis of the foregoing performance measures shall be hereinafter designated the “Performance-Qualified Shares” and shall in no event exceed in the aggregate 200% of the number of Designated Shares set forth in the Number of Shares Subject to Award section above.</w:t>
      </w:r>
    </w:p>
    <w:p>
      <w:pPr>
        <w:spacing w:after="0" w:line="206" w:lineRule="exact"/>
        <w:rPr>
          <w:sz w:val="20"/>
          <w:szCs w:val="20"/>
          <w:color w:val="auto"/>
        </w:rPr>
      </w:pPr>
    </w:p>
    <w:p>
      <w:pPr>
        <w:jc w:val="both"/>
        <w:ind w:left="2200"/>
        <w:spacing w:after="0" w:line="238" w:lineRule="auto"/>
        <w:rPr>
          <w:sz w:val="20"/>
          <w:szCs w:val="20"/>
          <w:color w:val="auto"/>
        </w:rPr>
      </w:pPr>
      <w:r>
        <w:rPr>
          <w:rFonts w:ascii="Arial" w:cs="Arial" w:eastAsia="Arial" w:hAnsi="Arial"/>
          <w:sz w:val="22"/>
          <w:szCs w:val="22"/>
          <w:b w:val="1"/>
          <w:bCs w:val="1"/>
          <w:i w:val="1"/>
          <w:iCs w:val="1"/>
          <w:color w:val="auto"/>
        </w:rPr>
        <w:t xml:space="preserve">Service Vesting. </w:t>
      </w:r>
      <w:r>
        <w:rPr>
          <w:rFonts w:ascii="Arial" w:cs="Arial" w:eastAsia="Arial" w:hAnsi="Arial"/>
          <w:sz w:val="22"/>
          <w:szCs w:val="22"/>
          <w:color w:val="auto"/>
        </w:rPr>
        <w:t>The number of Performance-Qualified Shares in which Participant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actually vests shall be determined on the basis of his or her satisfaction of the Service-vesting requirements set forth in Paragraph 3 of the form Performance Share Award Agreement.</w:t>
      </w:r>
    </w:p>
    <w:p>
      <w:pPr>
        <w:spacing w:after="0" w:line="212"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color w:val="auto"/>
        </w:rPr>
        <w:t xml:space="preserve">Participant understands and agrees that the Award is granted subject to and in accordance with the terms of the Plan and hereby agrees to be bound by the terms of the Plan and the terms of the Award as set forth in the form Performance Share Award Agreement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Participant hereby acknowledges the receipt of a copy of the official prospectus for the Plan. A copy of the Plan is available upon request made to the Human Resources Department at the Corporation’s principal offices at 1411 Sand Island Parkway, Honolulu, Hawaii 96819).</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1"/>
          <w:szCs w:val="21"/>
          <w:u w:val="single" w:color="auto"/>
          <w:color w:val="auto"/>
        </w:rPr>
        <w:t>Coverage under Recoupment Policy</w:t>
      </w:r>
      <w:r>
        <w:rPr>
          <w:rFonts w:ascii="Arial" w:cs="Arial" w:eastAsia="Arial" w:hAnsi="Arial"/>
          <w:sz w:val="21"/>
          <w:szCs w:val="21"/>
          <w:color w:val="auto"/>
        </w:rPr>
        <w:t>. By accepting this Award, Participant hereby agrees that: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type w:val="continuous"/>
        </w:sectPr>
      </w:pPr>
    </w:p>
    <w:bookmarkStart w:id="169" w:name="page170"/>
    <w:bookmarkEnd w:id="169"/>
    <w:p>
      <w:pPr>
        <w:jc w:val="both"/>
        <w:ind w:firstLine="1296"/>
        <w:spacing w:after="0" w:line="298" w:lineRule="auto"/>
        <w:tabs>
          <w:tab w:leader="none" w:pos="2063" w:val="left"/>
        </w:tabs>
        <w:numPr>
          <w:ilvl w:val="0"/>
          <w:numId w:val="201"/>
        </w:numPr>
        <w:rPr>
          <w:rFonts w:ascii="Arial" w:cs="Arial" w:eastAsia="Arial" w:hAnsi="Arial"/>
          <w:sz w:val="19"/>
          <w:szCs w:val="19"/>
          <w:color w:val="auto"/>
        </w:rPr>
      </w:pPr>
      <w:r>
        <w:rPr>
          <w:rFonts w:ascii="Arial" w:cs="Arial" w:eastAsia="Arial" w:hAnsi="Arial"/>
          <w:sz w:val="19"/>
          <w:szCs w:val="19"/>
          <w:color w:val="auto"/>
        </w:rPr>
        <w:t>Participant may be subject to the Matson, Inc. Policy Regarding Recoupment of Certain Compensation, as applicable and as it may be amended from time to time, the terms of which are hereby incorporated herein by reference and receipt of a copy of which Participant hereby acknowledges; and</w:t>
      </w:r>
    </w:p>
    <w:p>
      <w:pPr>
        <w:spacing w:after="0" w:line="158" w:lineRule="exact"/>
        <w:rPr>
          <w:rFonts w:ascii="Arial" w:cs="Arial" w:eastAsia="Arial" w:hAnsi="Arial"/>
          <w:sz w:val="19"/>
          <w:szCs w:val="19"/>
          <w:color w:val="auto"/>
        </w:rPr>
      </w:pPr>
    </w:p>
    <w:p>
      <w:pPr>
        <w:ind w:firstLine="1296"/>
        <w:spacing w:after="0" w:line="251" w:lineRule="auto"/>
        <w:tabs>
          <w:tab w:leader="none" w:pos="1932"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any incentive compensation that is paid or granted to, or received by, Participant under the Award shall be subject to recovery and recoupment pursuant to the terms of such policy.</w:t>
      </w:r>
    </w:p>
    <w:p>
      <w:pPr>
        <w:spacing w:after="0" w:line="200"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21"/>
          <w:szCs w:val="21"/>
          <w:color w:val="auto"/>
        </w:rPr>
        <w:t>For purposes of such recoupment policy, “incentive compensation” means all cash or equity-based award (e.g., any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20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9"/>
          <w:szCs w:val="19"/>
          <w:u w:val="single" w:color="auto"/>
          <w:color w:val="auto"/>
        </w:rPr>
        <w:t>Continuing Consent</w:t>
      </w:r>
      <w:r>
        <w:rPr>
          <w:rFonts w:ascii="Arial" w:cs="Arial" w:eastAsia="Arial" w:hAnsi="Arial"/>
          <w:sz w:val="19"/>
          <w:szCs w:val="19"/>
          <w:color w:val="auto"/>
        </w:rPr>
        <w:t xml:space="preserve">.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form Performance Share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Participant hereby accepts those terms and conditions for each such subsequent Performance Shares award that may be made to him or her under the Plan and hereby agrees to be bound by those terms and conditions for any such Performance Share awards, without any further consent or acceptance required on his or her part at the time or times when those awards may be made. However, Participant may, at any time he or she holds an outstanding Performance Share award under the Plan, request a written copy of the form Performance Share Award Agreement from the Corporation by contacting the Corporation’s Human Resources Department at the Corporation’s principal offices.</w:t>
      </w:r>
    </w:p>
    <w:p>
      <w:pPr>
        <w:spacing w:after="0" w:line="189" w:lineRule="exact"/>
        <w:rPr>
          <w:sz w:val="20"/>
          <w:szCs w:val="20"/>
          <w:color w:val="auto"/>
        </w:rPr>
      </w:pPr>
    </w:p>
    <w:p>
      <w:pPr>
        <w:jc w:val="both"/>
        <w:ind w:firstLine="1297"/>
        <w:spacing w:after="0" w:line="235" w:lineRule="auto"/>
        <w:rPr>
          <w:sz w:val="20"/>
          <w:szCs w:val="20"/>
          <w:color w:val="auto"/>
        </w:rPr>
      </w:pPr>
      <w:r>
        <w:rPr>
          <w:rFonts w:ascii="Arial" w:cs="Arial" w:eastAsia="Arial" w:hAnsi="Arial"/>
          <w:sz w:val="22"/>
          <w:szCs w:val="22"/>
          <w:u w:val="single" w:color="auto"/>
          <w:color w:val="auto"/>
        </w:rPr>
        <w:t>Employment at Will</w:t>
      </w:r>
      <w:r>
        <w:rPr>
          <w:rFonts w:ascii="Arial" w:cs="Arial" w:eastAsia="Arial" w:hAnsi="Arial"/>
          <w:sz w:val="22"/>
          <w:szCs w:val="22"/>
          <w:color w:val="auto"/>
        </w:rPr>
        <w:t>. Nothing in this Notice or in the form Performance Share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70" w:name="page171"/>
    <w:bookmarkEnd w:id="170"/>
    <w:p>
      <w:pPr>
        <w:ind w:firstLine="1297"/>
        <w:spacing w:after="0" w:line="251"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in this Notice shall have the meaning assigned to them in this Notice or in the form Performance Share Award Agreement.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41"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MATSON, INC.</w:t>
      </w:r>
    </w:p>
    <w:p>
      <w:pPr>
        <w:spacing w:after="0" w:line="200" w:lineRule="exact"/>
        <w:rPr>
          <w:sz w:val="20"/>
          <w:szCs w:val="20"/>
          <w:color w:val="auto"/>
        </w:rPr>
      </w:pPr>
    </w:p>
    <w:p>
      <w:pPr>
        <w:spacing w:after="0" w:line="28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7620</wp:posOffset>
            </wp:positionV>
            <wp:extent cx="2804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7620</wp:posOffset>
            </wp:positionV>
            <wp:extent cx="28041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12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-151130</wp:posOffset>
            </wp:positionV>
            <wp:extent cx="2804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19"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324485</wp:posOffset>
            </wp:positionV>
            <wp:extent cx="2804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04160" cy="8890"/>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7620</wp:posOffset>
            </wp:positionV>
            <wp:extent cx="2804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2"/>
          <w:szCs w:val="22"/>
          <w:b w:val="1"/>
          <w:bCs w:val="1"/>
          <w:color w:val="auto"/>
        </w:rPr>
        <w:t>SCHEDULE I</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auto"/>
        </w:rPr>
        <w:t>PERFORMANCE PERIOD, PERFORMANCE GOAL AND LEVELS OF ATTAINMENT</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PERIOD</w:t>
      </w:r>
    </w:p>
    <w:p>
      <w:pPr>
        <w:sectPr>
          <w:pgSz w:w="11900" w:h="16838" w:orient="portrait"/>
          <w:cols w:equalWidth="0" w:num="1">
            <w:col w:w="10060"/>
          </w:cols>
          <w:pgMar w:left="920" w:top="112" w:right="91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color w:val="auto"/>
        </w:rPr>
        <w:t>December 31,</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The Performance Period shall be the three (3)-year period beginning January 1,</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and ending</w:t>
      </w:r>
    </w:p>
    <w:p>
      <w:pPr>
        <w:spacing w:after="0" w:line="495" w:lineRule="exact"/>
        <w:rPr>
          <w:sz w:val="20"/>
          <w:szCs w:val="20"/>
          <w:color w:val="auto"/>
        </w:rPr>
      </w:pPr>
    </w:p>
    <w:p>
      <w:pPr>
        <w:sectPr>
          <w:pgSz w:w="11900" w:h="16838" w:orient="portrait"/>
          <w:cols w:equalWidth="0" w:num="3">
            <w:col w:w="1220" w:space="80"/>
            <w:col w:w="7300" w:space="460"/>
            <w:col w:w="1000"/>
          </w:cols>
          <w:pgMar w:left="920" w:top="112" w:right="91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PERFORMANCE GOAL – RETURN ON INVESTED CAPITAL</w:t>
      </w:r>
    </w:p>
    <w:p>
      <w:pPr>
        <w:sectPr>
          <w:pgSz w:w="11900" w:h="16838" w:orient="portrait"/>
          <w:cols w:equalWidth="0" w:num="1">
            <w:col w:w="10060"/>
          </w:cols>
          <w:pgMar w:left="920" w:top="112" w:right="919" w:bottom="1440" w:gutter="0" w:footer="0" w:header="0"/>
          <w:type w:val="continuous"/>
        </w:sectPr>
      </w:pPr>
    </w:p>
    <w:p>
      <w:pPr>
        <w:spacing w:after="0" w:line="26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The performance vesting requirement for this Award shall be tied to the level of attainment of the Average ROIC for the Performance Period. The required levels of attainment of Average ROIC for the Performance Period at the Threshold, Target and Extraordinary Levels are as follows:</w:t>
      </w:r>
    </w:p>
    <w:p>
      <w:pPr>
        <w:sectPr>
          <w:pgSz w:w="11900" w:h="16838" w:orient="portrait"/>
          <w:cols w:equalWidth="0" w:num="1">
            <w:col w:w="10060"/>
          </w:cols>
          <w:pgMar w:left="920" w:top="112" w:right="919" w:bottom="1440" w:gutter="0" w:footer="0" w:header="0"/>
          <w:type w:val="continuous"/>
        </w:sectPr>
      </w:pPr>
    </w:p>
    <w:p>
      <w:pPr>
        <w:spacing w:after="0" w:line="194" w:lineRule="exact"/>
        <w:rPr>
          <w:sz w:val="20"/>
          <w:szCs w:val="20"/>
          <w:color w:val="auto"/>
        </w:rPr>
      </w:pPr>
    </w:p>
    <w:p>
      <w:pPr>
        <w:ind w:left="1300"/>
        <w:spacing w:after="0" w:line="297" w:lineRule="auto"/>
        <w:rPr>
          <w:sz w:val="20"/>
          <w:szCs w:val="20"/>
          <w:color w:val="auto"/>
        </w:rPr>
      </w:pPr>
      <w:r>
        <w:rPr>
          <w:rFonts w:ascii="Arial" w:cs="Arial" w:eastAsia="Arial" w:hAnsi="Arial"/>
          <w:sz w:val="19"/>
          <w:szCs w:val="19"/>
          <w:color w:val="auto"/>
        </w:rPr>
        <w:t>Threshold Level: Target Level: Extraordinary Level</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49" w:lineRule="exact"/>
        <w:rPr>
          <w:sz w:val="20"/>
          <w:szCs w:val="20"/>
          <w:color w:val="auto"/>
        </w:rPr>
      </w:pPr>
    </w:p>
    <w:p>
      <w:pPr>
        <w:sectPr>
          <w:pgSz w:w="11900" w:h="16838" w:orient="portrait"/>
          <w:cols w:equalWidth="0" w:num="2">
            <w:col w:w="3040" w:space="220"/>
            <w:col w:w="6800"/>
          </w:cols>
          <w:pgMar w:left="920" w:top="112" w:right="919" w:bottom="1440" w:gutter="0" w:footer="0" w:header="0"/>
          <w:type w:val="continuous"/>
        </w:sectPr>
      </w:pPr>
    </w:p>
    <w:p>
      <w:pPr>
        <w:spacing w:after="0"/>
        <w:rPr>
          <w:sz w:val="20"/>
          <w:szCs w:val="20"/>
          <w:color w:val="auto"/>
        </w:rPr>
      </w:pPr>
      <w:r>
        <w:rPr>
          <w:rFonts w:ascii="Arial" w:cs="Arial" w:eastAsia="Arial" w:hAnsi="Arial"/>
          <w:sz w:val="19"/>
          <w:szCs w:val="19"/>
          <w:color w:val="auto"/>
        </w:rPr>
        <w:t>“Average ROIC” shall be the percentage, rounded down to the nearest tenth of a percent, determined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9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Annual ROIC for</w:t>
            </w:r>
          </w:p>
        </w:tc>
        <w:tc>
          <w:tcPr>
            <w:tcW w:w="208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rPr>
              <w:t>+Annual ROIC for</w:t>
            </w:r>
          </w:p>
        </w:tc>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+Annual ROIC for</w:t>
            </w:r>
          </w:p>
        </w:tc>
      </w:tr>
      <w:tr>
        <w:trPr>
          <w:trHeight w:val="268"/>
        </w:trPr>
        <w:tc>
          <w:tcPr>
            <w:tcW w:w="1940" w:type="dxa"/>
            <w:vAlign w:val="bottom"/>
          </w:tcPr>
          <w:p>
            <w:pPr>
              <w:spacing w:after="0"/>
              <w:rPr>
                <w:sz w:val="23"/>
                <w:szCs w:val="23"/>
                <w:color w:val="auto"/>
              </w:rPr>
            </w:pPr>
          </w:p>
        </w:tc>
        <w:tc>
          <w:tcPr>
            <w:tcW w:w="2080" w:type="dxa"/>
            <w:vAlign w:val="bottom"/>
          </w:tcPr>
          <w:p>
            <w:pPr>
              <w:jc w:val="right"/>
              <w:ind w:right="812"/>
              <w:spacing w:after="0"/>
              <w:rPr>
                <w:sz w:val="20"/>
                <w:szCs w:val="20"/>
                <w:color w:val="auto"/>
              </w:rPr>
            </w:pPr>
            <w:r>
              <w:rPr>
                <w:rFonts w:ascii="Arial" w:cs="Arial" w:eastAsia="Arial" w:hAnsi="Arial"/>
                <w:sz w:val="22"/>
                <w:szCs w:val="22"/>
                <w:color w:val="auto"/>
              </w:rPr>
              <w:t>3</w:t>
            </w:r>
          </w:p>
        </w:tc>
        <w:tc>
          <w:tcPr>
            <w:tcW w:w="2080" w:type="dxa"/>
            <w:vAlign w:val="bottom"/>
          </w:tcPr>
          <w:p>
            <w:pPr>
              <w:spacing w:after="0"/>
              <w:rPr>
                <w:sz w:val="23"/>
                <w:szCs w:val="23"/>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22"/>
          <w:szCs w:val="22"/>
          <w:color w:val="auto"/>
        </w:rPr>
        <w:t>“Annual ROIC” for a calendar year shall be the percentage determined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Net Income After Tax + After Tax Interest Expense</w:t>
            </w:r>
          </w:p>
        </w:tc>
        <w:tc>
          <w:tcPr>
            <w:tcW w:w="700" w:type="dxa"/>
            <w:vAlign w:val="bottom"/>
            <w:vMerge w:val="restart"/>
          </w:tcPr>
          <w:p>
            <w:pPr>
              <w:ind w:left="220"/>
              <w:spacing w:after="0"/>
              <w:rPr>
                <w:sz w:val="20"/>
                <w:szCs w:val="20"/>
                <w:color w:val="auto"/>
              </w:rPr>
            </w:pPr>
            <w:r>
              <w:rPr>
                <w:rFonts w:ascii="Arial" w:cs="Arial" w:eastAsia="Arial" w:hAnsi="Arial"/>
                <w:sz w:val="22"/>
                <w:szCs w:val="22"/>
                <w:color w:val="auto"/>
                <w:w w:val="85"/>
              </w:rPr>
              <w:t>x 100</w:t>
            </w:r>
          </w:p>
        </w:tc>
        <w:tc>
          <w:tcPr>
            <w:tcW w:w="0" w:type="dxa"/>
            <w:vAlign w:val="bottom"/>
          </w:tcPr>
          <w:p>
            <w:pPr>
              <w:spacing w:after="0"/>
              <w:rPr>
                <w:sz w:val="1"/>
                <w:szCs w:val="1"/>
                <w:color w:val="auto"/>
              </w:rPr>
            </w:pPr>
          </w:p>
        </w:tc>
      </w:tr>
      <w:tr>
        <w:trPr>
          <w:trHeight w:val="112"/>
        </w:trPr>
        <w:tc>
          <w:tcPr>
            <w:tcW w:w="4940" w:type="dxa"/>
            <w:vAlign w:val="bottom"/>
            <w:vMerge w:val="restart"/>
          </w:tcPr>
          <w:p>
            <w:pPr>
              <w:jc w:val="center"/>
              <w:spacing w:after="0"/>
              <w:rPr>
                <w:sz w:val="20"/>
                <w:szCs w:val="20"/>
                <w:color w:val="auto"/>
              </w:rPr>
            </w:pPr>
            <w:r>
              <w:rPr>
                <w:rFonts w:ascii="Arial" w:cs="Arial" w:eastAsia="Arial" w:hAnsi="Arial"/>
                <w:sz w:val="22"/>
                <w:szCs w:val="22"/>
                <w:color w:val="auto"/>
                <w:w w:val="89"/>
              </w:rPr>
              <w:t>Average Debt + Average Total Shareholders’ Equity</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94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Annual ROIC for a calendar year shall be calculated on a consolidated basis with the Corporation’s consolidated subsidiaries for U.S. financial reporting purposes and shall be determined on the basis of the Corporation’s audited financial statements for such year prepared in accordance with United States generally accepted accounting principles, subject to any adjustments as determined by the Plan Administrator that are needed to accurately reflect the performance of the Corporation (e.g., because of changes in accounting rules, extraordinary gains from the sale of the Corporation’s assets, unforeseen extraordinary events affecting the Corporation or any of its business operations, or other similar or dissimilar circumstances occurring during the Performance Period that may or may not have been beyond the control of the Corporation).</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“Average Debt” for a calendar year means the average of the Debt at the beginning of the year and Debt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638873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type w:val="continuous"/>
        </w:sectPr>
      </w:pPr>
    </w:p>
    <w:bookmarkStart w:id="172" w:name="page173"/>
    <w:bookmarkEnd w:id="172"/>
    <w:p>
      <w:pPr>
        <w:jc w:val="both"/>
        <w:spacing w:after="0" w:line="241" w:lineRule="auto"/>
        <w:rPr>
          <w:sz w:val="20"/>
          <w:szCs w:val="20"/>
          <w:color w:val="auto"/>
        </w:rPr>
      </w:pPr>
      <w:r>
        <w:rPr>
          <w:rFonts w:ascii="Arial" w:cs="Arial" w:eastAsia="Arial" w:hAnsi="Arial"/>
          <w:sz w:val="22"/>
          <w:szCs w:val="22"/>
          <w:color w:val="auto"/>
        </w:rPr>
        <w:t>“Debt” means long-term debt plus notes payable and current portion of the long term debt, as determined in accordance with United States generally accepted accounting principles, and is intended to include potential convertible debt and other hybrid debt issued in the future.</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Unless otherwise defined above or in the Notice of Award of Performance Shares to which this Schedule is attached, capitalized terms used in this Schedule shall be construed in accordance with accounting principles generally accepted in the Unites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73" w:name="page174"/>
    <w:bookmarkEnd w:id="173"/>
    <w:p>
      <w:pPr>
        <w:ind w:left="7840"/>
        <w:spacing w:after="0"/>
        <w:rPr>
          <w:sz w:val="20"/>
          <w:szCs w:val="20"/>
          <w:color w:val="auto"/>
        </w:rPr>
      </w:pPr>
      <w:r>
        <w:rPr>
          <w:rFonts w:ascii="Arial" w:cs="Arial" w:eastAsia="Arial" w:hAnsi="Arial"/>
          <w:sz w:val="19"/>
          <w:szCs w:val="19"/>
          <w:b w:val="1"/>
          <w:bCs w:val="1"/>
          <w:color w:val="auto"/>
        </w:rPr>
        <w:t>Exhibit 10.71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jc w:val="center"/>
        <w:spacing w:after="0"/>
        <w:rPr>
          <w:sz w:val="20"/>
          <w:szCs w:val="20"/>
          <w:color w:val="auto"/>
        </w:rPr>
      </w:pPr>
      <w:r>
        <w:rPr>
          <w:rFonts w:ascii="Arial" w:cs="Arial" w:eastAsia="Arial" w:hAnsi="Arial"/>
          <w:sz w:val="22"/>
          <w:szCs w:val="22"/>
          <w:b w:val="1"/>
          <w:bCs w:val="1"/>
          <w:u w:val="single" w:color="auto"/>
          <w:color w:val="auto"/>
        </w:rPr>
        <w:t>EXECUTIVE NOTICE OF AWARD OF PERFORMANCE SHARES</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Corporation hereby awards to Participant, as of the Award Date indicated below, an award (the “Award”) of Performance Shares under the Corporation’s 2016 Incentive Compensation Plan (the “Plan”). Each Performance Share represents the right to receive one or more shares of Common Stock on the applicable issuance date following the vesting of that Performance Share. The number of Performance Shares subject to this Award and the applicable performance vesting requirements for those Performance Shares and the underlying shares are set forth below. The remaining terms and conditions governing the Award, including the applicable service vesting requirements and the applicable issuance date or dates for the shares of Common Stock that vest under the Award, shall be as set forth in the form Performance Share Award Agreement for Awards with combined performance and service vesting requirements.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gridSpan w:val="2"/>
          </w:tcPr>
          <w:p>
            <w:pPr>
              <w:ind w:left="1560"/>
              <w:spacing w:after="0"/>
              <w:rPr>
                <w:sz w:val="20"/>
                <w:szCs w:val="20"/>
                <w:color w:val="auto"/>
              </w:rPr>
            </w:pPr>
            <w:r>
              <w:rPr>
                <w:rFonts w:ascii="Arial" w:cs="Arial" w:eastAsia="Arial" w:hAnsi="Arial"/>
                <w:sz w:val="22"/>
                <w:szCs w:val="22"/>
                <w:b w:val="1"/>
                <w:bCs w:val="1"/>
                <w:color w:val="auto"/>
              </w:rPr>
              <w:t>AWARD SUMMARY</w:t>
            </w:r>
          </w:p>
        </w:tc>
      </w:tr>
      <w:tr>
        <w:trPr>
          <w:trHeight w:val="422"/>
        </w:trPr>
        <w:tc>
          <w:tcPr>
            <w:tcW w:w="9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Participant</w:t>
            </w:r>
          </w:p>
        </w:tc>
        <w:tc>
          <w:tcPr>
            <w:tcW w:w="1040" w:type="dxa"/>
            <w:vAlign w:val="bottom"/>
            <w:gridSpan w:val="4"/>
          </w:tcPr>
          <w:p>
            <w:pPr>
              <w:spacing w:after="0"/>
              <w:rPr>
                <w:sz w:val="24"/>
                <w:szCs w:val="24"/>
                <w:color w:val="auto"/>
              </w:rPr>
            </w:pPr>
          </w:p>
        </w:tc>
        <w:tc>
          <w:tcPr>
            <w:tcW w:w="158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9"/>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9"/>
              </w:rPr>
              <w:t>Award Date:</w:t>
            </w:r>
          </w:p>
        </w:tc>
        <w:tc>
          <w:tcPr>
            <w:tcW w:w="88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39"/>
        </w:trPr>
        <w:tc>
          <w:tcPr>
            <w:tcW w:w="1980" w:type="dxa"/>
            <w:vAlign w:val="bottom"/>
            <w:gridSpan w:val="5"/>
          </w:tcPr>
          <w:p>
            <w:pPr>
              <w:spacing w:after="0"/>
              <w:rPr>
                <w:sz w:val="20"/>
                <w:szCs w:val="20"/>
                <w:color w:val="auto"/>
              </w:rPr>
            </w:pPr>
            <w:r>
              <w:rPr>
                <w:rFonts w:ascii="Arial" w:cs="Arial" w:eastAsia="Arial" w:hAnsi="Arial"/>
                <w:sz w:val="22"/>
                <w:szCs w:val="22"/>
                <w:color w:val="auto"/>
                <w:w w:val="94"/>
              </w:rPr>
              <w:t>Performance Shares:</w:t>
            </w:r>
          </w:p>
        </w:tc>
        <w:tc>
          <w:tcPr>
            <w:tcW w:w="7080" w:type="dxa"/>
            <w:vAlign w:val="bottom"/>
            <w:gridSpan w:val="2"/>
          </w:tcPr>
          <w:p>
            <w:pPr>
              <w:spacing w:after="0"/>
              <w:rPr>
                <w:sz w:val="20"/>
                <w:szCs w:val="20"/>
                <w:color w:val="auto"/>
              </w:rPr>
            </w:pPr>
            <w:r>
              <w:rPr>
                <w:rFonts w:ascii="Arial" w:cs="Arial" w:eastAsia="Arial" w:hAnsi="Arial"/>
                <w:sz w:val="22"/>
                <w:szCs w:val="22"/>
                <w:color w:val="auto"/>
                <w:w w:val="89"/>
              </w:rPr>
              <w:t>The number of shares of Common Stock issuable pursuant to the Award shall be</w:t>
            </w:r>
          </w:p>
        </w:tc>
      </w:tr>
      <w:tr>
        <w:trPr>
          <w:trHeight w:val="242"/>
        </w:trPr>
        <w:tc>
          <w:tcPr>
            <w:tcW w:w="9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2" w:lineRule="exact"/>
              <w:rPr>
                <w:sz w:val="20"/>
                <w:szCs w:val="20"/>
                <w:color w:val="auto"/>
              </w:rPr>
            </w:pPr>
            <w:r>
              <w:rPr>
                <w:rFonts w:ascii="Arial" w:cs="Arial" w:eastAsia="Arial" w:hAnsi="Arial"/>
                <w:sz w:val="22"/>
                <w:szCs w:val="22"/>
                <w:color w:val="auto"/>
                <w:w w:val="90"/>
              </w:rPr>
              <w:t>determined in accordance with the Vesting Schedule below. For purposes of the</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5"/>
              </w:rPr>
              <w:t>percentage calculations set forth in the Performance Vesting section of such</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0"/>
              </w:rPr>
              <w:t>schedule, the number of shares of Common Stock to be utilized is XXXX shares</w:t>
            </w:r>
          </w:p>
        </w:tc>
      </w:tr>
      <w:tr>
        <w:trPr>
          <w:trHeight w:val="275"/>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80" w:type="dxa"/>
            <w:vAlign w:val="bottom"/>
            <w:gridSpan w:val="2"/>
          </w:tcPr>
          <w:p>
            <w:pPr>
              <w:spacing w:after="0"/>
              <w:rPr>
                <w:sz w:val="20"/>
                <w:szCs w:val="20"/>
                <w:color w:val="auto"/>
              </w:rPr>
            </w:pPr>
            <w:r>
              <w:rPr>
                <w:rFonts w:ascii="Arial" w:cs="Arial" w:eastAsia="Arial" w:hAnsi="Arial"/>
                <w:sz w:val="22"/>
                <w:szCs w:val="22"/>
                <w:color w:val="auto"/>
              </w:rPr>
              <w:t>(the “Performance Shares”).</w:t>
            </w:r>
          </w:p>
        </w:tc>
      </w:tr>
      <w:tr>
        <w:trPr>
          <w:trHeight w:val="409"/>
        </w:trPr>
        <w:tc>
          <w:tcPr>
            <w:tcW w:w="1980" w:type="dxa"/>
            <w:vAlign w:val="bottom"/>
            <w:gridSpan w:val="5"/>
          </w:tcPr>
          <w:p>
            <w:pPr>
              <w:spacing w:after="0"/>
              <w:rPr>
                <w:sz w:val="20"/>
                <w:szCs w:val="20"/>
                <w:color w:val="auto"/>
              </w:rPr>
            </w:pPr>
            <w:r>
              <w:rPr>
                <w:rFonts w:ascii="Arial" w:cs="Arial" w:eastAsia="Arial" w:hAnsi="Arial"/>
                <w:sz w:val="22"/>
                <w:szCs w:val="22"/>
                <w:color w:val="auto"/>
              </w:rPr>
              <w:t>Vesting Schedule:</w:t>
            </w:r>
          </w:p>
        </w:tc>
        <w:tc>
          <w:tcPr>
            <w:tcW w:w="7080" w:type="dxa"/>
            <w:vAlign w:val="bottom"/>
            <w:gridSpan w:val="2"/>
          </w:tcPr>
          <w:p>
            <w:pPr>
              <w:spacing w:after="0"/>
              <w:rPr>
                <w:sz w:val="20"/>
                <w:szCs w:val="20"/>
                <w:color w:val="auto"/>
              </w:rPr>
            </w:pPr>
            <w:r>
              <w:rPr>
                <w:rFonts w:ascii="Arial" w:cs="Arial" w:eastAsia="Arial" w:hAnsi="Arial"/>
                <w:sz w:val="22"/>
                <w:szCs w:val="22"/>
                <w:color w:val="auto"/>
                <w:w w:val="92"/>
              </w:rPr>
              <w:t>The number of shares of Common Stock which may actually vest and become</w:t>
            </w:r>
          </w:p>
        </w:tc>
      </w:tr>
      <w:tr>
        <w:trPr>
          <w:trHeight w:val="242"/>
        </w:trPr>
        <w:tc>
          <w:tcPr>
            <w:tcW w:w="9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2" w:lineRule="exact"/>
              <w:rPr>
                <w:sz w:val="20"/>
                <w:szCs w:val="20"/>
                <w:color w:val="auto"/>
              </w:rPr>
            </w:pPr>
            <w:r>
              <w:rPr>
                <w:rFonts w:ascii="Arial" w:cs="Arial" w:eastAsia="Arial" w:hAnsi="Arial"/>
                <w:sz w:val="22"/>
                <w:szCs w:val="22"/>
                <w:color w:val="auto"/>
                <w:w w:val="97"/>
              </w:rPr>
              <w:t>issuable pursuant to the Award shall be determined pursuant to a two-step</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6"/>
              </w:rPr>
              <w:t>process: (i) first there shall be calculated the maximum number of shares of</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4"/>
              </w:rPr>
              <w:t>Common Stock in which Participant can vest under the Performance Vesting</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4"/>
              </w:rPr>
              <w:t>section below based upon (A) the actual level at which the Performance Goal</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89"/>
              </w:rPr>
              <w:t>specified on attached Schedule I is attained and (B) any adjustment by reason of</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7"/>
              </w:rPr>
              <w:t>the relative TSR Modifier specified on attached Schedule I and (ii) then the</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3"/>
              </w:rPr>
              <w:t>number of shares calculated under clause (i) in which Participant may actually</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1"/>
              </w:rPr>
              <w:t>vest shall be determined on the basis of his or her satisfaction of the applicable</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4"/>
              </w:rPr>
              <w:t>Service vesting requirements set forth in the form Performance Share Award</w:t>
            </w:r>
          </w:p>
        </w:tc>
      </w:tr>
      <w:tr>
        <w:trPr>
          <w:trHeight w:val="275"/>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80" w:type="dxa"/>
            <w:vAlign w:val="bottom"/>
            <w:gridSpan w:val="2"/>
          </w:tcPr>
          <w:p>
            <w:pPr>
              <w:spacing w:after="0"/>
              <w:rPr>
                <w:sz w:val="20"/>
                <w:szCs w:val="20"/>
                <w:color w:val="auto"/>
              </w:rPr>
            </w:pPr>
            <w:r>
              <w:rPr>
                <w:rFonts w:ascii="Arial" w:cs="Arial" w:eastAsia="Arial" w:hAnsi="Arial"/>
                <w:sz w:val="22"/>
                <w:szCs w:val="22"/>
                <w:color w:val="auto"/>
              </w:rPr>
              <w:t>Agreement.</w:t>
            </w:r>
          </w:p>
        </w:tc>
      </w:tr>
      <w:tr>
        <w:trPr>
          <w:trHeight w:val="428"/>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gridSpan w:val="2"/>
          </w:tcPr>
          <w:p>
            <w:pPr>
              <w:spacing w:after="0"/>
              <w:rPr>
                <w:sz w:val="20"/>
                <w:szCs w:val="20"/>
                <w:color w:val="auto"/>
              </w:rPr>
            </w:pPr>
            <w:r>
              <w:rPr>
                <w:rFonts w:ascii="Arial" w:cs="Arial" w:eastAsia="Arial" w:hAnsi="Arial"/>
                <w:sz w:val="22"/>
                <w:szCs w:val="22"/>
                <w:b w:val="1"/>
                <w:bCs w:val="1"/>
                <w:i w:val="1"/>
                <w:iCs w:val="1"/>
                <w:color w:val="auto"/>
                <w:w w:val="89"/>
              </w:rPr>
              <w:t>Performance Vesting</w:t>
            </w:r>
            <w:r>
              <w:rPr>
                <w:rFonts w:ascii="Arial" w:cs="Arial" w:eastAsia="Arial" w:hAnsi="Arial"/>
                <w:sz w:val="22"/>
                <w:szCs w:val="22"/>
                <w:color w:val="auto"/>
                <w:w w:val="89"/>
              </w:rPr>
              <w:t>: Attached Schedule I specifies the Performance Goal, the</w:t>
            </w:r>
          </w:p>
        </w:tc>
      </w:tr>
      <w:tr>
        <w:trPr>
          <w:trHeight w:val="275"/>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80" w:type="dxa"/>
            <w:vAlign w:val="bottom"/>
            <w:gridSpan w:val="2"/>
          </w:tcPr>
          <w:p>
            <w:pPr>
              <w:spacing w:after="0"/>
              <w:rPr>
                <w:sz w:val="20"/>
                <w:szCs w:val="20"/>
                <w:color w:val="auto"/>
              </w:rPr>
            </w:pPr>
            <w:r>
              <w:rPr>
                <w:rFonts w:ascii="Arial" w:cs="Arial" w:eastAsia="Arial" w:hAnsi="Arial"/>
                <w:sz w:val="22"/>
                <w:szCs w:val="22"/>
                <w:color w:val="auto"/>
              </w:rPr>
              <w:t>TSR Modifier and Performance Period established for the Award.</w:t>
            </w:r>
          </w:p>
        </w:tc>
      </w:tr>
      <w:tr>
        <w:trPr>
          <w:trHeight w:val="436"/>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80" w:type="dxa"/>
            <w:vAlign w:val="bottom"/>
            <w:gridSpan w:val="2"/>
          </w:tcPr>
          <w:p>
            <w:pPr>
              <w:spacing w:after="0"/>
              <w:rPr>
                <w:sz w:val="20"/>
                <w:szCs w:val="20"/>
                <w:color w:val="auto"/>
              </w:rPr>
            </w:pPr>
            <w:r>
              <w:rPr>
                <w:rFonts w:ascii="Arial" w:cs="Arial" w:eastAsia="Arial" w:hAnsi="Arial"/>
                <w:sz w:val="22"/>
                <w:szCs w:val="22"/>
                <w:color w:val="auto"/>
                <w:w w:val="92"/>
              </w:rPr>
              <w:t>Performance Goal:  There are three designated levels of attainment set forth in</w:t>
            </w:r>
          </w:p>
        </w:tc>
      </w:tr>
      <w:tr>
        <w:trPr>
          <w:trHeight w:val="20"/>
        </w:trPr>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r>
      <w:tr>
        <w:trPr>
          <w:trHeight w:val="242"/>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2" w:lineRule="exact"/>
              <w:rPr>
                <w:sz w:val="20"/>
                <w:szCs w:val="20"/>
                <w:color w:val="auto"/>
              </w:rPr>
            </w:pPr>
            <w:r>
              <w:rPr>
                <w:rFonts w:ascii="Arial" w:cs="Arial" w:eastAsia="Arial" w:hAnsi="Arial"/>
                <w:sz w:val="22"/>
                <w:szCs w:val="22"/>
                <w:color w:val="auto"/>
              </w:rPr>
              <w:t>Schedule   I   for   the   Performance   Goal:   Threshold,   Target   and</w:t>
            </w:r>
          </w:p>
        </w:tc>
      </w:tr>
      <w:tr>
        <w:trPr>
          <w:trHeight w:val="243"/>
        </w:trPr>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80" w:type="dxa"/>
            <w:vAlign w:val="bottom"/>
            <w:gridSpan w:val="2"/>
          </w:tcPr>
          <w:p>
            <w:pPr>
              <w:spacing w:after="0" w:line="243" w:lineRule="exact"/>
              <w:rPr>
                <w:sz w:val="20"/>
                <w:szCs w:val="20"/>
                <w:color w:val="auto"/>
              </w:rPr>
            </w:pPr>
            <w:r>
              <w:rPr>
                <w:rFonts w:ascii="Arial" w:cs="Arial" w:eastAsia="Arial" w:hAnsi="Arial"/>
                <w:sz w:val="22"/>
                <w:szCs w:val="22"/>
                <w:color w:val="auto"/>
                <w:w w:val="94"/>
              </w:rPr>
              <w:t>Extraordinary.  Following the completion of the Performance Period, the Plan</w:t>
            </w:r>
          </w:p>
        </w:tc>
      </w:tr>
      <w:tr>
        <w:trPr>
          <w:trHeight w:val="275"/>
        </w:trPr>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80" w:type="dxa"/>
            <w:vAlign w:val="bottom"/>
            <w:gridSpan w:val="2"/>
          </w:tcPr>
          <w:p>
            <w:pPr>
              <w:spacing w:after="0"/>
              <w:rPr>
                <w:sz w:val="20"/>
                <w:szCs w:val="20"/>
                <w:color w:val="auto"/>
              </w:rPr>
            </w:pPr>
            <w:r>
              <w:rPr>
                <w:rFonts w:ascii="Arial" w:cs="Arial" w:eastAsia="Arial" w:hAnsi="Arial"/>
                <w:sz w:val="22"/>
                <w:szCs w:val="22"/>
                <w:color w:val="auto"/>
              </w:rPr>
              <w:t>Administrator shall determine and certify the actual level of attainment</w:t>
            </w:r>
          </w:p>
        </w:tc>
      </w:tr>
      <w:tr>
        <w:trPr>
          <w:trHeight w:val="1037"/>
        </w:trPr>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2" w:right="1419" w:bottom="1440" w:gutter="0" w:footer="0" w:header="0"/>
        </w:sectPr>
      </w:pPr>
    </w:p>
    <w:bookmarkStart w:id="174" w:name="page175"/>
    <w:bookmarkEnd w:id="174"/>
    <w:p>
      <w:pPr>
        <w:jc w:val="both"/>
        <w:ind w:left="1980"/>
        <w:spacing w:after="0" w:line="245" w:lineRule="auto"/>
        <w:rPr>
          <w:sz w:val="20"/>
          <w:szCs w:val="20"/>
          <w:color w:val="auto"/>
        </w:rPr>
      </w:pPr>
      <w:r>
        <w:rPr>
          <w:rFonts w:ascii="Arial" w:cs="Arial" w:eastAsia="Arial" w:hAnsi="Arial"/>
          <w:sz w:val="21"/>
          <w:szCs w:val="21"/>
          <w:color w:val="auto"/>
        </w:rPr>
        <w:t>for the Performance Goal and shall then measure that level of attainment against the Threshold, Target and Extraordinary Levels set forth for that Performance Goal in attached Schedule I. The Plan Administrator generally expects to complete this determination within sixty (60) days after the end of the Performance Period. The maximum number of shares of Common Stock in which Participant can vest based upon the actual level of attainment of such Performance Goal shall initially be determined by applying the corresponding percentage below for that level of attainment to the number of Designated Shares set forth above:</w:t>
      </w:r>
    </w:p>
    <w:p>
      <w:pPr>
        <w:spacing w:after="0" w:line="176" w:lineRule="exact"/>
        <w:rPr>
          <w:sz w:val="20"/>
          <w:szCs w:val="20"/>
          <w:color w:val="auto"/>
        </w:rPr>
      </w:pPr>
    </w:p>
    <w:tbl>
      <w:tblPr>
        <w:tblLayout w:type="fixed"/>
        <w:tblInd w:w="1980" w:type="dxa"/>
        <w:tblCellMar>
          <w:top w:w="0" w:type="dxa"/>
          <w:left w:w="0" w:type="dxa"/>
          <w:bottom w:w="0" w:type="dxa"/>
          <w:right w:w="0" w:type="dxa"/>
        </w:tblCellMar>
      </w:tblPr>
      <w:tr>
        <w:trPr>
          <w:trHeight w:val="253"/>
        </w:trPr>
        <w:tc>
          <w:tcPr>
            <w:tcW w:w="3500" w:type="dxa"/>
            <w:vAlign w:val="bottom"/>
          </w:tcPr>
          <w:p>
            <w:pPr>
              <w:spacing w:after="0"/>
              <w:rPr>
                <w:sz w:val="20"/>
                <w:szCs w:val="20"/>
                <w:color w:val="auto"/>
              </w:rPr>
            </w:pPr>
            <w:r>
              <w:rPr>
                <w:rFonts w:ascii="Arial" w:cs="Arial" w:eastAsia="Arial" w:hAnsi="Arial"/>
                <w:sz w:val="22"/>
                <w:szCs w:val="22"/>
                <w:color w:val="auto"/>
                <w:w w:val="92"/>
              </w:rPr>
              <w:t>Attainment below the Threshold Level:</w:t>
            </w:r>
          </w:p>
        </w:tc>
        <w:tc>
          <w:tcPr>
            <w:tcW w:w="2980" w:type="dxa"/>
            <w:vAlign w:val="bottom"/>
          </w:tcPr>
          <w:p>
            <w:pPr>
              <w:jc w:val="right"/>
              <w:spacing w:after="0"/>
              <w:rPr>
                <w:sz w:val="20"/>
                <w:szCs w:val="20"/>
                <w:color w:val="auto"/>
              </w:rPr>
            </w:pPr>
            <w:r>
              <w:rPr>
                <w:rFonts w:ascii="Arial" w:cs="Arial" w:eastAsia="Arial" w:hAnsi="Arial"/>
                <w:sz w:val="22"/>
                <w:szCs w:val="22"/>
                <w:color w:val="auto"/>
                <w:w w:val="97"/>
              </w:rPr>
              <w:t>0% of the Performance Shares</w:t>
            </w:r>
          </w:p>
        </w:tc>
      </w:tr>
      <w:tr>
        <w:trPr>
          <w:trHeight w:val="243"/>
        </w:trPr>
        <w:tc>
          <w:tcPr>
            <w:tcW w:w="3500" w:type="dxa"/>
            <w:vAlign w:val="bottom"/>
          </w:tcPr>
          <w:p>
            <w:pPr>
              <w:spacing w:after="0" w:line="243" w:lineRule="exact"/>
              <w:rPr>
                <w:sz w:val="20"/>
                <w:szCs w:val="20"/>
                <w:color w:val="auto"/>
              </w:rPr>
            </w:pPr>
            <w:r>
              <w:rPr>
                <w:rFonts w:ascii="Arial" w:cs="Arial" w:eastAsia="Arial" w:hAnsi="Arial"/>
                <w:sz w:val="22"/>
                <w:szCs w:val="22"/>
                <w:color w:val="auto"/>
              </w:rPr>
              <w:t>Attainment at the Threshold Level:</w:t>
            </w:r>
          </w:p>
        </w:tc>
        <w:tc>
          <w:tcPr>
            <w:tcW w:w="2980" w:type="dxa"/>
            <w:vAlign w:val="bottom"/>
          </w:tcPr>
          <w:p>
            <w:pPr>
              <w:jc w:val="right"/>
              <w:spacing w:after="0" w:line="243" w:lineRule="exact"/>
              <w:rPr>
                <w:sz w:val="20"/>
                <w:szCs w:val="20"/>
                <w:color w:val="auto"/>
              </w:rPr>
            </w:pPr>
            <w:r>
              <w:rPr>
                <w:rFonts w:ascii="Arial" w:cs="Arial" w:eastAsia="Arial" w:hAnsi="Arial"/>
                <w:sz w:val="22"/>
                <w:szCs w:val="22"/>
                <w:color w:val="auto"/>
                <w:w w:val="94"/>
              </w:rPr>
              <w:t>25% of the Performance Shares</w:t>
            </w:r>
          </w:p>
        </w:tc>
      </w:tr>
      <w:tr>
        <w:trPr>
          <w:trHeight w:val="243"/>
        </w:trPr>
        <w:tc>
          <w:tcPr>
            <w:tcW w:w="3500" w:type="dxa"/>
            <w:vAlign w:val="bottom"/>
          </w:tcPr>
          <w:p>
            <w:pPr>
              <w:spacing w:after="0" w:line="243" w:lineRule="exact"/>
              <w:rPr>
                <w:sz w:val="20"/>
                <w:szCs w:val="20"/>
                <w:color w:val="auto"/>
              </w:rPr>
            </w:pPr>
            <w:r>
              <w:rPr>
                <w:rFonts w:ascii="Arial" w:cs="Arial" w:eastAsia="Arial" w:hAnsi="Arial"/>
                <w:sz w:val="22"/>
                <w:szCs w:val="22"/>
                <w:color w:val="auto"/>
              </w:rPr>
              <w:t>Attainment at the Target Level:</w:t>
            </w:r>
          </w:p>
        </w:tc>
        <w:tc>
          <w:tcPr>
            <w:tcW w:w="2980" w:type="dxa"/>
            <w:vAlign w:val="bottom"/>
          </w:tcPr>
          <w:p>
            <w:pPr>
              <w:jc w:val="right"/>
              <w:spacing w:after="0" w:line="243" w:lineRule="exact"/>
              <w:rPr>
                <w:sz w:val="20"/>
                <w:szCs w:val="20"/>
                <w:color w:val="auto"/>
              </w:rPr>
            </w:pPr>
            <w:r>
              <w:rPr>
                <w:rFonts w:ascii="Arial" w:cs="Arial" w:eastAsia="Arial" w:hAnsi="Arial"/>
                <w:sz w:val="22"/>
                <w:szCs w:val="22"/>
                <w:color w:val="auto"/>
                <w:w w:val="90"/>
              </w:rPr>
              <w:t>100% of the Performance Shares</w:t>
            </w:r>
          </w:p>
        </w:tc>
      </w:tr>
      <w:tr>
        <w:trPr>
          <w:trHeight w:val="275"/>
        </w:trPr>
        <w:tc>
          <w:tcPr>
            <w:tcW w:w="3500" w:type="dxa"/>
            <w:vAlign w:val="bottom"/>
          </w:tcPr>
          <w:p>
            <w:pPr>
              <w:spacing w:after="0"/>
              <w:rPr>
                <w:sz w:val="20"/>
                <w:szCs w:val="20"/>
                <w:color w:val="auto"/>
              </w:rPr>
            </w:pPr>
            <w:r>
              <w:rPr>
                <w:rFonts w:ascii="Arial" w:cs="Arial" w:eastAsia="Arial" w:hAnsi="Arial"/>
                <w:sz w:val="22"/>
                <w:szCs w:val="22"/>
                <w:color w:val="auto"/>
              </w:rPr>
              <w:t>Attainment at Extraordinary Level:</w:t>
            </w:r>
          </w:p>
        </w:tc>
        <w:tc>
          <w:tcPr>
            <w:tcW w:w="2980" w:type="dxa"/>
            <w:vAlign w:val="bottom"/>
          </w:tcPr>
          <w:p>
            <w:pPr>
              <w:jc w:val="right"/>
              <w:spacing w:after="0"/>
              <w:rPr>
                <w:sz w:val="20"/>
                <w:szCs w:val="20"/>
                <w:color w:val="auto"/>
              </w:rPr>
            </w:pPr>
            <w:r>
              <w:rPr>
                <w:rFonts w:ascii="Arial" w:cs="Arial" w:eastAsia="Arial" w:hAnsi="Arial"/>
                <w:sz w:val="22"/>
                <w:szCs w:val="22"/>
                <w:color w:val="auto"/>
                <w:w w:val="89"/>
              </w:rPr>
              <w:t>200% of the Performance Shares</w:t>
            </w:r>
          </w:p>
        </w:tc>
      </w:tr>
    </w:tbl>
    <w:p>
      <w:pPr>
        <w:spacing w:after="0" w:line="185" w:lineRule="exact"/>
        <w:rPr>
          <w:sz w:val="20"/>
          <w:szCs w:val="20"/>
          <w:color w:val="auto"/>
        </w:rPr>
      </w:pPr>
    </w:p>
    <w:p>
      <w:pPr>
        <w:jc w:val="both"/>
        <w:ind w:left="1980"/>
        <w:spacing w:after="0" w:line="238" w:lineRule="auto"/>
        <w:rPr>
          <w:sz w:val="20"/>
          <w:szCs w:val="20"/>
          <w:color w:val="auto"/>
        </w:rPr>
      </w:pPr>
      <w:r>
        <w:rPr>
          <w:rFonts w:ascii="Arial" w:cs="Arial" w:eastAsia="Arial" w:hAnsi="Arial"/>
          <w:sz w:val="22"/>
          <w:szCs w:val="22"/>
          <w:color w:val="auto"/>
        </w:rPr>
        <w:t>To the extent the actual level of attainment of the Performance Goal is at a point between the Threshold and Target Levels, the maximum number of shares of Common Stock in which Participant can vest shall be pro-rated between the two points on a straight line basis.</w:t>
      </w:r>
    </w:p>
    <w:p>
      <w:pPr>
        <w:spacing w:after="0" w:line="185" w:lineRule="exact"/>
        <w:rPr>
          <w:sz w:val="20"/>
          <w:szCs w:val="20"/>
          <w:color w:val="auto"/>
        </w:rPr>
      </w:pPr>
    </w:p>
    <w:p>
      <w:pPr>
        <w:jc w:val="both"/>
        <w:ind w:left="1980" w:hanging="11"/>
        <w:spacing w:after="0" w:line="238" w:lineRule="auto"/>
        <w:rPr>
          <w:sz w:val="20"/>
          <w:szCs w:val="20"/>
          <w:color w:val="auto"/>
        </w:rPr>
      </w:pPr>
      <w:r>
        <w:rPr>
          <w:rFonts w:ascii="Arial" w:cs="Arial" w:eastAsia="Arial" w:hAnsi="Arial"/>
          <w:sz w:val="22"/>
          <w:szCs w:val="22"/>
          <w:color w:val="auto"/>
        </w:rPr>
        <w:t>To the extent the actual level of attainment of a Performance Goal is at a point between the Target and Extraordinary Levels, the maximum number of shares of Common Stock in which Participant can vest shall be pro-rated between the two points on a straight line basis.</w:t>
      </w:r>
    </w:p>
    <w:p>
      <w:pPr>
        <w:spacing w:after="0" w:line="185" w:lineRule="exact"/>
        <w:rPr>
          <w:sz w:val="20"/>
          <w:szCs w:val="20"/>
          <w:color w:val="auto"/>
        </w:rPr>
      </w:pPr>
    </w:p>
    <w:p>
      <w:pPr>
        <w:jc w:val="both"/>
        <w:ind w:left="1980" w:hanging="11"/>
        <w:spacing w:after="0" w:line="238" w:lineRule="auto"/>
        <w:rPr>
          <w:sz w:val="20"/>
          <w:szCs w:val="20"/>
          <w:color w:val="auto"/>
        </w:rPr>
      </w:pPr>
      <w:r>
        <w:rPr>
          <w:rFonts w:ascii="Arial" w:cs="Arial" w:eastAsia="Arial" w:hAnsi="Arial"/>
          <w:sz w:val="22"/>
          <w:szCs w:val="22"/>
          <w:u w:val="single" w:color="auto"/>
          <w:color w:val="auto"/>
        </w:rPr>
        <w:t>TSR Modifier</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After the number of shares of Common Stock in which Participant can vest based on the level of attainment of the Performance Goal is determined, the relative TSR Modifier may either increase or decrease the number of shares from +25% to -25%.</w:t>
      </w:r>
    </w:p>
    <w:p>
      <w:pPr>
        <w:spacing w:after="0" w:line="185" w:lineRule="exact"/>
        <w:rPr>
          <w:sz w:val="20"/>
          <w:szCs w:val="20"/>
          <w:color w:val="auto"/>
        </w:rPr>
      </w:pPr>
    </w:p>
    <w:p>
      <w:pPr>
        <w:jc w:val="both"/>
        <w:ind w:left="1980"/>
        <w:spacing w:after="0" w:line="248" w:lineRule="auto"/>
        <w:rPr>
          <w:sz w:val="20"/>
          <w:szCs w:val="20"/>
          <w:color w:val="auto"/>
        </w:rPr>
      </w:pPr>
      <w:r>
        <w:rPr>
          <w:rFonts w:ascii="Arial" w:cs="Arial" w:eastAsia="Arial" w:hAnsi="Arial"/>
          <w:sz w:val="21"/>
          <w:szCs w:val="21"/>
          <w:u w:val="single" w:color="auto"/>
          <w:color w:val="auto"/>
        </w:rPr>
        <w:t>Performance-Qualified Shares</w:t>
      </w:r>
      <w:r>
        <w:rPr>
          <w:rFonts w:ascii="Arial" w:cs="Arial" w:eastAsia="Arial" w:hAnsi="Arial"/>
          <w:sz w:val="21"/>
          <w:szCs w:val="21"/>
          <w:color w:val="auto"/>
        </w:rPr>
        <w:t>: The maximum number of shares of Common Stock in which Participant can vest on the basis of the foregoing performance measures (as adjusted by the TSR Modifier) shall be hereinafter designated the “Performance-Qualified Shares” and shall in no event exceed in the aggregate 250% of the number of Designated Shares set forth in the Number of Shares Subject to Award section above.</w:t>
      </w:r>
    </w:p>
    <w:p>
      <w:pPr>
        <w:spacing w:after="0" w:line="177" w:lineRule="exact"/>
        <w:rPr>
          <w:sz w:val="20"/>
          <w:szCs w:val="20"/>
          <w:color w:val="auto"/>
        </w:rPr>
      </w:pPr>
    </w:p>
    <w:p>
      <w:pPr>
        <w:jc w:val="both"/>
        <w:ind w:left="1980"/>
        <w:spacing w:after="0" w:line="238" w:lineRule="auto"/>
        <w:rPr>
          <w:sz w:val="20"/>
          <w:szCs w:val="20"/>
          <w:color w:val="auto"/>
        </w:rPr>
      </w:pPr>
      <w:r>
        <w:rPr>
          <w:rFonts w:ascii="Arial" w:cs="Arial" w:eastAsia="Arial" w:hAnsi="Arial"/>
          <w:sz w:val="22"/>
          <w:szCs w:val="22"/>
          <w:b w:val="1"/>
          <w:bCs w:val="1"/>
          <w:i w:val="1"/>
          <w:iCs w:val="1"/>
          <w:color w:val="auto"/>
        </w:rPr>
        <w:t xml:space="preserve">Service Vesting. </w:t>
      </w:r>
      <w:r>
        <w:rPr>
          <w:rFonts w:ascii="Arial" w:cs="Arial" w:eastAsia="Arial" w:hAnsi="Arial"/>
          <w:sz w:val="22"/>
          <w:szCs w:val="22"/>
          <w:color w:val="auto"/>
        </w:rPr>
        <w:t>The number of Performance-Qualified Shares in which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actually vests shall be determined on the basis of his or her satisfaction of the Service-vesting requirements set forth in Paragraph 3 of the form Performance Share Award Agreement.</w:t>
      </w:r>
    </w:p>
    <w:p>
      <w:pPr>
        <w:spacing w:after="0" w:line="18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auto"/>
        </w:rPr>
        <w:t xml:space="preserve">Participant understands and agrees that the Award is granted subject to and in accordance with the terms of the Plan and hereby agrees to be bound by the terms of the Plan and the terms of the Award as set forth in the form Performance Share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Participant hereby acknowledges the receipt of a copy of the official prospectus for the Plan. A copy of the Plan is available upon request made to the Human Resources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5" w:name="page176"/>
    <w:bookmarkEnd w:id="175"/>
    <w:p>
      <w:pPr>
        <w:spacing w:after="0" w:line="251" w:lineRule="auto"/>
        <w:rPr>
          <w:sz w:val="20"/>
          <w:szCs w:val="20"/>
          <w:color w:val="auto"/>
        </w:rPr>
      </w:pPr>
      <w:r>
        <w:rPr>
          <w:rFonts w:ascii="Arial" w:cs="Arial" w:eastAsia="Arial" w:hAnsi="Arial"/>
          <w:sz w:val="22"/>
          <w:szCs w:val="22"/>
          <w:color w:val="auto"/>
        </w:rPr>
        <w:t>Department at the Corporation’s principal offices at 1411 Sand Island Parkway, Honolulu, Hawaii 96819).</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u w:val="single" w:color="auto"/>
          <w:color w:val="auto"/>
        </w:rPr>
        <w:t>Coverage under Recoupment Policy</w:t>
      </w:r>
      <w:r>
        <w:rPr>
          <w:rFonts w:ascii="Arial" w:cs="Arial" w:eastAsia="Arial" w:hAnsi="Arial"/>
          <w:sz w:val="19"/>
          <w:szCs w:val="19"/>
          <w:color w:val="auto"/>
        </w:rPr>
        <w:t>. By accepting this Award, Participant hereby agrees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188" w:lineRule="exact"/>
        <w:rPr>
          <w:sz w:val="20"/>
          <w:szCs w:val="20"/>
          <w:color w:val="auto"/>
        </w:rPr>
      </w:pPr>
    </w:p>
    <w:p>
      <w:pPr>
        <w:jc w:val="both"/>
        <w:ind w:firstLine="1299"/>
        <w:spacing w:after="0" w:line="297" w:lineRule="auto"/>
        <w:tabs>
          <w:tab w:leader="none" w:pos="2263" w:val="left"/>
        </w:tabs>
        <w:numPr>
          <w:ilvl w:val="0"/>
          <w:numId w:val="202"/>
        </w:numPr>
        <w:rPr>
          <w:rFonts w:ascii="Arial" w:cs="Arial" w:eastAsia="Arial" w:hAnsi="Arial"/>
          <w:sz w:val="19"/>
          <w:szCs w:val="19"/>
          <w:color w:val="auto"/>
        </w:rPr>
      </w:pPr>
      <w:r>
        <w:rPr>
          <w:rFonts w:ascii="Arial" w:cs="Arial" w:eastAsia="Arial" w:hAnsi="Arial"/>
          <w:sz w:val="19"/>
          <w:szCs w:val="19"/>
          <w:color w:val="auto"/>
        </w:rPr>
        <w:t>Participant is subject to the Matson, Inc. Policy Regarding Recoupment of Certain Compensation, as it may be amended from time to time, the terms of which are hereby incorporated herein by reference and receipt of a copy of which Participant hereby acknowledges; and</w:t>
      </w:r>
    </w:p>
    <w:p>
      <w:pPr>
        <w:spacing w:after="0" w:line="134" w:lineRule="exact"/>
        <w:rPr>
          <w:rFonts w:ascii="Arial" w:cs="Arial" w:eastAsia="Arial" w:hAnsi="Arial"/>
          <w:sz w:val="19"/>
          <w:szCs w:val="19"/>
          <w:color w:val="auto"/>
        </w:rPr>
      </w:pPr>
    </w:p>
    <w:p>
      <w:pPr>
        <w:ind w:firstLine="1299"/>
        <w:spacing w:after="0" w:line="328" w:lineRule="auto"/>
        <w:tabs>
          <w:tab w:leader="none" w:pos="203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any incentive compensation that is paid or granted to, or received by, Participant under the Award shall be subject to recovery and recoupment pursuant to the terms of such policy.</w:t>
      </w:r>
    </w:p>
    <w:p>
      <w:pPr>
        <w:spacing w:after="0" w:line="10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For purposes of such recoupment policy, “incentive compensation” means all cash or equity-based award (e.g., any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u w:val="single" w:color="auto"/>
          <w:color w:val="auto"/>
        </w:rPr>
        <w:t>Continuing Consent</w:t>
      </w:r>
      <w:r>
        <w:rPr>
          <w:rFonts w:ascii="Arial" w:cs="Arial" w:eastAsia="Arial" w:hAnsi="Arial"/>
          <w:sz w:val="19"/>
          <w:szCs w:val="19"/>
          <w:color w:val="auto"/>
        </w:rPr>
        <w:t xml:space="preserve">. Participant further acknowledges and agrees that, except to the extent the Plan Administrator notifies Participant in writing to the contrary, each subsequent award of Performance Shares made to him or her under the Plan shall be subject to the same terms and conditions set forth in the form Performance Share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Participant hereby accepts those terms and conditions for each such subsequent Performance Shares award that may be made to him or her under the Plan and hereby agrees to be bound by those terms and conditions for any such Performance Share awards, without any further consent or acceptance required on his or her part at the time or times when those awards may be made. However, Participant may, at any time he or she holds an outstanding Performance Share award under the Plan, request a written copy of the form Performance Share Award Agreement from the Corporation by contacting the Corporation’s Human Resources Department at the Corporation’s principal offices.</w:t>
      </w:r>
    </w:p>
    <w:p>
      <w:pPr>
        <w:spacing w:after="0" w:line="156"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u w:val="single" w:color="auto"/>
          <w:color w:val="auto"/>
        </w:rPr>
        <w:t>Employment at Will</w:t>
      </w:r>
      <w:r>
        <w:rPr>
          <w:rFonts w:ascii="Arial" w:cs="Arial" w:eastAsia="Arial" w:hAnsi="Arial"/>
          <w:sz w:val="21"/>
          <w:szCs w:val="21"/>
          <w:color w:val="auto"/>
        </w:rPr>
        <w:t>. Nothing in this Notice or in the form Performance Share Award Agreement or in the Plan shall confer upon Participant any right to continue in Service for any period of specific duration or interfere with or otherwise restrict in any way the rights of the Corporation (or any Parent or Subsidiary employing or retaining Participant) or of Participant, which rights are hereby expressly reserved by each, to terminate Participant’s Service at any time for any reason or no reason with or without advance notice and with or without cause.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6" w:name="page177"/>
    <w:bookmarkEnd w:id="176"/>
    <w:p>
      <w:pPr>
        <w:ind w:firstLine="1296"/>
        <w:spacing w:after="0" w:line="251" w:lineRule="auto"/>
        <w:rPr>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All capitalized terms in this Notice shall have the meaning assigned to them in this Notice or in the form Performance Share Award Agreement.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auto"/>
        </w:rPr>
        <w:t>MATSON, INC.</w:t>
      </w:r>
    </w:p>
    <w:p>
      <w:pPr>
        <w:spacing w:after="0" w:line="200" w:lineRule="exact"/>
        <w:rPr>
          <w:sz w:val="20"/>
          <w:szCs w:val="20"/>
          <w:color w:val="auto"/>
        </w:rPr>
      </w:pPr>
    </w:p>
    <w:p>
      <w:pPr>
        <w:spacing w:after="0" w:line="282"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7620</wp:posOffset>
            </wp:positionV>
            <wp:extent cx="231521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27"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7620</wp:posOffset>
            </wp:positionV>
            <wp:extent cx="231521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520"/>
        <w:spacing w:after="0"/>
        <w:rPr>
          <w:sz w:val="20"/>
          <w:szCs w:val="20"/>
          <w:color w:val="auto"/>
        </w:rPr>
      </w:pPr>
      <w:r>
        <w:rPr>
          <w:rFonts w:ascii="Arial" w:cs="Arial" w:eastAsia="Arial" w:hAnsi="Arial"/>
          <w:sz w:val="22"/>
          <w:szCs w:val="22"/>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-151130</wp:posOffset>
            </wp:positionV>
            <wp:extent cx="231521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3441065</wp:posOffset>
            </wp:positionH>
            <wp:positionV relativeFrom="paragraph">
              <wp:posOffset>324485</wp:posOffset>
            </wp:positionV>
            <wp:extent cx="231521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7620</wp:posOffset>
            </wp:positionV>
            <wp:extent cx="23152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77" w:name="page178"/>
    <w:bookmarkEnd w:id="177"/>
    <w:p>
      <w:pPr>
        <w:ind w:left="3880"/>
        <w:spacing w:after="0"/>
        <w:rPr>
          <w:sz w:val="20"/>
          <w:szCs w:val="20"/>
          <w:color w:val="auto"/>
        </w:rPr>
      </w:pPr>
      <w:r>
        <w:rPr>
          <w:rFonts w:ascii="Arial" w:cs="Arial" w:eastAsia="Arial" w:hAnsi="Arial"/>
          <w:sz w:val="22"/>
          <w:szCs w:val="22"/>
          <w:b w:val="1"/>
          <w:bCs w:val="1"/>
          <w:color w:val="auto"/>
        </w:rPr>
        <w:t>SCHEDULE I</w:t>
      </w:r>
    </w:p>
    <w:p>
      <w:pPr>
        <w:spacing w:after="0" w:line="20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PERFORMANCE PERIOD, PERFORMANCE GOAL, LEVELS OF ATTAINMENT AND TSR</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MODIFIER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PERIOD</w:t>
      </w:r>
    </w:p>
    <w:p>
      <w:pPr>
        <w:spacing w:after="0" w:line="206" w:lineRule="exact"/>
        <w:rPr>
          <w:sz w:val="20"/>
          <w:szCs w:val="20"/>
          <w:color w:val="auto"/>
        </w:rPr>
      </w:pPr>
    </w:p>
    <w:p>
      <w:pPr>
        <w:jc w:val="both"/>
        <w:ind w:firstLine="1296"/>
        <w:spacing w:after="0" w:line="251" w:lineRule="auto"/>
        <w:rPr>
          <w:sz w:val="20"/>
          <w:szCs w:val="20"/>
          <w:color w:val="auto"/>
        </w:rPr>
      </w:pPr>
      <w:r>
        <w:rPr>
          <w:rFonts w:ascii="Arial" w:cs="Arial" w:eastAsia="Arial" w:hAnsi="Arial"/>
          <w:sz w:val="22"/>
          <w:szCs w:val="22"/>
          <w:color w:val="auto"/>
        </w:rPr>
        <w:t>The Performance Period shall be the three (3)-year period beginning January 1, and ending December 31, .</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PERFORMANCE GOAL – RETURN ON INVESTED CAPITAL</w:t>
      </w:r>
    </w:p>
    <w:p>
      <w:pPr>
        <w:spacing w:after="0" w:line="206"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auto"/>
        </w:rPr>
        <w:t>The performance vesting requirement for this Award shall be tied to the level of attainment of the Average ROIC for the Performance Period. The required levels of attainment of Average ROIC for the Performance Period at the Threshold, Target and Extraordinary Levels are as follows:</w:t>
      </w:r>
    </w:p>
    <w:p>
      <w:pPr>
        <w:sectPr>
          <w:pgSz w:w="11900" w:h="16838" w:orient="portrait"/>
          <w:cols w:equalWidth="0" w:num="1">
            <w:col w:w="9060"/>
          </w:cols>
          <w:pgMar w:left="1420" w:top="112" w:right="1419" w:bottom="1440" w:gutter="0" w:footer="0" w:header="0"/>
        </w:sectPr>
      </w:pP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Threshold Level: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79" w:lineRule="exact"/>
        <w:rPr>
          <w:sz w:val="20"/>
          <w:szCs w:val="20"/>
          <w:color w:val="auto"/>
        </w:rPr>
      </w:pPr>
    </w:p>
    <w:p>
      <w:pPr>
        <w:sectPr>
          <w:pgSz w:w="11900" w:h="16838" w:orient="portrait"/>
          <w:cols w:equalWidth="0" w:num="2">
            <w:col w:w="2780" w:space="440"/>
            <w:col w:w="5840"/>
          </w:cols>
          <w:pgMar w:left="1420" w:top="112" w:right="1419" w:bottom="1440" w:gutter="0" w:footer="0" w:header="0"/>
          <w:type w:val="continuous"/>
        </w:sectPr>
      </w:pPr>
    </w:p>
    <w:p>
      <w:pPr>
        <w:ind w:left="1300"/>
        <w:spacing w:after="0"/>
        <w:rPr>
          <w:sz w:val="20"/>
          <w:szCs w:val="20"/>
          <w:color w:val="auto"/>
        </w:rPr>
      </w:pPr>
      <w:r>
        <w:rPr>
          <w:rFonts w:ascii="Arial" w:cs="Arial" w:eastAsia="Arial" w:hAnsi="Arial"/>
          <w:sz w:val="19"/>
          <w:szCs w:val="19"/>
          <w:color w:val="auto"/>
        </w:rPr>
        <w:t>Target Level: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79" w:lineRule="exact"/>
        <w:rPr>
          <w:sz w:val="20"/>
          <w:szCs w:val="20"/>
          <w:color w:val="auto"/>
        </w:rPr>
      </w:pPr>
    </w:p>
    <w:p>
      <w:pPr>
        <w:sectPr>
          <w:pgSz w:w="11900" w:h="16838" w:orient="portrait"/>
          <w:cols w:equalWidth="0" w:num="2">
            <w:col w:w="2480" w:space="720"/>
            <w:col w:w="5860"/>
          </w:cols>
          <w:pgMar w:left="1420" w:top="112" w:right="1419" w:bottom="1440" w:gutter="0" w:footer="0" w:header="0"/>
          <w:type w:val="continuous"/>
        </w:sectPr>
      </w:pPr>
    </w:p>
    <w:p>
      <w:pPr>
        <w:ind w:left="1300"/>
        <w:spacing w:after="0"/>
        <w:rPr>
          <w:sz w:val="20"/>
          <w:szCs w:val="20"/>
          <w:color w:val="auto"/>
        </w:rPr>
      </w:pPr>
      <w:r>
        <w:rPr>
          <w:rFonts w:ascii="Arial" w:cs="Arial" w:eastAsia="Arial" w:hAnsi="Arial"/>
          <w:sz w:val="19"/>
          <w:szCs w:val="19"/>
          <w:color w:val="auto"/>
        </w:rPr>
        <w:t>Extraordinary Level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ectPr>
          <w:pgSz w:w="11900" w:h="16838" w:orient="portrait"/>
          <w:cols w:equalWidth="0" w:num="2">
            <w:col w:w="3040" w:space="160"/>
            <w:col w:w="5860"/>
          </w:cols>
          <w:pgMar w:left="1420" w:top="112" w:right="1419" w:bottom="1440" w:gutter="0" w:footer="0" w:header="0"/>
          <w:type w:val="continuous"/>
        </w:sectPr>
      </w:pPr>
    </w:p>
    <w:p>
      <w:pPr>
        <w:spacing w:after="0" w:line="41"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“Average ROIC” shall be the percentage, rounded down to the nearest tenth of a percent, determined as follows:</w:t>
      </w:r>
    </w:p>
    <w:p>
      <w:pPr>
        <w:spacing w:after="0" w:line="173" w:lineRule="exact"/>
        <w:rPr>
          <w:sz w:val="20"/>
          <w:szCs w:val="20"/>
          <w:color w:val="auto"/>
        </w:rPr>
      </w:pPr>
    </w:p>
    <w:p>
      <w:pPr>
        <w:jc w:val="center"/>
        <w:ind w:right="1980"/>
        <w:spacing w:after="0"/>
        <w:tabs>
          <w:tab w:leader="none" w:pos="300" w:val="left"/>
          <w:tab w:leader="none" w:pos="340" w:val="left"/>
        </w:tabs>
        <w:rPr>
          <w:sz w:val="20"/>
          <w:szCs w:val="20"/>
          <w:color w:val="auto"/>
        </w:rPr>
      </w:pPr>
      <w:r>
        <w:rPr>
          <w:rFonts w:ascii="Arial" w:cs="Arial" w:eastAsia="Arial" w:hAnsi="Arial"/>
          <w:sz w:val="22"/>
          <w:szCs w:val="22"/>
          <w:color w:val="auto"/>
        </w:rPr>
        <w:t>Annual ROIC for</w:t>
        <w:tab/>
        <w:t>+Annual ROIC for</w:t>
      </w:r>
      <w:r>
        <w:rPr>
          <w:sz w:val="20"/>
          <w:szCs w:val="20"/>
          <w:color w:val="auto"/>
        </w:rPr>
        <w:tab/>
      </w:r>
      <w:r>
        <w:rPr>
          <w:rFonts w:ascii="Arial" w:cs="Arial" w:eastAsia="Arial" w:hAnsi="Arial"/>
          <w:sz w:val="19"/>
          <w:szCs w:val="19"/>
          <w:color w:val="auto"/>
        </w:rPr>
        <w:t>+Annual ROIC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459676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596765" cy="8890"/>
                    </a:xfrm>
                    <a:prstGeom prst="rect">
                      <a:avLst/>
                    </a:prstGeom>
                    <a:noFill/>
                  </pic:spPr>
                </pic:pic>
              </a:graphicData>
            </a:graphic>
          </wp:anchor>
        </w:drawing>
      </w:r>
    </w:p>
    <w:p>
      <w:pPr>
        <w:spacing w:after="0" w:line="2" w:lineRule="exact"/>
        <w:rPr>
          <w:sz w:val="20"/>
          <w:szCs w:val="20"/>
          <w:color w:val="auto"/>
        </w:rPr>
      </w:pPr>
    </w:p>
    <w:p>
      <w:pPr>
        <w:jc w:val="center"/>
        <w:ind w:right="1820"/>
        <w:spacing w:after="0"/>
        <w:rPr>
          <w:sz w:val="20"/>
          <w:szCs w:val="20"/>
          <w:color w:val="auto"/>
        </w:rPr>
      </w:pPr>
      <w:r>
        <w:rPr>
          <w:rFonts w:ascii="Arial" w:cs="Arial" w:eastAsia="Arial" w:hAnsi="Arial"/>
          <w:sz w:val="22"/>
          <w:szCs w:val="22"/>
          <w:color w:val="auto"/>
        </w:rPr>
        <w:t>3</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color w:val="auto"/>
        </w:rPr>
        <w:t>“Annual ROIC” for a calendar year shall be the percentage determined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900" w:type="dxa"/>
            <w:vAlign w:val="bottom"/>
            <w:tcBorders>
              <w:bottom w:val="single" w:sz="8" w:color="auto"/>
            </w:tcBorders>
          </w:tcPr>
          <w:p>
            <w:pPr>
              <w:jc w:val="center"/>
              <w:ind w:left="32"/>
              <w:spacing w:after="0"/>
              <w:rPr>
                <w:sz w:val="20"/>
                <w:szCs w:val="20"/>
                <w:color w:val="auto"/>
              </w:rPr>
            </w:pPr>
            <w:r>
              <w:rPr>
                <w:rFonts w:ascii="Arial" w:cs="Arial" w:eastAsia="Arial" w:hAnsi="Arial"/>
                <w:sz w:val="22"/>
                <w:szCs w:val="22"/>
                <w:color w:val="auto"/>
                <w:w w:val="89"/>
              </w:rPr>
              <w:t>Net Income After Tax + After Tax Interest Expense</w:t>
            </w:r>
          </w:p>
        </w:tc>
        <w:tc>
          <w:tcPr>
            <w:tcW w:w="140" w:type="dxa"/>
            <w:vAlign w:val="bottom"/>
            <w:tcBorders>
              <w:bottom w:val="single" w:sz="8" w:color="auto"/>
            </w:tcBorders>
          </w:tcPr>
          <w:p>
            <w:pPr>
              <w:spacing w:after="0"/>
              <w:rPr>
                <w:sz w:val="23"/>
                <w:szCs w:val="23"/>
                <w:color w:val="auto"/>
              </w:rPr>
            </w:pPr>
          </w:p>
        </w:tc>
        <w:tc>
          <w:tcPr>
            <w:tcW w:w="480" w:type="dxa"/>
            <w:vAlign w:val="bottom"/>
            <w:vMerge w:val="restart"/>
          </w:tcPr>
          <w:p>
            <w:pPr>
              <w:spacing w:after="0"/>
              <w:rPr>
                <w:sz w:val="20"/>
                <w:szCs w:val="20"/>
                <w:color w:val="auto"/>
              </w:rPr>
            </w:pPr>
            <w:r>
              <w:rPr>
                <w:rFonts w:ascii="Arial" w:cs="Arial" w:eastAsia="Arial" w:hAnsi="Arial"/>
                <w:sz w:val="22"/>
                <w:szCs w:val="22"/>
                <w:color w:val="auto"/>
                <w:w w:val="85"/>
              </w:rPr>
              <w:t>x 100</w:t>
            </w:r>
          </w:p>
        </w:tc>
        <w:tc>
          <w:tcPr>
            <w:tcW w:w="0" w:type="dxa"/>
            <w:vAlign w:val="bottom"/>
          </w:tcPr>
          <w:p>
            <w:pPr>
              <w:spacing w:after="0"/>
              <w:rPr>
                <w:sz w:val="1"/>
                <w:szCs w:val="1"/>
                <w:color w:val="auto"/>
              </w:rPr>
            </w:pPr>
          </w:p>
        </w:tc>
      </w:tr>
      <w:tr>
        <w:trPr>
          <w:trHeight w:val="112"/>
        </w:trPr>
        <w:tc>
          <w:tcPr>
            <w:tcW w:w="4900" w:type="dxa"/>
            <w:vAlign w:val="bottom"/>
            <w:vMerge w:val="restart"/>
          </w:tcPr>
          <w:p>
            <w:pPr>
              <w:jc w:val="center"/>
              <w:ind w:left="32"/>
              <w:spacing w:after="0"/>
              <w:rPr>
                <w:sz w:val="20"/>
                <w:szCs w:val="20"/>
                <w:color w:val="auto"/>
              </w:rPr>
            </w:pPr>
            <w:r>
              <w:rPr>
                <w:rFonts w:ascii="Arial" w:cs="Arial" w:eastAsia="Arial" w:hAnsi="Arial"/>
                <w:sz w:val="22"/>
                <w:szCs w:val="22"/>
                <w:color w:val="auto"/>
                <w:w w:val="89"/>
              </w:rPr>
              <w:t>Average Debt + Average Total Shareholders’ Equity</w:t>
            </w:r>
          </w:p>
        </w:tc>
        <w:tc>
          <w:tcPr>
            <w:tcW w:w="1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Annual ROIC for a calendar year shall be calculated on a consolidated basis with the Corporation’s consolidated subsidiaries for U.S. financial reporting purposes and shall be determined on the basis of the Corporation’s audited financial statements for such year prepared in accordance with United States generally accepted accounting principles, subject to any adjustments as determined by the Plan Administrator that are needed to accurately reflect the performance of the Corporation (e.g., because of changes in accounting rules, extraordinary gains from the sale of the Corporation’s assets, unforeseen extraordinary events affecting the Corporation or any of its business operations, or other similar or dissimilar circumstances occurring during the Performance Period that may or may not have been beyond the control of the Corporation).</w:t>
      </w:r>
    </w:p>
    <w:p>
      <w:pPr>
        <w:spacing w:after="0" w:line="15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“Average Debt” for a calendar year means the average of the Debt at the beginning of the year and Debt at the end of the year.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78" w:name="page179"/>
    <w:bookmarkEnd w:id="178"/>
    <w:p>
      <w:pPr>
        <w:jc w:val="both"/>
        <w:ind w:right="20"/>
        <w:spacing w:after="0" w:line="241" w:lineRule="auto"/>
        <w:rPr>
          <w:sz w:val="20"/>
          <w:szCs w:val="20"/>
          <w:color w:val="auto"/>
        </w:rPr>
      </w:pPr>
      <w:r>
        <w:rPr>
          <w:rFonts w:ascii="Arial" w:cs="Arial" w:eastAsia="Arial" w:hAnsi="Arial"/>
          <w:sz w:val="22"/>
          <w:szCs w:val="22"/>
          <w:color w:val="auto"/>
        </w:rPr>
        <w:t>“Debt” means long-term debt plus notes payable and current portion of the long term debt, as determined in accordance with United States generally accepted accounting principles, and is intended to include potential convertible debt and other hybrid debt issued in the future.</w:t>
      </w:r>
    </w:p>
    <w:p>
      <w:pPr>
        <w:spacing w:after="0" w:line="18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Unless otherwise defined above or in the Notice of Award of Performance Shares to which this Schedule is attached, capitalized terms used in this Schedule shall be construed in accordance with accounting principles generally accepted in the Unites States.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TSR MODIFIER</w:t>
      </w:r>
    </w:p>
    <w:p>
      <w:pPr>
        <w:spacing w:after="0" w:line="206" w:lineRule="exact"/>
        <w:rPr>
          <w:sz w:val="20"/>
          <w:szCs w:val="20"/>
          <w:color w:val="auto"/>
        </w:rPr>
      </w:pPr>
    </w:p>
    <w:p>
      <w:pPr>
        <w:jc w:val="both"/>
        <w:ind w:right="20" w:firstLine="1296"/>
        <w:spacing w:after="0" w:line="249" w:lineRule="auto"/>
        <w:rPr>
          <w:sz w:val="20"/>
          <w:szCs w:val="20"/>
          <w:color w:val="auto"/>
        </w:rPr>
      </w:pPr>
      <w:r>
        <w:rPr>
          <w:rFonts w:ascii="Arial" w:cs="Arial" w:eastAsia="Arial" w:hAnsi="Arial"/>
          <w:sz w:val="21"/>
          <w:szCs w:val="21"/>
          <w:color w:val="auto"/>
        </w:rPr>
        <w:t>The number of shares which are to vest based on attainment of the Performance Goal shall be modified based on the percentile level at which the total shareholder return to the Corporation's shareholders over the Performance Period stands relative to the total shareholder return realized for that period by the companies comprising the S&amp;P Transportation Select Industry Index and S&amp;P MidCap 400 Index (with each index weighted 50%) as follows: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TSR Modifier and Payout Adjustment</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365"/>
        </w:trPr>
        <w:tc>
          <w:tcPr>
            <w:tcW w:w="4540" w:type="dxa"/>
            <w:vAlign w:val="bottom"/>
            <w:tcBorders>
              <w:top w:val="single" w:sz="8" w:color="auto"/>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22"/>
                <w:szCs w:val="22"/>
                <w:b w:val="1"/>
                <w:bCs w:val="1"/>
                <w:color w:val="auto"/>
                <w:w w:val="90"/>
              </w:rPr>
              <w:t>Relative TSR Performance</w:t>
            </w:r>
          </w:p>
        </w:tc>
        <w:tc>
          <w:tcPr>
            <w:tcW w:w="4540" w:type="dxa"/>
            <w:vAlign w:val="bottom"/>
            <w:tcBorders>
              <w:top w:val="single" w:sz="8" w:color="auto"/>
              <w:bottom w:val="single" w:sz="8" w:color="auto"/>
              <w:right w:val="single" w:sz="8" w:color="auto"/>
            </w:tcBorders>
          </w:tcPr>
          <w:p>
            <w:pPr>
              <w:ind w:left="1040"/>
              <w:spacing w:after="0"/>
              <w:rPr>
                <w:sz w:val="20"/>
                <w:szCs w:val="20"/>
                <w:color w:val="auto"/>
              </w:rPr>
            </w:pPr>
            <w:r>
              <w:rPr>
                <w:rFonts w:ascii="Arial" w:cs="Arial" w:eastAsia="Arial" w:hAnsi="Arial"/>
                <w:sz w:val="22"/>
                <w:szCs w:val="22"/>
                <w:b w:val="1"/>
                <w:bCs w:val="1"/>
                <w:color w:val="auto"/>
              </w:rPr>
              <w:t>TSR Modifier Adjustment</w:t>
            </w:r>
          </w:p>
        </w:tc>
      </w:tr>
      <w:tr>
        <w:trPr>
          <w:trHeight w:val="318"/>
        </w:trPr>
        <w:tc>
          <w:tcPr>
            <w:tcW w:w="1560" w:type="dxa"/>
            <w:vAlign w:val="bottom"/>
            <w:tcBorders>
              <w:left w:val="single" w:sz="8" w:color="auto"/>
            </w:tcBorders>
          </w:tcPr>
          <w:p>
            <w:pPr>
              <w:spacing w:after="0"/>
              <w:rPr>
                <w:sz w:val="24"/>
                <w:szCs w:val="24"/>
                <w:color w:val="auto"/>
              </w:rPr>
            </w:pPr>
          </w:p>
        </w:tc>
        <w:tc>
          <w:tcPr>
            <w:tcW w:w="2980" w:type="dxa"/>
            <w:vAlign w:val="bottom"/>
            <w:tcBorders>
              <w:right w:val="single" w:sz="8" w:color="auto"/>
            </w:tcBorders>
            <w:gridSpan w:val="2"/>
          </w:tcPr>
          <w:p>
            <w:pPr>
              <w:jc w:val="center"/>
              <w:ind w:right="1560"/>
              <w:spacing w:after="0"/>
              <w:rPr>
                <w:sz w:val="20"/>
                <w:szCs w:val="20"/>
                <w:color w:val="auto"/>
              </w:rPr>
            </w:pPr>
            <w:r>
              <w:rPr>
                <w:rFonts w:ascii="Arial" w:cs="Arial" w:eastAsia="Arial" w:hAnsi="Arial"/>
                <w:sz w:val="22"/>
                <w:szCs w:val="22"/>
                <w:color w:val="auto"/>
                <w:w w:val="90"/>
              </w:rPr>
              <w:t>&gt;75th percentile</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+25%</w:t>
            </w:r>
          </w:p>
        </w:tc>
      </w:tr>
      <w:tr>
        <w:trPr>
          <w:trHeight w:val="20"/>
        </w:trPr>
        <w:tc>
          <w:tcPr>
            <w:tcW w:w="156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60" w:type="dxa"/>
            <w:vAlign w:val="bottom"/>
            <w:tcBorders>
              <w:right w:val="single" w:sz="8" w:color="auto"/>
            </w:tcBorders>
          </w:tcPr>
          <w:p>
            <w:pPr>
              <w:spacing w:after="0" w:line="20" w:lineRule="exact"/>
              <w:rPr>
                <w:sz w:val="1"/>
                <w:szCs w:val="1"/>
                <w:color w:val="auto"/>
              </w:rPr>
            </w:pPr>
          </w:p>
        </w:tc>
        <w:tc>
          <w:tcPr>
            <w:tcW w:w="4540" w:type="dxa"/>
            <w:vAlign w:val="bottom"/>
            <w:tcBorders>
              <w:right w:val="single" w:sz="8" w:color="auto"/>
            </w:tcBorders>
          </w:tcPr>
          <w:p>
            <w:pPr>
              <w:spacing w:after="0" w:line="20" w:lineRule="exact"/>
              <w:rPr>
                <w:sz w:val="1"/>
                <w:szCs w:val="1"/>
                <w:color w:val="auto"/>
              </w:rPr>
            </w:pPr>
          </w:p>
        </w:tc>
      </w:tr>
      <w:tr>
        <w:trPr>
          <w:trHeight w:val="395"/>
        </w:trPr>
        <w:tc>
          <w:tcPr>
            <w:tcW w:w="1560" w:type="dxa"/>
            <w:vAlign w:val="bottom"/>
            <w:tcBorders>
              <w:left w:val="single" w:sz="8" w:color="auto"/>
            </w:tcBorders>
          </w:tcPr>
          <w:p>
            <w:pPr>
              <w:spacing w:after="0"/>
              <w:rPr>
                <w:sz w:val="24"/>
                <w:szCs w:val="24"/>
                <w:color w:val="auto"/>
              </w:rPr>
            </w:pPr>
          </w:p>
        </w:tc>
        <w:tc>
          <w:tcPr>
            <w:tcW w:w="2980" w:type="dxa"/>
            <w:vAlign w:val="bottom"/>
            <w:tcBorders>
              <w:right w:val="single" w:sz="8" w:color="auto"/>
            </w:tcBorders>
            <w:gridSpan w:val="2"/>
          </w:tcPr>
          <w:p>
            <w:pPr>
              <w:jc w:val="center"/>
              <w:ind w:right="1560"/>
              <w:spacing w:after="0"/>
              <w:rPr>
                <w:sz w:val="20"/>
                <w:szCs w:val="20"/>
                <w:color w:val="auto"/>
              </w:rPr>
            </w:pPr>
            <w:r>
              <w:rPr>
                <w:rFonts w:ascii="Arial" w:cs="Arial" w:eastAsia="Arial" w:hAnsi="Arial"/>
                <w:sz w:val="22"/>
                <w:szCs w:val="22"/>
                <w:color w:val="auto"/>
                <w:w w:val="90"/>
              </w:rPr>
              <w:t>50th percentile</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r>
        <w:trPr>
          <w:trHeight w:val="314"/>
        </w:trPr>
        <w:tc>
          <w:tcPr>
            <w:tcW w:w="45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22"/>
                <w:szCs w:val="22"/>
                <w:color w:val="auto"/>
                <w:w w:val="90"/>
              </w:rPr>
              <w:t>&lt;25th percentile</w:t>
            </w: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3"/>
              </w:rPr>
              <w:t>-25%</w:t>
            </w:r>
          </w:p>
        </w:tc>
      </w:tr>
      <w:tr>
        <w:trPr>
          <w:trHeight w:val="21"/>
        </w:trPr>
        <w:tc>
          <w:tcPr>
            <w:tcW w:w="15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bottom w:val="single" w:sz="8" w:color="auto"/>
              <w:right w:val="single" w:sz="8" w:color="auto"/>
            </w:tcBorders>
          </w:tcPr>
          <w:p>
            <w:pPr>
              <w:spacing w:after="0" w:line="20" w:lineRule="exact"/>
              <w:rPr>
                <w:sz w:val="1"/>
                <w:szCs w:val="1"/>
                <w:color w:val="auto"/>
              </w:rPr>
            </w:pPr>
          </w:p>
        </w:tc>
        <w:tc>
          <w:tcPr>
            <w:tcW w:w="4540" w:type="dxa"/>
            <w:vAlign w:val="bottom"/>
            <w:tcBorders>
              <w:bottom w:val="single" w:sz="8" w:color="auto"/>
              <w:right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220"/>
        <w:spacing w:after="0" w:line="452" w:lineRule="auto"/>
        <w:rPr>
          <w:sz w:val="20"/>
          <w:szCs w:val="20"/>
          <w:color w:val="auto"/>
        </w:rPr>
      </w:pPr>
      <w:r>
        <w:rPr>
          <w:rFonts w:ascii="Arial" w:cs="Arial" w:eastAsia="Arial" w:hAnsi="Arial"/>
          <w:sz w:val="22"/>
          <w:szCs w:val="22"/>
          <w:color w:val="auto"/>
        </w:rPr>
        <w:t xml:space="preserve">Adjustment for TSR Modifier between performance levels will be interpolated on a straight-line basis. </w:t>
      </w:r>
      <w:r>
        <w:rPr>
          <w:rFonts w:ascii="Arial" w:cs="Arial" w:eastAsia="Arial" w:hAnsi="Arial"/>
          <w:sz w:val="22"/>
          <w:szCs w:val="22"/>
          <w:b w:val="1"/>
          <w:bCs w:val="1"/>
          <w:i w:val="1"/>
          <w:iCs w:val="1"/>
          <w:color w:val="auto"/>
        </w:rPr>
        <w:t>Effect of TSR Modifier</w:t>
      </w:r>
    </w:p>
    <w:tbl>
      <w:tblPr>
        <w:tblLayout w:type="fixed"/>
        <w:tblInd w:w="10" w:type="dxa"/>
        <w:tblCellMar>
          <w:top w:w="0" w:type="dxa"/>
          <w:left w:w="0" w:type="dxa"/>
          <w:bottom w:w="0" w:type="dxa"/>
          <w:right w:w="0" w:type="dxa"/>
        </w:tblCellMar>
      </w:tblPr>
      <w:tr>
        <w:trPr>
          <w:trHeight w:val="345"/>
        </w:trPr>
        <w:tc>
          <w:tcPr>
            <w:tcW w:w="1820" w:type="dxa"/>
            <w:vAlign w:val="bottom"/>
            <w:tcBorders>
              <w:top w:val="single" w:sz="8" w:color="auto"/>
              <w:left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3"/>
              </w:rPr>
              <w:t>ROIC Performance</w:t>
            </w:r>
          </w:p>
        </w:tc>
        <w:tc>
          <w:tcPr>
            <w:tcW w:w="1780" w:type="dxa"/>
            <w:vAlign w:val="bottom"/>
            <w:tcBorders>
              <w:top w:val="single" w:sz="8" w:color="auto"/>
              <w:bottom w:val="single" w:sz="8" w:color="auto"/>
              <w:right w:val="single" w:sz="8" w:color="auto"/>
            </w:tcBorders>
          </w:tcPr>
          <w:p>
            <w:pPr>
              <w:spacing w:after="0"/>
              <w:rPr>
                <w:sz w:val="24"/>
                <w:szCs w:val="24"/>
                <w:color w:val="auto"/>
              </w:rPr>
            </w:pPr>
          </w:p>
        </w:tc>
        <w:tc>
          <w:tcPr>
            <w:tcW w:w="3640" w:type="dxa"/>
            <w:vAlign w:val="bottom"/>
            <w:tcBorders>
              <w:top w:val="single" w:sz="8" w:color="auto"/>
              <w:bottom w:val="single" w:sz="8" w:color="auto"/>
              <w:right w:val="single" w:sz="8" w:color="auto"/>
            </w:tcBorders>
            <w:gridSpan w:val="2"/>
          </w:tcPr>
          <w:p>
            <w:pPr>
              <w:ind w:left="980"/>
              <w:spacing w:after="0"/>
              <w:rPr>
                <w:sz w:val="20"/>
                <w:szCs w:val="20"/>
                <w:color w:val="auto"/>
              </w:rPr>
            </w:pPr>
            <w:r>
              <w:rPr>
                <w:rFonts w:ascii="Arial" w:cs="Arial" w:eastAsia="Arial" w:hAnsi="Arial"/>
                <w:sz w:val="22"/>
                <w:szCs w:val="22"/>
                <w:b w:val="1"/>
                <w:bCs w:val="1"/>
                <w:color w:val="auto"/>
              </w:rPr>
              <w:t>TSR Performance</w:t>
            </w:r>
          </w:p>
        </w:tc>
      </w:tr>
      <w:tr>
        <w:trPr>
          <w:trHeight w:val="317"/>
        </w:trPr>
        <w:tc>
          <w:tcPr>
            <w:tcW w:w="18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Performance</w:t>
            </w:r>
          </w:p>
        </w:tc>
        <w:tc>
          <w:tcPr>
            <w:tcW w:w="180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Performance as</w:t>
            </w:r>
          </w:p>
        </w:tc>
        <w:tc>
          <w:tcPr>
            <w:tcW w:w="40" w:type="dxa"/>
            <w:vAlign w:val="bottom"/>
          </w:tcPr>
          <w:p>
            <w:pPr>
              <w:spacing w:after="0"/>
              <w:rPr>
                <w:sz w:val="24"/>
                <w:szCs w:val="24"/>
                <w:color w:val="auto"/>
              </w:rPr>
            </w:pP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22"/>
                <w:szCs w:val="22"/>
                <w:b w:val="1"/>
                <w:bCs w:val="1"/>
                <w:color w:val="auto"/>
              </w:rPr>
              <w:t>Payout as % of</w:t>
            </w:r>
          </w:p>
        </w:tc>
        <w:tc>
          <w:tcPr>
            <w:tcW w:w="174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Total Payout as</w:t>
            </w:r>
          </w:p>
        </w:tc>
      </w:tr>
      <w:tr>
        <w:trPr>
          <w:trHeight w:val="271"/>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Level</w:t>
            </w:r>
          </w:p>
        </w:tc>
        <w:tc>
          <w:tcPr>
            <w:tcW w:w="18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 of Target</w:t>
            </w:r>
          </w:p>
        </w:tc>
        <w:tc>
          <w:tcPr>
            <w:tcW w:w="40" w:type="dxa"/>
            <w:vAlign w:val="bottom"/>
            <w:tcBorders>
              <w:bottom w:val="single" w:sz="8" w:color="auto"/>
            </w:tcBorders>
          </w:tcPr>
          <w:p>
            <w:pPr>
              <w:spacing w:after="0"/>
              <w:rPr>
                <w:sz w:val="23"/>
                <w:szCs w:val="23"/>
                <w:color w:val="auto"/>
              </w:rPr>
            </w:pPr>
          </w:p>
        </w:tc>
        <w:tc>
          <w:tcPr>
            <w:tcW w:w="1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Target</w:t>
            </w:r>
          </w:p>
        </w:tc>
        <w:tc>
          <w:tcPr>
            <w:tcW w:w="1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TSR Modifier</w:t>
            </w:r>
          </w:p>
        </w:tc>
        <w:tc>
          <w:tcPr>
            <w:tcW w:w="190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rPr>
              <w:t>% of Target</w:t>
            </w:r>
          </w:p>
        </w:tc>
      </w:tr>
      <w:tr>
        <w:trPr>
          <w:trHeight w:val="358"/>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Extraordinary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120%</w:t>
            </w: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200%</w:t>
            </w:r>
          </w:p>
        </w:tc>
        <w:tc>
          <w:tcPr>
            <w:tcW w:w="17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-25% to + 25%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150% ̵250%</w:t>
            </w:r>
          </w:p>
        </w:tc>
      </w:tr>
      <w:tr>
        <w:trPr>
          <w:trHeight w:val="358"/>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Target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100%</w:t>
            </w:r>
          </w:p>
        </w:tc>
        <w:tc>
          <w:tcPr>
            <w:tcW w:w="17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-25% to + 25%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75% ̵125%</w:t>
            </w:r>
          </w:p>
        </w:tc>
      </w:tr>
      <w:tr>
        <w:trPr>
          <w:trHeight w:val="358"/>
        </w:trPr>
        <w:tc>
          <w:tcPr>
            <w:tcW w:w="18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rPr>
              <w:t>Threshold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80%</w:t>
            </w: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25%</w:t>
            </w:r>
          </w:p>
        </w:tc>
        <w:tc>
          <w:tcPr>
            <w:tcW w:w="17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22"/>
                <w:szCs w:val="22"/>
                <w:color w:val="auto"/>
              </w:rPr>
              <w:t>-25% to + 25%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18.75% ̵31.25%</w:t>
            </w:r>
          </w:p>
        </w:tc>
      </w:tr>
    </w:tbl>
    <w:p>
      <w:pPr>
        <w:spacing w:after="0" w:line="222" w:lineRule="exact"/>
        <w:rPr>
          <w:sz w:val="20"/>
          <w:szCs w:val="20"/>
          <w:color w:val="auto"/>
        </w:rPr>
      </w:pPr>
    </w:p>
    <w:p>
      <w:pPr>
        <w:ind w:right="240" w:firstLine="648"/>
        <w:spacing w:after="0" w:line="251" w:lineRule="auto"/>
        <w:rPr>
          <w:sz w:val="20"/>
          <w:szCs w:val="20"/>
          <w:color w:val="auto"/>
        </w:rPr>
      </w:pPr>
      <w:r>
        <w:rPr>
          <w:rFonts w:ascii="Arial" w:cs="Arial" w:eastAsia="Arial" w:hAnsi="Arial"/>
          <w:sz w:val="22"/>
          <w:szCs w:val="22"/>
          <w:color w:val="auto"/>
        </w:rPr>
        <w:t>For such purpose, the total shareholder return (“</w:t>
      </w:r>
      <w:r>
        <w:rPr>
          <w:rFonts w:ascii="Arial" w:cs="Arial" w:eastAsia="Arial" w:hAnsi="Arial"/>
          <w:sz w:val="22"/>
          <w:szCs w:val="22"/>
          <w:b w:val="1"/>
          <w:bCs w:val="1"/>
          <w:i w:val="1"/>
          <w:iCs w:val="1"/>
          <w:color w:val="auto"/>
        </w:rPr>
        <w:t>TSR</w:t>
      </w:r>
      <w:r>
        <w:rPr>
          <w:rFonts w:ascii="Arial" w:cs="Arial" w:eastAsia="Arial" w:hAnsi="Arial"/>
          <w:sz w:val="22"/>
          <w:szCs w:val="22"/>
          <w:color w:val="auto"/>
        </w:rPr>
        <w:t>”) for the Corporation’s stockholders shall be determined pursuant to the following formula:</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8" w:right="1399" w:bottom="1440" w:gutter="0" w:footer="0" w:header="0"/>
        </w:sectPr>
      </w:pPr>
    </w:p>
    <w:bookmarkStart w:id="179" w:name="page180"/>
    <w:bookmarkEnd w:id="179"/>
    <w:p>
      <w:pPr>
        <w:jc w:val="center"/>
        <w:ind w:right="300"/>
        <w:spacing w:after="0" w:line="251" w:lineRule="auto"/>
        <w:rPr>
          <w:sz w:val="20"/>
          <w:szCs w:val="20"/>
          <w:color w:val="auto"/>
        </w:rPr>
      </w:pPr>
      <w:r>
        <w:rPr>
          <w:rFonts w:ascii="Arial" w:cs="Arial" w:eastAsia="Arial" w:hAnsi="Arial"/>
          <w:sz w:val="22"/>
          <w:szCs w:val="22"/>
          <w:color w:val="auto"/>
        </w:rPr>
        <w:t>TSR = (</w:t>
      </w:r>
      <w:r>
        <w:rPr>
          <w:rFonts w:ascii="Arial" w:cs="Arial" w:eastAsia="Arial" w:hAnsi="Arial"/>
          <w:sz w:val="22"/>
          <w:szCs w:val="22"/>
          <w:u w:val="single" w:color="auto"/>
          <w:color w:val="auto"/>
        </w:rPr>
        <w:t>Ending Stock Price* - Beginning Stock Price**) + Reinvested Dividends***</w:t>
      </w:r>
      <w:r>
        <w:rPr>
          <w:rFonts w:ascii="Arial" w:cs="Arial" w:eastAsia="Arial" w:hAnsi="Arial"/>
          <w:sz w:val="22"/>
          <w:szCs w:val="22"/>
          <w:color w:val="auto"/>
        </w:rPr>
        <w:t xml:space="preserve"> Beginning Stock Price**</w:t>
      </w:r>
    </w:p>
    <w:p>
      <w:pPr>
        <w:spacing w:after="0" w:line="173" w:lineRule="exact"/>
        <w:rPr>
          <w:sz w:val="20"/>
          <w:szCs w:val="20"/>
          <w:color w:val="auto"/>
        </w:rPr>
      </w:pPr>
    </w:p>
    <w:p>
      <w:pPr>
        <w:ind w:firstLine="651"/>
        <w:spacing w:after="0" w:line="251" w:lineRule="auto"/>
        <w:tabs>
          <w:tab w:leader="none" w:pos="969" w:val="left"/>
        </w:tabs>
        <w:numPr>
          <w:ilvl w:val="0"/>
          <w:numId w:val="203"/>
        </w:numPr>
        <w:rPr>
          <w:rFonts w:ascii="Arial" w:cs="Arial" w:eastAsia="Arial" w:hAnsi="Arial"/>
          <w:sz w:val="22"/>
          <w:szCs w:val="22"/>
          <w:color w:val="auto"/>
        </w:rPr>
      </w:pPr>
      <w:r>
        <w:rPr>
          <w:rFonts w:ascii="Arial" w:cs="Arial" w:eastAsia="Arial" w:hAnsi="Arial"/>
          <w:sz w:val="22"/>
          <w:szCs w:val="22"/>
          <w:color w:val="auto"/>
        </w:rPr>
        <w:t>Ending Stock Price is the average daily closing price per share of the Common Stock calculated for the last thirty (30) days within the Performance Period.</w:t>
      </w:r>
    </w:p>
    <w:p>
      <w:pPr>
        <w:spacing w:after="0" w:line="173" w:lineRule="exact"/>
        <w:rPr>
          <w:sz w:val="20"/>
          <w:szCs w:val="20"/>
          <w:color w:val="auto"/>
        </w:rPr>
      </w:pPr>
    </w:p>
    <w:p>
      <w:pPr>
        <w:jc w:val="both"/>
        <w:ind w:firstLine="651"/>
        <w:spacing w:after="0"/>
        <w:tabs>
          <w:tab w:leader="none" w:pos="102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Beginning Stock Price is the average daily closing price per share of the Common Stock calculated for the thirty (30)-day period immediately preceding the commencement date of the Performance Period.</w:t>
      </w:r>
    </w:p>
    <w:p>
      <w:pPr>
        <w:spacing w:after="0" w:line="186" w:lineRule="exact"/>
        <w:rPr>
          <w:rFonts w:ascii="Arial" w:cs="Arial" w:eastAsia="Arial" w:hAnsi="Arial"/>
          <w:sz w:val="22"/>
          <w:szCs w:val="22"/>
          <w:color w:val="auto"/>
        </w:rPr>
      </w:pPr>
    </w:p>
    <w:p>
      <w:pPr>
        <w:jc w:val="both"/>
        <w:ind w:firstLine="651"/>
        <w:spacing w:after="0" w:line="234" w:lineRule="auto"/>
        <w:tabs>
          <w:tab w:leader="none" w:pos="103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Reinvested Dividends shall be calculated by multiplying (i) the aggregate number of shares (including fractional shares) of Common Stock that could have been purchased during the Performance Period had each cash dividend paid on a single share of Common Stock during that period been immediately reinvested in additional shares (or fractional shares) of Common Stock at the closing price per share of the Common Stock on the applicable dividend payment date by (ii) the average daily closing price per share of Common Stock calculated for the last thirty (30) days within the Performance Period.</w:t>
      </w:r>
    </w:p>
    <w:p>
      <w:pPr>
        <w:spacing w:after="0" w:line="19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Each of the foregoing amounts shall be equitably adjusted for stock splits, stock dividends, recapitalizations and other similar events affecting the shares in question without the issuer’s receipt of consideration.</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For each company in the S&amp;P Transportation Select Industry Index and S&amp;P MidCap 400 Index, the TSR with respect to its common stock shall be calculated in the same manner as for the Common Stock.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1" w:right="141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b w:val="1"/>
          <w:bCs w:val="1"/>
          <w:color w:val="auto"/>
        </w:rPr>
        <w:t>Exhibit 10.72</w:t>
      </w:r>
    </w:p>
    <w:p>
      <w:pPr>
        <w:spacing w:after="0" w:line="207"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MATSON, INC.</w:t>
      </w:r>
    </w:p>
    <w:p>
      <w:pPr>
        <w:spacing w:after="0" w:line="206" w:lineRule="exact"/>
        <w:rPr>
          <w:sz w:val="20"/>
          <w:szCs w:val="20"/>
          <w:color w:val="auto"/>
        </w:rPr>
      </w:pPr>
    </w:p>
    <w:p>
      <w:pPr>
        <w:ind w:left="2420"/>
        <w:spacing w:after="0"/>
        <w:rPr>
          <w:sz w:val="20"/>
          <w:szCs w:val="20"/>
          <w:color w:val="auto"/>
        </w:rPr>
      </w:pPr>
      <w:r>
        <w:rPr>
          <w:rFonts w:ascii="Arial" w:cs="Arial" w:eastAsia="Arial" w:hAnsi="Arial"/>
          <w:sz w:val="22"/>
          <w:szCs w:val="22"/>
          <w:b w:val="1"/>
          <w:bCs w:val="1"/>
          <w:u w:val="single" w:color="auto"/>
          <w:color w:val="auto"/>
        </w:rPr>
        <w:t>TIME-BASED RESTRICTED STOCK UNIT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1299"/>
        <w:spacing w:after="0" w:line="279" w:lineRule="auto"/>
        <w:tabs>
          <w:tab w:leader="none" w:pos="1804" w:val="left"/>
        </w:tabs>
        <w:numPr>
          <w:ilvl w:val="0"/>
          <w:numId w:val="206"/>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 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50" w:lineRule="exact"/>
        <w:rPr>
          <w:rFonts w:ascii="Arial" w:cs="Arial" w:eastAsia="Arial" w:hAnsi="Arial"/>
          <w:sz w:val="19"/>
          <w:szCs w:val="19"/>
          <w:color w:val="auto"/>
        </w:rPr>
      </w:pPr>
    </w:p>
    <w:p>
      <w:pPr>
        <w:jc w:val="both"/>
        <w:ind w:firstLine="1299"/>
        <w:spacing w:after="0" w:line="238" w:lineRule="auto"/>
        <w:tabs>
          <w:tab w:leader="none" w:pos="1955" w:val="left"/>
        </w:tabs>
        <w:numPr>
          <w:ilvl w:val="0"/>
          <w:numId w:val="206"/>
        </w:numPr>
        <w:rPr>
          <w:rFonts w:ascii="Arial" w:cs="Arial" w:eastAsia="Arial" w:hAnsi="Arial"/>
          <w:sz w:val="22"/>
          <w:szCs w:val="22"/>
          <w:color w:val="auto"/>
        </w:rPr>
      </w:pPr>
      <w:r>
        <w:rPr>
          <w:rFonts w:ascii="Arial" w:cs="Arial" w:eastAsia="Arial" w:hAnsi="Arial"/>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85" w:lineRule="exact"/>
        <w:rPr>
          <w:rFonts w:ascii="Arial" w:cs="Arial" w:eastAsia="Arial" w:hAnsi="Arial"/>
          <w:sz w:val="22"/>
          <w:szCs w:val="22"/>
          <w:color w:val="auto"/>
        </w:rPr>
      </w:pPr>
    </w:p>
    <w:p>
      <w:pPr>
        <w:ind w:firstLine="1299"/>
        <w:spacing w:after="0" w:line="251" w:lineRule="auto"/>
        <w:tabs>
          <w:tab w:leader="none" w:pos="179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9"/>
        <w:spacing w:after="0" w:line="251" w:lineRule="auto"/>
        <w:tabs>
          <w:tab w:leader="none" w:pos="1958" w:val="left"/>
        </w:tabs>
        <w:numPr>
          <w:ilvl w:val="0"/>
          <w:numId w:val="207"/>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color w:val="auto"/>
        </w:rPr>
        <w:t>. The Corporation hereby awards to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Award Date, restricted stock units under the Plan. The number of shares of Common Stock underlying the awarded restricted stock units and the applicable service vesting requirements for those units and the underlying Shares are set forth in the Award Notice. The remaining terms and conditions governing the Award shall be as set forth in this Agreement.</w:t>
      </w:r>
    </w:p>
    <w:p>
      <w:pPr>
        <w:spacing w:after="0" w:line="168" w:lineRule="exact"/>
        <w:rPr>
          <w:rFonts w:ascii="Arial" w:cs="Arial" w:eastAsia="Arial" w:hAnsi="Arial"/>
          <w:sz w:val="21"/>
          <w:szCs w:val="21"/>
          <w:color w:val="auto"/>
        </w:rPr>
      </w:pPr>
    </w:p>
    <w:p>
      <w:pPr>
        <w:jc w:val="both"/>
        <w:ind w:firstLine="1299"/>
        <w:spacing w:after="0" w:line="245" w:lineRule="auto"/>
        <w:tabs>
          <w:tab w:leader="none" w:pos="2066" w:val="left"/>
        </w:tabs>
        <w:numPr>
          <w:ilvl w:val="0"/>
          <w:numId w:val="207"/>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Limited Transferability</w:t>
      </w:r>
      <w:r>
        <w:rPr>
          <w:rFonts w:ascii="Arial" w:cs="Arial" w:eastAsia="Arial" w:hAnsi="Arial"/>
          <w:sz w:val="21"/>
          <w:szCs w:val="21"/>
          <w:color w:val="auto"/>
        </w:rPr>
        <w:t>. Prior to the actual issuance of the Shares which vest</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Participant may not transfer any interest in the restricted stock units subject to the Award or the underlying Shares or pledge or otherwise hedge the sale of those units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711835</wp:posOffset>
            </wp:positionV>
            <wp:extent cx="5754370"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1" w:name="page182"/>
    <w:bookmarkEnd w:id="181"/>
    <w:p>
      <w:pPr>
        <w:ind w:left="1940" w:hanging="641"/>
        <w:spacing w:after="0"/>
        <w:tabs>
          <w:tab w:leader="none" w:pos="1940" w:val="left"/>
        </w:tabs>
        <w:numPr>
          <w:ilvl w:val="0"/>
          <w:numId w:val="208"/>
        </w:numPr>
        <w:rPr>
          <w:rFonts w:ascii="Arial" w:cs="Arial" w:eastAsia="Arial" w:hAnsi="Arial"/>
          <w:sz w:val="22"/>
          <w:szCs w:val="22"/>
          <w:color w:val="auto"/>
        </w:rPr>
      </w:pPr>
      <w:r>
        <w:rPr>
          <w:rFonts w:ascii="Arial" w:cs="Arial" w:eastAsia="Arial" w:hAnsi="Arial"/>
          <w:sz w:val="22"/>
          <w:szCs w:val="22"/>
          <w:b w:val="1"/>
          <w:bCs w:val="1"/>
          <w:u w:val="single" w:color="auto"/>
          <w:color w:val="auto"/>
        </w:rPr>
        <w:t>Cessation of Service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8"/>
        <w:spacing w:after="0" w:line="282" w:lineRule="auto"/>
        <w:tabs>
          <w:tab w:leader="none" w:pos="2502" w:val="left"/>
        </w:tabs>
        <w:numPr>
          <w:ilvl w:val="1"/>
          <w:numId w:val="208"/>
        </w:numPr>
        <w:rPr>
          <w:rFonts w:ascii="Arial" w:cs="Arial" w:eastAsia="Arial" w:hAnsi="Arial"/>
          <w:sz w:val="19"/>
          <w:szCs w:val="19"/>
          <w:color w:val="auto"/>
        </w:rPr>
      </w:pPr>
      <w:r>
        <w:rPr>
          <w:rFonts w:ascii="Arial" w:cs="Arial" w:eastAsia="Arial" w:hAnsi="Arial"/>
          <w:sz w:val="19"/>
          <w:szCs w:val="19"/>
          <w:color w:val="auto"/>
        </w:rPr>
        <w:t>Except to the extent otherwise provided in this Paragraph 3 or Paragraph 5 below, should Participant cease Service for any reason prior to vesting in one or more Shares subject to this Award, then the Award shall be automatically cancelled with respect to those unvested Shares, and the number of restricted stock units shall be reduced accordingly. Participant shall thereupon cease to have any right or entitlement to receive any Shares under those cancelled units.</w:t>
      </w:r>
    </w:p>
    <w:p>
      <w:pPr>
        <w:spacing w:after="0" w:line="147" w:lineRule="exact"/>
        <w:rPr>
          <w:rFonts w:ascii="Arial" w:cs="Arial" w:eastAsia="Arial" w:hAnsi="Arial"/>
          <w:sz w:val="19"/>
          <w:szCs w:val="19"/>
          <w:color w:val="auto"/>
        </w:rPr>
      </w:pPr>
    </w:p>
    <w:p>
      <w:pPr>
        <w:jc w:val="both"/>
        <w:ind w:firstLine="1948"/>
        <w:spacing w:after="0" w:line="287" w:lineRule="auto"/>
        <w:tabs>
          <w:tab w:leader="none" w:pos="2631" w:val="left"/>
        </w:tabs>
        <w:numPr>
          <w:ilvl w:val="1"/>
          <w:numId w:val="208"/>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death or Permanent Disability prior to vesting in one or more Shares subject to this Award, then the restricted stock units shall vest in full upon Participant’s termination of Service. The Shares subject to those vested units shall be issued in accordance with the applicable provisions of Paragraph 7.</w:t>
      </w:r>
    </w:p>
    <w:p>
      <w:pPr>
        <w:spacing w:after="0" w:line="143" w:lineRule="exact"/>
        <w:rPr>
          <w:rFonts w:ascii="Arial" w:cs="Arial" w:eastAsia="Arial" w:hAnsi="Arial"/>
          <w:sz w:val="19"/>
          <w:szCs w:val="19"/>
          <w:color w:val="auto"/>
        </w:rPr>
      </w:pPr>
    </w:p>
    <w:p>
      <w:pPr>
        <w:jc w:val="both"/>
        <w:ind w:firstLine="1948"/>
        <w:spacing w:after="0" w:line="273" w:lineRule="auto"/>
        <w:tabs>
          <w:tab w:leader="none" w:pos="2711" w:val="left"/>
        </w:tabs>
        <w:numPr>
          <w:ilvl w:val="1"/>
          <w:numId w:val="208"/>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Early Retirement or Normal Retirement prior to vesting in all the Shares subject to this Award in accordance with the annual installment vesting schedule set forth in the Award Notice, then Participant shall immediately vest in that number of additional Shares (if any) in which Participant would have otherwise been vested at the time of such termination had the Shares subject to this Award vested in a series of successive equal monthly installments over the duration of the vesting schedule set forth in the Award Notice. The Shares which are deemed to vest on the basis of such monthly installment vesting schedule shall, together with any other Shares which are at the time vested but unissued, be issued in accordance with the applicable provisions of Paragraph 7. The balance of the Award shall be automatically cancelled and cease to be outstanding upon such termination of Service.</w:t>
      </w:r>
    </w:p>
    <w:p>
      <w:pPr>
        <w:spacing w:after="0" w:line="155" w:lineRule="exact"/>
        <w:rPr>
          <w:rFonts w:ascii="Arial" w:cs="Arial" w:eastAsia="Arial" w:hAnsi="Arial"/>
          <w:sz w:val="19"/>
          <w:szCs w:val="19"/>
          <w:color w:val="auto"/>
        </w:rPr>
      </w:pPr>
    </w:p>
    <w:p>
      <w:pPr>
        <w:ind w:left="1940" w:hanging="641"/>
        <w:spacing w:after="0"/>
        <w:tabs>
          <w:tab w:leader="none" w:pos="1940" w:val="left"/>
        </w:tabs>
        <w:numPr>
          <w:ilvl w:val="0"/>
          <w:numId w:val="208"/>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p>
    <w:p>
      <w:pPr>
        <w:spacing w:after="0" w:line="212" w:lineRule="exact"/>
        <w:rPr>
          <w:rFonts w:ascii="Arial" w:cs="Arial" w:eastAsia="Arial" w:hAnsi="Arial"/>
          <w:sz w:val="22"/>
          <w:szCs w:val="22"/>
          <w:color w:val="auto"/>
        </w:rPr>
      </w:pPr>
    </w:p>
    <w:p>
      <w:pPr>
        <w:jc w:val="both"/>
        <w:ind w:firstLine="1948"/>
        <w:spacing w:after="0" w:line="238" w:lineRule="auto"/>
        <w:tabs>
          <w:tab w:leader="none" w:pos="2539" w:val="left"/>
        </w:tabs>
        <w:numPr>
          <w:ilvl w:val="1"/>
          <w:numId w:val="208"/>
        </w:numPr>
        <w:rPr>
          <w:rFonts w:ascii="Arial" w:cs="Arial" w:eastAsia="Arial" w:hAnsi="Arial"/>
          <w:sz w:val="22"/>
          <w:szCs w:val="22"/>
          <w:color w:val="auto"/>
        </w:rPr>
      </w:pPr>
      <w:r>
        <w:rPr>
          <w:rFonts w:ascii="Arial" w:cs="Arial" w:eastAsia="Arial" w:hAnsi="Arial"/>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5" w:lineRule="exact"/>
        <w:rPr>
          <w:rFonts w:ascii="Arial" w:cs="Arial" w:eastAsia="Arial" w:hAnsi="Arial"/>
          <w:sz w:val="22"/>
          <w:szCs w:val="22"/>
          <w:color w:val="auto"/>
        </w:rPr>
      </w:pPr>
    </w:p>
    <w:p>
      <w:pPr>
        <w:jc w:val="both"/>
        <w:ind w:firstLine="1948"/>
        <w:spacing w:after="0" w:line="272" w:lineRule="auto"/>
        <w:tabs>
          <w:tab w:leader="none" w:pos="2581" w:val="left"/>
        </w:tabs>
        <w:numPr>
          <w:ilvl w:val="1"/>
          <w:numId w:val="208"/>
        </w:numPr>
        <w:rPr>
          <w:rFonts w:ascii="Arial" w:cs="Arial" w:eastAsia="Arial" w:hAnsi="Arial"/>
          <w:sz w:val="19"/>
          <w:szCs w:val="19"/>
          <w:color w:val="auto"/>
        </w:rPr>
      </w:pPr>
      <w:r>
        <w:rPr>
          <w:rFonts w:ascii="Arial" w:cs="Arial" w:eastAsia="Arial" w:hAnsi="Arial"/>
          <w:sz w:val="19"/>
          <w:szCs w:val="19"/>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the last business day of that calendar quarter. However, each such distribution shall be subject to the Corporation’s collection of the Withholding Taxes applicable to that distribution.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2" w:name="page183"/>
    <w:bookmarkEnd w:id="182"/>
    <w:p>
      <w:pPr>
        <w:ind w:left="1940" w:hanging="641"/>
        <w:spacing w:after="0"/>
        <w:tabs>
          <w:tab w:leader="none" w:pos="1940" w:val="left"/>
        </w:tabs>
        <w:numPr>
          <w:ilvl w:val="0"/>
          <w:numId w:val="209"/>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p>
    <w:p>
      <w:pPr>
        <w:spacing w:after="0" w:line="212" w:lineRule="exact"/>
        <w:rPr>
          <w:rFonts w:ascii="Arial" w:cs="Arial" w:eastAsia="Arial" w:hAnsi="Arial"/>
          <w:sz w:val="22"/>
          <w:szCs w:val="22"/>
          <w:color w:val="auto"/>
        </w:rPr>
      </w:pPr>
    </w:p>
    <w:p>
      <w:pPr>
        <w:jc w:val="both"/>
        <w:ind w:firstLine="1948"/>
        <w:spacing w:after="0" w:line="270" w:lineRule="auto"/>
        <w:tabs>
          <w:tab w:leader="none" w:pos="2537"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shall initially be credited with the Fair Market Value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restricted stock units subject to this Award or the underlying Shares shall occur at the time of the Change in Control, and the Service-vesting provisions set forth in the Award Notice shall continue in full force and effect.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948"/>
        <w:spacing w:after="0" w:line="272" w:lineRule="auto"/>
        <w:tabs>
          <w:tab w:leader="none" w:pos="2678" w:val="left"/>
        </w:tabs>
        <w:numPr>
          <w:ilvl w:val="1"/>
          <w:numId w:val="209"/>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restricted stock units subject to the Award shall be adjusted immediately after the consummation of that Change in Control so as to apply to the number and class of securities into which the Shares subject to those units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restricted stock units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948"/>
        <w:spacing w:after="0" w:line="274" w:lineRule="auto"/>
        <w:tabs>
          <w:tab w:leader="none" w:pos="2808" w:val="left"/>
        </w:tabs>
        <w:numPr>
          <w:ilvl w:val="1"/>
          <w:numId w:val="209"/>
        </w:numPr>
        <w:rPr>
          <w:rFonts w:ascii="Arial" w:cs="Arial" w:eastAsia="Arial" w:hAnsi="Arial"/>
          <w:sz w:val="19"/>
          <w:szCs w:val="19"/>
          <w:color w:val="auto"/>
        </w:rPr>
      </w:pPr>
      <w:r>
        <w:rPr>
          <w:rFonts w:ascii="Arial" w:cs="Arial" w:eastAsia="Arial" w:hAnsi="Arial"/>
          <w:sz w:val="19"/>
          <w:szCs w:val="19"/>
          <w:color w:val="auto"/>
        </w:rPr>
        <w:t xml:space="preserve">Upon Participant’s Separation from Service due to an Involuntary Termination occurring within twelve (12) months after a Change in Control in which this Award is assumed or continued in effect, all of the restricted stock units at the time subject to this Award shall vest, or any substitute equivalent award, and the Shares underlying those units shall be issued to Participant in accordance with the applicable provisions of Paragraph 7. Should the restricted stock units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Participant shall</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3" w:name="page184"/>
    <w:bookmarkEnd w:id="183"/>
    <w:p>
      <w:pPr>
        <w:spacing w:after="0" w:line="251" w:lineRule="auto"/>
        <w:rPr>
          <w:sz w:val="20"/>
          <w:szCs w:val="20"/>
          <w:color w:val="auto"/>
        </w:rPr>
      </w:pPr>
      <w:r>
        <w:rPr>
          <w:rFonts w:ascii="Arial" w:cs="Arial" w:eastAsia="Arial" w:hAnsi="Arial"/>
          <w:sz w:val="22"/>
          <w:szCs w:val="22"/>
          <w:color w:val="auto"/>
        </w:rPr>
        <w:t>vest and be entitled to such distribution only if such Involuntary Termination occurs within twelve (12) months following the Change in Control.</w:t>
      </w:r>
    </w:p>
    <w:p>
      <w:pPr>
        <w:spacing w:after="0" w:line="174" w:lineRule="exact"/>
        <w:rPr>
          <w:sz w:val="20"/>
          <w:szCs w:val="20"/>
          <w:color w:val="auto"/>
        </w:rPr>
      </w:pPr>
    </w:p>
    <w:p>
      <w:pPr>
        <w:jc w:val="both"/>
        <w:ind w:firstLine="1948"/>
        <w:spacing w:after="0" w:line="236" w:lineRule="auto"/>
        <w:tabs>
          <w:tab w:leader="none" w:pos="2513" w:val="left"/>
        </w:tabs>
        <w:numPr>
          <w:ilvl w:val="1"/>
          <w:numId w:val="210"/>
        </w:numPr>
        <w:rPr>
          <w:rFonts w:ascii="Arial" w:cs="Arial" w:eastAsia="Arial" w:hAnsi="Arial"/>
          <w:sz w:val="22"/>
          <w:szCs w:val="22"/>
          <w:color w:val="auto"/>
        </w:rPr>
      </w:pPr>
      <w:r>
        <w:rPr>
          <w:rFonts w:ascii="Arial" w:cs="Arial" w:eastAsia="Arial" w:hAnsi="Arial"/>
          <w:sz w:val="22"/>
          <w:szCs w:val="22"/>
          <w:color w:val="auto"/>
        </w:rPr>
        <w:t>If the restricted stock units subject to this Award at the time of the Change in Control are not assumed or otherwise continued in effect or replaced with substitute equivalent award in accordance with Paragraph 5(a), then those units shall vest immediately prior to the closing of the Change in Control, and Participant shall become entitled to a vested distribution in accordance with the applicable provisions of Paragraph 7.</w:t>
      </w:r>
    </w:p>
    <w:p>
      <w:pPr>
        <w:spacing w:after="0" w:line="187" w:lineRule="exact"/>
        <w:rPr>
          <w:rFonts w:ascii="Arial" w:cs="Arial" w:eastAsia="Arial" w:hAnsi="Arial"/>
          <w:sz w:val="22"/>
          <w:szCs w:val="22"/>
          <w:color w:val="auto"/>
        </w:rPr>
      </w:pPr>
    </w:p>
    <w:p>
      <w:pPr>
        <w:jc w:val="both"/>
        <w:ind w:firstLine="1948"/>
        <w:spacing w:after="0" w:line="258" w:lineRule="auto"/>
        <w:tabs>
          <w:tab w:leader="none" w:pos="2511" w:val="left"/>
        </w:tabs>
        <w:numPr>
          <w:ilvl w:val="1"/>
          <w:numId w:val="210"/>
        </w:numPr>
        <w:rPr>
          <w:rFonts w:ascii="Arial" w:cs="Arial" w:eastAsia="Arial" w:hAnsi="Arial"/>
          <w:sz w:val="21"/>
          <w:szCs w:val="21"/>
          <w:color w:val="auto"/>
        </w:rPr>
      </w:pPr>
      <w:r>
        <w:rPr>
          <w:rFonts w:ascii="Arial" w:cs="Arial" w:eastAsia="Arial" w:hAnsi="Arial"/>
          <w:sz w:val="21"/>
          <w:szCs w:val="21"/>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60" w:lineRule="exact"/>
        <w:rPr>
          <w:rFonts w:ascii="Arial" w:cs="Arial" w:eastAsia="Arial" w:hAnsi="Arial"/>
          <w:sz w:val="21"/>
          <w:szCs w:val="21"/>
          <w:color w:val="auto"/>
        </w:rPr>
      </w:pPr>
    </w:p>
    <w:p>
      <w:pPr>
        <w:jc w:val="both"/>
        <w:ind w:firstLine="1299"/>
        <w:spacing w:after="0" w:line="272" w:lineRule="auto"/>
        <w:tabs>
          <w:tab w:leader="none" w:pos="2066" w:val="left"/>
        </w:tabs>
        <w:numPr>
          <w:ilvl w:val="0"/>
          <w:numId w:val="211"/>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960" w:hanging="661"/>
        <w:spacing w:after="0"/>
        <w:tabs>
          <w:tab w:leader="none" w:pos="1960" w:val="left"/>
        </w:tabs>
        <w:numPr>
          <w:ilvl w:val="0"/>
          <w:numId w:val="211"/>
        </w:numPr>
        <w:rPr>
          <w:rFonts w:ascii="Arial" w:cs="Arial" w:eastAsia="Arial" w:hAnsi="Arial"/>
          <w:sz w:val="19"/>
          <w:szCs w:val="19"/>
          <w:color w:val="auto"/>
        </w:rPr>
      </w:pPr>
      <w:r>
        <w:rPr>
          <w:rFonts w:ascii="Arial" w:cs="Arial" w:eastAsia="Arial" w:hAnsi="Arial"/>
          <w:sz w:val="19"/>
          <w:szCs w:val="19"/>
          <w:b w:val="1"/>
          <w:bCs w:val="1"/>
          <w:u w:val="single" w:color="auto"/>
          <w:color w:val="auto"/>
        </w:rPr>
        <w:t>Issuance or Distribution of Shares or Other Vested Amounts and Applicable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Withholding Taxes.</w:t>
      </w:r>
    </w:p>
    <w:p>
      <w:pPr>
        <w:spacing w:after="0" w:line="188" w:lineRule="exact"/>
        <w:rPr>
          <w:rFonts w:ascii="Arial" w:cs="Arial" w:eastAsia="Arial" w:hAnsi="Arial"/>
          <w:sz w:val="19"/>
          <w:szCs w:val="19"/>
          <w:color w:val="auto"/>
        </w:rPr>
      </w:pPr>
    </w:p>
    <w:p>
      <w:pPr>
        <w:jc w:val="both"/>
        <w:ind w:firstLine="1948"/>
        <w:spacing w:after="0"/>
        <w:tabs>
          <w:tab w:leader="none" w:pos="2560"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following provisions shall govern the issuance of the Shares (or any replacement or substitute amounts under Paragraph 5) which vest in accordance with the provisions of this Agreement:</w:t>
      </w:r>
    </w:p>
    <w:p>
      <w:pPr>
        <w:spacing w:after="0" w:line="186" w:lineRule="exact"/>
        <w:rPr>
          <w:sz w:val="20"/>
          <w:szCs w:val="20"/>
          <w:color w:val="auto"/>
        </w:rPr>
      </w:pPr>
    </w:p>
    <w:p>
      <w:pPr>
        <w:jc w:val="both"/>
        <w:ind w:left="660" w:firstLine="1288"/>
        <w:spacing w:after="0" w:line="252" w:lineRule="auto"/>
        <w:tabs>
          <w:tab w:leader="none" w:pos="2675" w:val="left"/>
        </w:tabs>
        <w:numPr>
          <w:ilvl w:val="0"/>
          <w:numId w:val="212"/>
        </w:numPr>
        <w:rPr>
          <w:rFonts w:ascii="Arial" w:cs="Arial" w:eastAsia="Arial" w:hAnsi="Arial"/>
          <w:sz w:val="21"/>
          <w:szCs w:val="21"/>
          <w:color w:val="auto"/>
        </w:rPr>
      </w:pPr>
      <w:r>
        <w:rPr>
          <w:rFonts w:ascii="Arial" w:cs="Arial" w:eastAsia="Arial" w:hAnsi="Arial"/>
          <w:sz w:val="21"/>
          <w:szCs w:val="21"/>
          <w:color w:val="auto"/>
        </w:rPr>
        <w:t>On each Vesting and Issuance Date specified in the Award Notice, the Shares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74" w:lineRule="exact"/>
        <w:rPr>
          <w:rFonts w:ascii="Arial" w:cs="Arial" w:eastAsia="Arial" w:hAnsi="Arial"/>
          <w:sz w:val="21"/>
          <w:szCs w:val="21"/>
          <w:color w:val="auto"/>
        </w:rPr>
      </w:pPr>
    </w:p>
    <w:p>
      <w:pPr>
        <w:jc w:val="both"/>
        <w:ind w:left="660" w:firstLine="1288"/>
        <w:spacing w:after="0"/>
        <w:tabs>
          <w:tab w:leader="none" w:pos="2554" w:val="left"/>
        </w:tabs>
        <w:numPr>
          <w:ilvl w:val="0"/>
          <w:numId w:val="212"/>
        </w:numPr>
        <w:rPr>
          <w:rFonts w:ascii="Arial" w:cs="Arial" w:eastAsia="Arial" w:hAnsi="Arial"/>
          <w:sz w:val="22"/>
          <w:szCs w:val="22"/>
          <w:color w:val="auto"/>
        </w:rPr>
      </w:pPr>
      <w:r>
        <w:rPr>
          <w:rFonts w:ascii="Arial" w:cs="Arial" w:eastAsia="Arial" w:hAnsi="Arial"/>
          <w:sz w:val="22"/>
          <w:szCs w:val="22"/>
          <w:color w:val="auto"/>
        </w:rPr>
        <w:t>Shares which vest on an accelerated basis upon the Participant’s cessation of Service under Paragraph 3(b) or 3(c) or upon his or her Involuntary Termination under Paragraph 5(c) shall be issued on the date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4" w:name="page185"/>
    <w:bookmarkEnd w:id="184"/>
    <w:p>
      <w:pPr>
        <w:jc w:val="both"/>
        <w:ind w:left="640"/>
        <w:spacing w:after="0" w:line="279" w:lineRule="auto"/>
        <w:rPr>
          <w:sz w:val="20"/>
          <w:szCs w:val="20"/>
          <w:color w:val="auto"/>
        </w:rPr>
      </w:pPr>
      <w:r>
        <w:rPr>
          <w:rFonts w:ascii="Arial" w:cs="Arial" w:eastAsia="Arial" w:hAnsi="Arial"/>
          <w:sz w:val="19"/>
          <w:szCs w:val="19"/>
          <w:color w:val="auto"/>
        </w:rPr>
        <w:t>Participant’s Separation from Service due to such cessation of 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51" w:lineRule="exact"/>
        <w:rPr>
          <w:sz w:val="20"/>
          <w:szCs w:val="20"/>
          <w:color w:val="auto"/>
        </w:rPr>
      </w:pPr>
    </w:p>
    <w:p>
      <w:pPr>
        <w:jc w:val="both"/>
        <w:ind w:left="640" w:firstLine="1288"/>
        <w:spacing w:after="0" w:line="233" w:lineRule="auto"/>
        <w:tabs>
          <w:tab w:leader="none" w:pos="254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 xml:space="preserve">Shares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Arial" w:cs="Arial" w:eastAsia="Arial" w:hAnsi="Arial"/>
          <w:sz w:val="22"/>
          <w:szCs w:val="22"/>
          <w:b w:val="1"/>
          <w:bCs w:val="1"/>
          <w:i w:val="1"/>
          <w:iCs w:val="1"/>
          <w:color w:val="auto"/>
        </w:rPr>
        <w:t>earliest</w:t>
      </w:r>
      <w:r>
        <w:rPr>
          <w:rFonts w:ascii="Arial" w:cs="Arial" w:eastAsia="Arial" w:hAnsi="Arial"/>
          <w:sz w:val="22"/>
          <w:szCs w:val="22"/>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Code Section 409A.</w:t>
      </w:r>
    </w:p>
    <w:p>
      <w:pPr>
        <w:spacing w:after="0" w:line="193" w:lineRule="exact"/>
        <w:rPr>
          <w:rFonts w:ascii="Arial" w:cs="Arial" w:eastAsia="Arial" w:hAnsi="Arial"/>
          <w:sz w:val="22"/>
          <w:szCs w:val="22"/>
          <w:color w:val="auto"/>
        </w:rPr>
      </w:pPr>
    </w:p>
    <w:p>
      <w:pPr>
        <w:jc w:val="both"/>
        <w:ind w:left="640" w:firstLine="1288"/>
        <w:spacing w:after="0" w:line="271" w:lineRule="auto"/>
        <w:tabs>
          <w:tab w:leader="none" w:pos="255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640" w:firstLine="1288"/>
        <w:spacing w:after="0" w:line="236" w:lineRule="auto"/>
        <w:tabs>
          <w:tab w:leader="none" w:pos="2825"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87" w:lineRule="exact"/>
        <w:rPr>
          <w:rFonts w:ascii="Arial" w:cs="Arial" w:eastAsia="Arial" w:hAnsi="Arial"/>
          <w:sz w:val="22"/>
          <w:szCs w:val="22"/>
          <w:color w:val="auto"/>
        </w:rPr>
      </w:pPr>
    </w:p>
    <w:p>
      <w:pPr>
        <w:jc w:val="both"/>
        <w:ind w:left="640" w:firstLine="1288"/>
        <w:spacing w:after="0"/>
        <w:tabs>
          <w:tab w:leader="none" w:pos="2594" w:val="left"/>
        </w:tabs>
        <w:numPr>
          <w:ilvl w:val="0"/>
          <w:numId w:val="213"/>
        </w:numPr>
        <w:rPr>
          <w:rFonts w:ascii="Arial" w:cs="Arial" w:eastAsia="Arial" w:hAnsi="Arial"/>
          <w:sz w:val="22"/>
          <w:szCs w:val="22"/>
          <w:color w:val="auto"/>
        </w:rPr>
      </w:pPr>
      <w:r>
        <w:rPr>
          <w:rFonts w:ascii="Arial" w:cs="Arial" w:eastAsia="Arial" w:hAnsi="Arial"/>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85" w:name="page186"/>
    <w:bookmarkEnd w:id="185"/>
    <w:p>
      <w:pPr>
        <w:jc w:val="both"/>
        <w:ind w:left="660" w:firstLine="1288"/>
        <w:spacing w:after="0" w:line="236" w:lineRule="auto"/>
        <w:tabs>
          <w:tab w:leader="none" w:pos="2626"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88" w:lineRule="exact"/>
        <w:rPr>
          <w:sz w:val="20"/>
          <w:szCs w:val="20"/>
          <w:color w:val="auto"/>
        </w:rPr>
      </w:pPr>
    </w:p>
    <w:p>
      <w:pPr>
        <w:jc w:val="both"/>
        <w:ind w:firstLine="1948"/>
        <w:spacing w:after="0" w:line="297" w:lineRule="auto"/>
        <w:tabs>
          <w:tab w:leader="none" w:pos="2603" w:val="left"/>
        </w:tabs>
        <w:numPr>
          <w:ilvl w:val="1"/>
          <w:numId w:val="215"/>
        </w:numPr>
        <w:rPr>
          <w:rFonts w:ascii="Arial" w:cs="Arial" w:eastAsia="Arial" w:hAnsi="Arial"/>
          <w:sz w:val="19"/>
          <w:szCs w:val="19"/>
          <w:color w:val="auto"/>
        </w:rPr>
      </w:pPr>
      <w:r>
        <w:rPr>
          <w:rFonts w:ascii="Arial" w:cs="Arial" w:eastAsia="Arial" w:hAnsi="Arial"/>
          <w:sz w:val="19"/>
          <w:szCs w:val="19"/>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34" w:lineRule="exact"/>
        <w:rPr>
          <w:rFonts w:ascii="Arial" w:cs="Arial" w:eastAsia="Arial" w:hAnsi="Arial"/>
          <w:sz w:val="19"/>
          <w:szCs w:val="19"/>
          <w:color w:val="auto"/>
        </w:rPr>
      </w:pPr>
    </w:p>
    <w:p>
      <w:pPr>
        <w:jc w:val="both"/>
        <w:ind w:firstLine="1948"/>
        <w:spacing w:after="0" w:line="245" w:lineRule="auto"/>
        <w:tabs>
          <w:tab w:leader="none" w:pos="2538" w:val="left"/>
        </w:tabs>
        <w:numPr>
          <w:ilvl w:val="1"/>
          <w:numId w:val="215"/>
        </w:numPr>
        <w:rPr>
          <w:rFonts w:ascii="Arial" w:cs="Arial" w:eastAsia="Arial" w:hAnsi="Arial"/>
          <w:sz w:val="21"/>
          <w:szCs w:val="21"/>
          <w:color w:val="auto"/>
        </w:rPr>
      </w:pPr>
      <w:r>
        <w:rPr>
          <w:rFonts w:ascii="Arial" w:cs="Arial" w:eastAsia="Arial" w:hAnsi="Arial"/>
          <w:sz w:val="21"/>
          <w:szCs w:val="21"/>
          <w:color w:val="auto"/>
        </w:rPr>
        <w:t>The Corporation may, in its sole discretion, establish a procedure to permit the satisfaction of the Withholding Taxes by the Participant in the form of cash and shall inform Participant. In that event,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delivers such payment to the Corporation not later than that issuance date. Otherwise the Corporation shall collect the Withholding Taxes applicable to the Share issuance through the following automatic share withholding method:</w:t>
      </w:r>
    </w:p>
    <w:p>
      <w:pPr>
        <w:spacing w:after="0" w:line="185" w:lineRule="exact"/>
        <w:rPr>
          <w:rFonts w:ascii="Arial" w:cs="Arial" w:eastAsia="Arial" w:hAnsi="Arial"/>
          <w:sz w:val="21"/>
          <w:szCs w:val="21"/>
          <w:color w:val="auto"/>
        </w:rPr>
      </w:pPr>
    </w:p>
    <w:p>
      <w:pPr>
        <w:jc w:val="both"/>
        <w:ind w:firstLine="1494"/>
        <w:spacing w:after="0" w:line="247" w:lineRule="auto"/>
        <w:tabs>
          <w:tab w:leader="none" w:pos="1962" w:val="left"/>
        </w:tabs>
        <w:numPr>
          <w:ilvl w:val="0"/>
          <w:numId w:val="215"/>
        </w:numPr>
        <w:rPr>
          <w:rFonts w:ascii="Arial" w:cs="Arial" w:eastAsia="Arial" w:hAnsi="Arial"/>
          <w:sz w:val="21"/>
          <w:szCs w:val="21"/>
          <w:color w:val="auto"/>
        </w:rPr>
      </w:pPr>
      <w:r>
        <w:rPr>
          <w:rFonts w:ascii="Arial" w:cs="Arial" w:eastAsia="Arial" w:hAnsi="Arial"/>
          <w:sz w:val="21"/>
          <w:szCs w:val="21"/>
          <w:color w:val="auto"/>
        </w:rPr>
        <w:t xml:space="preserve">On each applicable issuance date, the Corporation shall withhold, from the vested Shares otherwise issuable to Participant at that time, a portion of those Shares with a Fair Market Value (measured as of the issuance date) equal to the applicable Withholding Taxes;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that the number of Shares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w:t>
      </w:r>
    </w:p>
    <w:p>
      <w:pPr>
        <w:spacing w:after="0" w:line="178" w:lineRule="exact"/>
        <w:rPr>
          <w:rFonts w:ascii="Arial" w:cs="Arial" w:eastAsia="Arial" w:hAnsi="Arial"/>
          <w:sz w:val="21"/>
          <w:szCs w:val="21"/>
          <w:color w:val="auto"/>
        </w:rPr>
      </w:pPr>
    </w:p>
    <w:p>
      <w:pPr>
        <w:jc w:val="both"/>
        <w:ind w:firstLine="1948"/>
        <w:spacing w:after="0" w:line="272" w:lineRule="auto"/>
        <w:tabs>
          <w:tab w:leader="none" w:pos="247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Code Section 3121(v).</w:t>
      </w:r>
    </w:p>
    <w:p>
      <w:pPr>
        <w:spacing w:after="0" w:line="161" w:lineRule="exact"/>
        <w:rPr>
          <w:rFonts w:ascii="Arial" w:cs="Arial" w:eastAsia="Arial" w:hAnsi="Arial"/>
          <w:sz w:val="19"/>
          <w:szCs w:val="19"/>
          <w:color w:val="auto"/>
        </w:rPr>
      </w:pPr>
    </w:p>
    <w:p>
      <w:pPr>
        <w:jc w:val="both"/>
        <w:ind w:firstLine="1948"/>
        <w:spacing w:after="0" w:line="297" w:lineRule="auto"/>
        <w:tabs>
          <w:tab w:leader="none" w:pos="266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6" w:name="page187"/>
    <w:bookmarkEnd w:id="186"/>
    <w:p>
      <w:pPr>
        <w:spacing w:after="0" w:line="329" w:lineRule="auto"/>
        <w:rPr>
          <w:sz w:val="20"/>
          <w:szCs w:val="20"/>
          <w:color w:val="auto"/>
        </w:rPr>
      </w:pPr>
      <w:r>
        <w:rPr>
          <w:rFonts w:ascii="Arial" w:cs="Arial" w:eastAsia="Arial" w:hAnsi="Arial"/>
          <w:sz w:val="19"/>
          <w:szCs w:val="19"/>
          <w:color w:val="auto"/>
        </w:rPr>
        <w:t>total number of shares of Common Stock to be issued at the time the Award vests shall, to the extent necessary, be rounded down to the next whole share in order to avoid the issuance of a fractional share.</w:t>
      </w:r>
    </w:p>
    <w:p>
      <w:pPr>
        <w:spacing w:after="0" w:line="98" w:lineRule="exact"/>
        <w:rPr>
          <w:sz w:val="20"/>
          <w:szCs w:val="20"/>
          <w:color w:val="auto"/>
        </w:rPr>
      </w:pPr>
    </w:p>
    <w:p>
      <w:pPr>
        <w:jc w:val="both"/>
        <w:ind w:firstLine="1299"/>
        <w:spacing w:after="0" w:line="261" w:lineRule="auto"/>
        <w:tabs>
          <w:tab w:leader="none" w:pos="1985" w:val="left"/>
        </w:tabs>
        <w:numPr>
          <w:ilvl w:val="0"/>
          <w:numId w:val="217"/>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 to the contrary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the extent this Award may be deemed to create a deferred compensation arrangement under Code Section 409A, then the following limitation and provisions shall apply:</w:t>
      </w:r>
    </w:p>
    <w:p>
      <w:pPr>
        <w:spacing w:after="0" w:line="163" w:lineRule="exact"/>
        <w:rPr>
          <w:rFonts w:ascii="Arial" w:cs="Arial" w:eastAsia="Arial" w:hAnsi="Arial"/>
          <w:sz w:val="21"/>
          <w:szCs w:val="21"/>
          <w:color w:val="auto"/>
        </w:rPr>
      </w:pPr>
    </w:p>
    <w:p>
      <w:pPr>
        <w:jc w:val="both"/>
        <w:ind w:left="1760" w:hanging="7"/>
        <w:spacing w:after="0" w:line="271" w:lineRule="auto"/>
        <w:tabs>
          <w:tab w:leader="none" w:pos="2170" w:val="left"/>
        </w:tabs>
        <w:numPr>
          <w:ilvl w:val="1"/>
          <w:numId w:val="217"/>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61" w:lineRule="exact"/>
        <w:rPr>
          <w:rFonts w:ascii="Arial" w:cs="Arial" w:eastAsia="Arial" w:hAnsi="Arial"/>
          <w:sz w:val="19"/>
          <w:szCs w:val="19"/>
          <w:color w:val="auto"/>
        </w:rPr>
      </w:pPr>
    </w:p>
    <w:p>
      <w:pPr>
        <w:jc w:val="both"/>
        <w:ind w:left="1760" w:hanging="7"/>
        <w:spacing w:after="0" w:line="297" w:lineRule="auto"/>
        <w:tabs>
          <w:tab w:leader="none" w:pos="2251" w:val="left"/>
        </w:tabs>
        <w:numPr>
          <w:ilvl w:val="1"/>
          <w:numId w:val="217"/>
        </w:numPr>
        <w:rPr>
          <w:rFonts w:ascii="Arial" w:cs="Arial" w:eastAsia="Arial" w:hAnsi="Arial"/>
          <w:sz w:val="19"/>
          <w:szCs w:val="19"/>
          <w:color w:val="auto"/>
        </w:rPr>
      </w:pPr>
      <w:r>
        <w:rPr>
          <w:rFonts w:ascii="Arial" w:cs="Arial" w:eastAsia="Arial" w:hAnsi="Arial"/>
          <w:sz w:val="19"/>
          <w:szCs w:val="19"/>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28" w:lineRule="exact"/>
        <w:rPr>
          <w:rFonts w:ascii="Arial" w:cs="Arial" w:eastAsia="Arial" w:hAnsi="Arial"/>
          <w:sz w:val="19"/>
          <w:szCs w:val="19"/>
          <w:color w:val="auto"/>
        </w:rPr>
      </w:pPr>
    </w:p>
    <w:p>
      <w:pPr>
        <w:jc w:val="both"/>
        <w:ind w:firstLine="1299"/>
        <w:spacing w:after="0" w:line="289" w:lineRule="auto"/>
        <w:tabs>
          <w:tab w:leader="none" w:pos="1864" w:val="left"/>
        </w:tabs>
        <w:numPr>
          <w:ilvl w:val="0"/>
          <w:numId w:val="217"/>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color w:val="auto"/>
        </w:rPr>
        <w:t>. The issuance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36" w:lineRule="exact"/>
        <w:rPr>
          <w:rFonts w:ascii="Arial" w:cs="Arial" w:eastAsia="Arial" w:hAnsi="Arial"/>
          <w:sz w:val="19"/>
          <w:szCs w:val="19"/>
          <w:color w:val="auto"/>
        </w:rPr>
      </w:pPr>
    </w:p>
    <w:p>
      <w:pPr>
        <w:jc w:val="both"/>
        <w:ind w:firstLine="1299"/>
        <w:spacing w:after="0" w:line="273" w:lineRule="auto"/>
        <w:tabs>
          <w:tab w:leader="none" w:pos="1999" w:val="left"/>
        </w:tabs>
        <w:numPr>
          <w:ilvl w:val="0"/>
          <w:numId w:val="217"/>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7" w:name="page188"/>
    <w:bookmarkEnd w:id="187"/>
    <w:p>
      <w:pPr>
        <w:jc w:val="both"/>
        <w:ind w:firstLine="1299"/>
        <w:spacing w:after="0" w:line="249" w:lineRule="auto"/>
        <w:tabs>
          <w:tab w:leader="none" w:pos="2031" w:val="left"/>
        </w:tabs>
        <w:numPr>
          <w:ilvl w:val="0"/>
          <w:numId w:val="218"/>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 required to be given or delivered to the Corporation under</w:t>
      </w:r>
      <w:r>
        <w:rPr>
          <w:rFonts w:ascii="Arial" w:cs="Arial" w:eastAsia="Arial" w:hAnsi="Arial"/>
          <w:sz w:val="21"/>
          <w:szCs w:val="21"/>
          <w:b w:val="1"/>
          <w:bCs w:val="1"/>
          <w:color w:val="auto"/>
        </w:rPr>
        <w:t xml:space="preserve"> </w:t>
      </w:r>
      <w:r>
        <w:rPr>
          <w:rFonts w:ascii="Arial" w:cs="Arial" w:eastAsia="Arial" w:hAnsi="Arial"/>
          <w:sz w:val="21"/>
          <w:szCs w:val="21"/>
          <w:color w:val="auto"/>
        </w:rPr>
        <w:t>the terms of this 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71" w:lineRule="exact"/>
        <w:rPr>
          <w:rFonts w:ascii="Arial" w:cs="Arial" w:eastAsia="Arial" w:hAnsi="Arial"/>
          <w:sz w:val="21"/>
          <w:szCs w:val="21"/>
          <w:color w:val="auto"/>
        </w:rPr>
      </w:pPr>
    </w:p>
    <w:p>
      <w:pPr>
        <w:jc w:val="both"/>
        <w:ind w:firstLine="1299"/>
        <w:spacing w:after="0" w:line="237" w:lineRule="auto"/>
        <w:tabs>
          <w:tab w:leader="none" w:pos="2242" w:val="left"/>
        </w:tabs>
        <w:numPr>
          <w:ilvl w:val="0"/>
          <w:numId w:val="218"/>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Except to the extent otherwise provided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82" w:lineRule="exact"/>
        <w:rPr>
          <w:rFonts w:ascii="Arial" w:cs="Arial" w:eastAsia="Arial" w:hAnsi="Arial"/>
          <w:sz w:val="22"/>
          <w:szCs w:val="22"/>
          <w:color w:val="auto"/>
        </w:rPr>
      </w:pPr>
    </w:p>
    <w:p>
      <w:pPr>
        <w:ind w:left="1940" w:hanging="641"/>
        <w:spacing w:after="0"/>
        <w:tabs>
          <w:tab w:leader="none" w:pos="1940" w:val="left"/>
        </w:tabs>
        <w:numPr>
          <w:ilvl w:val="0"/>
          <w:numId w:val="218"/>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948"/>
        <w:spacing w:after="0" w:line="236" w:lineRule="auto"/>
        <w:tabs>
          <w:tab w:leader="none" w:pos="2590" w:val="left"/>
        </w:tabs>
        <w:numPr>
          <w:ilvl w:val="1"/>
          <w:numId w:val="218"/>
        </w:numPr>
        <w:rPr>
          <w:rFonts w:ascii="Arial" w:cs="Arial" w:eastAsia="Arial" w:hAnsi="Arial"/>
          <w:sz w:val="22"/>
          <w:szCs w:val="22"/>
          <w:color w:val="auto"/>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7" w:lineRule="exact"/>
        <w:rPr>
          <w:rFonts w:ascii="Arial" w:cs="Arial" w:eastAsia="Arial" w:hAnsi="Arial"/>
          <w:sz w:val="22"/>
          <w:szCs w:val="22"/>
          <w:color w:val="auto"/>
        </w:rPr>
      </w:pPr>
    </w:p>
    <w:p>
      <w:pPr>
        <w:jc w:val="both"/>
        <w:ind w:firstLine="1948"/>
        <w:spacing w:after="0" w:line="282" w:lineRule="auto"/>
        <w:tabs>
          <w:tab w:leader="none" w:pos="2587"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147" w:lineRule="exact"/>
        <w:rPr>
          <w:rFonts w:ascii="Arial" w:cs="Arial" w:eastAsia="Arial" w:hAnsi="Arial"/>
          <w:sz w:val="19"/>
          <w:szCs w:val="19"/>
          <w:color w:val="auto"/>
        </w:rPr>
      </w:pPr>
    </w:p>
    <w:p>
      <w:pPr>
        <w:jc w:val="both"/>
        <w:ind w:firstLine="1948"/>
        <w:spacing w:after="0" w:line="297" w:lineRule="auto"/>
        <w:tabs>
          <w:tab w:leader="none" w:pos="2689" w:val="left"/>
        </w:tabs>
        <w:numPr>
          <w:ilvl w:val="1"/>
          <w:numId w:val="218"/>
        </w:numPr>
        <w:rPr>
          <w:rFonts w:ascii="Arial" w:cs="Arial" w:eastAsia="Arial" w:hAnsi="Arial"/>
          <w:sz w:val="19"/>
          <w:szCs w:val="19"/>
          <w:color w:val="auto"/>
        </w:rPr>
      </w:pPr>
      <w:r>
        <w:rPr>
          <w:rFonts w:ascii="Arial" w:cs="Arial" w:eastAsia="Arial" w:hAnsi="Arial"/>
          <w:sz w:val="19"/>
          <w:szCs w:val="19"/>
          <w:color w:val="auto"/>
        </w:rPr>
        <w:t>Participant hereby acknowledges the receipt of a copy of the official prospectus for the Plan. A copy of the Plan is available upon request made to the Human Resources Department at the Corporation’s principal offices (1411 Sand Island Parkway, Honolulu, Hawaii 96819).</w:t>
      </w:r>
    </w:p>
    <w:p>
      <w:pPr>
        <w:spacing w:after="0" w:line="128" w:lineRule="exact"/>
        <w:rPr>
          <w:rFonts w:ascii="Arial" w:cs="Arial" w:eastAsia="Arial" w:hAnsi="Arial"/>
          <w:sz w:val="19"/>
          <w:szCs w:val="19"/>
          <w:color w:val="auto"/>
        </w:rPr>
      </w:pPr>
    </w:p>
    <w:p>
      <w:pPr>
        <w:jc w:val="both"/>
        <w:ind w:firstLine="1299"/>
        <w:spacing w:after="0" w:line="243" w:lineRule="auto"/>
        <w:tabs>
          <w:tab w:leader="none" w:pos="2228" w:val="left"/>
        </w:tabs>
        <w:numPr>
          <w:ilvl w:val="0"/>
          <w:numId w:val="218"/>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interpretation, performance and enforcement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laws of the State of Hawaii without regard to that State’s conflict-of-laws rules.</w:t>
      </w:r>
    </w:p>
    <w:p>
      <w:pPr>
        <w:spacing w:after="0" w:line="176" w:lineRule="exact"/>
        <w:rPr>
          <w:rFonts w:ascii="Arial" w:cs="Arial" w:eastAsia="Arial" w:hAnsi="Arial"/>
          <w:sz w:val="22"/>
          <w:szCs w:val="22"/>
          <w:color w:val="auto"/>
        </w:rPr>
      </w:pPr>
    </w:p>
    <w:p>
      <w:pPr>
        <w:ind w:left="1940" w:hanging="641"/>
        <w:spacing w:after="0"/>
        <w:tabs>
          <w:tab w:leader="none" w:pos="1940" w:val="left"/>
        </w:tabs>
        <w:numPr>
          <w:ilvl w:val="0"/>
          <w:numId w:val="218"/>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948"/>
        <w:spacing w:after="0" w:line="247" w:lineRule="auto"/>
        <w:tabs>
          <w:tab w:leader="none" w:pos="2713" w:val="left"/>
        </w:tabs>
        <w:numPr>
          <w:ilvl w:val="1"/>
          <w:numId w:val="218"/>
        </w:numPr>
        <w:rPr>
          <w:rFonts w:ascii="Arial" w:cs="Arial" w:eastAsia="Arial" w:hAnsi="Arial"/>
          <w:sz w:val="21"/>
          <w:szCs w:val="21"/>
          <w:color w:val="auto"/>
        </w:rPr>
      </w:pPr>
      <w:r>
        <w:rPr>
          <w:rFonts w:ascii="Arial" w:cs="Arial" w:eastAsia="Arial" w:hAnsi="Arial"/>
          <w:sz w:val="21"/>
          <w:szCs w:val="21"/>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8" w:name="page189"/>
    <w:bookmarkEnd w:id="188"/>
    <w:p>
      <w:pPr>
        <w:jc w:val="both"/>
        <w:spacing w:after="0" w:line="270" w:lineRule="auto"/>
        <w:rPr>
          <w:sz w:val="20"/>
          <w:szCs w:val="20"/>
          <w:color w:val="auto"/>
        </w:rPr>
      </w:pPr>
      <w:r>
        <w:rPr>
          <w:rFonts w:ascii="Arial" w:cs="Arial" w:eastAsia="Arial" w:hAnsi="Arial"/>
          <w:sz w:val="19"/>
          <w:szCs w:val="19"/>
          <w:color w:val="auto"/>
        </w:rPr>
        <w:t>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65" w:lineRule="exact"/>
        <w:rPr>
          <w:sz w:val="20"/>
          <w:szCs w:val="20"/>
          <w:color w:val="auto"/>
        </w:rPr>
      </w:pPr>
    </w:p>
    <w:p>
      <w:pPr>
        <w:jc w:val="both"/>
        <w:ind w:firstLine="1948"/>
        <w:spacing w:after="0"/>
        <w:tabs>
          <w:tab w:leader="none" w:pos="2623" w:val="left"/>
        </w:tabs>
        <w:numPr>
          <w:ilvl w:val="1"/>
          <w:numId w:val="219"/>
        </w:numPr>
        <w:rPr>
          <w:rFonts w:ascii="Arial" w:cs="Arial" w:eastAsia="Arial" w:hAnsi="Arial"/>
          <w:sz w:val="22"/>
          <w:szCs w:val="22"/>
          <w:color w:val="auto"/>
        </w:rPr>
      </w:pPr>
      <w:r>
        <w:rPr>
          <w:rFonts w:ascii="Arial" w:cs="Arial" w:eastAsia="Arial" w:hAnsi="Arial"/>
          <w:sz w:val="22"/>
          <w:szCs w:val="22"/>
          <w:color w:val="auto"/>
        </w:rPr>
        <w:t>Each party fully understands and agrees that they are giving up certain rights otherwise afforded to them by civil court actions, including but not limited to the right to a jury trial.</w:t>
      </w:r>
    </w:p>
    <w:p>
      <w:pPr>
        <w:spacing w:after="0" w:line="180" w:lineRule="exact"/>
        <w:rPr>
          <w:rFonts w:ascii="Arial" w:cs="Arial" w:eastAsia="Arial" w:hAnsi="Arial"/>
          <w:sz w:val="22"/>
          <w:szCs w:val="22"/>
          <w:color w:val="auto"/>
        </w:rPr>
      </w:pPr>
    </w:p>
    <w:p>
      <w:pPr>
        <w:jc w:val="both"/>
        <w:ind w:firstLine="1299"/>
        <w:spacing w:after="0" w:line="271" w:lineRule="auto"/>
        <w:tabs>
          <w:tab w:leader="none" w:pos="2012" w:val="left"/>
        </w:tabs>
        <w:numPr>
          <w:ilvl w:val="0"/>
          <w:numId w:val="220"/>
        </w:numPr>
        <w:rPr>
          <w:rFonts w:ascii="Arial" w:cs="Arial" w:eastAsia="Arial" w:hAnsi="Arial"/>
          <w:sz w:val="19"/>
          <w:szCs w:val="19"/>
          <w:color w:val="auto"/>
        </w:rPr>
      </w:pPr>
      <w:r>
        <w:rPr>
          <w:rFonts w:ascii="Arial" w:cs="Arial" w:eastAsia="Arial" w:hAnsi="Arial"/>
          <w:sz w:val="19"/>
          <w:szCs w:val="19"/>
          <w:b w:val="1"/>
          <w:bCs w:val="1"/>
          <w:u w:val="single" w:color="auto"/>
          <w:color w:val="auto"/>
        </w:rPr>
        <w:t>Coverage under Recoupment Policy</w:t>
      </w:r>
      <w:r>
        <w:rPr>
          <w:rFonts w:ascii="Arial" w:cs="Arial" w:eastAsia="Arial" w:hAnsi="Arial"/>
          <w:sz w:val="19"/>
          <w:szCs w:val="19"/>
          <w:color w:val="auto"/>
        </w:rPr>
        <w:t>. If Participant is on the Award Date, or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thereafter becomes, either an executive officer of the Corporation subject to Section 16 of the 1934 Act, or a participant in the Corporation’s Performance Improvement Incentive Plan, then Participant shall be subject to the Matson, Inc. Policy Regarding Recoupment of Certain Compensation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w:t>
      </w:r>
      <w:r>
        <w:rPr>
          <w:rFonts w:ascii="Arial" w:cs="Arial" w:eastAsia="Arial" w:hAnsi="Arial"/>
          <w:sz w:val="19"/>
          <w:szCs w:val="19"/>
          <w:b w:val="1"/>
          <w:bCs w:val="1"/>
          <w:i w:val="1"/>
          <w:iCs w:val="1"/>
          <w:color w:val="auto"/>
        </w:rPr>
        <w:t>incentive compensation</w:t>
      </w:r>
      <w:r>
        <w:rPr>
          <w:rFonts w:ascii="Arial" w:cs="Arial" w:eastAsia="Arial" w:hAnsi="Arial"/>
          <w:sz w:val="19"/>
          <w:szCs w:val="19"/>
          <w:color w:val="auto"/>
        </w:rPr>
        <w:t>” means all cash or equity-based award (e.g.,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61" w:lineRule="exact"/>
        <w:rPr>
          <w:rFonts w:ascii="Arial" w:cs="Arial" w:eastAsia="Arial" w:hAnsi="Arial"/>
          <w:sz w:val="19"/>
          <w:szCs w:val="19"/>
          <w:color w:val="auto"/>
        </w:rPr>
      </w:pPr>
    </w:p>
    <w:p>
      <w:pPr>
        <w:ind w:left="1940" w:hanging="641"/>
        <w:spacing w:after="0"/>
        <w:tabs>
          <w:tab w:leader="none" w:pos="1940" w:val="left"/>
        </w:tabs>
        <w:numPr>
          <w:ilvl w:val="0"/>
          <w:numId w:val="220"/>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1948"/>
        <w:spacing w:after="0" w:line="328" w:lineRule="auto"/>
        <w:tabs>
          <w:tab w:leader="none" w:pos="2496" w:val="left"/>
        </w:tabs>
        <w:numPr>
          <w:ilvl w:val="1"/>
          <w:numId w:val="220"/>
        </w:numPr>
        <w:rPr>
          <w:rFonts w:ascii="Arial" w:cs="Arial" w:eastAsia="Arial" w:hAnsi="Arial"/>
          <w:sz w:val="19"/>
          <w:szCs w:val="19"/>
          <w:color w:val="auto"/>
        </w:rPr>
      </w:pPr>
      <w:r>
        <w:rPr>
          <w:rFonts w:ascii="Arial" w:cs="Arial" w:eastAsia="Arial" w:hAnsi="Arial"/>
          <w:sz w:val="19"/>
          <w:szCs w:val="19"/>
          <w:color w:val="auto"/>
        </w:rPr>
        <w:t>Participant hereby explicitly and unambiguously consents to the collection, use and transfer, in electronic or other form, of Participant’s personal data as described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89" w:name="page190"/>
    <w:bookmarkEnd w:id="189"/>
    <w:p>
      <w:pPr>
        <w:spacing w:after="0" w:line="251" w:lineRule="auto"/>
        <w:rPr>
          <w:sz w:val="20"/>
          <w:szCs w:val="20"/>
          <w:color w:val="auto"/>
        </w:rPr>
      </w:pPr>
      <w:r>
        <w:rPr>
          <w:rFonts w:ascii="Arial" w:cs="Arial" w:eastAsia="Arial" w:hAnsi="Arial"/>
          <w:sz w:val="22"/>
          <w:szCs w:val="22"/>
          <w:color w:val="auto"/>
        </w:rPr>
        <w:t>in this Agreement by the Corporation for the exclusive purpose of implementing, administering and managing Participant’s participation in the Plan.</w:t>
      </w:r>
    </w:p>
    <w:p>
      <w:pPr>
        <w:spacing w:after="0" w:line="174" w:lineRule="exact"/>
        <w:rPr>
          <w:sz w:val="20"/>
          <w:szCs w:val="20"/>
          <w:color w:val="auto"/>
        </w:rPr>
      </w:pPr>
    </w:p>
    <w:p>
      <w:pPr>
        <w:jc w:val="both"/>
        <w:ind w:firstLine="1948"/>
        <w:spacing w:after="0" w:line="271" w:lineRule="auto"/>
        <w:tabs>
          <w:tab w:leader="none" w:pos="281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398" w:lineRule="exact"/>
        <w:rPr>
          <w:rFonts w:ascii="Arial" w:cs="Arial" w:eastAsia="Arial" w:hAnsi="Arial"/>
          <w:sz w:val="19"/>
          <w:szCs w:val="19"/>
          <w:color w:val="auto"/>
        </w:rPr>
      </w:pPr>
    </w:p>
    <w:p>
      <w:pPr>
        <w:jc w:val="both"/>
        <w:ind w:firstLine="1299"/>
        <w:spacing w:after="0" w:line="239" w:lineRule="auto"/>
        <w:tabs>
          <w:tab w:leader="none" w:pos="1985" w:val="left"/>
        </w:tabs>
        <w:numPr>
          <w:ilvl w:val="0"/>
          <w:numId w:val="22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w:t>
      </w:r>
      <w:r>
        <w:rPr>
          <w:rFonts w:ascii="Arial" w:cs="Arial" w:eastAsia="Arial" w:hAnsi="Arial"/>
          <w:sz w:val="22"/>
          <w:szCs w:val="22"/>
          <w:b w:val="1"/>
          <w:bCs w:val="1"/>
          <w:color w:val="auto"/>
        </w:rPr>
        <w:t xml:space="preserve"> </w:t>
      </w:r>
      <w:r>
        <w:rPr>
          <w:rFonts w:ascii="Arial" w:cs="Arial" w:eastAsia="Arial" w:hAnsi="Arial"/>
          <w:sz w:val="22"/>
          <w:szCs w:val="22"/>
          <w:color w:val="auto"/>
        </w:rPr>
        <w:t>by 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299"/>
        <w:spacing w:after="0" w:line="301" w:lineRule="auto"/>
        <w:tabs>
          <w:tab w:leader="none" w:pos="2093" w:val="left"/>
        </w:tabs>
        <w:numPr>
          <w:ilvl w:val="0"/>
          <w:numId w:val="222"/>
        </w:numPr>
        <w:rPr>
          <w:rFonts w:ascii="Arial" w:cs="Arial" w:eastAsia="Arial" w:hAnsi="Arial"/>
          <w:sz w:val="19"/>
          <w:szCs w:val="19"/>
          <w:color w:val="auto"/>
        </w:rPr>
      </w:pPr>
      <w:r>
        <w:rPr>
          <w:rFonts w:ascii="Arial" w:cs="Arial" w:eastAsia="Arial" w:hAnsi="Arial"/>
          <w:sz w:val="19"/>
          <w:szCs w:val="19"/>
          <w:b w:val="1"/>
          <w:bCs w:val="1"/>
          <w:u w:val="single" w:color="auto"/>
          <w:color w:val="auto"/>
        </w:rPr>
        <w:t>Other Agreements Superseded</w:t>
      </w:r>
      <w:r>
        <w:rPr>
          <w:rFonts w:ascii="Arial" w:cs="Arial" w:eastAsia="Arial" w:hAnsi="Arial"/>
          <w:sz w:val="19"/>
          <w:szCs w:val="19"/>
          <w:color w:val="auto"/>
        </w:rPr>
        <w:t>. The Award Notice, this Agreement,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constitute the entire understanding between Participant and the Corporation regarding the Award. Any prior agreements, commitments or negotiations concerning the Award are superseded.</w:t>
      </w:r>
    </w:p>
    <w:p>
      <w:pPr>
        <w:spacing w:after="0" w:line="123" w:lineRule="exact"/>
        <w:rPr>
          <w:rFonts w:ascii="Arial" w:cs="Arial" w:eastAsia="Arial" w:hAnsi="Arial"/>
          <w:sz w:val="19"/>
          <w:szCs w:val="19"/>
          <w:color w:val="auto"/>
        </w:rPr>
      </w:pPr>
    </w:p>
    <w:p>
      <w:pPr>
        <w:jc w:val="both"/>
        <w:ind w:firstLine="1299"/>
        <w:spacing w:after="0" w:line="239" w:lineRule="auto"/>
        <w:tabs>
          <w:tab w:leader="none" w:pos="2066" w:val="left"/>
        </w:tabs>
        <w:numPr>
          <w:ilvl w:val="0"/>
          <w:numId w:val="222"/>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Plan Document</w:t>
      </w:r>
      <w:r>
        <w:rPr>
          <w:rFonts w:ascii="Arial" w:cs="Arial" w:eastAsia="Arial" w:hAnsi="Arial"/>
          <w:sz w:val="22"/>
          <w:szCs w:val="22"/>
          <w:color w:val="auto"/>
        </w:rPr>
        <w:t>. The Award is subject to all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0" w:name="page191"/>
    <w:bookmarkEnd w:id="190"/>
    <w:p>
      <w:pPr>
        <w:ind w:left="3860"/>
        <w:spacing w:after="0"/>
        <w:rPr>
          <w:sz w:val="20"/>
          <w:szCs w:val="20"/>
          <w:color w:val="auto"/>
        </w:rPr>
      </w:pPr>
      <w:r>
        <w:rPr>
          <w:rFonts w:ascii="Arial" w:cs="Arial" w:eastAsia="Arial" w:hAnsi="Arial"/>
          <w:sz w:val="22"/>
          <w:szCs w:val="22"/>
          <w:b w:val="1"/>
          <w:bCs w:val="1"/>
          <w:color w:val="auto"/>
        </w:rPr>
        <w:t>APPENDIX A</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820" w:hanging="541"/>
        <w:spacing w:after="0"/>
        <w:tabs>
          <w:tab w:leader="none" w:pos="1820" w:val="left"/>
        </w:tabs>
        <w:numPr>
          <w:ilvl w:val="0"/>
          <w:numId w:val="223"/>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206" w:lineRule="exact"/>
        <w:rPr>
          <w:rFonts w:ascii="Arial" w:cs="Arial" w:eastAsia="Arial" w:hAnsi="Arial"/>
          <w:sz w:val="22"/>
          <w:szCs w:val="22"/>
          <w:color w:val="auto"/>
        </w:rPr>
      </w:pPr>
    </w:p>
    <w:p>
      <w:pPr>
        <w:ind w:left="-20" w:firstLine="1299"/>
        <w:spacing w:after="0" w:line="256" w:lineRule="auto"/>
        <w:tabs>
          <w:tab w:leader="none" w:pos="1839" w:val="left"/>
        </w:tabs>
        <w:numPr>
          <w:ilvl w:val="0"/>
          <w:numId w:val="22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terms of this Agreement.</w:t>
      </w:r>
    </w:p>
    <w:p>
      <w:pPr>
        <w:spacing w:after="0" w:line="162" w:lineRule="exact"/>
        <w:rPr>
          <w:rFonts w:ascii="Arial" w:cs="Arial" w:eastAsia="Arial" w:hAnsi="Arial"/>
          <w:sz w:val="22"/>
          <w:szCs w:val="22"/>
          <w:color w:val="auto"/>
        </w:rPr>
      </w:pPr>
    </w:p>
    <w:p>
      <w:pPr>
        <w:ind w:left="-20" w:firstLine="1299"/>
        <w:spacing w:after="0" w:line="256" w:lineRule="auto"/>
        <w:tabs>
          <w:tab w:leader="none" w:pos="2109" w:val="left"/>
        </w:tabs>
        <w:numPr>
          <w:ilvl w:val="0"/>
          <w:numId w:val="223"/>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restricted stock units are awarded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pursuant to the Agreement and shall be the date specified in the Award Notice.</w:t>
      </w:r>
    </w:p>
    <w:p>
      <w:pPr>
        <w:spacing w:after="0" w:line="162" w:lineRule="exact"/>
        <w:rPr>
          <w:rFonts w:ascii="Arial" w:cs="Arial" w:eastAsia="Arial" w:hAnsi="Arial"/>
          <w:sz w:val="22"/>
          <w:szCs w:val="22"/>
          <w:color w:val="auto"/>
        </w:rPr>
      </w:pPr>
    </w:p>
    <w:p>
      <w:pPr>
        <w:jc w:val="both"/>
        <w:ind w:left="-20" w:firstLine="1299"/>
        <w:spacing w:after="0" w:line="301" w:lineRule="auto"/>
        <w:tabs>
          <w:tab w:leader="none" w:pos="1932" w:val="left"/>
        </w:tabs>
        <w:numPr>
          <w:ilvl w:val="0"/>
          <w:numId w:val="223"/>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Notice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Notice of Award of Time-Based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Units delivered to Participant in which there is set forth the basic terms of the restricted stock units subject to this Agreement, including (without limitation) the applicable vesting schedule for those units.</w:t>
      </w:r>
    </w:p>
    <w:p>
      <w:pPr>
        <w:spacing w:after="0" w:line="123" w:lineRule="exact"/>
        <w:rPr>
          <w:rFonts w:ascii="Arial" w:cs="Arial" w:eastAsia="Arial" w:hAnsi="Arial"/>
          <w:sz w:val="19"/>
          <w:szCs w:val="19"/>
          <w:color w:val="auto"/>
        </w:rPr>
      </w:pPr>
    </w:p>
    <w:p>
      <w:pPr>
        <w:jc w:val="both"/>
        <w:ind w:left="-20" w:firstLine="1299"/>
        <w:spacing w:after="0" w:line="275" w:lineRule="auto"/>
        <w:tabs>
          <w:tab w:leader="none" w:pos="1854" w:val="left"/>
        </w:tabs>
        <w:numPr>
          <w:ilvl w:val="0"/>
          <w:numId w:val="223"/>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in the event Participant is, at the time the Corporation (or any Parent or Subsidiary) purports to terminate Participant’s Employee status for Cause, a party to a Change in Control Benefits Agreement applicable to the Award, the term </w:t>
      </w:r>
      <w:r>
        <w:rPr>
          <w:rFonts w:ascii="Arial" w:cs="Arial" w:eastAsia="Arial" w:hAnsi="Arial"/>
          <w:sz w:val="19"/>
          <w:szCs w:val="19"/>
          <w:b w:val="1"/>
          <w:bCs w:val="1"/>
          <w:color w:val="auto"/>
        </w:rPr>
        <w:t>Cause</w:t>
      </w:r>
      <w:r>
        <w:rPr>
          <w:rFonts w:ascii="Arial" w:cs="Arial" w:eastAsia="Arial" w:hAnsi="Arial"/>
          <w:sz w:val="19"/>
          <w:szCs w:val="19"/>
          <w:color w:val="auto"/>
        </w:rPr>
        <w:t xml:space="preserv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50" w:lineRule="exact"/>
        <w:rPr>
          <w:rFonts w:ascii="Arial" w:cs="Arial" w:eastAsia="Arial" w:hAnsi="Arial"/>
          <w:sz w:val="19"/>
          <w:szCs w:val="19"/>
          <w:color w:val="auto"/>
        </w:rPr>
      </w:pPr>
    </w:p>
    <w:p>
      <w:pPr>
        <w:jc w:val="both"/>
        <w:ind w:left="-20" w:firstLine="1299"/>
        <w:spacing w:after="0" w:line="239" w:lineRule="auto"/>
        <w:tabs>
          <w:tab w:leader="none" w:pos="1757" w:val="left"/>
        </w:tabs>
        <w:numPr>
          <w:ilvl w:val="0"/>
          <w:numId w:val="223"/>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that in the event Participant is a party to a Change in Control Benefits Agreement applicable to the Award, the term Change in Control shall have the meaning ascribed to that term in such Change in Control Benefits Agreement.</w:t>
      </w:r>
    </w:p>
    <w:p>
      <w:pPr>
        <w:spacing w:after="0" w:line="180" w:lineRule="exact"/>
        <w:rPr>
          <w:rFonts w:ascii="Arial" w:cs="Arial" w:eastAsia="Arial" w:hAnsi="Arial"/>
          <w:sz w:val="22"/>
          <w:szCs w:val="22"/>
          <w:color w:val="auto"/>
        </w:rPr>
      </w:pPr>
    </w:p>
    <w:p>
      <w:pPr>
        <w:jc w:val="both"/>
        <w:ind w:left="-20" w:firstLine="1299"/>
        <w:spacing w:after="0" w:line="249" w:lineRule="auto"/>
        <w:tabs>
          <w:tab w:leader="none" w:pos="2040" w:val="left"/>
        </w:tabs>
        <w:numPr>
          <w:ilvl w:val="0"/>
          <w:numId w:val="223"/>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Benefits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separate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71" w:lineRule="exact"/>
        <w:rPr>
          <w:rFonts w:ascii="Arial" w:cs="Arial" w:eastAsia="Arial" w:hAnsi="Arial"/>
          <w:sz w:val="21"/>
          <w:szCs w:val="21"/>
          <w:color w:val="auto"/>
        </w:rPr>
      </w:pPr>
    </w:p>
    <w:p>
      <w:pPr>
        <w:jc w:val="both"/>
        <w:ind w:left="-20" w:firstLine="1299"/>
        <w:spacing w:after="0" w:line="261" w:lineRule="auto"/>
        <w:tabs>
          <w:tab w:leader="none" w:pos="1838" w:val="left"/>
        </w:tabs>
        <w:numPr>
          <w:ilvl w:val="0"/>
          <w:numId w:val="223"/>
        </w:numPr>
        <w:rPr>
          <w:rFonts w:ascii="Arial" w:cs="Arial" w:eastAsia="Arial" w:hAnsi="Arial"/>
          <w:sz w:val="21"/>
          <w:szCs w:val="21"/>
          <w:color w:val="auto"/>
        </w:rPr>
      </w:pPr>
      <w:r>
        <w:rPr>
          <w:rFonts w:ascii="Arial" w:cs="Arial" w:eastAsia="Arial" w:hAnsi="Arial"/>
          <w:sz w:val="21"/>
          <w:szCs w:val="21"/>
          <w:b w:val="1"/>
          <w:bCs w:val="1"/>
          <w:u w:val="single" w:color="auto"/>
          <w:color w:val="auto"/>
        </w:rPr>
        <w:t>Early Retirement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Participant’s retirement from Service, with the prior</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of the Corporation (or the Parent or Subsidiary employing Participant), on or after the attainment of age fifty-five (55) and the completion of at least five (5)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768985</wp:posOffset>
            </wp:positionV>
            <wp:extent cx="575437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2" w:right="1419" w:bottom="1440" w:gutter="0" w:footer="0" w:header="0"/>
        </w:sectPr>
      </w:pPr>
    </w:p>
    <w:bookmarkStart w:id="191" w:name="page192"/>
    <w:bookmarkEnd w:id="191"/>
    <w:p>
      <w:pPr>
        <w:jc w:val="both"/>
        <w:ind w:firstLine="1299"/>
        <w:spacing w:after="0" w:line="289" w:lineRule="auto"/>
        <w:tabs>
          <w:tab w:leader="none" w:pos="1747" w:val="left"/>
        </w:tabs>
        <w:numPr>
          <w:ilvl w:val="0"/>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 Participant is at the time of his or her cessation of Employee status a party to a Change in Control Benefits Agreement applicable to the Award evidenced by this Agreement, the term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shall have the meaning ascribed to that term in such Change in Control Benefits Agreement.</w:t>
      </w:r>
    </w:p>
    <w:p>
      <w:pPr>
        <w:spacing w:after="0" w:line="136" w:lineRule="exact"/>
        <w:rPr>
          <w:rFonts w:ascii="Arial" w:cs="Arial" w:eastAsia="Arial" w:hAnsi="Arial"/>
          <w:sz w:val="19"/>
          <w:szCs w:val="19"/>
          <w:color w:val="auto"/>
        </w:rPr>
      </w:pPr>
    </w:p>
    <w:p>
      <w:pPr>
        <w:ind w:firstLine="1299"/>
        <w:spacing w:after="0" w:line="256" w:lineRule="auto"/>
        <w:tabs>
          <w:tab w:leader="none" w:pos="1853" w:val="left"/>
        </w:tabs>
        <w:numPr>
          <w:ilvl w:val="0"/>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at or after the attainment of age sixty-five (65).</w:t>
      </w:r>
    </w:p>
    <w:p>
      <w:pPr>
        <w:spacing w:after="0" w:line="162" w:lineRule="exact"/>
        <w:rPr>
          <w:rFonts w:ascii="Arial" w:cs="Arial" w:eastAsia="Arial" w:hAnsi="Arial"/>
          <w:sz w:val="22"/>
          <w:szCs w:val="22"/>
          <w:color w:val="auto"/>
        </w:rPr>
      </w:pPr>
    </w:p>
    <w:p>
      <w:pPr>
        <w:ind w:left="1920" w:hanging="621"/>
        <w:spacing w:after="0"/>
        <w:tabs>
          <w:tab w:leader="none" w:pos="1920" w:val="left"/>
        </w:tabs>
        <w:numPr>
          <w:ilvl w:val="0"/>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2" w:lineRule="exact"/>
        <w:rPr>
          <w:rFonts w:ascii="Arial" w:cs="Arial" w:eastAsia="Arial" w:hAnsi="Arial"/>
          <w:sz w:val="19"/>
          <w:szCs w:val="19"/>
          <w:color w:val="auto"/>
        </w:rPr>
      </w:pPr>
    </w:p>
    <w:p>
      <w:pPr>
        <w:ind w:left="1760" w:hanging="461"/>
        <w:spacing w:after="0"/>
        <w:tabs>
          <w:tab w:leader="none" w:pos="1760" w:val="left"/>
        </w:tabs>
        <w:numPr>
          <w:ilvl w:val="0"/>
          <w:numId w:val="224"/>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rFonts w:ascii="Arial" w:cs="Arial" w:eastAsia="Arial" w:hAnsi="Arial"/>
          <w:sz w:val="22"/>
          <w:szCs w:val="22"/>
          <w:color w:val="auto"/>
        </w:rPr>
      </w:pPr>
    </w:p>
    <w:p>
      <w:pPr>
        <w:jc w:val="both"/>
        <w:ind w:firstLine="1299"/>
        <w:spacing w:after="0" w:line="280" w:lineRule="auto"/>
        <w:tabs>
          <w:tab w:leader="none" w:pos="1759" w:val="left"/>
        </w:tabs>
        <w:numPr>
          <w:ilvl w:val="0"/>
          <w:numId w:val="224"/>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on which there occurs a Change</w:t>
      </w:r>
      <w:r>
        <w:rPr>
          <w:rFonts w:ascii="Arial" w:cs="Arial" w:eastAsia="Arial" w:hAnsi="Arial"/>
          <w:sz w:val="19"/>
          <w:szCs w:val="19"/>
          <w:b w:val="1"/>
          <w:bCs w:val="1"/>
          <w:color w:val="auto"/>
        </w:rPr>
        <w:t xml:space="preserve"> </w:t>
      </w:r>
      <w:r>
        <w:rPr>
          <w:rFonts w:ascii="Arial" w:cs="Arial" w:eastAsia="Arial" w:hAnsi="Arial"/>
          <w:sz w:val="19"/>
          <w:szCs w:val="19"/>
          <w:color w:val="auto"/>
        </w:rPr>
        <w:t>in Control that also qualifies as: (i) a change in the ownership of the Corporation, as determined in</w:t>
      </w:r>
    </w:p>
    <w:p>
      <w:pPr>
        <w:jc w:val="both"/>
        <w:spacing w:after="0" w:line="233" w:lineRule="auto"/>
        <w:rPr>
          <w:sz w:val="20"/>
          <w:szCs w:val="20"/>
          <w:color w:val="auto"/>
        </w:rPr>
      </w:pPr>
      <w:r>
        <w:rPr>
          <w:rFonts w:ascii="Arial" w:cs="Arial" w:eastAsia="Arial" w:hAnsi="Arial"/>
          <w:sz w:val="22"/>
          <w:szCs w:val="22"/>
          <w:color w:val="auto"/>
        </w:rPr>
        <w:t>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80" w:lineRule="exact"/>
        <w:rPr>
          <w:sz w:val="20"/>
          <w:szCs w:val="20"/>
          <w:color w:val="auto"/>
        </w:rPr>
      </w:pPr>
    </w:p>
    <w:p>
      <w:pPr>
        <w:jc w:val="both"/>
        <w:ind w:firstLine="1299"/>
        <w:spacing w:after="0" w:line="270" w:lineRule="auto"/>
        <w:tabs>
          <w:tab w:leader="none" w:pos="1790" w:val="left"/>
        </w:tabs>
        <w:numPr>
          <w:ilvl w:val="0"/>
          <w:numId w:val="225"/>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 status</w:t>
      </w:r>
      <w:r>
        <w:rPr>
          <w:rFonts w:ascii="Arial" w:cs="Arial" w:eastAsia="Arial" w:hAnsi="Arial"/>
          <w:sz w:val="19"/>
          <w:szCs w:val="19"/>
          <w:b w:val="1"/>
          <w:bCs w:val="1"/>
          <w:color w:val="auto"/>
        </w:rPr>
        <w:t xml:space="preserve"> </w:t>
      </w:r>
      <w:r>
        <w:rPr>
          <w:rFonts w:ascii="Arial" w:cs="Arial" w:eastAsia="Arial" w:hAnsi="Arial"/>
          <w:sz w:val="19"/>
          <w:szCs w:val="19"/>
          <w:color w:val="auto"/>
        </w:rPr>
        <w:t>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2" w:name="page193"/>
    <w:bookmarkEnd w:id="192"/>
    <w:p>
      <w:pPr>
        <w:jc w:val="both"/>
        <w:ind w:firstLine="1299"/>
        <w:spacing w:after="0" w:line="239" w:lineRule="auto"/>
        <w:tabs>
          <w:tab w:leader="none" w:pos="1885" w:val="left"/>
        </w:tabs>
        <w:numPr>
          <w:ilvl w:val="1"/>
          <w:numId w:val="226"/>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any Parent or Subsidiary) in the capacity of an Employee, a non-employee member of the board of directors or a consultant or independent advisor. In addition, the following provisions shall govern the determination of Participant’s period of Service:</w:t>
      </w:r>
    </w:p>
    <w:p>
      <w:pPr>
        <w:spacing w:after="0" w:line="187" w:lineRule="exact"/>
        <w:rPr>
          <w:rFonts w:ascii="Arial" w:cs="Arial" w:eastAsia="Arial" w:hAnsi="Arial"/>
          <w:sz w:val="22"/>
          <w:szCs w:val="22"/>
          <w:color w:val="auto"/>
        </w:rPr>
      </w:pPr>
    </w:p>
    <w:p>
      <w:pPr>
        <w:jc w:val="both"/>
        <w:ind w:left="660" w:firstLine="1093"/>
        <w:spacing w:after="0" w:line="238" w:lineRule="auto"/>
        <w:tabs>
          <w:tab w:leader="none" w:pos="2371" w:val="left"/>
        </w:tabs>
        <w:numPr>
          <w:ilvl w:val="2"/>
          <w:numId w:val="226"/>
        </w:numPr>
        <w:rPr>
          <w:rFonts w:ascii="Arial" w:cs="Arial" w:eastAsia="Arial" w:hAnsi="Arial"/>
          <w:sz w:val="22"/>
          <w:szCs w:val="22"/>
          <w:color w:val="auto"/>
        </w:rPr>
      </w:pPr>
      <w:r>
        <w:rPr>
          <w:rFonts w:ascii="Arial" w:cs="Arial" w:eastAsia="Arial" w:hAnsi="Arial"/>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85" w:lineRule="exact"/>
        <w:rPr>
          <w:rFonts w:ascii="Arial" w:cs="Arial" w:eastAsia="Arial" w:hAnsi="Arial"/>
          <w:sz w:val="22"/>
          <w:szCs w:val="22"/>
          <w:color w:val="auto"/>
        </w:rPr>
      </w:pPr>
    </w:p>
    <w:p>
      <w:pPr>
        <w:jc w:val="both"/>
        <w:ind w:left="660" w:firstLine="1093"/>
        <w:spacing w:after="0" w:line="282" w:lineRule="auto"/>
        <w:tabs>
          <w:tab w:leader="none" w:pos="2296" w:val="left"/>
        </w:tabs>
        <w:numPr>
          <w:ilvl w:val="2"/>
          <w:numId w:val="226"/>
        </w:numPr>
        <w:rPr>
          <w:rFonts w:ascii="Arial" w:cs="Arial" w:eastAsia="Arial" w:hAnsi="Arial"/>
          <w:sz w:val="19"/>
          <w:szCs w:val="19"/>
          <w:color w:val="auto"/>
        </w:rPr>
      </w:pPr>
      <w:r>
        <w:rPr>
          <w:rFonts w:ascii="Arial" w:cs="Arial" w:eastAsia="Arial" w:hAnsi="Arial"/>
          <w:sz w:val="19"/>
          <w:szCs w:val="19"/>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47" w:lineRule="exact"/>
        <w:rPr>
          <w:rFonts w:ascii="Arial" w:cs="Arial" w:eastAsia="Arial" w:hAnsi="Arial"/>
          <w:sz w:val="19"/>
          <w:szCs w:val="19"/>
          <w:color w:val="auto"/>
        </w:rPr>
      </w:pPr>
    </w:p>
    <w:p>
      <w:pPr>
        <w:jc w:val="both"/>
        <w:ind w:left="660" w:firstLine="1093"/>
        <w:spacing w:after="0" w:line="238" w:lineRule="auto"/>
        <w:tabs>
          <w:tab w:leader="none" w:pos="2436" w:val="left"/>
        </w:tabs>
        <w:numPr>
          <w:ilvl w:val="2"/>
          <w:numId w:val="226"/>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185" w:lineRule="exact"/>
        <w:rPr>
          <w:rFonts w:ascii="Arial" w:cs="Arial" w:eastAsia="Arial" w:hAnsi="Arial"/>
          <w:sz w:val="22"/>
          <w:szCs w:val="22"/>
          <w:color w:val="auto"/>
        </w:rPr>
      </w:pPr>
    </w:p>
    <w:p>
      <w:pPr>
        <w:ind w:left="2720" w:hanging="448"/>
        <w:spacing w:after="0"/>
        <w:tabs>
          <w:tab w:leader="none" w:pos="2720" w:val="left"/>
        </w:tabs>
        <w:numPr>
          <w:ilvl w:val="3"/>
          <w:numId w:val="226"/>
        </w:numPr>
        <w:rPr>
          <w:rFonts w:ascii="Arial" w:cs="Arial" w:eastAsia="Arial" w:hAnsi="Arial"/>
          <w:sz w:val="19"/>
          <w:szCs w:val="19"/>
          <w:color w:val="auto"/>
        </w:rPr>
      </w:pPr>
      <w:r>
        <w:rPr>
          <w:rFonts w:ascii="Arial" w:cs="Arial" w:eastAsia="Arial" w:hAnsi="Arial"/>
          <w:sz w:val="19"/>
          <w:szCs w:val="19"/>
          <w:color w:val="auto"/>
        </w:rPr>
        <w:t>Should the period of such leave (other than a disability leave) exceed six</w:t>
      </w:r>
    </w:p>
    <w:p>
      <w:pPr>
        <w:spacing w:after="0" w:line="42" w:lineRule="exact"/>
        <w:rPr>
          <w:rFonts w:ascii="Arial" w:cs="Arial" w:eastAsia="Arial" w:hAnsi="Arial"/>
          <w:sz w:val="19"/>
          <w:szCs w:val="19"/>
          <w:color w:val="auto"/>
        </w:rPr>
      </w:pPr>
    </w:p>
    <w:p>
      <w:pPr>
        <w:jc w:val="both"/>
        <w:ind w:left="660" w:hanging="9"/>
        <w:spacing w:after="0" w:line="233" w:lineRule="auto"/>
        <w:tabs>
          <w:tab w:leader="none" w:pos="99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88" w:lineRule="exact"/>
        <w:rPr>
          <w:rFonts w:ascii="Arial" w:cs="Arial" w:eastAsia="Arial" w:hAnsi="Arial"/>
          <w:sz w:val="22"/>
          <w:szCs w:val="22"/>
          <w:color w:val="auto"/>
        </w:rPr>
      </w:pPr>
    </w:p>
    <w:p>
      <w:pPr>
        <w:jc w:val="both"/>
        <w:ind w:left="660" w:firstLine="1612"/>
        <w:spacing w:after="0" w:line="274" w:lineRule="auto"/>
        <w:tabs>
          <w:tab w:leader="none" w:pos="2767" w:val="left"/>
        </w:tabs>
        <w:numPr>
          <w:ilvl w:val="3"/>
          <w:numId w:val="227"/>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58" w:lineRule="exact"/>
        <w:rPr>
          <w:rFonts w:ascii="Arial" w:cs="Arial" w:eastAsia="Arial" w:hAnsi="Arial"/>
          <w:sz w:val="19"/>
          <w:szCs w:val="19"/>
          <w:color w:val="auto"/>
        </w:rPr>
      </w:pPr>
    </w:p>
    <w:p>
      <w:pPr>
        <w:jc w:val="both"/>
        <w:ind w:left="660" w:firstLine="1612"/>
        <w:spacing w:after="0" w:line="297" w:lineRule="auto"/>
        <w:tabs>
          <w:tab w:leader="none" w:pos="2701" w:val="left"/>
        </w:tabs>
        <w:numPr>
          <w:ilvl w:val="3"/>
          <w:numId w:val="227"/>
        </w:numPr>
        <w:rPr>
          <w:rFonts w:ascii="Arial" w:cs="Arial" w:eastAsia="Arial" w:hAnsi="Arial"/>
          <w:sz w:val="19"/>
          <w:szCs w:val="19"/>
          <w:color w:val="auto"/>
        </w:rPr>
      </w:pPr>
      <w:r>
        <w:rPr>
          <w:rFonts w:ascii="Arial" w:cs="Arial" w:eastAsia="Arial" w:hAnsi="Arial"/>
          <w:sz w:val="19"/>
          <w:szCs w:val="19"/>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3" w:name="page194"/>
    <w:bookmarkEnd w:id="193"/>
    <w:p>
      <w:pPr>
        <w:jc w:val="both"/>
        <w:ind w:left="640" w:firstLine="1093"/>
        <w:spacing w:after="0" w:line="298" w:lineRule="auto"/>
        <w:tabs>
          <w:tab w:leader="none" w:pos="2281" w:val="left"/>
        </w:tabs>
        <w:numPr>
          <w:ilvl w:val="0"/>
          <w:numId w:val="228"/>
        </w:numPr>
        <w:rPr>
          <w:rFonts w:ascii="Arial" w:cs="Arial" w:eastAsia="Arial" w:hAnsi="Arial"/>
          <w:sz w:val="19"/>
          <w:szCs w:val="19"/>
          <w:color w:val="auto"/>
        </w:rPr>
      </w:pPr>
      <w:r>
        <w:rPr>
          <w:rFonts w:ascii="Arial" w:cs="Arial" w:eastAsia="Arial" w:hAnsi="Arial"/>
          <w:sz w:val="19"/>
          <w:szCs w:val="19"/>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color w:val="auto"/>
        </w:rPr>
        <w:t>Exhibit 10.73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MATSON,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TIME-BASED RESTRICTED STOCK UNIT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AWARD AGREEMENT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RECITALS</w:t>
      </w:r>
    </w:p>
    <w:p>
      <w:pPr>
        <w:spacing w:after="0" w:line="212" w:lineRule="exact"/>
        <w:rPr>
          <w:sz w:val="20"/>
          <w:szCs w:val="20"/>
          <w:color w:val="auto"/>
        </w:rPr>
      </w:pPr>
    </w:p>
    <w:p>
      <w:pPr>
        <w:jc w:val="both"/>
        <w:ind w:firstLine="1299"/>
        <w:spacing w:after="0" w:line="279" w:lineRule="auto"/>
        <w:tabs>
          <w:tab w:leader="none" w:pos="184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Matson, Inc., a Hawaii corporation (along with any subsequent corporate successor to all or substantially all of the assets or voting stock of Matson, Inc., which has by appropriate action assumed the Plan, the “Corporation”). The Corporation has implemented the Plan for the purpose of providing eligible persons in the Corporation’s service with the opportunity to participate in one or more cash or equity incentive compensation programs designed to motivate, attract and retain the services of persons who contribute to the success of the Corporation.</w:t>
      </w:r>
    </w:p>
    <w:p>
      <w:pPr>
        <w:spacing w:after="0" w:line="150" w:lineRule="exact"/>
        <w:rPr>
          <w:rFonts w:ascii="Arial" w:cs="Arial" w:eastAsia="Arial" w:hAnsi="Arial"/>
          <w:sz w:val="19"/>
          <w:szCs w:val="19"/>
          <w:color w:val="auto"/>
        </w:rPr>
      </w:pPr>
    </w:p>
    <w:p>
      <w:pPr>
        <w:jc w:val="both"/>
        <w:ind w:firstLine="1299"/>
        <w:spacing w:after="0" w:line="238" w:lineRule="auto"/>
        <w:tabs>
          <w:tab w:leader="none" w:pos="2017" w:val="left"/>
        </w:tabs>
        <w:numPr>
          <w:ilvl w:val="0"/>
          <w:numId w:val="229"/>
        </w:numPr>
        <w:rPr>
          <w:rFonts w:ascii="Arial" w:cs="Arial" w:eastAsia="Arial" w:hAnsi="Arial"/>
          <w:sz w:val="22"/>
          <w:szCs w:val="22"/>
          <w:color w:val="auto"/>
        </w:rPr>
      </w:pPr>
      <w:r>
        <w:rPr>
          <w:rFonts w:ascii="Arial" w:cs="Arial" w:eastAsia="Arial" w:hAnsi="Arial"/>
          <w:sz w:val="22"/>
          <w:szCs w:val="22"/>
          <w:color w:val="auto"/>
        </w:rPr>
        <w:t>Participant is to render valuable services to the Corporation (or any Parent or Subsidiary), and this Agreement is executed pursuant to, and is intended to carry out the purposes of, the Plan in connection with the Corporation’s issuance of shares of Common Stock to Participant under the Stock Issuance Program.</w:t>
      </w:r>
    </w:p>
    <w:p>
      <w:pPr>
        <w:spacing w:after="0" w:line="185" w:lineRule="exact"/>
        <w:rPr>
          <w:rFonts w:ascii="Arial" w:cs="Arial" w:eastAsia="Arial" w:hAnsi="Arial"/>
          <w:sz w:val="22"/>
          <w:szCs w:val="22"/>
          <w:color w:val="auto"/>
        </w:rPr>
      </w:pPr>
    </w:p>
    <w:p>
      <w:pPr>
        <w:ind w:firstLine="1299"/>
        <w:spacing w:after="0" w:line="251" w:lineRule="auto"/>
        <w:tabs>
          <w:tab w:leader="none" w:pos="1832"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All capitalized terms in this Agreement shall have the meaning assigned to them in the attached Appendix A, or if not defined in that appendix, as defined in the Plan.</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it is hereby agreed as follows:</w:t>
      </w:r>
    </w:p>
    <w:p>
      <w:pPr>
        <w:spacing w:after="0" w:line="206" w:lineRule="exact"/>
        <w:rPr>
          <w:sz w:val="20"/>
          <w:szCs w:val="20"/>
          <w:color w:val="auto"/>
        </w:rPr>
      </w:pPr>
    </w:p>
    <w:p>
      <w:pPr>
        <w:jc w:val="both"/>
        <w:ind w:firstLine="1299"/>
        <w:spacing w:after="0" w:line="251" w:lineRule="auto"/>
        <w:tabs>
          <w:tab w:leader="none" w:pos="1891" w:val="left"/>
        </w:tabs>
        <w:numPr>
          <w:ilvl w:val="0"/>
          <w:numId w:val="230"/>
        </w:numPr>
        <w:rPr>
          <w:rFonts w:ascii="Arial" w:cs="Arial" w:eastAsia="Arial" w:hAnsi="Arial"/>
          <w:sz w:val="21"/>
          <w:szCs w:val="21"/>
          <w:color w:val="auto"/>
        </w:rPr>
      </w:pP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color w:val="auto"/>
        </w:rPr>
        <w:t>. The Corporation hereby awards to Participant,</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Award Date, restricted stock units under the Plan. The number of shares of Common Stock underlying the awarded restricted stock units and the applicable service vesting requirements for those units and the underlying Shares are set forth in the Award Notice. The remaining terms and conditions governing the Award shall be as set forth in this Agreement.</w:t>
      </w:r>
    </w:p>
    <w:p>
      <w:pPr>
        <w:spacing w:after="0" w:line="168" w:lineRule="exact"/>
        <w:rPr>
          <w:rFonts w:ascii="Arial" w:cs="Arial" w:eastAsia="Arial" w:hAnsi="Arial"/>
          <w:sz w:val="21"/>
          <w:szCs w:val="21"/>
          <w:color w:val="auto"/>
        </w:rPr>
      </w:pPr>
    </w:p>
    <w:p>
      <w:pPr>
        <w:jc w:val="both"/>
        <w:ind w:firstLine="1299"/>
        <w:spacing w:after="0" w:line="245" w:lineRule="auto"/>
        <w:tabs>
          <w:tab w:leader="none" w:pos="1972" w:val="left"/>
        </w:tabs>
        <w:numPr>
          <w:ilvl w:val="0"/>
          <w:numId w:val="230"/>
        </w:numPr>
        <w:rPr>
          <w:rFonts w:ascii="Arial" w:cs="Arial" w:eastAsia="Arial" w:hAnsi="Arial"/>
          <w:sz w:val="21"/>
          <w:szCs w:val="21"/>
          <w:color w:val="auto"/>
        </w:rPr>
      </w:pPr>
      <w:r>
        <w:rPr>
          <w:rFonts w:ascii="Arial" w:cs="Arial" w:eastAsia="Arial" w:hAnsi="Arial"/>
          <w:sz w:val="21"/>
          <w:szCs w:val="21"/>
          <w:b w:val="1"/>
          <w:bCs w:val="1"/>
          <w:u w:val="single" w:color="auto"/>
          <w:color w:val="auto"/>
        </w:rPr>
        <w:t>Limited Transferability</w:t>
      </w:r>
      <w:r>
        <w:rPr>
          <w:rFonts w:ascii="Arial" w:cs="Arial" w:eastAsia="Arial" w:hAnsi="Arial"/>
          <w:sz w:val="21"/>
          <w:szCs w:val="21"/>
          <w:color w:val="auto"/>
        </w:rPr>
        <w:t>. Prior to the actual issuance of the Shares which vest</w:t>
      </w:r>
      <w:r>
        <w:rPr>
          <w:rFonts w:ascii="Arial" w:cs="Arial" w:eastAsia="Arial" w:hAnsi="Arial"/>
          <w:sz w:val="21"/>
          <w:szCs w:val="21"/>
          <w:b w:val="1"/>
          <w:bCs w:val="1"/>
          <w:color w:val="auto"/>
        </w:rPr>
        <w:t xml:space="preserve"> </w:t>
      </w:r>
      <w:r>
        <w:rPr>
          <w:rFonts w:ascii="Arial" w:cs="Arial" w:eastAsia="Arial" w:hAnsi="Arial"/>
          <w:sz w:val="21"/>
          <w:szCs w:val="21"/>
          <w:color w:val="auto"/>
        </w:rPr>
        <w:t>hereunder, Participant may not transfer any interest in the restricted stock units subject to the Award or the underlying Shares or pledge or otherwise hedge the sale of those units or Shares, including (without limitation) any short sale or any acquisition or disposition of any put or call option or other instrument tied to the value of those Shares. However, any Shares which vest hereunder but otherwise remain unissued at the time of Participant’s death may be transferred pursuant to the provisions of Participant’s will or the laws of inheritance or to Participant’s designated beneficiary or beneficiaries of this Award. Participant may also direct the Corporation to record the ownership of any Shares which in fact vest and become issuable hereunder in the name of a revocable living trust established for the exclusive benefit of Participant or Participant and his or her spouse. Participant may make such a beneficiary designation or ownership directive at any time by filing the appropriate form with the Plan Administrator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575437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5" w:name="page196"/>
    <w:bookmarkEnd w:id="195"/>
    <w:p>
      <w:pPr>
        <w:ind w:left="1840" w:hanging="541"/>
        <w:spacing w:after="0"/>
        <w:tabs>
          <w:tab w:leader="none" w:pos="1840" w:val="left"/>
        </w:tabs>
        <w:numPr>
          <w:ilvl w:val="0"/>
          <w:numId w:val="231"/>
        </w:numPr>
        <w:rPr>
          <w:rFonts w:ascii="Arial" w:cs="Arial" w:eastAsia="Arial" w:hAnsi="Arial"/>
          <w:sz w:val="22"/>
          <w:szCs w:val="22"/>
          <w:color w:val="auto"/>
        </w:rPr>
      </w:pPr>
      <w:r>
        <w:rPr>
          <w:rFonts w:ascii="Arial" w:cs="Arial" w:eastAsia="Arial" w:hAnsi="Arial"/>
          <w:sz w:val="22"/>
          <w:szCs w:val="22"/>
          <w:b w:val="1"/>
          <w:bCs w:val="1"/>
          <w:u w:val="single" w:color="auto"/>
          <w:color w:val="auto"/>
        </w:rPr>
        <w:t>Cessation of Service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818"/>
        <w:spacing w:after="0" w:line="282" w:lineRule="auto"/>
        <w:tabs>
          <w:tab w:leader="none" w:pos="2455" w:val="left"/>
        </w:tabs>
        <w:numPr>
          <w:ilvl w:val="1"/>
          <w:numId w:val="231"/>
        </w:numPr>
        <w:rPr>
          <w:rFonts w:ascii="Arial" w:cs="Arial" w:eastAsia="Arial" w:hAnsi="Arial"/>
          <w:sz w:val="19"/>
          <w:szCs w:val="19"/>
          <w:color w:val="auto"/>
        </w:rPr>
      </w:pPr>
      <w:r>
        <w:rPr>
          <w:rFonts w:ascii="Arial" w:cs="Arial" w:eastAsia="Arial" w:hAnsi="Arial"/>
          <w:sz w:val="19"/>
          <w:szCs w:val="19"/>
          <w:color w:val="auto"/>
        </w:rPr>
        <w:t>Except to the extent otherwise provided in this Paragraph 3 or Paragraph 5 below, should Participant cease Service for any reason prior to vesting in one or more Shares subject to this Award, then the Award shall be automatically cancelled with respect to those unvested Shares, and the number of restricted stock units shall be reduced accordingly. Participant shall thereupon cease to have any right or entitlement to receive any Shares under those cancelled units.</w:t>
      </w:r>
    </w:p>
    <w:p>
      <w:pPr>
        <w:spacing w:after="0" w:line="147" w:lineRule="exact"/>
        <w:rPr>
          <w:rFonts w:ascii="Arial" w:cs="Arial" w:eastAsia="Arial" w:hAnsi="Arial"/>
          <w:sz w:val="19"/>
          <w:szCs w:val="19"/>
          <w:color w:val="auto"/>
        </w:rPr>
      </w:pPr>
    </w:p>
    <w:p>
      <w:pPr>
        <w:jc w:val="both"/>
        <w:ind w:firstLine="1818"/>
        <w:spacing w:after="0" w:line="287" w:lineRule="auto"/>
        <w:tabs>
          <w:tab w:leader="none" w:pos="2601" w:val="left"/>
        </w:tabs>
        <w:numPr>
          <w:ilvl w:val="1"/>
          <w:numId w:val="231"/>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death or Permanent Disability prior to vesting in one or more Shares subject to this Award, then the restricted stock units shall vest in full upon Participant’s termination of Service. The Shares subject to those vested units shall be issued in accordance with the applicable provisions of Paragraph 7.</w:t>
      </w:r>
    </w:p>
    <w:p>
      <w:pPr>
        <w:spacing w:after="0" w:line="143" w:lineRule="exact"/>
        <w:rPr>
          <w:rFonts w:ascii="Arial" w:cs="Arial" w:eastAsia="Arial" w:hAnsi="Arial"/>
          <w:sz w:val="19"/>
          <w:szCs w:val="19"/>
          <w:color w:val="auto"/>
        </w:rPr>
      </w:pPr>
    </w:p>
    <w:p>
      <w:pPr>
        <w:jc w:val="both"/>
        <w:ind w:firstLine="1818"/>
        <w:spacing w:after="0" w:line="273" w:lineRule="auto"/>
        <w:tabs>
          <w:tab w:leader="none" w:pos="2698" w:val="left"/>
        </w:tabs>
        <w:numPr>
          <w:ilvl w:val="1"/>
          <w:numId w:val="231"/>
        </w:numPr>
        <w:rPr>
          <w:rFonts w:ascii="Arial" w:cs="Arial" w:eastAsia="Arial" w:hAnsi="Arial"/>
          <w:sz w:val="19"/>
          <w:szCs w:val="19"/>
          <w:color w:val="auto"/>
        </w:rPr>
      </w:pPr>
      <w:r>
        <w:rPr>
          <w:rFonts w:ascii="Arial" w:cs="Arial" w:eastAsia="Arial" w:hAnsi="Arial"/>
          <w:sz w:val="19"/>
          <w:szCs w:val="19"/>
          <w:color w:val="auto"/>
        </w:rPr>
        <w:t>Should Participant’s Service terminate by reason of his or her Early Retirement or Normal Retirement prior to vesting in all the Shares subject to this Award in accordance with the annual installment vesting schedule set forth in the Award Notice, then Participant shall immediately vest in that number of additional Shares (if any) in which Participant would have otherwise been vested at the time of such termination had the Shares subject to this Award vested in a series of successive equal monthly installments over the duration of the vesting schedule set forth in the Award Notice. The Shares which are deemed to vest on the basis of such monthly installment vesting schedule shall, together with any other Shares which are at the time vested but unissued, be issued in accordance with the applicable provisions of Paragraph 7. The balance of the Award shall be automatically cancelled and cease to be outstanding upon such termination of Service.</w:t>
      </w:r>
    </w:p>
    <w:p>
      <w:pPr>
        <w:spacing w:after="0" w:line="155" w:lineRule="exact"/>
        <w:rPr>
          <w:rFonts w:ascii="Arial" w:cs="Arial" w:eastAsia="Arial" w:hAnsi="Arial"/>
          <w:sz w:val="19"/>
          <w:szCs w:val="19"/>
          <w:color w:val="auto"/>
        </w:rPr>
      </w:pPr>
    </w:p>
    <w:p>
      <w:pPr>
        <w:ind w:left="1840" w:hanging="541"/>
        <w:spacing w:after="0"/>
        <w:tabs>
          <w:tab w:leader="none" w:pos="1840" w:val="left"/>
        </w:tabs>
        <w:numPr>
          <w:ilvl w:val="0"/>
          <w:numId w:val="231"/>
        </w:numPr>
        <w:rPr>
          <w:rFonts w:ascii="Arial" w:cs="Arial" w:eastAsia="Arial" w:hAnsi="Arial"/>
          <w:sz w:val="22"/>
          <w:szCs w:val="22"/>
          <w:color w:val="auto"/>
        </w:rPr>
      </w:pPr>
      <w:r>
        <w:rPr>
          <w:rFonts w:ascii="Arial" w:cs="Arial" w:eastAsia="Arial" w:hAnsi="Arial"/>
          <w:sz w:val="22"/>
          <w:szCs w:val="22"/>
          <w:b w:val="1"/>
          <w:bCs w:val="1"/>
          <w:u w:val="single" w:color="auto"/>
          <w:color w:val="auto"/>
        </w:rPr>
        <w:t>Stockholder Rights and Dividend Equivalents</w:t>
      </w:r>
    </w:p>
    <w:p>
      <w:pPr>
        <w:spacing w:after="0" w:line="212" w:lineRule="exact"/>
        <w:rPr>
          <w:rFonts w:ascii="Arial" w:cs="Arial" w:eastAsia="Arial" w:hAnsi="Arial"/>
          <w:sz w:val="22"/>
          <w:szCs w:val="22"/>
          <w:color w:val="auto"/>
        </w:rPr>
      </w:pPr>
    </w:p>
    <w:p>
      <w:pPr>
        <w:jc w:val="both"/>
        <w:ind w:firstLine="1818"/>
        <w:spacing w:after="0" w:line="238" w:lineRule="auto"/>
        <w:tabs>
          <w:tab w:leader="none" w:pos="2504" w:val="left"/>
        </w:tabs>
        <w:numPr>
          <w:ilvl w:val="1"/>
          <w:numId w:val="231"/>
        </w:numPr>
        <w:rPr>
          <w:rFonts w:ascii="Arial" w:cs="Arial" w:eastAsia="Arial" w:hAnsi="Arial"/>
          <w:sz w:val="22"/>
          <w:szCs w:val="22"/>
          <w:color w:val="auto"/>
        </w:rPr>
      </w:pPr>
      <w:r>
        <w:rPr>
          <w:rFonts w:ascii="Arial" w:cs="Arial" w:eastAsia="Arial" w:hAnsi="Arial"/>
          <w:sz w:val="22"/>
          <w:szCs w:val="22"/>
          <w:color w:val="auto"/>
        </w:rPr>
        <w:t>The holder of this Award shall not have any stockholder rights, including voting, dividend or liquidation rights, with respect to the Shares subject to the Award until Participant becomes the record holder of those Shares upon their actual issuance following the Corporation’s collection of the applicable Withholding Taxes.</w:t>
      </w:r>
    </w:p>
    <w:p>
      <w:pPr>
        <w:spacing w:after="0" w:line="185" w:lineRule="exact"/>
        <w:rPr>
          <w:rFonts w:ascii="Arial" w:cs="Arial" w:eastAsia="Arial" w:hAnsi="Arial"/>
          <w:sz w:val="22"/>
          <w:szCs w:val="22"/>
          <w:color w:val="auto"/>
        </w:rPr>
      </w:pPr>
    </w:p>
    <w:p>
      <w:pPr>
        <w:jc w:val="both"/>
        <w:ind w:firstLine="1818"/>
        <w:spacing w:after="0" w:line="272" w:lineRule="auto"/>
        <w:tabs>
          <w:tab w:leader="none" w:pos="2547" w:val="left"/>
        </w:tabs>
        <w:numPr>
          <w:ilvl w:val="1"/>
          <w:numId w:val="231"/>
        </w:numPr>
        <w:rPr>
          <w:rFonts w:ascii="Arial" w:cs="Arial" w:eastAsia="Arial" w:hAnsi="Arial"/>
          <w:sz w:val="19"/>
          <w:szCs w:val="19"/>
          <w:color w:val="auto"/>
        </w:rPr>
      </w:pPr>
      <w:r>
        <w:rPr>
          <w:rFonts w:ascii="Arial" w:cs="Arial" w:eastAsia="Arial" w:hAnsi="Arial"/>
          <w:sz w:val="19"/>
          <w:szCs w:val="19"/>
          <w:color w:val="auto"/>
        </w:rPr>
        <w:t>Notwithstanding the foregoing, should any dividend or other distribution payable other than in shares of Common Stock be declared and paid on the Corporation’s outstanding Common Stock at a time when one or more Shares remain subject to this Award (i.e., those Shares are not otherwise issued and outstanding for purposes of entitlement to the dividend or distribution), then a special book account shall be established for Participant and credited with a phantom dividend equivalent to the actual dividend or distribution which would have been paid on those Shares had they been issued and outstanding and entitled to that dividend or distribution. The phantom dividend equivalents so credited to the Participant’s book account for each calendar quarter this Award remains outstanding in whole or in part shall be distributed to Participant (in cash or such other form as the Plan Administrator may deem appropriate in its sole discretion) on the last business day of that calendar quarter. However, each such distribution shall be subject to the Corporation’s collection of the Withholding Taxes applicable to that distribution.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6" w:name="page197"/>
    <w:bookmarkEnd w:id="196"/>
    <w:p>
      <w:pPr>
        <w:ind w:left="1840" w:hanging="541"/>
        <w:spacing w:after="0"/>
        <w:tabs>
          <w:tab w:leader="none" w:pos="1840" w:val="left"/>
        </w:tabs>
        <w:numPr>
          <w:ilvl w:val="0"/>
          <w:numId w:val="232"/>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p>
    <w:p>
      <w:pPr>
        <w:spacing w:after="0" w:line="212" w:lineRule="exact"/>
        <w:rPr>
          <w:rFonts w:ascii="Arial" w:cs="Arial" w:eastAsia="Arial" w:hAnsi="Arial"/>
          <w:sz w:val="22"/>
          <w:szCs w:val="22"/>
          <w:color w:val="auto"/>
        </w:rPr>
      </w:pPr>
    </w:p>
    <w:p>
      <w:pPr>
        <w:jc w:val="both"/>
        <w:ind w:firstLine="1818"/>
        <w:spacing w:after="0" w:line="270" w:lineRule="auto"/>
        <w:tabs>
          <w:tab w:leader="none" w:pos="2494" w:val="left"/>
        </w:tabs>
        <w:numPr>
          <w:ilvl w:val="1"/>
          <w:numId w:val="232"/>
        </w:numPr>
        <w:rPr>
          <w:rFonts w:ascii="Arial" w:cs="Arial" w:eastAsia="Arial" w:hAnsi="Arial"/>
          <w:sz w:val="19"/>
          <w:szCs w:val="19"/>
          <w:color w:val="auto"/>
        </w:rPr>
      </w:pPr>
      <w:r>
        <w:rPr>
          <w:rFonts w:ascii="Arial" w:cs="Arial" w:eastAsia="Arial" w:hAnsi="Arial"/>
          <w:sz w:val="19"/>
          <w:szCs w:val="19"/>
          <w:color w:val="auto"/>
        </w:rPr>
        <w:t xml:space="preserve">This Award, to the extent outstanding at the time of a Change in Control, may be assumed by the successor entity or otherwise continued in full force and effect or may be replaced with a substitute equivalent award by the successor entity. Any such assumption or continuation of this Award shall be effected in accordance with Paragraph 5(b) below. To the extent the substitute equivalent award is in the form of cash, a cash retention account shall be established in replacement of this Award shall initially be credited with the Fair Market Value (at the effective time of the Change in Control) of the Shares subject to the Award at that time, and interest shall accrue on the outstanding balance of such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substitute equivalent award shall vest and be paid out in accordance with the same vesting and payment schedule applicable to the Award, as set forth in Paragraphs 1 and 7, and the Participant’s interest in any substitute equivalent award shall at all times be that of a general, unsecured creditor. In the event of such assumption or continuation of this Award or such replacement of the Award with a substitute equivalent award, no accelerated vesting of the restricted stock units subject to this Award or the underlying Shares shall occur at the time of the Change in Control, and the Service-vesting provisions set forth in the Award Notice shall continue in full force and effect.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818"/>
        <w:spacing w:after="0" w:line="272" w:lineRule="auto"/>
        <w:tabs>
          <w:tab w:leader="none" w:pos="2658" w:val="left"/>
        </w:tabs>
        <w:numPr>
          <w:ilvl w:val="1"/>
          <w:numId w:val="232"/>
        </w:numPr>
        <w:rPr>
          <w:rFonts w:ascii="Arial" w:cs="Arial" w:eastAsia="Arial" w:hAnsi="Arial"/>
          <w:sz w:val="19"/>
          <w:szCs w:val="19"/>
          <w:color w:val="auto"/>
        </w:rPr>
      </w:pPr>
      <w:r>
        <w:rPr>
          <w:rFonts w:ascii="Arial" w:cs="Arial" w:eastAsia="Arial" w:hAnsi="Arial"/>
          <w:sz w:val="19"/>
          <w:szCs w:val="19"/>
          <w:color w:val="auto"/>
        </w:rPr>
        <w:t>In the event this Award is assumed, otherwise continued in effect, or replaced in connection with such Change in Control, the restricted stock units subject to the Award shall be adjusted immediately after the consummation of that Change in Control so as to apply to the number and class of securities into which the Shares subject to those units immediately prior to the Change in Control would have been converted in consummation of that Change in Control had those Shares actually been issued and outstanding at that time. To the extent the actual holders of the outstanding Common Stock receive cash consideration for their Common Stock in consummation of the Change in Control, the successor corporation (or parent entity) may, in connection with the assumption or continuation of the restricted stock units subject to the Award at that time, but subject to the Plan Administrator’s approval prior to the Change in Control, substitute one or more shares of its own common stock with a fair market value equivalent to the cash consideration paid per share of Common Stock in the Change in Control transaction, provided such common stock is readily tradable on an established U.S. securities exchange or market.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818"/>
        <w:spacing w:after="0" w:line="274" w:lineRule="auto"/>
        <w:tabs>
          <w:tab w:leader="none" w:pos="2807" w:val="left"/>
        </w:tabs>
        <w:numPr>
          <w:ilvl w:val="1"/>
          <w:numId w:val="232"/>
        </w:numPr>
        <w:rPr>
          <w:rFonts w:ascii="Arial" w:cs="Arial" w:eastAsia="Arial" w:hAnsi="Arial"/>
          <w:sz w:val="19"/>
          <w:szCs w:val="19"/>
          <w:color w:val="auto"/>
        </w:rPr>
      </w:pPr>
      <w:r>
        <w:rPr>
          <w:rFonts w:ascii="Arial" w:cs="Arial" w:eastAsia="Arial" w:hAnsi="Arial"/>
          <w:sz w:val="19"/>
          <w:szCs w:val="19"/>
          <w:color w:val="auto"/>
        </w:rPr>
        <w:t xml:space="preserve">Upon Participant’s Separation from Service due to an Involuntary Termination occurring within twenty-four (24) months after a Change in Control in which this Award is assumed or continued in effect, all of the restricted stock units at the time subject to this Award shall vest, or any substitute equivalent award, and the Shares underlying those units shall be issued to Participant in accordance with the applicable provisions of Paragraph 7. Should the restricted stock units be replaced with a cash retention account in accordance with Paragraph 5(a), then the balance credited to Participant under that account at the time of his or her Separation from Service due to an Involuntary Termination shall immediately vest and shall be distributed to Participant in accordance with the applicable provisions of Paragraph 7;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7" w:name="page198"/>
    <w:bookmarkEnd w:id="197"/>
    <w:p>
      <w:pPr>
        <w:spacing w:after="0" w:line="251" w:lineRule="auto"/>
        <w:rPr>
          <w:sz w:val="20"/>
          <w:szCs w:val="20"/>
          <w:color w:val="auto"/>
        </w:rPr>
      </w:pPr>
      <w:r>
        <w:rPr>
          <w:rFonts w:ascii="Arial" w:cs="Arial" w:eastAsia="Arial" w:hAnsi="Arial"/>
          <w:sz w:val="22"/>
          <w:szCs w:val="22"/>
          <w:color w:val="auto"/>
        </w:rPr>
        <w:t>Participant shall vest and be entitled to such distribution only if such Involuntary Termination occurs within twenty-four (24) months following the Change in Control.</w:t>
      </w:r>
    </w:p>
    <w:p>
      <w:pPr>
        <w:spacing w:after="0" w:line="174" w:lineRule="exact"/>
        <w:rPr>
          <w:sz w:val="20"/>
          <w:szCs w:val="20"/>
          <w:color w:val="auto"/>
        </w:rPr>
      </w:pPr>
    </w:p>
    <w:p>
      <w:pPr>
        <w:jc w:val="both"/>
        <w:ind w:firstLine="1818"/>
        <w:spacing w:after="0" w:line="236" w:lineRule="auto"/>
        <w:tabs>
          <w:tab w:leader="none" w:pos="2399" w:val="left"/>
        </w:tabs>
        <w:numPr>
          <w:ilvl w:val="1"/>
          <w:numId w:val="233"/>
        </w:numPr>
        <w:rPr>
          <w:rFonts w:ascii="Arial" w:cs="Arial" w:eastAsia="Arial" w:hAnsi="Arial"/>
          <w:sz w:val="22"/>
          <w:szCs w:val="22"/>
          <w:color w:val="auto"/>
        </w:rPr>
      </w:pPr>
      <w:r>
        <w:rPr>
          <w:rFonts w:ascii="Arial" w:cs="Arial" w:eastAsia="Arial" w:hAnsi="Arial"/>
          <w:sz w:val="22"/>
          <w:szCs w:val="22"/>
          <w:color w:val="auto"/>
        </w:rPr>
        <w:t>If the restricted stock units subject to this Award at the time of the Change in Control are not assumed or otherwise continued in effect or replaced with substitute equivalent award in accordance with Paragraph 5(a), then those units shall vest immediately prior to the closing of the Change in Control, and Participant shall become entitled to a vested distribution in accordance with the applicable provisions of Paragraph 7.</w:t>
      </w:r>
    </w:p>
    <w:p>
      <w:pPr>
        <w:spacing w:after="0" w:line="187" w:lineRule="exact"/>
        <w:rPr>
          <w:rFonts w:ascii="Arial" w:cs="Arial" w:eastAsia="Arial" w:hAnsi="Arial"/>
          <w:sz w:val="22"/>
          <w:szCs w:val="22"/>
          <w:color w:val="auto"/>
        </w:rPr>
      </w:pPr>
    </w:p>
    <w:p>
      <w:pPr>
        <w:jc w:val="both"/>
        <w:ind w:firstLine="1818"/>
        <w:spacing w:after="0" w:line="258" w:lineRule="auto"/>
        <w:tabs>
          <w:tab w:leader="none" w:pos="2469" w:val="left"/>
        </w:tabs>
        <w:numPr>
          <w:ilvl w:val="1"/>
          <w:numId w:val="233"/>
        </w:numPr>
        <w:rPr>
          <w:rFonts w:ascii="Arial" w:cs="Arial" w:eastAsia="Arial" w:hAnsi="Arial"/>
          <w:sz w:val="21"/>
          <w:szCs w:val="21"/>
          <w:color w:val="auto"/>
        </w:rPr>
      </w:pPr>
      <w:r>
        <w:rPr>
          <w:rFonts w:ascii="Arial" w:cs="Arial" w:eastAsia="Arial" w:hAnsi="Arial"/>
          <w:sz w:val="21"/>
          <w:szCs w:val="21"/>
          <w:color w:val="auto"/>
        </w:rPr>
        <w:t>This Agreement shall not in any way affect the right of the Corporation to adjust, reclassify, reorganize or otherwise change its capital or business structure or to merge, consolidate, dissolve, liquidate or sell or transfer all or any part of its business or assets.</w:t>
      </w:r>
    </w:p>
    <w:p>
      <w:pPr>
        <w:spacing w:after="0" w:line="160" w:lineRule="exact"/>
        <w:rPr>
          <w:rFonts w:ascii="Arial" w:cs="Arial" w:eastAsia="Arial" w:hAnsi="Arial"/>
          <w:sz w:val="21"/>
          <w:szCs w:val="21"/>
          <w:color w:val="auto"/>
        </w:rPr>
      </w:pPr>
    </w:p>
    <w:p>
      <w:pPr>
        <w:jc w:val="both"/>
        <w:ind w:firstLine="1299"/>
        <w:spacing w:after="0" w:line="272" w:lineRule="auto"/>
        <w:tabs>
          <w:tab w:leader="none" w:pos="2026" w:val="left"/>
        </w:tabs>
        <w:numPr>
          <w:ilvl w:val="0"/>
          <w:numId w:val="234"/>
        </w:numPr>
        <w:rPr>
          <w:rFonts w:ascii="Arial" w:cs="Arial" w:eastAsia="Arial" w:hAnsi="Arial"/>
          <w:sz w:val="19"/>
          <w:szCs w:val="19"/>
          <w:color w:val="auto"/>
        </w:rPr>
      </w:pPr>
      <w:r>
        <w:rPr>
          <w:rFonts w:ascii="Arial" w:cs="Arial" w:eastAsia="Arial" w:hAnsi="Arial"/>
          <w:sz w:val="19"/>
          <w:szCs w:val="19"/>
          <w:b w:val="1"/>
          <w:bCs w:val="1"/>
          <w:u w:val="single" w:color="auto"/>
          <w:color w:val="auto"/>
        </w:rPr>
        <w:t>Adjustment in Shares</w:t>
      </w:r>
      <w:r>
        <w:rPr>
          <w:rFonts w:ascii="Arial" w:cs="Arial" w:eastAsia="Arial" w:hAnsi="Arial"/>
          <w:sz w:val="19"/>
          <w:szCs w:val="19"/>
          <w:color w:val="auto"/>
        </w:rPr>
        <w:t>. Should any change be made to the Common Stock by</w:t>
      </w:r>
      <w:r>
        <w:rPr>
          <w:rFonts w:ascii="Arial" w:cs="Arial" w:eastAsia="Arial" w:hAnsi="Arial"/>
          <w:sz w:val="19"/>
          <w:szCs w:val="19"/>
          <w:b w:val="1"/>
          <w:bCs w:val="1"/>
          <w:color w:val="auto"/>
        </w:rPr>
        <w:t xml:space="preserve"> </w:t>
      </w:r>
      <w:r>
        <w:rPr>
          <w:rFonts w:ascii="Arial" w:cs="Arial" w:eastAsia="Arial" w:hAnsi="Arial"/>
          <w:sz w:val="19"/>
          <w:szCs w:val="19"/>
          <w:color w:val="auto"/>
        </w:rPr>
        <w:t>reason of any stock split, stock dividend, recapitalization, combination of shares, exchange of shares, spin-off transaction, extraordinary dividend or distribution or other change affecting the outstanding Common Stock as a class without the Corporation’s receipt of consideration, or should the value of the outstanding shares of Common Stock be reduced as a result of a spin-off transaction or an extraordinary dividend or distribution, or should there occur any merger, consolidation or other reorganization or similar corporate transaction, then equitable adjustments shall be made by the Plan Administrator to the total number and/or class of securities or other property issuable pursuant to this Award in order to reflect such change and thereby prevent a dilution or enlargement of benefits hereunder. In making such equitable adjustments, the Plan Administrator shall take into account any amounts credited to Participant’s book account, if applicable, under Paragraph 4(b) in connection with the transaction, and the determination of the Plan Administrator shall be final, binding and conclusive as provided in Section III.C of Article One of the Plan. In the event of any Change in Control transaction, the adjustment provisions of Paragraph 5(b) shall be controlling.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920" w:hanging="621"/>
        <w:spacing w:after="0"/>
        <w:tabs>
          <w:tab w:leader="none" w:pos="1920" w:val="left"/>
        </w:tabs>
        <w:numPr>
          <w:ilvl w:val="0"/>
          <w:numId w:val="234"/>
        </w:numPr>
        <w:rPr>
          <w:rFonts w:ascii="Arial" w:cs="Arial" w:eastAsia="Arial" w:hAnsi="Arial"/>
          <w:sz w:val="19"/>
          <w:szCs w:val="19"/>
          <w:color w:val="auto"/>
        </w:rPr>
      </w:pPr>
      <w:r>
        <w:rPr>
          <w:rFonts w:ascii="Arial" w:cs="Arial" w:eastAsia="Arial" w:hAnsi="Arial"/>
          <w:sz w:val="19"/>
          <w:szCs w:val="19"/>
          <w:b w:val="1"/>
          <w:bCs w:val="1"/>
          <w:u w:val="single" w:color="auto"/>
          <w:color w:val="auto"/>
        </w:rPr>
        <w:t>Issuance or Distribution of Shares or Other Vested Amounts and Applicable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b w:val="1"/>
          <w:bCs w:val="1"/>
          <w:u w:val="single" w:color="auto"/>
          <w:color w:val="auto"/>
        </w:rPr>
        <w:t>Withholding Taxes.</w:t>
      </w:r>
    </w:p>
    <w:p>
      <w:pPr>
        <w:spacing w:after="0" w:line="188" w:lineRule="exact"/>
        <w:rPr>
          <w:rFonts w:ascii="Arial" w:cs="Arial" w:eastAsia="Arial" w:hAnsi="Arial"/>
          <w:sz w:val="19"/>
          <w:szCs w:val="19"/>
          <w:color w:val="auto"/>
        </w:rPr>
      </w:pPr>
    </w:p>
    <w:p>
      <w:pPr>
        <w:jc w:val="both"/>
        <w:ind w:firstLine="1818"/>
        <w:spacing w:after="0"/>
        <w:tabs>
          <w:tab w:leader="none" w:pos="2523" w:val="left"/>
        </w:tabs>
        <w:numPr>
          <w:ilvl w:val="1"/>
          <w:numId w:val="234"/>
        </w:numPr>
        <w:rPr>
          <w:rFonts w:ascii="Arial" w:cs="Arial" w:eastAsia="Arial" w:hAnsi="Arial"/>
          <w:sz w:val="22"/>
          <w:szCs w:val="22"/>
          <w:color w:val="auto"/>
        </w:rPr>
      </w:pPr>
      <w:r>
        <w:rPr>
          <w:rFonts w:ascii="Arial" w:cs="Arial" w:eastAsia="Arial" w:hAnsi="Arial"/>
          <w:sz w:val="22"/>
          <w:szCs w:val="22"/>
          <w:color w:val="auto"/>
        </w:rPr>
        <w:t>The following provisions shall govern the issuance of the Shares (or any replacement or substitute amounts under Paragraph 5) which vest in accordance with the provisions of this Agreement:</w:t>
      </w:r>
    </w:p>
    <w:p>
      <w:pPr>
        <w:spacing w:after="0" w:line="186" w:lineRule="exact"/>
        <w:rPr>
          <w:sz w:val="20"/>
          <w:szCs w:val="20"/>
          <w:color w:val="auto"/>
        </w:rPr>
      </w:pPr>
    </w:p>
    <w:p>
      <w:pPr>
        <w:jc w:val="both"/>
        <w:ind w:left="660" w:firstLine="1158"/>
        <w:spacing w:after="0" w:line="252" w:lineRule="auto"/>
        <w:tabs>
          <w:tab w:leader="none" w:pos="2650" w:val="left"/>
        </w:tabs>
        <w:numPr>
          <w:ilvl w:val="0"/>
          <w:numId w:val="235"/>
        </w:numPr>
        <w:rPr>
          <w:rFonts w:ascii="Arial" w:cs="Arial" w:eastAsia="Arial" w:hAnsi="Arial"/>
          <w:sz w:val="21"/>
          <w:szCs w:val="21"/>
          <w:color w:val="auto"/>
        </w:rPr>
      </w:pPr>
      <w:r>
        <w:rPr>
          <w:rFonts w:ascii="Arial" w:cs="Arial" w:eastAsia="Arial" w:hAnsi="Arial"/>
          <w:sz w:val="21"/>
          <w:szCs w:val="21"/>
          <w:color w:val="auto"/>
        </w:rPr>
        <w:t>On each Vesting and Issuance Date specified in the Award Notice, the Shares which vest at that time or which are otherwise deemed to have vested during the twelve (12)-month period ending with that date but have not otherwise been issued in accordance with any other applicable provision of this Paragraph 7(a) shall be issued.</w:t>
      </w:r>
    </w:p>
    <w:p>
      <w:pPr>
        <w:spacing w:after="0" w:line="174" w:lineRule="exact"/>
        <w:rPr>
          <w:rFonts w:ascii="Arial" w:cs="Arial" w:eastAsia="Arial" w:hAnsi="Arial"/>
          <w:sz w:val="21"/>
          <w:szCs w:val="21"/>
          <w:color w:val="auto"/>
        </w:rPr>
      </w:pPr>
    </w:p>
    <w:p>
      <w:pPr>
        <w:jc w:val="both"/>
        <w:ind w:left="660" w:firstLine="1158"/>
        <w:spacing w:after="0"/>
        <w:tabs>
          <w:tab w:leader="none" w:pos="2429" w:val="left"/>
        </w:tabs>
        <w:numPr>
          <w:ilvl w:val="0"/>
          <w:numId w:val="235"/>
        </w:numPr>
        <w:rPr>
          <w:rFonts w:ascii="Arial" w:cs="Arial" w:eastAsia="Arial" w:hAnsi="Arial"/>
          <w:sz w:val="22"/>
          <w:szCs w:val="22"/>
          <w:color w:val="auto"/>
        </w:rPr>
      </w:pPr>
      <w:r>
        <w:rPr>
          <w:rFonts w:ascii="Arial" w:cs="Arial" w:eastAsia="Arial" w:hAnsi="Arial"/>
          <w:sz w:val="22"/>
          <w:szCs w:val="22"/>
          <w:color w:val="auto"/>
        </w:rPr>
        <w:t>Shares which vest on an accelerated basis upon the Participant’s cessation of Service under Paragraph 3(b) or 3(c) or upon his or her Involuntary Termination under Paragraph 5(c) shall be issued on the date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198" w:name="page199"/>
    <w:bookmarkEnd w:id="198"/>
    <w:p>
      <w:pPr>
        <w:jc w:val="both"/>
        <w:ind w:left="640"/>
        <w:spacing w:after="0" w:line="279" w:lineRule="auto"/>
        <w:rPr>
          <w:sz w:val="20"/>
          <w:szCs w:val="20"/>
          <w:color w:val="auto"/>
        </w:rPr>
      </w:pPr>
      <w:r>
        <w:rPr>
          <w:rFonts w:ascii="Arial" w:cs="Arial" w:eastAsia="Arial" w:hAnsi="Arial"/>
          <w:sz w:val="19"/>
          <w:szCs w:val="19"/>
          <w:color w:val="auto"/>
        </w:rPr>
        <w:t>Participant’s Separation from Service due to such cessation of Service or Involuntary Termination. Any distribution from the cash retention account to which Participant is entitled under Paragraph 5(c) upon his or her Involuntary Termination shall be paid in a lump sum on the date of his or her Separation from Service due to such Involuntary Termination. However, any issuance or distribution pursuant to the provisions of this subparagraph (ii) shall be subject to the deferred issuance provisions of Paragraph 8, to the extent applicable.</w:t>
      </w:r>
    </w:p>
    <w:p>
      <w:pPr>
        <w:spacing w:after="0" w:line="151" w:lineRule="exact"/>
        <w:rPr>
          <w:sz w:val="20"/>
          <w:szCs w:val="20"/>
          <w:color w:val="auto"/>
        </w:rPr>
      </w:pPr>
    </w:p>
    <w:p>
      <w:pPr>
        <w:jc w:val="both"/>
        <w:ind w:left="640" w:firstLine="1158"/>
        <w:spacing w:after="0" w:line="233" w:lineRule="auto"/>
        <w:tabs>
          <w:tab w:leader="none" w:pos="2495" w:val="left"/>
        </w:tabs>
        <w:numPr>
          <w:ilvl w:val="0"/>
          <w:numId w:val="236"/>
        </w:numPr>
        <w:rPr>
          <w:rFonts w:ascii="Arial" w:cs="Arial" w:eastAsia="Arial" w:hAnsi="Arial"/>
          <w:sz w:val="22"/>
          <w:szCs w:val="22"/>
          <w:color w:val="auto"/>
        </w:rPr>
      </w:pPr>
      <w:r>
        <w:rPr>
          <w:rFonts w:ascii="Arial" w:cs="Arial" w:eastAsia="Arial" w:hAnsi="Arial"/>
          <w:sz w:val="22"/>
          <w:szCs w:val="22"/>
          <w:color w:val="auto"/>
        </w:rPr>
        <w:t xml:space="preserve">Shares which vest under Paragraph 5(d) shall be converted into the right to receive the same consideration per share of Common Stock payable to the other stockholders of the Corporation in consummation of the Change in Control transaction, and such consideration per Share shall be distributed to Participant upon the </w:t>
      </w:r>
      <w:r>
        <w:rPr>
          <w:rFonts w:ascii="Arial" w:cs="Arial" w:eastAsia="Arial" w:hAnsi="Arial"/>
          <w:sz w:val="22"/>
          <w:szCs w:val="22"/>
          <w:b w:val="1"/>
          <w:bCs w:val="1"/>
          <w:i w:val="1"/>
          <w:iCs w:val="1"/>
          <w:color w:val="auto"/>
        </w:rPr>
        <w:t>earliest</w:t>
      </w:r>
      <w:r>
        <w:rPr>
          <w:rFonts w:ascii="Arial" w:cs="Arial" w:eastAsia="Arial" w:hAnsi="Arial"/>
          <w:sz w:val="22"/>
          <w:szCs w:val="22"/>
          <w:color w:val="auto"/>
        </w:rPr>
        <w:t xml:space="preserve"> to occur of (i) the Vesting and Issuance Date on which the particular Shares to which such consideration relates would have been issued in the absence of such Change in Control, (ii) the date of Participant’s Separation from Service or (iii) the first date following a Qualifying Change in Control on which the distribution can be made without contravention of any applicable provisions of Code Section 409A.</w:t>
      </w:r>
    </w:p>
    <w:p>
      <w:pPr>
        <w:spacing w:after="0" w:line="193" w:lineRule="exact"/>
        <w:rPr>
          <w:rFonts w:ascii="Arial" w:cs="Arial" w:eastAsia="Arial" w:hAnsi="Arial"/>
          <w:sz w:val="22"/>
          <w:szCs w:val="22"/>
          <w:color w:val="auto"/>
        </w:rPr>
      </w:pPr>
    </w:p>
    <w:p>
      <w:pPr>
        <w:jc w:val="both"/>
        <w:ind w:left="640" w:firstLine="1158"/>
        <w:spacing w:after="0" w:line="271" w:lineRule="auto"/>
        <w:tabs>
          <w:tab w:leader="none" w:pos="2507" w:val="left"/>
        </w:tabs>
        <w:numPr>
          <w:ilvl w:val="0"/>
          <w:numId w:val="236"/>
        </w:numPr>
        <w:rPr>
          <w:rFonts w:ascii="Arial" w:cs="Arial" w:eastAsia="Arial" w:hAnsi="Arial"/>
          <w:sz w:val="19"/>
          <w:szCs w:val="19"/>
          <w:color w:val="auto"/>
        </w:rPr>
      </w:pPr>
      <w:r>
        <w:rPr>
          <w:rFonts w:ascii="Arial" w:cs="Arial" w:eastAsia="Arial" w:hAnsi="Arial"/>
          <w:sz w:val="19"/>
          <w:szCs w:val="19"/>
          <w:color w:val="auto"/>
        </w:rPr>
        <w:t xml:space="preserve">To the extent the consideration payable per share of Common Stock in the Change in Control is in the form of cash, a fully-vested cash retention account shall be established by the successor entity at the time of such Change in Control for any Shares subject to this Award that vest on an accelerated basis under Paragraph 5(d). Such account shall be credited with the cash consideration payable for the Shares, and interest shall accrue on the outstanding balance of that account, for the period commencing with the closing date of the Change in Control and continuing through the date of the final payment of the account, including any deferred payment date under Paragraph 8, at a variable per annum rate, compounded semi-annually, equal to the prime rate of interest as in effect from time to time during such period, as determined on the basis of the prime rate quotations published in </w:t>
      </w:r>
      <w:r>
        <w:rPr>
          <w:rFonts w:ascii="Arial" w:cs="Arial" w:eastAsia="Arial" w:hAnsi="Arial"/>
          <w:sz w:val="19"/>
          <w:szCs w:val="19"/>
          <w:b w:val="1"/>
          <w:bCs w:val="1"/>
          <w:i w:val="1"/>
          <w:iCs w:val="1"/>
          <w:color w:val="auto"/>
        </w:rPr>
        <w:t>The Wall Street Journal</w:t>
      </w:r>
      <w:r>
        <w:rPr>
          <w:rFonts w:ascii="Arial" w:cs="Arial" w:eastAsia="Arial" w:hAnsi="Arial"/>
          <w:sz w:val="19"/>
          <w:szCs w:val="19"/>
          <w:color w:val="auto"/>
        </w:rPr>
        <w:t>. The cash retention account, together with all accrued interest thereon through the actual payment date, shall be distributed in accordance with the same distribution provisions in effect under Paragraph 7(a)(iii), and the Participant’s interest in the account shall at all times be that of a general, unsecured creditor.</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jc w:val="both"/>
        <w:ind w:left="640" w:firstLine="1158"/>
        <w:spacing w:after="0" w:line="287" w:lineRule="auto"/>
        <w:tabs>
          <w:tab w:leader="none" w:pos="2385"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Any issuance or distribution to be made pursuant to the foregoing provisions of this Paragraph 7(a) shall be made on the designated issuance or distribution date or as soon as administratively practicable thereafter. In no event, however, shall such issuance or distribution be made later than the fifteenth (15th) day of the third (3rd) calendar month following that date.</w:t>
      </w:r>
    </w:p>
    <w:p>
      <w:pPr>
        <w:spacing w:after="0" w:line="143" w:lineRule="exact"/>
        <w:rPr>
          <w:rFonts w:ascii="Arial" w:cs="Arial" w:eastAsia="Arial" w:hAnsi="Arial"/>
          <w:sz w:val="19"/>
          <w:szCs w:val="19"/>
          <w:color w:val="auto"/>
        </w:rPr>
      </w:pPr>
    </w:p>
    <w:p>
      <w:pPr>
        <w:jc w:val="both"/>
        <w:ind w:left="640" w:firstLine="1158"/>
        <w:spacing w:after="0"/>
        <w:tabs>
          <w:tab w:leader="none" w:pos="2551" w:val="left"/>
        </w:tabs>
        <w:numPr>
          <w:ilvl w:val="0"/>
          <w:numId w:val="236"/>
        </w:numPr>
        <w:rPr>
          <w:rFonts w:ascii="Arial" w:cs="Arial" w:eastAsia="Arial" w:hAnsi="Arial"/>
          <w:sz w:val="22"/>
          <w:szCs w:val="22"/>
          <w:color w:val="auto"/>
        </w:rPr>
      </w:pPr>
      <w:r>
        <w:rPr>
          <w:rFonts w:ascii="Arial" w:cs="Arial" w:eastAsia="Arial" w:hAnsi="Arial"/>
          <w:sz w:val="22"/>
          <w:szCs w:val="22"/>
          <w:color w:val="auto"/>
        </w:rPr>
        <w:t>Each issuance or distribution to be made pursuant to this Paragraph 7(a) shall be subject to the Corporation’s collection of all applicable Withholding Taxes, in accordance with the provisions of Paragraphs 7(b) and 7(c).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199" w:name="page200"/>
    <w:bookmarkEnd w:id="199"/>
    <w:p>
      <w:pPr>
        <w:jc w:val="both"/>
        <w:ind w:left="660" w:firstLine="1158"/>
        <w:spacing w:after="0" w:line="236" w:lineRule="auto"/>
        <w:tabs>
          <w:tab w:leader="none" w:pos="2588"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Any Shares to be issued to Participant in accordance with the foregoing provisions of this Agreement shall be in the form of a book entry evidencing ownership of those Shares. Actual certificates for any vested Shares evidenced by book entry ownership shall be promptly delivered upon the request of Participant or any other person having an interest at the time in those Shares.</w:t>
      </w:r>
    </w:p>
    <w:p>
      <w:pPr>
        <w:spacing w:after="0" w:line="188" w:lineRule="exact"/>
        <w:rPr>
          <w:sz w:val="20"/>
          <w:szCs w:val="20"/>
          <w:color w:val="auto"/>
        </w:rPr>
      </w:pPr>
    </w:p>
    <w:p>
      <w:pPr>
        <w:jc w:val="both"/>
        <w:ind w:firstLine="1818"/>
        <w:spacing w:after="0" w:line="297" w:lineRule="auto"/>
        <w:tabs>
          <w:tab w:leader="none" w:pos="2519" w:val="left"/>
        </w:tabs>
        <w:numPr>
          <w:ilvl w:val="1"/>
          <w:numId w:val="238"/>
        </w:numPr>
        <w:rPr>
          <w:rFonts w:ascii="Arial" w:cs="Arial" w:eastAsia="Arial" w:hAnsi="Arial"/>
          <w:sz w:val="19"/>
          <w:szCs w:val="19"/>
          <w:color w:val="auto"/>
        </w:rPr>
      </w:pPr>
      <w:r>
        <w:rPr>
          <w:rFonts w:ascii="Arial" w:cs="Arial" w:eastAsia="Arial" w:hAnsi="Arial"/>
          <w:sz w:val="19"/>
          <w:szCs w:val="19"/>
          <w:color w:val="auto"/>
        </w:rPr>
        <w:t>The Corporation shall collect the Withholding Taxes with respect to each non-Share distribution by withholding a portion of that distribution equal to the amount of the applicable Withholding Taxes, with the cash portion of the distribution to be the first portion so withheld.</w:t>
      </w:r>
    </w:p>
    <w:p>
      <w:pPr>
        <w:spacing w:after="0" w:line="134" w:lineRule="exact"/>
        <w:rPr>
          <w:rFonts w:ascii="Arial" w:cs="Arial" w:eastAsia="Arial" w:hAnsi="Arial"/>
          <w:sz w:val="19"/>
          <w:szCs w:val="19"/>
          <w:color w:val="auto"/>
        </w:rPr>
      </w:pPr>
    </w:p>
    <w:p>
      <w:pPr>
        <w:jc w:val="both"/>
        <w:ind w:firstLine="1818"/>
        <w:spacing w:after="0" w:line="245" w:lineRule="auto"/>
        <w:tabs>
          <w:tab w:leader="none" w:pos="2451" w:val="left"/>
        </w:tabs>
        <w:numPr>
          <w:ilvl w:val="1"/>
          <w:numId w:val="238"/>
        </w:numPr>
        <w:rPr>
          <w:rFonts w:ascii="Arial" w:cs="Arial" w:eastAsia="Arial" w:hAnsi="Arial"/>
          <w:sz w:val="21"/>
          <w:szCs w:val="21"/>
          <w:color w:val="auto"/>
        </w:rPr>
      </w:pPr>
      <w:r>
        <w:rPr>
          <w:rFonts w:ascii="Arial" w:cs="Arial" w:eastAsia="Arial" w:hAnsi="Arial"/>
          <w:sz w:val="21"/>
          <w:szCs w:val="21"/>
          <w:color w:val="auto"/>
        </w:rPr>
        <w:t>The Corporation may, in its sole discretion, establish a procedure to permit the satisfaction of the Withholding Taxes by the Participant in the form of cash and shall inform Participant. In that event, Participant shall (i) make satisfactory arrangements with the Corporation’s Human Resources Department, on or before the expiration of the notification period designated by the Corporation preceding each applicable issuance date of the Shares, to pay the applicable Withholding Taxes through the delivery of cash or a cash equivalent to the Corporation in the amount of such Withholding Taxes and (ii) delivers such payment to the Corporation not later than that issuance date. Otherwise the Corporation shall collect the Withholding Taxes applicable to the Share issuance through the following automatic share withholding method:</w:t>
      </w:r>
    </w:p>
    <w:p>
      <w:pPr>
        <w:spacing w:after="0" w:line="185" w:lineRule="exact"/>
        <w:rPr>
          <w:rFonts w:ascii="Arial" w:cs="Arial" w:eastAsia="Arial" w:hAnsi="Arial"/>
          <w:sz w:val="21"/>
          <w:szCs w:val="21"/>
          <w:color w:val="auto"/>
        </w:rPr>
      </w:pPr>
    </w:p>
    <w:p>
      <w:pPr>
        <w:jc w:val="both"/>
        <w:ind w:firstLine="1299"/>
        <w:spacing w:after="0" w:line="247" w:lineRule="auto"/>
        <w:tabs>
          <w:tab w:leader="none" w:pos="1880" w:val="left"/>
        </w:tabs>
        <w:numPr>
          <w:ilvl w:val="0"/>
          <w:numId w:val="238"/>
        </w:numPr>
        <w:rPr>
          <w:rFonts w:ascii="Arial" w:cs="Arial" w:eastAsia="Arial" w:hAnsi="Arial"/>
          <w:sz w:val="21"/>
          <w:szCs w:val="21"/>
          <w:color w:val="auto"/>
        </w:rPr>
      </w:pPr>
      <w:r>
        <w:rPr>
          <w:rFonts w:ascii="Arial" w:cs="Arial" w:eastAsia="Arial" w:hAnsi="Arial"/>
          <w:sz w:val="21"/>
          <w:szCs w:val="21"/>
          <w:color w:val="auto"/>
        </w:rPr>
        <w:t xml:space="preserve">On each applicable issuance date, the Corporation shall withhold, from the vested Shares otherwise issuable to Participant at that time, a portion of those Shares with a Fair Market Value (measured as of the issuance date) equal to the applicable Withholding Taxes; </w:t>
      </w:r>
      <w:r>
        <w:rPr>
          <w:rFonts w:ascii="Arial" w:cs="Arial" w:eastAsia="Arial" w:hAnsi="Arial"/>
          <w:sz w:val="21"/>
          <w:szCs w:val="21"/>
          <w:b w:val="1"/>
          <w:bCs w:val="1"/>
          <w:i w:val="1"/>
          <w:iCs w:val="1"/>
          <w:color w:val="auto"/>
        </w:rPr>
        <w:t>provided, however</w:t>
      </w:r>
      <w:r>
        <w:rPr>
          <w:rFonts w:ascii="Arial" w:cs="Arial" w:eastAsia="Arial" w:hAnsi="Arial"/>
          <w:sz w:val="21"/>
          <w:szCs w:val="21"/>
          <w:color w:val="auto"/>
        </w:rPr>
        <w:t>, that the number of Shares which the Corporation shall be required to so withhold shall not exceed in Fair Market Value the amount necessary to satisfy the Corporation’s required tax withholding obligations using the minimum statutory withholding rates for federal and state tax purposes, including payroll taxes, that are applicable to supplemental taxable income.</w:t>
      </w:r>
    </w:p>
    <w:p>
      <w:pPr>
        <w:spacing w:after="0" w:line="178" w:lineRule="exact"/>
        <w:rPr>
          <w:rFonts w:ascii="Arial" w:cs="Arial" w:eastAsia="Arial" w:hAnsi="Arial"/>
          <w:sz w:val="21"/>
          <w:szCs w:val="21"/>
          <w:color w:val="auto"/>
        </w:rPr>
      </w:pPr>
    </w:p>
    <w:p>
      <w:pPr>
        <w:jc w:val="both"/>
        <w:ind w:firstLine="1818"/>
        <w:spacing w:after="0" w:line="272" w:lineRule="auto"/>
        <w:tabs>
          <w:tab w:leader="none" w:pos="2429" w:val="left"/>
        </w:tabs>
        <w:numPr>
          <w:ilvl w:val="1"/>
          <w:numId w:val="239"/>
        </w:numPr>
        <w:rPr>
          <w:rFonts w:ascii="Arial" w:cs="Arial" w:eastAsia="Arial" w:hAnsi="Arial"/>
          <w:sz w:val="19"/>
          <w:szCs w:val="19"/>
          <w:color w:val="auto"/>
        </w:rPr>
      </w:pPr>
      <w:r>
        <w:rPr>
          <w:rFonts w:ascii="Arial" w:cs="Arial" w:eastAsia="Arial" w:hAnsi="Arial"/>
          <w:sz w:val="19"/>
          <w:szCs w:val="19"/>
          <w:color w:val="auto"/>
        </w:rPr>
        <w:t>Notwithstanding the foregoing provisions of this Paragraph 7, the employee portion of the federal, state and local employment taxes required to be withheld by the Corporation in connection with the vesting of the Shares or any other amounts hereunder (the “Employment Taxes”) shall in all events be collected from the Participant no later than the last business day of the calendar year in which the Shares or other amounts vest hereunder. Accordingly, to the extent the applicable issuance date for one or more vested Shares or the distribution date for such other amounts is to occur in a year subsequent to the calendar year in which those Shares or other amounts vest, the Participant shall, on or before the last business day of the calendar year in which the Shares or other amounts vest, deliver to the Corporation a check payable to its order in the dollar amount equal to the Employment Taxes required to be withheld with respect to those Shares or other amounts. The provisions of this Paragraph 7(d) shall be applicable only to the extent necessary to comply with the applicable tax withholding requirements of Code Section 3121(v).</w:t>
      </w:r>
    </w:p>
    <w:p>
      <w:pPr>
        <w:spacing w:after="0" w:line="161" w:lineRule="exact"/>
        <w:rPr>
          <w:rFonts w:ascii="Arial" w:cs="Arial" w:eastAsia="Arial" w:hAnsi="Arial"/>
          <w:sz w:val="19"/>
          <w:szCs w:val="19"/>
          <w:color w:val="auto"/>
        </w:rPr>
      </w:pPr>
    </w:p>
    <w:p>
      <w:pPr>
        <w:jc w:val="both"/>
        <w:ind w:firstLine="1818"/>
        <w:spacing w:after="0" w:line="297" w:lineRule="auto"/>
        <w:tabs>
          <w:tab w:leader="none" w:pos="2641" w:val="left"/>
        </w:tabs>
        <w:numPr>
          <w:ilvl w:val="1"/>
          <w:numId w:val="239"/>
        </w:numPr>
        <w:rPr>
          <w:rFonts w:ascii="Arial" w:cs="Arial" w:eastAsia="Arial" w:hAnsi="Arial"/>
          <w:sz w:val="19"/>
          <w:szCs w:val="19"/>
          <w:color w:val="auto"/>
        </w:rPr>
      </w:pPr>
      <w:r>
        <w:rPr>
          <w:rFonts w:ascii="Arial" w:cs="Arial" w:eastAsia="Arial" w:hAnsi="Arial"/>
          <w:sz w:val="19"/>
          <w:szCs w:val="19"/>
          <w:color w:val="auto"/>
        </w:rPr>
        <w:t>Except as otherwise provided in Paragraph 5 or this Paragraph 7, the settlement of all restricted stock units which vest under the Award shall be made solely in shares of Common Stock. In no event, however, shall any fractional shares be issued. Accordingly,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0" w:name="page201"/>
    <w:bookmarkEnd w:id="200"/>
    <w:p>
      <w:pPr>
        <w:spacing w:after="0" w:line="329" w:lineRule="auto"/>
        <w:rPr>
          <w:sz w:val="20"/>
          <w:szCs w:val="20"/>
          <w:color w:val="auto"/>
        </w:rPr>
      </w:pPr>
      <w:r>
        <w:rPr>
          <w:rFonts w:ascii="Arial" w:cs="Arial" w:eastAsia="Arial" w:hAnsi="Arial"/>
          <w:sz w:val="19"/>
          <w:szCs w:val="19"/>
          <w:color w:val="auto"/>
        </w:rPr>
        <w:t>total number of shares of Common Stock to be issued at the time the Award vests shall, to the extent necessary, be rounded down to the next whole share in order to avoid the issuance of a fractional share.</w:t>
      </w:r>
    </w:p>
    <w:p>
      <w:pPr>
        <w:spacing w:after="0" w:line="98" w:lineRule="exact"/>
        <w:rPr>
          <w:sz w:val="20"/>
          <w:szCs w:val="20"/>
          <w:color w:val="auto"/>
        </w:rPr>
      </w:pPr>
    </w:p>
    <w:p>
      <w:pPr>
        <w:jc w:val="both"/>
        <w:ind w:firstLine="1299"/>
        <w:spacing w:after="0" w:line="261" w:lineRule="auto"/>
        <w:tabs>
          <w:tab w:leader="none" w:pos="1999" w:val="left"/>
        </w:tabs>
        <w:numPr>
          <w:ilvl w:val="0"/>
          <w:numId w:val="240"/>
        </w:numPr>
        <w:rPr>
          <w:rFonts w:ascii="Arial" w:cs="Arial" w:eastAsia="Arial" w:hAnsi="Arial"/>
          <w:sz w:val="21"/>
          <w:szCs w:val="21"/>
          <w:color w:val="auto"/>
        </w:rPr>
      </w:pPr>
      <w:r>
        <w:rPr>
          <w:rFonts w:ascii="Arial" w:cs="Arial" w:eastAsia="Arial" w:hAnsi="Arial"/>
          <w:sz w:val="21"/>
          <w:szCs w:val="21"/>
          <w:b w:val="1"/>
          <w:bCs w:val="1"/>
          <w:u w:val="single" w:color="auto"/>
          <w:color w:val="auto"/>
        </w:rPr>
        <w:t>Code Section 409A.</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 to the contrary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the extent this Award may be deemed to create a deferred compensation arrangement under Code Section 409A, then the following limitation and provisions shall apply:</w:t>
      </w:r>
    </w:p>
    <w:p>
      <w:pPr>
        <w:spacing w:after="0" w:line="163" w:lineRule="exact"/>
        <w:rPr>
          <w:rFonts w:ascii="Arial" w:cs="Arial" w:eastAsia="Arial" w:hAnsi="Arial"/>
          <w:sz w:val="21"/>
          <w:szCs w:val="21"/>
          <w:color w:val="auto"/>
        </w:rPr>
      </w:pPr>
    </w:p>
    <w:p>
      <w:pPr>
        <w:jc w:val="both"/>
        <w:ind w:left="660" w:firstLine="1158"/>
        <w:spacing w:after="0" w:line="269" w:lineRule="auto"/>
        <w:tabs>
          <w:tab w:leader="none" w:pos="2526" w:val="left"/>
        </w:tabs>
        <w:numPr>
          <w:ilvl w:val="1"/>
          <w:numId w:val="240"/>
        </w:numPr>
        <w:rPr>
          <w:rFonts w:ascii="Arial" w:cs="Arial" w:eastAsia="Arial" w:hAnsi="Arial"/>
          <w:sz w:val="19"/>
          <w:szCs w:val="19"/>
          <w:color w:val="auto"/>
        </w:rPr>
      </w:pPr>
      <w:r>
        <w:rPr>
          <w:rFonts w:ascii="Arial" w:cs="Arial" w:eastAsia="Arial" w:hAnsi="Arial"/>
          <w:sz w:val="19"/>
          <w:szCs w:val="19"/>
          <w:color w:val="auto"/>
        </w:rPr>
        <w:t xml:space="preserve">No Shares or other amounts which become issuable or distributable under this Agreement upon Participant’s Separation from Service shall actually be issued or distributed to Participant prior to the </w:t>
      </w:r>
      <w:r>
        <w:rPr>
          <w:rFonts w:ascii="Arial" w:cs="Arial" w:eastAsia="Arial" w:hAnsi="Arial"/>
          <w:sz w:val="19"/>
          <w:szCs w:val="19"/>
          <w:b w:val="1"/>
          <w:bCs w:val="1"/>
          <w:i w:val="1"/>
          <w:iCs w:val="1"/>
          <w:color w:val="auto"/>
        </w:rPr>
        <w:t>earlier</w:t>
      </w:r>
      <w:r>
        <w:rPr>
          <w:rFonts w:ascii="Arial" w:cs="Arial" w:eastAsia="Arial" w:hAnsi="Arial"/>
          <w:sz w:val="19"/>
          <w:szCs w:val="19"/>
          <w:color w:val="auto"/>
        </w:rPr>
        <w:t xml:space="preserve"> of (i) the first (1st) day of the seventh (7th) month following the date of such Separation from Service or (ii) the date of Participant’s death, if Participant is deemed at the time of such Separation from Service to be a specified employee under Section 1.409A-1(i) of the Treasury Regulations issued under Code Section 409A, as determined by the Plan Administrator in accordance with consistent and uniform standards applied to all other Code Section 409A arrangements of the Corporation, and such delayed commencement is otherwise required in order to avoid a prohibited distribution under Code Section 409A(a)</w:t>
      </w:r>
    </w:p>
    <w:p>
      <w:pPr>
        <w:spacing w:after="0" w:line="1" w:lineRule="exact"/>
        <w:rPr>
          <w:rFonts w:ascii="Arial" w:cs="Arial" w:eastAsia="Arial" w:hAnsi="Arial"/>
          <w:sz w:val="19"/>
          <w:szCs w:val="19"/>
          <w:color w:val="auto"/>
        </w:rPr>
      </w:pPr>
    </w:p>
    <w:p>
      <w:pPr>
        <w:jc w:val="both"/>
        <w:ind w:left="660"/>
        <w:spacing w:after="0" w:line="233" w:lineRule="auto"/>
        <w:rPr>
          <w:rFonts w:ascii="Arial" w:cs="Arial" w:eastAsia="Arial" w:hAnsi="Arial"/>
          <w:sz w:val="19"/>
          <w:szCs w:val="19"/>
          <w:color w:val="auto"/>
        </w:rPr>
      </w:pPr>
      <w:r>
        <w:rPr>
          <w:rFonts w:ascii="Arial" w:cs="Arial" w:eastAsia="Arial" w:hAnsi="Arial"/>
          <w:sz w:val="22"/>
          <w:szCs w:val="22"/>
          <w:color w:val="auto"/>
        </w:rPr>
        <w:t>(2). The deferred Shares or other distributable amount shall be issued or distributed in a lump sum on the first (1st) day of the seventh (7th) month following the date of Participant’s Separation from Service or, if earlier, the first day of the month immediately following the date the Corporation receives proof of Participant’s death.</w:t>
      </w:r>
    </w:p>
    <w:p>
      <w:pPr>
        <w:spacing w:after="0" w:line="188" w:lineRule="exact"/>
        <w:rPr>
          <w:rFonts w:ascii="Arial" w:cs="Arial" w:eastAsia="Arial" w:hAnsi="Arial"/>
          <w:sz w:val="19"/>
          <w:szCs w:val="19"/>
          <w:color w:val="auto"/>
        </w:rPr>
      </w:pPr>
    </w:p>
    <w:p>
      <w:pPr>
        <w:jc w:val="both"/>
        <w:ind w:left="660" w:firstLine="1158"/>
        <w:spacing w:after="0"/>
        <w:tabs>
          <w:tab w:leader="none" w:pos="2427" w:val="left"/>
        </w:tabs>
        <w:numPr>
          <w:ilvl w:val="1"/>
          <w:numId w:val="240"/>
        </w:numPr>
        <w:rPr>
          <w:rFonts w:ascii="Arial" w:cs="Arial" w:eastAsia="Arial" w:hAnsi="Arial"/>
          <w:sz w:val="22"/>
          <w:szCs w:val="22"/>
          <w:color w:val="auto"/>
        </w:rPr>
      </w:pPr>
      <w:r>
        <w:rPr>
          <w:rFonts w:ascii="Arial" w:cs="Arial" w:eastAsia="Arial" w:hAnsi="Arial"/>
          <w:sz w:val="22"/>
          <w:szCs w:val="22"/>
          <w:color w:val="auto"/>
        </w:rPr>
        <w:t>Participant’s right to receive each installment of Shares or other installment distribution pursuant to the terms of this Agreement shall, for purposes of Code Section 409A, be treated as a right to receive a series of separate payments.</w:t>
      </w:r>
    </w:p>
    <w:p>
      <w:pPr>
        <w:spacing w:after="0" w:line="180" w:lineRule="exact"/>
        <w:rPr>
          <w:rFonts w:ascii="Arial" w:cs="Arial" w:eastAsia="Arial" w:hAnsi="Arial"/>
          <w:sz w:val="22"/>
          <w:szCs w:val="22"/>
          <w:color w:val="auto"/>
        </w:rPr>
      </w:pPr>
    </w:p>
    <w:p>
      <w:pPr>
        <w:jc w:val="both"/>
        <w:ind w:firstLine="1299"/>
        <w:spacing w:after="0" w:line="289" w:lineRule="auto"/>
        <w:tabs>
          <w:tab w:leader="none" w:pos="1918" w:val="left"/>
        </w:tabs>
        <w:numPr>
          <w:ilvl w:val="0"/>
          <w:numId w:val="240"/>
        </w:numPr>
        <w:rPr>
          <w:rFonts w:ascii="Arial" w:cs="Arial" w:eastAsia="Arial" w:hAnsi="Arial"/>
          <w:sz w:val="19"/>
          <w:szCs w:val="19"/>
          <w:color w:val="auto"/>
        </w:rPr>
      </w:pPr>
      <w:r>
        <w:rPr>
          <w:rFonts w:ascii="Arial" w:cs="Arial" w:eastAsia="Arial" w:hAnsi="Arial"/>
          <w:sz w:val="19"/>
          <w:szCs w:val="19"/>
          <w:b w:val="1"/>
          <w:bCs w:val="1"/>
          <w:u w:val="single" w:color="auto"/>
          <w:color w:val="auto"/>
        </w:rPr>
        <w:t>Compliance with Laws and Regulations</w:t>
      </w:r>
      <w:r>
        <w:rPr>
          <w:rFonts w:ascii="Arial" w:cs="Arial" w:eastAsia="Arial" w:hAnsi="Arial"/>
          <w:sz w:val="19"/>
          <w:szCs w:val="19"/>
          <w:color w:val="auto"/>
        </w:rPr>
        <w:t>. The issuance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pursuant to the Award shall be subject to compliance by the Corporation and Participant with all applicable requirements of law relating thereto and with all applicable regulations of any Stock Exchange on which the Common Stock may be listed for trading at the time of such issuance.</w:t>
      </w:r>
    </w:p>
    <w:p>
      <w:pPr>
        <w:spacing w:after="0" w:line="136" w:lineRule="exact"/>
        <w:rPr>
          <w:rFonts w:ascii="Arial" w:cs="Arial" w:eastAsia="Arial" w:hAnsi="Arial"/>
          <w:sz w:val="19"/>
          <w:szCs w:val="19"/>
          <w:color w:val="auto"/>
        </w:rPr>
      </w:pPr>
    </w:p>
    <w:p>
      <w:pPr>
        <w:jc w:val="both"/>
        <w:ind w:firstLine="1299"/>
        <w:spacing w:after="0" w:line="273" w:lineRule="auto"/>
        <w:tabs>
          <w:tab w:leader="none" w:pos="1999" w:val="left"/>
        </w:tabs>
        <w:numPr>
          <w:ilvl w:val="0"/>
          <w:numId w:val="240"/>
        </w:numPr>
        <w:rPr>
          <w:rFonts w:ascii="Arial" w:cs="Arial" w:eastAsia="Arial" w:hAnsi="Arial"/>
          <w:sz w:val="19"/>
          <w:szCs w:val="19"/>
          <w:color w:val="auto"/>
        </w:rPr>
      </w:pPr>
      <w:r>
        <w:rPr>
          <w:rFonts w:ascii="Arial" w:cs="Arial" w:eastAsia="Arial" w:hAnsi="Arial"/>
          <w:sz w:val="19"/>
          <w:szCs w:val="19"/>
          <w:b w:val="1"/>
          <w:bCs w:val="1"/>
          <w:u w:val="single" w:color="auto"/>
          <w:color w:val="auto"/>
        </w:rPr>
        <w:t>Change in Control Benefits Agreement</w:t>
      </w:r>
      <w:r>
        <w:rPr>
          <w:rFonts w:ascii="Arial" w:cs="Arial" w:eastAsia="Arial" w:hAnsi="Arial"/>
          <w:sz w:val="19"/>
          <w:szCs w:val="19"/>
          <w:color w:val="auto"/>
        </w:rPr>
        <w:t>. Notwithstanding anything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contrary in this Agreement, if Participant is, at the time of a change in control or ownership of the Corporation (whether or not that transaction constitutes a Change in Control hereunder), a party to a Change in Control Benefits Agreement with the Corporation, then the provisions of that agreement shall, to the extent applicable to this Award, govern Participant’s rights and benefits with respect to the restricted stock units and underlying Shares subject to this Agreement, and in the event of any conflict between the provisions of that Change in Control Benefits Agreement and this Agreement, the provisions of the Change in Control Benefits Agreement shall be controlling;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xml:space="preserve"> that in the event there is any conflict between the issuance or distribution provisions of this Agreement and the issuance or distribution provisions of the Change in Control Benefits Agreement, the issuance and distribution provisions of this Agreement shall be controlling.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1" w:name="page202"/>
    <w:bookmarkEnd w:id="201"/>
    <w:p>
      <w:pPr>
        <w:jc w:val="both"/>
        <w:ind w:firstLine="1299"/>
        <w:spacing w:after="0" w:line="249" w:lineRule="auto"/>
        <w:tabs>
          <w:tab w:leader="none" w:pos="1842" w:val="left"/>
        </w:tabs>
        <w:numPr>
          <w:ilvl w:val="0"/>
          <w:numId w:val="241"/>
        </w:numPr>
        <w:rPr>
          <w:rFonts w:ascii="Arial" w:cs="Arial" w:eastAsia="Arial" w:hAnsi="Arial"/>
          <w:sz w:val="21"/>
          <w:szCs w:val="21"/>
          <w:color w:val="auto"/>
        </w:rPr>
      </w:pP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Any notice required to be given or delivered to the Corporation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terms of this Agreement shall be in writing and addressed to the Corporation at its principal corporate offices. Any notice required to be given or delivered to Participant shall be in writing and addressed to Participant at the address indicated below Participant’s signature line on the Award Notice. All notices shall be deemed effective upon personal delivery or upon deposit in the U.S. mail, postage prepaid and properly addressed to the party to be notified.</w:t>
      </w:r>
    </w:p>
    <w:p>
      <w:pPr>
        <w:spacing w:after="0" w:line="171" w:lineRule="exact"/>
        <w:rPr>
          <w:rFonts w:ascii="Arial" w:cs="Arial" w:eastAsia="Arial" w:hAnsi="Arial"/>
          <w:sz w:val="21"/>
          <w:szCs w:val="21"/>
          <w:color w:val="auto"/>
        </w:rPr>
      </w:pPr>
    </w:p>
    <w:p>
      <w:pPr>
        <w:jc w:val="both"/>
        <w:ind w:firstLine="1299"/>
        <w:spacing w:after="0" w:line="237" w:lineRule="auto"/>
        <w:tabs>
          <w:tab w:leader="none" w:pos="2107"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color w:val="auto"/>
        </w:rPr>
        <w:t>. Except to the extent otherwise provided in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the provisions of this Agreement shall inure to the benefit of, and be binding upon, the Corporation and its successors and assigns and Participant, Participant’s assigns, the legal representatives, heirs and legatees of Participant’s estate and any beneficiaries of the Award designated by Participant.</w:t>
      </w:r>
    </w:p>
    <w:p>
      <w:pPr>
        <w:spacing w:after="0" w:line="182" w:lineRule="exact"/>
        <w:rPr>
          <w:rFonts w:ascii="Arial" w:cs="Arial" w:eastAsia="Arial" w:hAnsi="Arial"/>
          <w:sz w:val="22"/>
          <w:szCs w:val="22"/>
          <w:color w:val="auto"/>
        </w:rPr>
      </w:pPr>
    </w:p>
    <w:p>
      <w:pPr>
        <w:ind w:left="1840" w:hanging="541"/>
        <w:spacing w:after="0"/>
        <w:tabs>
          <w:tab w:leader="none" w:pos="1840"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Construction</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jc w:val="both"/>
        <w:ind w:firstLine="1818"/>
        <w:spacing w:after="0" w:line="236" w:lineRule="auto"/>
        <w:tabs>
          <w:tab w:leader="none" w:pos="2562" w:val="left"/>
        </w:tabs>
        <w:numPr>
          <w:ilvl w:val="1"/>
          <w:numId w:val="241"/>
        </w:numPr>
        <w:rPr>
          <w:rFonts w:ascii="Arial" w:cs="Arial" w:eastAsia="Arial" w:hAnsi="Arial"/>
          <w:sz w:val="22"/>
          <w:szCs w:val="22"/>
          <w:color w:val="auto"/>
        </w:rPr>
      </w:pPr>
      <w:r>
        <w:rPr>
          <w:rFonts w:ascii="Arial" w:cs="Arial" w:eastAsia="Arial" w:hAnsi="Arial"/>
          <w:sz w:val="22"/>
          <w:szCs w:val="22"/>
          <w:color w:val="auto"/>
        </w:rPr>
        <w:t>This Agreement and the Award evidenced hereby are made and granted pursuant to the Plan and are in all respects limited by and subject to the terms of the Plan and any applicable Change in Control Benefits Agreement. All decisions of the Plan Administrator with respect to any question or issue arising under the Plan or this Agreement shall be conclusive and binding on all persons having an interest in the Award.</w:t>
      </w:r>
    </w:p>
    <w:p>
      <w:pPr>
        <w:spacing w:after="0" w:line="187" w:lineRule="exact"/>
        <w:rPr>
          <w:rFonts w:ascii="Arial" w:cs="Arial" w:eastAsia="Arial" w:hAnsi="Arial"/>
          <w:sz w:val="22"/>
          <w:szCs w:val="22"/>
          <w:color w:val="auto"/>
        </w:rPr>
      </w:pPr>
    </w:p>
    <w:p>
      <w:pPr>
        <w:jc w:val="both"/>
        <w:ind w:firstLine="1818"/>
        <w:spacing w:after="0" w:line="282" w:lineRule="auto"/>
        <w:tabs>
          <w:tab w:leader="none" w:pos="2553" w:val="left"/>
        </w:tabs>
        <w:numPr>
          <w:ilvl w:val="1"/>
          <w:numId w:val="241"/>
        </w:numPr>
        <w:rPr>
          <w:rFonts w:ascii="Arial" w:cs="Arial" w:eastAsia="Arial" w:hAnsi="Arial"/>
          <w:sz w:val="19"/>
          <w:szCs w:val="19"/>
          <w:color w:val="auto"/>
        </w:rPr>
      </w:pPr>
      <w:r>
        <w:rPr>
          <w:rFonts w:ascii="Arial" w:cs="Arial" w:eastAsia="Arial" w:hAnsi="Arial"/>
          <w:sz w:val="19"/>
          <w:szCs w:val="19"/>
          <w:color w:val="auto"/>
        </w:rPr>
        <w:t>To the extent there is any ambiguity as to whether any provision of this Agreement would otherwise contravene one or more applicable requirements or limitations of Section 409A of the Internal Revenue Code and the Treasury Regulations thereunder, such provision shall be interpreted and applied in a manner that complies with the applicable requirements of Section 409A of the Internal Revenue Code and the Treasury Regulations thereunder.</w:t>
      </w:r>
    </w:p>
    <w:p>
      <w:pPr>
        <w:spacing w:after="0" w:line="147" w:lineRule="exact"/>
        <w:rPr>
          <w:rFonts w:ascii="Arial" w:cs="Arial" w:eastAsia="Arial" w:hAnsi="Arial"/>
          <w:sz w:val="19"/>
          <w:szCs w:val="19"/>
          <w:color w:val="auto"/>
        </w:rPr>
      </w:pPr>
    </w:p>
    <w:p>
      <w:pPr>
        <w:jc w:val="both"/>
        <w:ind w:firstLine="1818"/>
        <w:spacing w:after="0" w:line="297" w:lineRule="auto"/>
        <w:tabs>
          <w:tab w:leader="none" w:pos="2673" w:val="left"/>
        </w:tabs>
        <w:numPr>
          <w:ilvl w:val="1"/>
          <w:numId w:val="241"/>
        </w:numPr>
        <w:rPr>
          <w:rFonts w:ascii="Arial" w:cs="Arial" w:eastAsia="Arial" w:hAnsi="Arial"/>
          <w:sz w:val="19"/>
          <w:szCs w:val="19"/>
          <w:color w:val="auto"/>
        </w:rPr>
      </w:pPr>
      <w:r>
        <w:rPr>
          <w:rFonts w:ascii="Arial" w:cs="Arial" w:eastAsia="Arial" w:hAnsi="Arial"/>
          <w:sz w:val="19"/>
          <w:szCs w:val="19"/>
          <w:color w:val="auto"/>
        </w:rPr>
        <w:t>Participant hereby acknowledges the receipt of a copy of the official prospectus for the Plan. A copy of the Plan is available upon request made to the Human Resources Department at the Corporation’s principal offices (1411 Sand Island Parkway, Honolulu, Hawaii 96819).</w:t>
      </w:r>
    </w:p>
    <w:p>
      <w:pPr>
        <w:spacing w:after="0" w:line="128" w:lineRule="exact"/>
        <w:rPr>
          <w:rFonts w:ascii="Arial" w:cs="Arial" w:eastAsia="Arial" w:hAnsi="Arial"/>
          <w:sz w:val="19"/>
          <w:szCs w:val="19"/>
          <w:color w:val="auto"/>
        </w:rPr>
      </w:pPr>
    </w:p>
    <w:p>
      <w:pPr>
        <w:jc w:val="both"/>
        <w:ind w:firstLine="1299"/>
        <w:spacing w:after="0" w:line="243" w:lineRule="auto"/>
        <w:tabs>
          <w:tab w:leader="none" w:pos="2107"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The interpretation, performance and enforcement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be governed by the laws of the State of Hawaii without regard to that State’s conflict-of-laws rules.</w:t>
      </w:r>
    </w:p>
    <w:p>
      <w:pPr>
        <w:spacing w:after="0" w:line="176" w:lineRule="exact"/>
        <w:rPr>
          <w:rFonts w:ascii="Arial" w:cs="Arial" w:eastAsia="Arial" w:hAnsi="Arial"/>
          <w:sz w:val="22"/>
          <w:szCs w:val="22"/>
          <w:color w:val="auto"/>
        </w:rPr>
      </w:pPr>
    </w:p>
    <w:p>
      <w:pPr>
        <w:ind w:left="1840" w:hanging="541"/>
        <w:spacing w:after="0"/>
        <w:tabs>
          <w:tab w:leader="none" w:pos="1840" w:val="left"/>
        </w:tabs>
        <w:numPr>
          <w:ilvl w:val="0"/>
          <w:numId w:val="241"/>
        </w:numPr>
        <w:rPr>
          <w:rFonts w:ascii="Arial" w:cs="Arial" w:eastAsia="Arial" w:hAnsi="Arial"/>
          <w:sz w:val="22"/>
          <w:szCs w:val="22"/>
          <w:color w:val="auto"/>
        </w:rPr>
      </w:pPr>
      <w:r>
        <w:rPr>
          <w:rFonts w:ascii="Arial" w:cs="Arial" w:eastAsia="Arial" w:hAnsi="Arial"/>
          <w:sz w:val="22"/>
          <w:szCs w:val="22"/>
          <w:b w:val="1"/>
          <w:bCs w:val="1"/>
          <w:u w:val="single" w:color="auto"/>
          <w:color w:val="auto"/>
        </w:rPr>
        <w:t>Arbitration.</w:t>
      </w:r>
    </w:p>
    <w:p>
      <w:pPr>
        <w:spacing w:after="0" w:line="212" w:lineRule="exact"/>
        <w:rPr>
          <w:rFonts w:ascii="Arial" w:cs="Arial" w:eastAsia="Arial" w:hAnsi="Arial"/>
          <w:sz w:val="22"/>
          <w:szCs w:val="22"/>
          <w:color w:val="auto"/>
        </w:rPr>
      </w:pPr>
    </w:p>
    <w:p>
      <w:pPr>
        <w:jc w:val="both"/>
        <w:ind w:firstLine="1818"/>
        <w:spacing w:after="0" w:line="247" w:lineRule="auto"/>
        <w:tabs>
          <w:tab w:leader="none" w:pos="2696" w:val="left"/>
        </w:tabs>
        <w:numPr>
          <w:ilvl w:val="1"/>
          <w:numId w:val="241"/>
        </w:numPr>
        <w:rPr>
          <w:rFonts w:ascii="Arial" w:cs="Arial" w:eastAsia="Arial" w:hAnsi="Arial"/>
          <w:sz w:val="21"/>
          <w:szCs w:val="21"/>
          <w:color w:val="auto"/>
        </w:rPr>
      </w:pPr>
      <w:r>
        <w:rPr>
          <w:rFonts w:ascii="Arial" w:cs="Arial" w:eastAsia="Arial" w:hAnsi="Arial"/>
          <w:sz w:val="21"/>
          <w:szCs w:val="21"/>
          <w:color w:val="auto"/>
        </w:rPr>
        <w:t>Any dispute or controversy arising under or in connection with this Agreement shall be settled exclusively by arbitration, conducted before a single arbitrator who is an attorney or retired judge with expertise and experience in the field of employment law. The arbitration shall be held under the auspices of JAMS in accordance with JAMS then-current Employment Arbitration Rules and Procedures (available at http://www.jamsadr.com/rules-employment-arbitration/) and subject to JAMS Policy on Employment Arbitration Minimum Standards of Procedural Fairness. The arbitration shall take place in or near the city in which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202" w:name="page203"/>
    <w:bookmarkEnd w:id="202"/>
    <w:p>
      <w:pPr>
        <w:jc w:val="both"/>
        <w:spacing w:after="0" w:line="270" w:lineRule="auto"/>
        <w:rPr>
          <w:sz w:val="20"/>
          <w:szCs w:val="20"/>
          <w:color w:val="auto"/>
        </w:rPr>
      </w:pPr>
      <w:r>
        <w:rPr>
          <w:rFonts w:ascii="Arial" w:cs="Arial" w:eastAsia="Arial" w:hAnsi="Arial"/>
          <w:sz w:val="19"/>
          <w:szCs w:val="19"/>
          <w:color w:val="auto"/>
        </w:rPr>
        <w:t>Participant is employed by the Corporation or was last employed by the Corporation. The arbitrator shall make a written award and shall prepare a written opinion containing the findings and conclusions on which the award was based. The decision of the arbitrator will be final and binding upon the parties hereto. Judgment may be entered on the arbitrator’s award in any court having jurisdiction. The parties acknowledge and agree that in connection with any such arbitration and regardless of outcome, (a) each party shall pay all of its own costs and expenses, including, without limitation, its own legal fees and expenses, and (b) the arbitration costs shall be borne entirely by the Corporation. The arbitration shall be confidential and no details concerning such arbitration shall be disclosed or released to any third party without the specific written consent of the non-disclosing party, unless required by law or court order, as necessary to prosecute or defend the arbitration, or in connection with enforcement of any decision in such arbitration. This agreement to arbitrate is mutually entered into between the parties. Each party fully understands and agrees that they are giving up certain rights otherwise afforded to them by civil court actions, including but not limited to the right to a jury trial. Nothing in this Agreement shall prevent Participant from filing charges or claims with the Equal Employment Opportunity Commission, the U.S. Department of Labor, or any other federal, state or local government agency. However, Participant may seek individual monetary relief only through arbitration under this Agreement. The Corporation and Participant further agree that any claim submitted to arbitration must be brought in the party’s individual capacity, and not as a plaintiff or class member in any purported class, representative or consolidated proceeding.</w:t>
      </w:r>
    </w:p>
    <w:p>
      <w:pPr>
        <w:spacing w:after="0" w:line="165" w:lineRule="exact"/>
        <w:rPr>
          <w:sz w:val="20"/>
          <w:szCs w:val="20"/>
          <w:color w:val="auto"/>
        </w:rPr>
      </w:pPr>
    </w:p>
    <w:p>
      <w:pPr>
        <w:ind w:firstLine="1818"/>
        <w:spacing w:after="0" w:line="328" w:lineRule="auto"/>
        <w:tabs>
          <w:tab w:leader="none" w:pos="2400" w:val="left"/>
        </w:tabs>
        <w:numPr>
          <w:ilvl w:val="1"/>
          <w:numId w:val="242"/>
        </w:numPr>
        <w:rPr>
          <w:rFonts w:ascii="Arial" w:cs="Arial" w:eastAsia="Arial" w:hAnsi="Arial"/>
          <w:sz w:val="19"/>
          <w:szCs w:val="19"/>
          <w:color w:val="auto"/>
        </w:rPr>
      </w:pPr>
      <w:r>
        <w:rPr>
          <w:rFonts w:ascii="Arial" w:cs="Arial" w:eastAsia="Arial" w:hAnsi="Arial"/>
          <w:sz w:val="19"/>
          <w:szCs w:val="19"/>
          <w:color w:val="auto"/>
        </w:rPr>
        <w:t>Each party fully understands and agrees that they are giving up certain rights otherwise afforded to them by civil court actions, including but not limited to the right to a jury trial.</w:t>
      </w:r>
    </w:p>
    <w:p>
      <w:pPr>
        <w:spacing w:after="0" w:line="99" w:lineRule="exact"/>
        <w:rPr>
          <w:rFonts w:ascii="Arial" w:cs="Arial" w:eastAsia="Arial" w:hAnsi="Arial"/>
          <w:sz w:val="19"/>
          <w:szCs w:val="19"/>
          <w:color w:val="auto"/>
        </w:rPr>
      </w:pPr>
    </w:p>
    <w:p>
      <w:pPr>
        <w:jc w:val="both"/>
        <w:ind w:firstLine="1299"/>
        <w:spacing w:after="0" w:line="271" w:lineRule="auto"/>
        <w:tabs>
          <w:tab w:leader="none" w:pos="1918" w:val="left"/>
        </w:tabs>
        <w:numPr>
          <w:ilvl w:val="0"/>
          <w:numId w:val="243"/>
        </w:numPr>
        <w:rPr>
          <w:rFonts w:ascii="Arial" w:cs="Arial" w:eastAsia="Arial" w:hAnsi="Arial"/>
          <w:sz w:val="19"/>
          <w:szCs w:val="19"/>
          <w:color w:val="auto"/>
        </w:rPr>
      </w:pPr>
      <w:r>
        <w:rPr>
          <w:rFonts w:ascii="Arial" w:cs="Arial" w:eastAsia="Arial" w:hAnsi="Arial"/>
          <w:sz w:val="19"/>
          <w:szCs w:val="19"/>
          <w:b w:val="1"/>
          <w:bCs w:val="1"/>
          <w:u w:val="single" w:color="auto"/>
          <w:color w:val="auto"/>
        </w:rPr>
        <w:t>Coverage under Recoupment Policy</w:t>
      </w:r>
      <w:r>
        <w:rPr>
          <w:rFonts w:ascii="Arial" w:cs="Arial" w:eastAsia="Arial" w:hAnsi="Arial"/>
          <w:sz w:val="19"/>
          <w:szCs w:val="19"/>
          <w:color w:val="auto"/>
        </w:rPr>
        <w:t>. If Participant is on the Award Date, or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thereafter becomes, either an executive officer of the Corporation subject to Section 16 of the 1934 Act, or a participant in the Corporation’s Performance Improvement Incentive Plan, then Participant shall be subject to the Matson, Inc. Policy Regarding Recoupment of Certain Compensation (the “</w:t>
      </w:r>
      <w:r>
        <w:rPr>
          <w:rFonts w:ascii="Arial" w:cs="Arial" w:eastAsia="Arial" w:hAnsi="Arial"/>
          <w:sz w:val="19"/>
          <w:szCs w:val="19"/>
          <w:b w:val="1"/>
          <w:bCs w:val="1"/>
          <w:i w:val="1"/>
          <w:iCs w:val="1"/>
          <w:color w:val="auto"/>
        </w:rPr>
        <w:t>Recoupment Policy</w:t>
      </w:r>
      <w:r>
        <w:rPr>
          <w:rFonts w:ascii="Arial" w:cs="Arial" w:eastAsia="Arial" w:hAnsi="Arial"/>
          <w:sz w:val="19"/>
          <w:szCs w:val="19"/>
          <w:color w:val="auto"/>
        </w:rPr>
        <w:t>”), the terms of which are hereby incorporated herein by reference and receipt of a copy of which Participant hereby acknowledges. If Participant is subject to the Recoupment Policy, then any incentive compensation that is paid or granted to, or received by, Participant during the three-year period preceding the date on which the Corporation is required to prepare an accounting restatement due to material non-compliance with any applicable financial reporting requirements under the federal securities laws shall be subject to recovery and recoupment pursuant to the terms of such policy. For purposes of such Recoupment Policy, “</w:t>
      </w:r>
      <w:r>
        <w:rPr>
          <w:rFonts w:ascii="Arial" w:cs="Arial" w:eastAsia="Arial" w:hAnsi="Arial"/>
          <w:sz w:val="19"/>
          <w:szCs w:val="19"/>
          <w:b w:val="1"/>
          <w:bCs w:val="1"/>
          <w:i w:val="1"/>
          <w:iCs w:val="1"/>
          <w:color w:val="auto"/>
        </w:rPr>
        <w:t>incentive compensation</w:t>
      </w:r>
      <w:r>
        <w:rPr>
          <w:rFonts w:ascii="Arial" w:cs="Arial" w:eastAsia="Arial" w:hAnsi="Arial"/>
          <w:sz w:val="19"/>
          <w:szCs w:val="19"/>
          <w:color w:val="auto"/>
        </w:rPr>
        <w:t>” means all cash or equity-based award (e.g., stock award, restricted stock unit award, performance share award or stock option grant or shares of Common Stock issued thereunder) or any profit sharing payment or distribution that is based upon the achievement of financial performance metrics. An additional copy of the Recoupment Policy is available upon request made to the Corporate Secretary at the Corporation’s principal offices.</w:t>
      </w:r>
    </w:p>
    <w:p>
      <w:pPr>
        <w:spacing w:after="0" w:line="161" w:lineRule="exact"/>
        <w:rPr>
          <w:rFonts w:ascii="Arial" w:cs="Arial" w:eastAsia="Arial" w:hAnsi="Arial"/>
          <w:sz w:val="19"/>
          <w:szCs w:val="19"/>
          <w:color w:val="auto"/>
        </w:rPr>
      </w:pPr>
    </w:p>
    <w:p>
      <w:pPr>
        <w:ind w:left="1840" w:hanging="541"/>
        <w:spacing w:after="0"/>
        <w:tabs>
          <w:tab w:leader="none" w:pos="1840" w:val="left"/>
        </w:tabs>
        <w:numPr>
          <w:ilvl w:val="0"/>
          <w:numId w:val="243"/>
        </w:numPr>
        <w:rPr>
          <w:rFonts w:ascii="Arial" w:cs="Arial" w:eastAsia="Arial" w:hAnsi="Arial"/>
          <w:sz w:val="22"/>
          <w:szCs w:val="22"/>
          <w:color w:val="auto"/>
        </w:rPr>
      </w:pPr>
      <w:r>
        <w:rPr>
          <w:rFonts w:ascii="Arial" w:cs="Arial" w:eastAsia="Arial" w:hAnsi="Arial"/>
          <w:sz w:val="22"/>
          <w:szCs w:val="22"/>
          <w:b w:val="1"/>
          <w:bCs w:val="1"/>
          <w:u w:val="single" w:color="auto"/>
          <w:color w:val="auto"/>
        </w:rPr>
        <w:t>Data Privacy</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firstLine="1818"/>
        <w:spacing w:after="0" w:line="328" w:lineRule="auto"/>
        <w:tabs>
          <w:tab w:leader="none" w:pos="2454" w:val="left"/>
        </w:tabs>
        <w:numPr>
          <w:ilvl w:val="1"/>
          <w:numId w:val="243"/>
        </w:numPr>
        <w:rPr>
          <w:rFonts w:ascii="Arial" w:cs="Arial" w:eastAsia="Arial" w:hAnsi="Arial"/>
          <w:sz w:val="19"/>
          <w:szCs w:val="19"/>
          <w:color w:val="auto"/>
        </w:rPr>
      </w:pPr>
      <w:r>
        <w:rPr>
          <w:rFonts w:ascii="Arial" w:cs="Arial" w:eastAsia="Arial" w:hAnsi="Arial"/>
          <w:sz w:val="19"/>
          <w:szCs w:val="19"/>
          <w:color w:val="auto"/>
        </w:rPr>
        <w:t>Participant hereby explicitly and unambiguously consents to the collection, use and transfer, in electronic or other form, of Participant’s personal data as described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3" w:name="page204"/>
    <w:bookmarkEnd w:id="203"/>
    <w:p>
      <w:pPr>
        <w:spacing w:after="0" w:line="251" w:lineRule="auto"/>
        <w:rPr>
          <w:sz w:val="20"/>
          <w:szCs w:val="20"/>
          <w:color w:val="auto"/>
        </w:rPr>
      </w:pPr>
      <w:r>
        <w:rPr>
          <w:rFonts w:ascii="Arial" w:cs="Arial" w:eastAsia="Arial" w:hAnsi="Arial"/>
          <w:sz w:val="22"/>
          <w:szCs w:val="22"/>
          <w:color w:val="auto"/>
        </w:rPr>
        <w:t>in this Agreement by the Corporation for the exclusive purpose of implementing, administering and managing Participant’s participation in the Plan.</w:t>
      </w:r>
    </w:p>
    <w:p>
      <w:pPr>
        <w:spacing w:after="0" w:line="174" w:lineRule="exact"/>
        <w:rPr>
          <w:sz w:val="20"/>
          <w:szCs w:val="20"/>
          <w:color w:val="auto"/>
        </w:rPr>
      </w:pPr>
    </w:p>
    <w:p>
      <w:pPr>
        <w:jc w:val="both"/>
        <w:ind w:firstLine="1818"/>
        <w:spacing w:after="0" w:line="271" w:lineRule="auto"/>
        <w:tabs>
          <w:tab w:leader="none" w:pos="2802" w:val="left"/>
        </w:tabs>
        <w:numPr>
          <w:ilvl w:val="1"/>
          <w:numId w:val="244"/>
        </w:numPr>
        <w:rPr>
          <w:rFonts w:ascii="Arial" w:cs="Arial" w:eastAsia="Arial" w:hAnsi="Arial"/>
          <w:sz w:val="19"/>
          <w:szCs w:val="19"/>
          <w:color w:val="auto"/>
        </w:rPr>
      </w:pPr>
      <w:r>
        <w:rPr>
          <w:rFonts w:ascii="Arial" w:cs="Arial" w:eastAsia="Arial" w:hAnsi="Arial"/>
          <w:sz w:val="19"/>
          <w:szCs w:val="19"/>
          <w:color w:val="auto"/>
        </w:rPr>
        <w:t>Participant understands that the Corporation holds certain personal information about Participant regarding Participant’s employment, the nature and amount of Participant’s compensation and the fact and conditions of Participant’s participation in the Plan, including, but not limited to, Participant’s name, home address and telephone number, date of birth, tax file number, salary, nationality, job title, any shares of stock or directorships held in the Corporation, details of all equity awards or any other entitlement to Shares awarded, canceled, exercised, vested, unvested or outstanding in Participant’s favor, for the purpose of implementing, administering and managing the Plan (the “Data”).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authorizes the recipients to receive, possess, use, retain and transfer the Data, in electronic or other form, for the purposes of implementing, administering and managing Participant’s participation in the Plan, including any requisite transfer of such Data as may be required to a broker or other third party. Participant understands that the Data will be held only as long as is necessary to implement, administer and manage Participant’s participation in the Plan.</w:t>
      </w:r>
    </w:p>
    <w:p>
      <w:pPr>
        <w:spacing w:after="0" w:line="398" w:lineRule="exact"/>
        <w:rPr>
          <w:rFonts w:ascii="Arial" w:cs="Arial" w:eastAsia="Arial" w:hAnsi="Arial"/>
          <w:sz w:val="19"/>
          <w:szCs w:val="19"/>
          <w:color w:val="auto"/>
        </w:rPr>
      </w:pPr>
    </w:p>
    <w:p>
      <w:pPr>
        <w:jc w:val="both"/>
        <w:ind w:firstLine="1299"/>
        <w:spacing w:after="0" w:line="239" w:lineRule="auto"/>
        <w:tabs>
          <w:tab w:leader="none" w:pos="1904" w:val="left"/>
        </w:tabs>
        <w:numPr>
          <w:ilvl w:val="0"/>
          <w:numId w:val="245"/>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This Agreement may not be altered, modified, or amended except</w:t>
      </w:r>
      <w:r>
        <w:rPr>
          <w:rFonts w:ascii="Arial" w:cs="Arial" w:eastAsia="Arial" w:hAnsi="Arial"/>
          <w:sz w:val="22"/>
          <w:szCs w:val="22"/>
          <w:b w:val="1"/>
          <w:bCs w:val="1"/>
          <w:color w:val="auto"/>
        </w:rPr>
        <w:t xml:space="preserve"> </w:t>
      </w:r>
      <w:r>
        <w:rPr>
          <w:rFonts w:ascii="Arial" w:cs="Arial" w:eastAsia="Arial" w:hAnsi="Arial"/>
          <w:sz w:val="22"/>
          <w:szCs w:val="22"/>
          <w:color w:val="auto"/>
        </w:rPr>
        <w:t>by written instrument signed by the parties hereto; provided that the Corporation may alter, modify or amend this Agreement unilaterally if such change is not materially adverse to Participant or to cause this Agreement to comply with applicable law.</w:t>
      </w:r>
    </w:p>
    <w:p>
      <w:pPr>
        <w:spacing w:after="0" w:line="180" w:lineRule="exact"/>
        <w:rPr>
          <w:rFonts w:ascii="Arial" w:cs="Arial" w:eastAsia="Arial" w:hAnsi="Arial"/>
          <w:sz w:val="22"/>
          <w:szCs w:val="22"/>
          <w:color w:val="auto"/>
        </w:rPr>
      </w:pPr>
    </w:p>
    <w:p>
      <w:pPr>
        <w:jc w:val="both"/>
        <w:ind w:firstLine="1299"/>
        <w:spacing w:after="0" w:line="301" w:lineRule="auto"/>
        <w:tabs>
          <w:tab w:leader="none" w:pos="1837" w:val="left"/>
        </w:tabs>
        <w:numPr>
          <w:ilvl w:val="0"/>
          <w:numId w:val="245"/>
        </w:numPr>
        <w:rPr>
          <w:rFonts w:ascii="Arial" w:cs="Arial" w:eastAsia="Arial" w:hAnsi="Arial"/>
          <w:sz w:val="19"/>
          <w:szCs w:val="19"/>
          <w:color w:val="auto"/>
        </w:rPr>
      </w:pPr>
      <w:r>
        <w:rPr>
          <w:rFonts w:ascii="Arial" w:cs="Arial" w:eastAsia="Arial" w:hAnsi="Arial"/>
          <w:sz w:val="19"/>
          <w:szCs w:val="19"/>
          <w:b w:val="1"/>
          <w:bCs w:val="1"/>
          <w:u w:val="single" w:color="auto"/>
          <w:color w:val="auto"/>
        </w:rPr>
        <w:t>Other Agreements Superseded</w:t>
      </w:r>
      <w:r>
        <w:rPr>
          <w:rFonts w:ascii="Arial" w:cs="Arial" w:eastAsia="Arial" w:hAnsi="Arial"/>
          <w:sz w:val="19"/>
          <w:szCs w:val="19"/>
          <w:color w:val="auto"/>
        </w:rPr>
        <w:t>. The Award Notice, this Agreement, and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the entire understanding between Participant and the Corporation regarding the Award. Any prior agreements, commitments or negotiations concerning the Award are superseded.</w:t>
      </w:r>
    </w:p>
    <w:p>
      <w:pPr>
        <w:spacing w:after="0" w:line="123" w:lineRule="exact"/>
        <w:rPr>
          <w:rFonts w:ascii="Arial" w:cs="Arial" w:eastAsia="Arial" w:hAnsi="Arial"/>
          <w:sz w:val="19"/>
          <w:szCs w:val="19"/>
          <w:color w:val="auto"/>
        </w:rPr>
      </w:pPr>
    </w:p>
    <w:p>
      <w:pPr>
        <w:jc w:val="both"/>
        <w:ind w:firstLine="1299"/>
        <w:spacing w:after="0" w:line="239" w:lineRule="auto"/>
        <w:tabs>
          <w:tab w:leader="none" w:pos="1958" w:val="left"/>
        </w:tabs>
        <w:numPr>
          <w:ilvl w:val="0"/>
          <w:numId w:val="24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Plan Document</w:t>
      </w:r>
      <w:r>
        <w:rPr>
          <w:rFonts w:ascii="Arial" w:cs="Arial" w:eastAsia="Arial" w:hAnsi="Arial"/>
          <w:sz w:val="22"/>
          <w:szCs w:val="22"/>
          <w:color w:val="auto"/>
        </w:rPr>
        <w:t>. The Award is subject to all the provisions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Plan, the provisions of which are hereby made a part of the Award, and is further subject to all interpretations, amendments, rules and regulations, which may from time to time be promulgated and adopted pursuant to the Plan.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04" w:name="page205"/>
    <w:bookmarkEnd w:id="204"/>
    <w:p>
      <w:pPr>
        <w:ind w:left="3860"/>
        <w:spacing w:after="0"/>
        <w:rPr>
          <w:sz w:val="20"/>
          <w:szCs w:val="20"/>
          <w:color w:val="auto"/>
        </w:rPr>
      </w:pPr>
      <w:r>
        <w:rPr>
          <w:rFonts w:ascii="Arial" w:cs="Arial" w:eastAsia="Arial" w:hAnsi="Arial"/>
          <w:sz w:val="22"/>
          <w:szCs w:val="22"/>
          <w:b w:val="1"/>
          <w:bCs w:val="1"/>
          <w:color w:val="auto"/>
        </w:rPr>
        <w:t>APPENDIX A</w:t>
      </w:r>
    </w:p>
    <w:p>
      <w:pPr>
        <w:spacing w:after="0" w:line="207" w:lineRule="exact"/>
        <w:rPr>
          <w:sz w:val="20"/>
          <w:szCs w:val="20"/>
          <w:color w:val="auto"/>
        </w:rPr>
      </w:pPr>
    </w:p>
    <w:p>
      <w:pPr>
        <w:ind w:left="38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The following definitions shall be in effect under the Agreement:</w:t>
      </w:r>
    </w:p>
    <w:p>
      <w:pPr>
        <w:spacing w:after="0" w:line="200" w:lineRule="exact"/>
        <w:rPr>
          <w:sz w:val="20"/>
          <w:szCs w:val="20"/>
          <w:color w:val="auto"/>
        </w:rPr>
      </w:pPr>
    </w:p>
    <w:p>
      <w:pPr>
        <w:ind w:left="1820" w:hanging="541"/>
        <w:spacing w:after="0"/>
        <w:tabs>
          <w:tab w:leader="none" w:pos="1820" w:val="left"/>
        </w:tabs>
        <w:numPr>
          <w:ilvl w:val="0"/>
          <w:numId w:val="246"/>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this Restricted Stock Unit Award Agreement.</w:t>
      </w:r>
    </w:p>
    <w:p>
      <w:pPr>
        <w:spacing w:after="0" w:line="206" w:lineRule="exact"/>
        <w:rPr>
          <w:rFonts w:ascii="Arial" w:cs="Arial" w:eastAsia="Arial" w:hAnsi="Arial"/>
          <w:sz w:val="22"/>
          <w:szCs w:val="22"/>
          <w:color w:val="auto"/>
        </w:rPr>
      </w:pPr>
    </w:p>
    <w:p>
      <w:pPr>
        <w:ind w:left="-20" w:firstLine="1299"/>
        <w:spacing w:after="0" w:line="256" w:lineRule="auto"/>
        <w:tabs>
          <w:tab w:leader="none" w:pos="1839" w:val="left"/>
        </w:tabs>
        <w:numPr>
          <w:ilvl w:val="0"/>
          <w:numId w:val="246"/>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award of restricted stock units made to Participant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terms of this Agreement.</w:t>
      </w:r>
    </w:p>
    <w:p>
      <w:pPr>
        <w:spacing w:after="0" w:line="162" w:lineRule="exact"/>
        <w:rPr>
          <w:rFonts w:ascii="Arial" w:cs="Arial" w:eastAsia="Arial" w:hAnsi="Arial"/>
          <w:sz w:val="22"/>
          <w:szCs w:val="22"/>
          <w:color w:val="auto"/>
        </w:rPr>
      </w:pPr>
    </w:p>
    <w:p>
      <w:pPr>
        <w:ind w:left="-20" w:firstLine="1299"/>
        <w:spacing w:after="0" w:line="256" w:lineRule="auto"/>
        <w:tabs>
          <w:tab w:leader="none" w:pos="2109" w:val="left"/>
        </w:tabs>
        <w:numPr>
          <w:ilvl w:val="0"/>
          <w:numId w:val="246"/>
        </w:numPr>
        <w:rPr>
          <w:rFonts w:ascii="Arial" w:cs="Arial" w:eastAsia="Arial" w:hAnsi="Arial"/>
          <w:sz w:val="22"/>
          <w:szCs w:val="22"/>
          <w:color w:val="auto"/>
        </w:rPr>
      </w:pPr>
      <w:r>
        <w:rPr>
          <w:rFonts w:ascii="Arial" w:cs="Arial" w:eastAsia="Arial" w:hAnsi="Arial"/>
          <w:sz w:val="22"/>
          <w:szCs w:val="22"/>
          <w:b w:val="1"/>
          <w:bCs w:val="1"/>
          <w:u w:val="single" w:color="auto"/>
          <w:color w:val="auto"/>
        </w:rPr>
        <w:t>Award Date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date the restricted stock units are awarded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pursuant to the Agreement and shall be the date specified in the Award Notice.</w:t>
      </w:r>
    </w:p>
    <w:p>
      <w:pPr>
        <w:spacing w:after="0" w:line="162" w:lineRule="exact"/>
        <w:rPr>
          <w:rFonts w:ascii="Arial" w:cs="Arial" w:eastAsia="Arial" w:hAnsi="Arial"/>
          <w:sz w:val="22"/>
          <w:szCs w:val="22"/>
          <w:color w:val="auto"/>
        </w:rPr>
      </w:pPr>
    </w:p>
    <w:p>
      <w:pPr>
        <w:jc w:val="both"/>
        <w:ind w:left="-20" w:firstLine="1299"/>
        <w:spacing w:after="0" w:line="301" w:lineRule="auto"/>
        <w:tabs>
          <w:tab w:leader="none" w:pos="1932" w:val="left"/>
        </w:tabs>
        <w:numPr>
          <w:ilvl w:val="0"/>
          <w:numId w:val="246"/>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Notice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Notice of Award of Time-Based Restricted Stock</w:t>
      </w:r>
      <w:r>
        <w:rPr>
          <w:rFonts w:ascii="Arial" w:cs="Arial" w:eastAsia="Arial" w:hAnsi="Arial"/>
          <w:sz w:val="19"/>
          <w:szCs w:val="19"/>
          <w:b w:val="1"/>
          <w:bCs w:val="1"/>
          <w:color w:val="auto"/>
        </w:rPr>
        <w:t xml:space="preserve"> </w:t>
      </w:r>
      <w:r>
        <w:rPr>
          <w:rFonts w:ascii="Arial" w:cs="Arial" w:eastAsia="Arial" w:hAnsi="Arial"/>
          <w:sz w:val="19"/>
          <w:szCs w:val="19"/>
          <w:color w:val="auto"/>
        </w:rPr>
        <w:t>Units delivered to Participant in which there is set forth the basic terms of the restricted stock units subject to this Agreement, including (without limitation) the applicable vesting schedule for those units.</w:t>
      </w:r>
    </w:p>
    <w:p>
      <w:pPr>
        <w:spacing w:after="0" w:line="123" w:lineRule="exact"/>
        <w:rPr>
          <w:rFonts w:ascii="Arial" w:cs="Arial" w:eastAsia="Arial" w:hAnsi="Arial"/>
          <w:sz w:val="19"/>
          <w:szCs w:val="19"/>
          <w:color w:val="auto"/>
        </w:rPr>
      </w:pPr>
    </w:p>
    <w:p>
      <w:pPr>
        <w:jc w:val="both"/>
        <w:ind w:left="-20" w:firstLine="1299"/>
        <w:spacing w:after="0" w:line="275" w:lineRule="auto"/>
        <w:tabs>
          <w:tab w:leader="none" w:pos="1854" w:val="left"/>
        </w:tabs>
        <w:numPr>
          <w:ilvl w:val="0"/>
          <w:numId w:val="246"/>
        </w:numPr>
        <w:rPr>
          <w:rFonts w:ascii="Arial" w:cs="Arial" w:eastAsia="Arial" w:hAnsi="Arial"/>
          <w:sz w:val="19"/>
          <w:szCs w:val="19"/>
          <w:color w:val="auto"/>
        </w:rPr>
      </w:pPr>
      <w:r>
        <w:rPr>
          <w:rFonts w:ascii="Arial" w:cs="Arial" w:eastAsia="Arial" w:hAnsi="Arial"/>
          <w:sz w:val="19"/>
          <w:szCs w:val="19"/>
          <w:b w:val="1"/>
          <w:bCs w:val="1"/>
          <w:u w:val="single" w:color="auto"/>
          <w:color w:val="auto"/>
        </w:rPr>
        <w:t>Cause</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 document;</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that in the event Participant is, at the time the Corporation (or any Parent or Subsidiary) purports to terminate Participant’s Employee status for Cause, a party to a Change in Control Benefits Agreement applicable to the Award, the term </w:t>
      </w:r>
      <w:r>
        <w:rPr>
          <w:rFonts w:ascii="Arial" w:cs="Arial" w:eastAsia="Arial" w:hAnsi="Arial"/>
          <w:sz w:val="19"/>
          <w:szCs w:val="19"/>
          <w:b w:val="1"/>
          <w:bCs w:val="1"/>
          <w:color w:val="auto"/>
        </w:rPr>
        <w:t>Cause</w:t>
      </w:r>
      <w:r>
        <w:rPr>
          <w:rFonts w:ascii="Arial" w:cs="Arial" w:eastAsia="Arial" w:hAnsi="Arial"/>
          <w:sz w:val="19"/>
          <w:szCs w:val="19"/>
          <w:color w:val="auto"/>
        </w:rPr>
        <w:t xml:space="preserve"> shall have the meaning ascribed to that term in such Change in Control Benefits Agreement. The foregoing definition shall not in any way preclude or restrict the right of the Corporation (or any Parent or Subsidiary) to discharge or dismiss Participant or any other person in the Service of the Corporation (or any Parent or Subsidiary) for any other acts or omissions, but such other acts or omissions shall not be deemed, for purposes of the Plan and this Agreement, to constitute grounds for termination for Cause.</w:t>
      </w:r>
    </w:p>
    <w:p>
      <w:pPr>
        <w:spacing w:after="0" w:line="150" w:lineRule="exact"/>
        <w:rPr>
          <w:rFonts w:ascii="Arial" w:cs="Arial" w:eastAsia="Arial" w:hAnsi="Arial"/>
          <w:sz w:val="19"/>
          <w:szCs w:val="19"/>
          <w:color w:val="auto"/>
        </w:rPr>
      </w:pPr>
    </w:p>
    <w:p>
      <w:pPr>
        <w:jc w:val="both"/>
        <w:ind w:left="-20" w:firstLine="1299"/>
        <w:spacing w:after="0" w:line="239" w:lineRule="auto"/>
        <w:tabs>
          <w:tab w:leader="none" w:pos="1757" w:val="left"/>
        </w:tabs>
        <w:numPr>
          <w:ilvl w:val="0"/>
          <w:numId w:val="246"/>
        </w:numPr>
        <w:rPr>
          <w:rFonts w:ascii="Arial" w:cs="Arial" w:eastAsia="Arial" w:hAnsi="Arial"/>
          <w:sz w:val="22"/>
          <w:szCs w:val="22"/>
          <w:color w:val="auto"/>
        </w:rPr>
      </w:pPr>
      <w:r>
        <w:rPr>
          <w:rFonts w:ascii="Arial" w:cs="Arial" w:eastAsia="Arial" w:hAnsi="Arial"/>
          <w:sz w:val="22"/>
          <w:szCs w:val="22"/>
          <w:b w:val="1"/>
          <w:bCs w:val="1"/>
          <w:u w:val="single" w:color="auto"/>
          <w:color w:val="auto"/>
        </w:rPr>
        <w:t>Change in Control</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meaning set forth in the Plan;</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provided, however</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that in the event Participant is a party to a Change in Control Benefits Agreement applicable to the Award, the term Change in Control shall have the meaning ascribed to that term in such Change in Control Benefits Agreement.</w:t>
      </w:r>
    </w:p>
    <w:p>
      <w:pPr>
        <w:spacing w:after="0" w:line="180" w:lineRule="exact"/>
        <w:rPr>
          <w:rFonts w:ascii="Arial" w:cs="Arial" w:eastAsia="Arial" w:hAnsi="Arial"/>
          <w:sz w:val="22"/>
          <w:szCs w:val="22"/>
          <w:color w:val="auto"/>
        </w:rPr>
      </w:pPr>
    </w:p>
    <w:p>
      <w:pPr>
        <w:jc w:val="both"/>
        <w:ind w:left="-20" w:firstLine="1299"/>
        <w:spacing w:after="0" w:line="249" w:lineRule="auto"/>
        <w:tabs>
          <w:tab w:leader="none" w:pos="2040" w:val="left"/>
        </w:tabs>
        <w:numPr>
          <w:ilvl w:val="0"/>
          <w:numId w:val="246"/>
        </w:numPr>
        <w:rPr>
          <w:rFonts w:ascii="Arial" w:cs="Arial" w:eastAsia="Arial" w:hAnsi="Arial"/>
          <w:sz w:val="21"/>
          <w:szCs w:val="21"/>
          <w:color w:val="auto"/>
        </w:rPr>
      </w:pPr>
      <w:r>
        <w:rPr>
          <w:rFonts w:ascii="Arial" w:cs="Arial" w:eastAsia="Arial" w:hAnsi="Arial"/>
          <w:sz w:val="21"/>
          <w:szCs w:val="21"/>
          <w:b w:val="1"/>
          <w:bCs w:val="1"/>
          <w:u w:val="single" w:color="auto"/>
          <w:color w:val="auto"/>
        </w:rPr>
        <w:t>Change in Control Benefits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any separate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Participant and the Corporation which provides Participant with special vesting acceleration and/or other special benefits with respect to one or more awards of restricted stock units made to Participant for shares of Common Stock, including (to the extent applicable) the restricted stock units evidenced by this Agreement, in the event of a change in control or ownership of the Corporation (whether or not constituting a Change in Control hereunder).</w:t>
      </w:r>
    </w:p>
    <w:p>
      <w:pPr>
        <w:spacing w:after="0" w:line="171" w:lineRule="exact"/>
        <w:rPr>
          <w:rFonts w:ascii="Arial" w:cs="Arial" w:eastAsia="Arial" w:hAnsi="Arial"/>
          <w:sz w:val="21"/>
          <w:szCs w:val="21"/>
          <w:color w:val="auto"/>
        </w:rPr>
      </w:pPr>
    </w:p>
    <w:p>
      <w:pPr>
        <w:jc w:val="both"/>
        <w:ind w:left="-20" w:firstLine="1299"/>
        <w:spacing w:after="0" w:line="261" w:lineRule="auto"/>
        <w:tabs>
          <w:tab w:leader="none" w:pos="1838" w:val="left"/>
        </w:tabs>
        <w:numPr>
          <w:ilvl w:val="0"/>
          <w:numId w:val="246"/>
        </w:numPr>
        <w:rPr>
          <w:rFonts w:ascii="Arial" w:cs="Arial" w:eastAsia="Arial" w:hAnsi="Arial"/>
          <w:sz w:val="21"/>
          <w:szCs w:val="21"/>
          <w:color w:val="auto"/>
        </w:rPr>
      </w:pPr>
      <w:r>
        <w:rPr>
          <w:rFonts w:ascii="Arial" w:cs="Arial" w:eastAsia="Arial" w:hAnsi="Arial"/>
          <w:sz w:val="21"/>
          <w:szCs w:val="21"/>
          <w:b w:val="1"/>
          <w:bCs w:val="1"/>
          <w:u w:val="single" w:color="auto"/>
          <w:color w:val="auto"/>
        </w:rPr>
        <w:t>Early Retirement</w:t>
      </w:r>
      <w:r>
        <w:rPr>
          <w:rFonts w:ascii="Arial" w:cs="Arial" w:eastAsia="Arial" w:hAnsi="Arial"/>
          <w:sz w:val="21"/>
          <w:szCs w:val="21"/>
          <w:b w:val="1"/>
          <w:bCs w:val="1"/>
          <w:color w:val="auto"/>
        </w:rPr>
        <w:t xml:space="preserve"> </w:t>
      </w:r>
      <w:r>
        <w:rPr>
          <w:rFonts w:ascii="Arial" w:cs="Arial" w:eastAsia="Arial" w:hAnsi="Arial"/>
          <w:sz w:val="21"/>
          <w:szCs w:val="21"/>
          <w:color w:val="auto"/>
        </w:rPr>
        <w:t>shall mean Participant’s retirement from Service, with the prior</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of the Corporation (or the Parent or Subsidiary employing Participant), on or after the attainment of age fifty-five (55) and the completion of at least five (5) years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117475</wp:posOffset>
            </wp:positionV>
            <wp:extent cx="575437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2" w:right="1419" w:bottom="1440" w:gutter="0" w:footer="0" w:header="0"/>
        </w:sectPr>
      </w:pPr>
    </w:p>
    <w:bookmarkStart w:id="205" w:name="page206"/>
    <w:bookmarkEnd w:id="205"/>
    <w:p>
      <w:pPr>
        <w:jc w:val="both"/>
        <w:ind w:firstLine="1299"/>
        <w:spacing w:after="0" w:line="289" w:lineRule="auto"/>
        <w:tabs>
          <w:tab w:leader="none" w:pos="1747" w:val="left"/>
        </w:tabs>
        <w:numPr>
          <w:ilvl w:val="0"/>
          <w:numId w:val="247"/>
        </w:numPr>
        <w:rPr>
          <w:rFonts w:ascii="Arial" w:cs="Arial" w:eastAsia="Arial" w:hAnsi="Arial"/>
          <w:sz w:val="19"/>
          <w:szCs w:val="19"/>
          <w:color w:val="auto"/>
        </w:rPr>
      </w:pPr>
      <w:r>
        <w:rPr>
          <w:rFonts w:ascii="Arial" w:cs="Arial" w:eastAsia="Arial" w:hAnsi="Arial"/>
          <w:sz w:val="19"/>
          <w:szCs w:val="19"/>
          <w:b w:val="1"/>
          <w:bCs w:val="1"/>
          <w:u w:val="single" w:color="auto"/>
          <w:color w:val="auto"/>
        </w:rPr>
        <w:t>Good Reason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have the meaning set forth in the Plan;</w:t>
      </w:r>
      <w:r>
        <w:rPr>
          <w:rFonts w:ascii="Arial" w:cs="Arial" w:eastAsia="Arial" w:hAnsi="Arial"/>
          <w:sz w:val="19"/>
          <w:szCs w:val="19"/>
          <w:b w:val="1"/>
          <w:bCs w:val="1"/>
          <w:color w:val="auto"/>
        </w:rPr>
        <w:t xml:space="preserve"> </w:t>
      </w:r>
      <w:r>
        <w:rPr>
          <w:rFonts w:ascii="Arial" w:cs="Arial" w:eastAsia="Arial" w:hAnsi="Arial"/>
          <w:sz w:val="19"/>
          <w:szCs w:val="19"/>
          <w:b w:val="1"/>
          <w:bCs w:val="1"/>
          <w:i w:val="1"/>
          <w:iCs w:val="1"/>
          <w:color w:val="auto"/>
        </w:rPr>
        <w:t>provided however</w:t>
      </w:r>
      <w:r>
        <w:rPr>
          <w:rFonts w:ascii="Arial" w:cs="Arial" w:eastAsia="Arial" w:hAnsi="Arial"/>
          <w:sz w:val="19"/>
          <w:szCs w:val="19"/>
          <w:color w:val="auto"/>
        </w:rPr>
        <w: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event Participant is at the time of his or her cessation of Employee status a party to a Change in Control Benefits Agreement applicable to the Award evidenced by this Agreement, the term </w:t>
      </w:r>
      <w:r>
        <w:rPr>
          <w:rFonts w:ascii="Arial" w:cs="Arial" w:eastAsia="Arial" w:hAnsi="Arial"/>
          <w:sz w:val="19"/>
          <w:szCs w:val="19"/>
          <w:b w:val="1"/>
          <w:bCs w:val="1"/>
          <w:color w:val="auto"/>
        </w:rPr>
        <w:t>Good Reason</w:t>
      </w:r>
      <w:r>
        <w:rPr>
          <w:rFonts w:ascii="Arial" w:cs="Arial" w:eastAsia="Arial" w:hAnsi="Arial"/>
          <w:sz w:val="19"/>
          <w:szCs w:val="19"/>
          <w:color w:val="auto"/>
        </w:rPr>
        <w:t xml:space="preserve"> shall have the meaning ascribed to that term in such Change in Control Benefits Agreement.</w:t>
      </w:r>
    </w:p>
    <w:p>
      <w:pPr>
        <w:spacing w:after="0" w:line="136" w:lineRule="exact"/>
        <w:rPr>
          <w:rFonts w:ascii="Arial" w:cs="Arial" w:eastAsia="Arial" w:hAnsi="Arial"/>
          <w:sz w:val="19"/>
          <w:szCs w:val="19"/>
          <w:color w:val="auto"/>
        </w:rPr>
      </w:pPr>
    </w:p>
    <w:p>
      <w:pPr>
        <w:ind w:firstLine="1299"/>
        <w:spacing w:after="0" w:line="256" w:lineRule="auto"/>
        <w:tabs>
          <w:tab w:leader="none" w:pos="1853" w:val="left"/>
        </w:tabs>
        <w:numPr>
          <w:ilvl w:val="0"/>
          <w:numId w:val="247"/>
        </w:numPr>
        <w:rPr>
          <w:rFonts w:ascii="Arial" w:cs="Arial" w:eastAsia="Arial" w:hAnsi="Arial"/>
          <w:sz w:val="22"/>
          <w:szCs w:val="22"/>
          <w:color w:val="auto"/>
        </w:rPr>
      </w:pPr>
      <w:r>
        <w:rPr>
          <w:rFonts w:ascii="Arial" w:cs="Arial" w:eastAsia="Arial" w:hAnsi="Arial"/>
          <w:sz w:val="22"/>
          <w:szCs w:val="22"/>
          <w:b w:val="1"/>
          <w:bCs w:val="1"/>
          <w:u w:val="single" w:color="auto"/>
          <w:color w:val="auto"/>
        </w:rPr>
        <w:t>Normal Retirement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shall mean the cessation of Service by reason of</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at or after the attainment of age sixty-five (65).</w:t>
      </w:r>
    </w:p>
    <w:p>
      <w:pPr>
        <w:spacing w:after="0" w:line="162" w:lineRule="exact"/>
        <w:rPr>
          <w:rFonts w:ascii="Arial" w:cs="Arial" w:eastAsia="Arial" w:hAnsi="Arial"/>
          <w:sz w:val="22"/>
          <w:szCs w:val="22"/>
          <w:color w:val="auto"/>
        </w:rPr>
      </w:pPr>
    </w:p>
    <w:p>
      <w:pPr>
        <w:ind w:left="1920" w:hanging="621"/>
        <w:spacing w:after="0"/>
        <w:tabs>
          <w:tab w:leader="none" w:pos="1920" w:val="left"/>
        </w:tabs>
        <w:numPr>
          <w:ilvl w:val="0"/>
          <w:numId w:val="247"/>
        </w:numPr>
        <w:rPr>
          <w:rFonts w:ascii="Arial" w:cs="Arial" w:eastAsia="Arial" w:hAnsi="Arial"/>
          <w:sz w:val="19"/>
          <w:szCs w:val="19"/>
          <w:color w:val="auto"/>
        </w:rPr>
      </w:pPr>
      <w:r>
        <w:rPr>
          <w:rFonts w:ascii="Arial" w:cs="Arial" w:eastAsia="Arial" w:hAnsi="Arial"/>
          <w:sz w:val="19"/>
          <w:szCs w:val="19"/>
          <w:b w:val="1"/>
          <w:bCs w:val="1"/>
          <w:u w:val="single" w:color="auto"/>
          <w:color w:val="auto"/>
        </w:rPr>
        <w:t>Participant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person to whom the Award is made pursuant to the</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82" w:lineRule="exact"/>
        <w:rPr>
          <w:rFonts w:ascii="Arial" w:cs="Arial" w:eastAsia="Arial" w:hAnsi="Arial"/>
          <w:sz w:val="19"/>
          <w:szCs w:val="19"/>
          <w:color w:val="auto"/>
        </w:rPr>
      </w:pPr>
    </w:p>
    <w:p>
      <w:pPr>
        <w:ind w:left="1800" w:hanging="501"/>
        <w:spacing w:after="0"/>
        <w:tabs>
          <w:tab w:leader="none" w:pos="1800" w:val="left"/>
        </w:tabs>
        <w:numPr>
          <w:ilvl w:val="0"/>
          <w:numId w:val="247"/>
        </w:numPr>
        <w:rPr>
          <w:rFonts w:ascii="Arial" w:cs="Arial" w:eastAsia="Arial" w:hAnsi="Arial"/>
          <w:sz w:val="22"/>
          <w:szCs w:val="22"/>
          <w:color w:val="auto"/>
        </w:rPr>
      </w:pPr>
      <w:r>
        <w:rPr>
          <w:rFonts w:ascii="Arial" w:cs="Arial" w:eastAsia="Arial" w:hAnsi="Arial"/>
          <w:sz w:val="22"/>
          <w:szCs w:val="22"/>
          <w:b w:val="1"/>
          <w:bCs w:val="1"/>
          <w:u w:val="single" w:color="auto"/>
          <w:color w:val="auto"/>
        </w:rPr>
        <w:t>Plan</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the Corporation’s 2016 Incentive Compensation Plan.</w:t>
      </w:r>
    </w:p>
    <w:p>
      <w:pPr>
        <w:spacing w:after="0" w:line="206" w:lineRule="exact"/>
        <w:rPr>
          <w:rFonts w:ascii="Arial" w:cs="Arial" w:eastAsia="Arial" w:hAnsi="Arial"/>
          <w:sz w:val="22"/>
          <w:szCs w:val="22"/>
          <w:color w:val="auto"/>
        </w:rPr>
      </w:pPr>
    </w:p>
    <w:p>
      <w:pPr>
        <w:jc w:val="both"/>
        <w:ind w:firstLine="1299"/>
        <w:spacing w:after="0" w:line="280" w:lineRule="auto"/>
        <w:tabs>
          <w:tab w:leader="none" w:pos="2002" w:val="left"/>
        </w:tabs>
        <w:numPr>
          <w:ilvl w:val="0"/>
          <w:numId w:val="247"/>
        </w:numPr>
        <w:rPr>
          <w:rFonts w:ascii="Arial" w:cs="Arial" w:eastAsia="Arial" w:hAnsi="Arial"/>
          <w:sz w:val="19"/>
          <w:szCs w:val="19"/>
          <w:color w:val="auto"/>
        </w:rPr>
      </w:pPr>
      <w:r>
        <w:rPr>
          <w:rFonts w:ascii="Arial" w:cs="Arial" w:eastAsia="Arial" w:hAnsi="Arial"/>
          <w:sz w:val="19"/>
          <w:szCs w:val="19"/>
          <w:b w:val="1"/>
          <w:bCs w:val="1"/>
          <w:u w:val="single" w:color="auto"/>
          <w:color w:val="auto"/>
        </w:rPr>
        <w:t>Qualifying Change in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date on which there occurs a</w:t>
      </w:r>
      <w:r>
        <w:rPr>
          <w:rFonts w:ascii="Arial" w:cs="Arial" w:eastAsia="Arial" w:hAnsi="Arial"/>
          <w:sz w:val="19"/>
          <w:szCs w:val="19"/>
          <w:b w:val="1"/>
          <w:bCs w:val="1"/>
          <w:color w:val="auto"/>
        </w:rPr>
        <w:t xml:space="preserve"> </w:t>
      </w:r>
      <w:r>
        <w:rPr>
          <w:rFonts w:ascii="Arial" w:cs="Arial" w:eastAsia="Arial" w:hAnsi="Arial"/>
          <w:sz w:val="19"/>
          <w:szCs w:val="19"/>
          <w:color w:val="auto"/>
        </w:rPr>
        <w:t>Change in Control that also qualifies as: (i) a change in the ownership of the Corporation, as determined</w:t>
      </w:r>
    </w:p>
    <w:p>
      <w:pPr>
        <w:jc w:val="both"/>
        <w:spacing w:after="0" w:line="233" w:lineRule="auto"/>
        <w:rPr>
          <w:sz w:val="20"/>
          <w:szCs w:val="20"/>
          <w:color w:val="auto"/>
        </w:rPr>
      </w:pPr>
      <w:r>
        <w:rPr>
          <w:rFonts w:ascii="Arial" w:cs="Arial" w:eastAsia="Arial" w:hAnsi="Arial"/>
          <w:sz w:val="22"/>
          <w:szCs w:val="22"/>
          <w:color w:val="auto"/>
        </w:rPr>
        <w:t>in accordance with Section 1.409A-3(i)((5)(v) of the Treasury Regulations, (ii) a change in the effective control of the Corporation, as determined in accordance with Section 1.409A-3(i)((5)(vi) of the Treasury Regulations, or (iii) a change in the ownership of a substantial portion of the assets of the Corporation, as determined in accordance with Section 1.409A-3(i)((5)(vii) of the Treasury Regulations.</w:t>
      </w:r>
    </w:p>
    <w:p>
      <w:pPr>
        <w:spacing w:after="0" w:line="180" w:lineRule="exact"/>
        <w:rPr>
          <w:sz w:val="20"/>
          <w:szCs w:val="20"/>
          <w:color w:val="auto"/>
        </w:rPr>
      </w:pPr>
    </w:p>
    <w:p>
      <w:pPr>
        <w:jc w:val="both"/>
        <w:ind w:firstLine="1299"/>
        <w:spacing w:after="0" w:line="270" w:lineRule="auto"/>
        <w:tabs>
          <w:tab w:leader="none" w:pos="2047" w:val="left"/>
        </w:tabs>
        <w:numPr>
          <w:ilvl w:val="0"/>
          <w:numId w:val="248"/>
        </w:numPr>
        <w:rPr>
          <w:rFonts w:ascii="Arial" w:cs="Arial" w:eastAsia="Arial" w:hAnsi="Arial"/>
          <w:sz w:val="19"/>
          <w:szCs w:val="19"/>
          <w:color w:val="auto"/>
        </w:rPr>
      </w:pPr>
      <w:r>
        <w:rPr>
          <w:rFonts w:ascii="Arial" w:cs="Arial" w:eastAsia="Arial" w:hAnsi="Arial"/>
          <w:sz w:val="19"/>
          <w:szCs w:val="19"/>
          <w:b w:val="1"/>
          <w:bCs w:val="1"/>
          <w:u w:val="single" w:color="auto"/>
          <w:color w:val="auto"/>
        </w:rPr>
        <w:t>Separation from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shall mean the Participant’s cessation of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status by reason of his or her death, retirement or termination of employment. The Participant shall be deemed to have terminated employment for such purpose at such time as the level of his or her bona fide services to be performed as an Employee (or as a consultant or independent contractor) permanently decreases to a level that is less than fifty percent (50%) of the average level of services he or she rendered as an Employee during the immediately preceding thirty-six (36) months of employment (or such shorter period for which he or she may have rendered such services). Solely for purposes of determining when a Separation from Service occurs, Participant will be deemed to continue in “Employee” status for so long as he or she remains in the employ of one or more members of the Employer Group, subject to the control and direction of the employer entity as to both the work to be performed and the manner and method of performance. “Employer Group” means the Corporation and any Parent or Subsidiary and any other corporation or business controlled by, controlling or under common control with, the Corporation, as determined in accordance with Sections 414(b) and (c) of the Code and the Treasury Regulations thereunder, except that in applying Sections 1563(1), (2) and (3) of the Code for purposes of determining the controlled group of corporations under Section 414(b), the phrase “at least 50 percent” shall be used instead of “at least 80 percent” each place the latter phrase appears in such sections and in applying Section 1.414(c)-2 of the Treasury Regulations for purposes of determining trades or businesses that are under common control for purposes of Section 414(c), the phrase “at least 50 percent” shall be used instead of “at least 80 percent” each place the latter phrase appears in Section 1.4.14(c)-2 of the Treasury Regulations. Any such determination as to Separation from Service, however, shall be made in accordance with the applicable standards of the Treasury Regulations issued under Section 409A of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206" w:name="page207"/>
    <w:bookmarkEnd w:id="206"/>
    <w:p>
      <w:pPr>
        <w:jc w:val="both"/>
        <w:ind w:firstLine="1299"/>
        <w:spacing w:after="0" w:line="239" w:lineRule="auto"/>
        <w:tabs>
          <w:tab w:leader="none" w:pos="1925" w:val="left"/>
        </w:tabs>
        <w:numPr>
          <w:ilvl w:val="0"/>
          <w:numId w:val="249"/>
        </w:numPr>
        <w:rPr>
          <w:rFonts w:ascii="Arial" w:cs="Arial" w:eastAsia="Arial" w:hAnsi="Arial"/>
          <w:sz w:val="22"/>
          <w:szCs w:val="22"/>
          <w:color w:val="auto"/>
        </w:rPr>
      </w:pPr>
      <w:r>
        <w:rPr>
          <w:rFonts w:ascii="Arial" w:cs="Arial" w:eastAsia="Arial" w:hAnsi="Arial"/>
          <w:sz w:val="22"/>
          <w:szCs w:val="22"/>
          <w:b w:val="1"/>
          <w:bCs w:val="1"/>
          <w:u w:val="single" w:color="auto"/>
          <w:color w:val="auto"/>
        </w:rPr>
        <w:t>Service</w:t>
      </w:r>
      <w:r>
        <w:rPr>
          <w:rFonts w:ascii="Arial" w:cs="Arial" w:eastAsia="Arial" w:hAnsi="Arial"/>
          <w:sz w:val="22"/>
          <w:szCs w:val="22"/>
          <w:b w:val="1"/>
          <w:bCs w:val="1"/>
          <w:color w:val="auto"/>
        </w:rPr>
        <w:t xml:space="preserve"> </w:t>
      </w:r>
      <w:r>
        <w:rPr>
          <w:rFonts w:ascii="Arial" w:cs="Arial" w:eastAsia="Arial" w:hAnsi="Arial"/>
          <w:sz w:val="22"/>
          <w:szCs w:val="22"/>
          <w:color w:val="auto"/>
        </w:rPr>
        <w:t>shall mean Participant’s performance of services for the Corporation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any Parent or Subsidiary) in the capacity of an Employee, a non-employee member of the board of directors or a consultant or independent advisor. In addition, the following provisions shall govern the determination of Participant’s period of Service:</w:t>
      </w:r>
    </w:p>
    <w:p>
      <w:pPr>
        <w:spacing w:after="0" w:line="187" w:lineRule="exact"/>
        <w:rPr>
          <w:rFonts w:ascii="Arial" w:cs="Arial" w:eastAsia="Arial" w:hAnsi="Arial"/>
          <w:sz w:val="22"/>
          <w:szCs w:val="22"/>
          <w:color w:val="auto"/>
        </w:rPr>
      </w:pPr>
    </w:p>
    <w:p>
      <w:pPr>
        <w:jc w:val="both"/>
        <w:ind w:left="660" w:firstLine="1158"/>
        <w:spacing w:after="0" w:line="238" w:lineRule="auto"/>
        <w:tabs>
          <w:tab w:leader="none" w:pos="2413" w:val="left"/>
        </w:tabs>
        <w:numPr>
          <w:ilvl w:val="1"/>
          <w:numId w:val="249"/>
        </w:numPr>
        <w:rPr>
          <w:rFonts w:ascii="Arial" w:cs="Arial" w:eastAsia="Arial" w:hAnsi="Arial"/>
          <w:sz w:val="22"/>
          <w:szCs w:val="22"/>
          <w:color w:val="auto"/>
        </w:rPr>
      </w:pPr>
      <w:r>
        <w:rPr>
          <w:rFonts w:ascii="Arial" w:cs="Arial" w:eastAsia="Arial" w:hAnsi="Arial"/>
          <w:sz w:val="22"/>
          <w:szCs w:val="22"/>
          <w:color w:val="auto"/>
        </w:rPr>
        <w:t>Participant shall be deemed to continue in Service for so long as Participant performs services for the Corporation (or any Parent or Subsidiary) in the capacity of an Employee, a non-employee member of the board of directors or a consultant or independent advisor.</w:t>
      </w:r>
    </w:p>
    <w:p>
      <w:pPr>
        <w:spacing w:after="0" w:line="185" w:lineRule="exact"/>
        <w:rPr>
          <w:rFonts w:ascii="Arial" w:cs="Arial" w:eastAsia="Arial" w:hAnsi="Arial"/>
          <w:sz w:val="22"/>
          <w:szCs w:val="22"/>
          <w:color w:val="auto"/>
        </w:rPr>
      </w:pPr>
    </w:p>
    <w:p>
      <w:pPr>
        <w:jc w:val="both"/>
        <w:ind w:left="660" w:firstLine="1158"/>
        <w:spacing w:after="0" w:line="235" w:lineRule="auto"/>
        <w:tabs>
          <w:tab w:leader="none" w:pos="2771" w:val="left"/>
        </w:tabs>
        <w:numPr>
          <w:ilvl w:val="1"/>
          <w:numId w:val="249"/>
        </w:numPr>
        <w:rPr>
          <w:rFonts w:ascii="Arial" w:cs="Arial" w:eastAsia="Arial" w:hAnsi="Arial"/>
          <w:sz w:val="22"/>
          <w:szCs w:val="22"/>
          <w:color w:val="auto"/>
        </w:rPr>
      </w:pPr>
      <w:r>
        <w:rPr>
          <w:rFonts w:ascii="Arial" w:cs="Arial" w:eastAsia="Arial" w:hAnsi="Arial"/>
          <w:sz w:val="22"/>
          <w:szCs w:val="22"/>
          <w:color w:val="auto"/>
        </w:rPr>
        <w:t>Participant shall be deemed to cease Service immediately upon the occurrence of the either of the following events: (a) Participant no longer performs services in any of the foregoing capacities for the Corporation (or any Parent or Subsidiary) or (b) the entity for which Participant performs such services ceases to remain a Parent or Subsidiary of the Corporation, even though Participant may subsequently continue to perform services for that entity.</w:t>
      </w:r>
    </w:p>
    <w:p>
      <w:pPr>
        <w:spacing w:after="0" w:line="188" w:lineRule="exact"/>
        <w:rPr>
          <w:rFonts w:ascii="Arial" w:cs="Arial" w:eastAsia="Arial" w:hAnsi="Arial"/>
          <w:sz w:val="22"/>
          <w:szCs w:val="22"/>
          <w:color w:val="auto"/>
        </w:rPr>
      </w:pPr>
    </w:p>
    <w:p>
      <w:pPr>
        <w:jc w:val="both"/>
        <w:ind w:left="660" w:firstLine="1158"/>
        <w:spacing w:after="0" w:line="238" w:lineRule="auto"/>
        <w:tabs>
          <w:tab w:leader="none" w:pos="2545" w:val="left"/>
        </w:tabs>
        <w:numPr>
          <w:ilvl w:val="1"/>
          <w:numId w:val="249"/>
        </w:numPr>
        <w:rPr>
          <w:rFonts w:ascii="Arial" w:cs="Arial" w:eastAsia="Arial" w:hAnsi="Arial"/>
          <w:sz w:val="22"/>
          <w:szCs w:val="22"/>
          <w:color w:val="auto"/>
        </w:rPr>
      </w:pPr>
      <w:r>
        <w:rPr>
          <w:rFonts w:ascii="Arial" w:cs="Arial" w:eastAsia="Arial" w:hAnsi="Arial"/>
          <w:sz w:val="22"/>
          <w:szCs w:val="22"/>
          <w:color w:val="auto"/>
        </w:rPr>
        <w:t>Service as an Employee shall not be deemed to cease during a period of military leave, sick leave or other personal leave approved by the Plan Administrator (or any Parent or Subsidiary) employing Participant; provided, however, that the following special provisions shall be in effect for any such leave:</w:t>
      </w:r>
    </w:p>
    <w:p>
      <w:pPr>
        <w:spacing w:after="0" w:line="185" w:lineRule="exact"/>
        <w:rPr>
          <w:rFonts w:ascii="Arial" w:cs="Arial" w:eastAsia="Arial" w:hAnsi="Arial"/>
          <w:sz w:val="22"/>
          <w:szCs w:val="22"/>
          <w:color w:val="auto"/>
        </w:rPr>
      </w:pPr>
    </w:p>
    <w:p>
      <w:pPr>
        <w:jc w:val="both"/>
        <w:ind w:left="660" w:firstLine="1806"/>
        <w:spacing w:after="0" w:line="236" w:lineRule="auto"/>
        <w:tabs>
          <w:tab w:leader="none" w:pos="3001" w:val="left"/>
        </w:tabs>
        <w:numPr>
          <w:ilvl w:val="2"/>
          <w:numId w:val="249"/>
        </w:numPr>
        <w:rPr>
          <w:rFonts w:ascii="Arial" w:cs="Arial" w:eastAsia="Arial" w:hAnsi="Arial"/>
          <w:sz w:val="22"/>
          <w:szCs w:val="22"/>
          <w:color w:val="auto"/>
        </w:rPr>
      </w:pPr>
      <w:r>
        <w:rPr>
          <w:rFonts w:ascii="Arial" w:cs="Arial" w:eastAsia="Arial" w:hAnsi="Arial"/>
          <w:sz w:val="22"/>
          <w:szCs w:val="22"/>
          <w:color w:val="auto"/>
        </w:rPr>
        <w:t>Should the period of such leave (other than a disability leave) exceed six (6) months, then Participant shall be deemed to cease Service and to incur a Separation from Service upon the expiration of the initial six (6)-month period of that leave, unless Participant retains a right to re-employment under applicable law or by contract with the Corporation (or any Parent or Subsidiary).</w:t>
      </w:r>
    </w:p>
    <w:p>
      <w:pPr>
        <w:spacing w:after="0" w:line="187" w:lineRule="exact"/>
        <w:rPr>
          <w:rFonts w:ascii="Arial" w:cs="Arial" w:eastAsia="Arial" w:hAnsi="Arial"/>
          <w:sz w:val="22"/>
          <w:szCs w:val="22"/>
          <w:color w:val="auto"/>
        </w:rPr>
      </w:pPr>
    </w:p>
    <w:p>
      <w:pPr>
        <w:jc w:val="both"/>
        <w:ind w:left="660" w:firstLine="1806"/>
        <w:spacing w:after="0" w:line="274" w:lineRule="auto"/>
        <w:tabs>
          <w:tab w:leader="none" w:pos="3226" w:val="left"/>
        </w:tabs>
        <w:numPr>
          <w:ilvl w:val="2"/>
          <w:numId w:val="249"/>
        </w:numPr>
        <w:rPr>
          <w:rFonts w:ascii="Arial" w:cs="Arial" w:eastAsia="Arial" w:hAnsi="Arial"/>
          <w:sz w:val="19"/>
          <w:szCs w:val="19"/>
          <w:color w:val="auto"/>
        </w:rPr>
      </w:pPr>
      <w:r>
        <w:rPr>
          <w:rFonts w:ascii="Arial" w:cs="Arial" w:eastAsia="Arial" w:hAnsi="Arial"/>
          <w:sz w:val="19"/>
          <w:szCs w:val="19"/>
          <w:color w:val="auto"/>
        </w:rPr>
        <w:t>Should the period of a disability leave exceed twenty-nine (29) months, then Participant shall be deemed to cease Service and to incur a Separation from Service upon the expiration of the initial twenty-nine (29)-month period of that leave, unless Participant retains a right to re-employment under applicable law or by contract with the Corporation (or any Parent or Subsidiary). For such purpose, a disability leave shall be a leave of absence due to any medically determinable physical or mental impairment that can be expected to result in death or to last for a continuous period of not less than six (6) months and causes Participant to be unable to perform the duties of his or her position of employment with the Corporation (or any Parent or Subsidiary) or any substantially similar position of employment.</w:t>
      </w:r>
    </w:p>
    <w:p>
      <w:pPr>
        <w:spacing w:after="0" w:line="158" w:lineRule="exact"/>
        <w:rPr>
          <w:rFonts w:ascii="Arial" w:cs="Arial" w:eastAsia="Arial" w:hAnsi="Arial"/>
          <w:sz w:val="19"/>
          <w:szCs w:val="19"/>
          <w:color w:val="auto"/>
        </w:rPr>
      </w:pPr>
    </w:p>
    <w:p>
      <w:pPr>
        <w:jc w:val="both"/>
        <w:ind w:left="660" w:firstLine="1806"/>
        <w:spacing w:after="0" w:line="297" w:lineRule="auto"/>
        <w:tabs>
          <w:tab w:leader="none" w:pos="2959" w:val="left"/>
        </w:tabs>
        <w:numPr>
          <w:ilvl w:val="2"/>
          <w:numId w:val="249"/>
        </w:numPr>
        <w:rPr>
          <w:rFonts w:ascii="Arial" w:cs="Arial" w:eastAsia="Arial" w:hAnsi="Arial"/>
          <w:sz w:val="19"/>
          <w:szCs w:val="19"/>
          <w:color w:val="auto"/>
        </w:rPr>
      </w:pPr>
      <w:r>
        <w:rPr>
          <w:rFonts w:ascii="Arial" w:cs="Arial" w:eastAsia="Arial" w:hAnsi="Arial"/>
          <w:sz w:val="19"/>
          <w:szCs w:val="19"/>
          <w:color w:val="auto"/>
        </w:rPr>
        <w:t>Except to the extent otherwise required by law or expressly authorized by the Plan Administrator or by the Corporation’s written policy on leaves of absence no Service credit shall be given for vesting purposes for any period Participant is on a leave of absence.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207" w:name="page208"/>
    <w:bookmarkEnd w:id="207"/>
    <w:p>
      <w:pPr>
        <w:jc w:val="both"/>
        <w:ind w:left="640" w:firstLine="1158"/>
        <w:spacing w:after="0" w:line="298" w:lineRule="auto"/>
        <w:tabs>
          <w:tab w:leader="none" w:pos="2463" w:val="left"/>
        </w:tabs>
        <w:numPr>
          <w:ilvl w:val="0"/>
          <w:numId w:val="250"/>
        </w:numPr>
        <w:rPr>
          <w:rFonts w:ascii="Arial" w:cs="Arial" w:eastAsia="Arial" w:hAnsi="Arial"/>
          <w:sz w:val="19"/>
          <w:szCs w:val="19"/>
          <w:color w:val="auto"/>
        </w:rPr>
      </w:pPr>
      <w:r>
        <w:rPr>
          <w:rFonts w:ascii="Arial" w:cs="Arial" w:eastAsia="Arial" w:hAnsi="Arial"/>
          <w:sz w:val="19"/>
          <w:szCs w:val="19"/>
          <w:color w:val="auto"/>
        </w:rPr>
        <w:t>Notwithstanding anything to the contrary in the foregoing provisions of this Service definition, the Participant shall in all events be deemed to cease Service for all purposes of this Award immediately upon Participant’s incurrence of a Separation from Service.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76200</wp:posOffset>
            </wp:positionV>
            <wp:extent cx="575437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118" w:right="141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2600" w:type="dxa"/>
            <w:vAlign w:val="bottom"/>
            <w:gridSpan w:val="2"/>
          </w:tcPr>
          <w:p>
            <w:pPr>
              <w:ind w:left="1600"/>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60" w:type="dxa"/>
            <w:vAlign w:val="bottom"/>
          </w:tcPr>
          <w:p>
            <w:pPr>
              <w:jc w:val="center"/>
              <w:ind w:left="2490"/>
              <w:spacing w:after="0"/>
              <w:rPr>
                <w:sz w:val="20"/>
                <w:szCs w:val="20"/>
                <w:color w:val="auto"/>
              </w:rPr>
            </w:pPr>
            <w:r>
              <w:rPr>
                <w:rFonts w:ascii="Arial" w:cs="Arial" w:eastAsia="Arial" w:hAnsi="Arial"/>
                <w:sz w:val="18"/>
                <w:szCs w:val="18"/>
                <w:b w:val="1"/>
                <w:bCs w:val="1"/>
                <w:color w:val="auto"/>
                <w:w w:val="92"/>
              </w:rPr>
              <w:t>Matson, Inc.</w:t>
            </w: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6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Subsidiaries as of February 1, 2017</w:t>
            </w: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64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ABHI-Crockett, Inc.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Hawaii</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Aero Logistics,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Alaska Freight Express, LLC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HL Distribution Service,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Horizon Lines Alaska Terminals, LLC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Horizon Lines Alaska Vessels,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Horizon Lines Holding Corp.</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Horizon Lines Merchant Vessels,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Horizon Lines of Guam, LLC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Horizon Lines of Puerto Rico,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Horizon Lines Vessels, LLC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Horizon Lines,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Horizon Logistics, LLC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Horizon Services Group,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(Antigua) Limited</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Antigua and Barbuda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Alaska, Inc.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Cook Islands Limited</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Cook Islands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Logistics (India) Private Limited</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India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Logistics (Shanghai) Co., Ltd.</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Logistics Holding Company,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Logistics Limited</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Logistics Services,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Logistics Warehousing, Inc.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Logistics, Inc.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Navigation Company of Alaska Payroll Agent, LLC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Navigation Company of Alaska,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Navigation Company, Inc.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Navigation Vessels,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Shipping (Hong Kong) Limited</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Shipping (Shanghai) Co., Ltd.</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South Pacific Holdco Limited</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South Pacific Limited</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Matson Terminals, Inc.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Matson Ventures, Inc.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Hawaii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Midnight Sun Transportation Services, LLC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Alaska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Reef Nauru II Shipping Limited</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Antigua and Barbuda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Reef Nauru Limited</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Road Raiders Inland, Inc.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Road Raiders Logistics, Inc.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Road Raiders Technology, Inc.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Road Raiders Transportation, Inc.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Span Acquisition Company,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Span Intermediate LLC</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Pr>
          <w:p>
            <w:pPr>
              <w:spacing w:after="0" w:line="176" w:lineRule="exact"/>
              <w:rPr>
                <w:sz w:val="20"/>
                <w:szCs w:val="20"/>
                <w:color w:val="auto"/>
              </w:rPr>
            </w:pPr>
            <w:r>
              <w:rPr>
                <w:rFonts w:ascii="Arial" w:cs="Arial" w:eastAsia="Arial" w:hAnsi="Arial"/>
                <w:sz w:val="18"/>
                <w:szCs w:val="18"/>
                <w:color w:val="auto"/>
              </w:rPr>
              <w:t>Span-Alaska Transportation, LLC</w:t>
            </w:r>
          </w:p>
        </w:tc>
        <w:tc>
          <w:tcPr>
            <w:tcW w:w="2580" w:type="dxa"/>
            <w:vAlign w:val="bottom"/>
          </w:tcPr>
          <w:p>
            <w:pPr>
              <w:ind w:left="620"/>
              <w:spacing w:after="0" w:line="176" w:lineRule="exact"/>
              <w:rPr>
                <w:sz w:val="20"/>
                <w:szCs w:val="20"/>
                <w:color w:val="auto"/>
              </w:rPr>
            </w:pPr>
            <w:r>
              <w:rPr>
                <w:rFonts w:ascii="Arial" w:cs="Arial" w:eastAsia="Arial" w:hAnsi="Arial"/>
                <w:sz w:val="18"/>
                <w:szCs w:val="18"/>
                <w:color w:val="auto"/>
              </w:rPr>
              <w:t>Washington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Tranz Pacific Management Limited</w:t>
            </w:r>
          </w:p>
        </w:tc>
        <w:tc>
          <w:tcPr>
            <w:tcW w:w="2580" w:type="dxa"/>
            <w:vAlign w:val="bottom"/>
            <w:shd w:val="clear" w:color="auto" w:fill="CCEEFF"/>
          </w:tcPr>
          <w:p>
            <w:pPr>
              <w:ind w:left="620"/>
              <w:spacing w:after="0" w:line="176" w:lineRule="exact"/>
              <w:rPr>
                <w:sz w:val="20"/>
                <w:szCs w:val="20"/>
                <w:color w:val="auto"/>
              </w:rPr>
            </w:pPr>
            <w:r>
              <w:rPr>
                <w:rFonts w:ascii="Arial" w:cs="Arial" w:eastAsia="Arial" w:hAnsi="Arial"/>
                <w:sz w:val="18"/>
                <w:szCs w:val="18"/>
                <w:color w:val="auto"/>
              </w:rPr>
              <w:t>New Zealand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80"/>
        <w:spacing w:after="0" w:line="211" w:lineRule="auto"/>
        <w:rPr>
          <w:sz w:val="20"/>
          <w:szCs w:val="20"/>
          <w:color w:val="auto"/>
        </w:rPr>
      </w:pPr>
      <w:r>
        <w:rPr>
          <w:rFonts w:ascii="Arial" w:cs="Arial" w:eastAsia="Arial" w:hAnsi="Arial"/>
          <w:sz w:val="18"/>
          <w:szCs w:val="18"/>
          <w:color w:val="auto"/>
        </w:rPr>
        <w:t>We consent to the incorporation by reference in Registration Statements Nos. 333-212194, 333-184623, 333-121194, as amended by Post-Effective Amendment No.1 filed on April 26, 2007 and as further amended by Post-Effective Amendment No. 2 filed on June 7, 2012, 333-166539, as amended by Post-Effective Amendment No. 1 filed on June 7, 2012, 333-142384, as amended by Post-Effective Amendment No. 1 filed on June 7, 2012, and 333-69197, as amended by Post-Effective Amendment No. 1 filed on June 7, 2012 on Form S-8 of our report relating to the consolidated financial statements of Matson, Inc. and subsidiaries and the effectiveness of Matson, Inc. and subsidiaries’ internal control over financial reporting dated February 24, 2017, appearing in the Annual Report on Form 10-K of Matson, Inc. for the year ended December 31, 2016.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28816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Honolulu, Hawaii</w:t>
      </w:r>
    </w:p>
    <w:p>
      <w:pPr>
        <w:spacing w:after="0"/>
        <w:rPr>
          <w:sz w:val="20"/>
          <w:szCs w:val="20"/>
          <w:color w:val="auto"/>
        </w:rPr>
      </w:pPr>
      <w:r>
        <w:rPr>
          <w:rFonts w:ascii="Arial" w:cs="Arial" w:eastAsia="Arial" w:hAnsi="Arial"/>
          <w:sz w:val="18"/>
          <w:szCs w:val="18"/>
          <w:color w:val="auto"/>
        </w:rPr>
        <w:t>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Matthew J. Cox, certify that:</w:t>
      </w:r>
    </w:p>
    <w:p>
      <w:pPr>
        <w:spacing w:after="0" w:line="144" w:lineRule="exact"/>
        <w:rPr>
          <w:sz w:val="20"/>
          <w:szCs w:val="20"/>
          <w:color w:val="auto"/>
        </w:rPr>
      </w:pPr>
    </w:p>
    <w:p>
      <w:pPr>
        <w:ind w:left="640" w:hanging="637"/>
        <w:spacing w:after="0"/>
        <w:tabs>
          <w:tab w:leader="none" w:pos="6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63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63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20" w:firstLine="3"/>
        <w:spacing w:after="0" w:line="224" w:lineRule="auto"/>
        <w:tabs>
          <w:tab w:leader="none" w:pos="62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right="160" w:firstLine="651"/>
        <w:spacing w:after="0" w:line="219" w:lineRule="auto"/>
        <w:tabs>
          <w:tab w:leader="none" w:pos="116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173" w:val="left"/>
        </w:tabs>
        <w:numPr>
          <w:ilvl w:val="1"/>
          <w:numId w:val="2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right="80" w:firstLine="651"/>
        <w:spacing w:after="0" w:line="224" w:lineRule="auto"/>
        <w:tabs>
          <w:tab w:leader="none" w:pos="116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right="100" w:firstLine="651"/>
        <w:spacing w:after="0" w:line="259" w:lineRule="auto"/>
        <w:tabs>
          <w:tab w:leader="none" w:pos="1173" w:val="left"/>
        </w:tabs>
        <w:numPr>
          <w:ilvl w:val="1"/>
          <w:numId w:val="2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right="80" w:firstLine="3"/>
        <w:spacing w:after="0" w:line="224" w:lineRule="auto"/>
        <w:tabs>
          <w:tab w:leader="none" w:pos="62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right="200" w:firstLine="651"/>
        <w:spacing w:after="0" w:line="224" w:lineRule="auto"/>
        <w:tabs>
          <w:tab w:leader="none" w:pos="115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320" w:firstLine="651"/>
        <w:spacing w:after="0" w:line="235" w:lineRule="auto"/>
        <w:tabs>
          <w:tab w:leader="none" w:pos="1163"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-635</wp:posOffset>
            </wp:positionV>
            <wp:extent cx="268414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4840"/>
        <w:spacing w:after="0" w:line="203" w:lineRule="auto"/>
        <w:rPr>
          <w:sz w:val="20"/>
          <w:szCs w:val="20"/>
          <w:color w:val="auto"/>
        </w:rPr>
      </w:pPr>
      <w:r>
        <w:rPr>
          <w:rFonts w:ascii="Arial" w:cs="Arial" w:eastAsia="Arial" w:hAnsi="Arial"/>
          <w:sz w:val="18"/>
          <w:szCs w:val="18"/>
          <w:color w:val="auto"/>
        </w:rPr>
        <w:t>Matthew J. Cox, President and</w:t>
      </w:r>
    </w:p>
    <w:p>
      <w:pPr>
        <w:ind w:left="4840"/>
        <w:spacing w:after="0" w:line="204" w:lineRule="auto"/>
        <w:rPr>
          <w:sz w:val="20"/>
          <w:szCs w:val="20"/>
          <w:color w:val="auto"/>
        </w:rPr>
      </w:pPr>
      <w:r>
        <w:rPr>
          <w:rFonts w:ascii="Arial" w:cs="Arial" w:eastAsia="Arial" w:hAnsi="Arial"/>
          <w:sz w:val="18"/>
          <w:szCs w:val="18"/>
          <w:color w:val="auto"/>
        </w:rPr>
        <w:t>Chief Executive Officer</w:t>
      </w:r>
    </w:p>
    <w:p>
      <w:pPr>
        <w:spacing w:after="0"/>
        <w:rPr>
          <w:sz w:val="20"/>
          <w:szCs w:val="20"/>
          <w:color w:val="auto"/>
        </w:rPr>
      </w:pPr>
      <w:r>
        <w:rPr>
          <w:rFonts w:ascii="Arial" w:cs="Arial" w:eastAsia="Arial" w:hAnsi="Arial"/>
          <w:sz w:val="18"/>
          <w:szCs w:val="18"/>
          <w:color w:val="auto"/>
        </w:rPr>
        <w:t>Date: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Joel M. Wine, certify that:</w:t>
      </w:r>
    </w:p>
    <w:p>
      <w:pPr>
        <w:spacing w:after="0" w:line="144" w:lineRule="exact"/>
        <w:rPr>
          <w:sz w:val="20"/>
          <w:szCs w:val="20"/>
          <w:color w:val="auto"/>
        </w:rPr>
      </w:pPr>
    </w:p>
    <w:p>
      <w:pPr>
        <w:ind w:left="640" w:hanging="637"/>
        <w:spacing w:after="0"/>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Matson, Inc.;</w:t>
      </w:r>
    </w:p>
    <w:p>
      <w:pPr>
        <w:spacing w:after="0" w:line="144" w:lineRule="exact"/>
        <w:rPr>
          <w:rFonts w:ascii="Arial" w:cs="Arial" w:eastAsia="Arial" w:hAnsi="Arial"/>
          <w:sz w:val="18"/>
          <w:szCs w:val="18"/>
          <w:color w:val="auto"/>
        </w:rPr>
      </w:pPr>
    </w:p>
    <w:p>
      <w:pPr>
        <w:ind w:right="160" w:firstLine="3"/>
        <w:spacing w:after="0" w:line="224" w:lineRule="auto"/>
        <w:tabs>
          <w:tab w:leader="none" w:pos="63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right="60" w:firstLine="3"/>
        <w:spacing w:after="0" w:line="224" w:lineRule="auto"/>
        <w:tabs>
          <w:tab w:leader="none" w:pos="63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right="20" w:firstLine="3"/>
        <w:spacing w:after="0" w:line="224" w:lineRule="auto"/>
        <w:tabs>
          <w:tab w:leader="none" w:pos="62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right="160" w:firstLine="651"/>
        <w:spacing w:after="0" w:line="219" w:lineRule="auto"/>
        <w:tabs>
          <w:tab w:leader="none" w:pos="120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firstLine="651"/>
        <w:spacing w:after="0" w:line="259" w:lineRule="auto"/>
        <w:tabs>
          <w:tab w:leader="none" w:pos="1218" w:val="left"/>
        </w:tabs>
        <w:numPr>
          <w:ilvl w:val="1"/>
          <w:numId w:val="25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right="40" w:firstLine="651"/>
        <w:spacing w:after="0" w:line="224" w:lineRule="auto"/>
        <w:tabs>
          <w:tab w:leader="none" w:pos="120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jc w:val="both"/>
        <w:ind w:right="100" w:firstLine="651"/>
        <w:spacing w:after="0" w:line="259" w:lineRule="auto"/>
        <w:tabs>
          <w:tab w:leader="none" w:pos="1218" w:val="left"/>
        </w:tabs>
        <w:numPr>
          <w:ilvl w:val="1"/>
          <w:numId w:val="25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jc w:val="both"/>
        <w:ind w:right="80" w:firstLine="3"/>
        <w:spacing w:after="0" w:line="224" w:lineRule="auto"/>
        <w:tabs>
          <w:tab w:leader="none" w:pos="62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right="200" w:firstLine="651"/>
        <w:spacing w:after="0" w:line="224" w:lineRule="auto"/>
        <w:tabs>
          <w:tab w:leader="none" w:pos="119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right="260" w:firstLine="651"/>
        <w:spacing w:after="0" w:line="235" w:lineRule="auto"/>
        <w:tabs>
          <w:tab w:leader="none" w:pos="120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 /s/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wp:posOffset>
            </wp:positionV>
            <wp:extent cx="263271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4920"/>
        <w:spacing w:after="0" w:line="203" w:lineRule="auto"/>
        <w:rPr>
          <w:sz w:val="20"/>
          <w:szCs w:val="20"/>
          <w:color w:val="auto"/>
        </w:rPr>
      </w:pPr>
      <w:r>
        <w:rPr>
          <w:rFonts w:ascii="Arial" w:cs="Arial" w:eastAsia="Arial" w:hAnsi="Arial"/>
          <w:sz w:val="18"/>
          <w:szCs w:val="18"/>
          <w:color w:val="auto"/>
        </w:rPr>
        <w:t>Joel M. Wine, Senior Vice President</w:t>
      </w:r>
    </w:p>
    <w:p>
      <w:pPr>
        <w:ind w:left="4920"/>
        <w:spacing w:after="0" w:line="204" w:lineRule="auto"/>
        <w:rPr>
          <w:sz w:val="20"/>
          <w:szCs w:val="20"/>
          <w:color w:val="auto"/>
        </w:rPr>
      </w:pPr>
      <w:r>
        <w:rPr>
          <w:rFonts w:ascii="Arial" w:cs="Arial" w:eastAsia="Arial" w:hAnsi="Arial"/>
          <w:sz w:val="18"/>
          <w:szCs w:val="18"/>
          <w:color w:val="auto"/>
        </w:rPr>
        <w:t>and Chief Financial Officer</w:t>
      </w:r>
    </w:p>
    <w:p>
      <w:pPr>
        <w:spacing w:after="0"/>
        <w:rPr>
          <w:sz w:val="20"/>
          <w:szCs w:val="20"/>
          <w:color w:val="auto"/>
        </w:rPr>
      </w:pPr>
      <w:r>
        <w:rPr>
          <w:rFonts w:ascii="Arial" w:cs="Arial" w:eastAsia="Arial" w:hAnsi="Arial"/>
          <w:sz w:val="18"/>
          <w:szCs w:val="18"/>
          <w:color w:val="auto"/>
        </w:rPr>
        <w:t>Date: 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jc w:val="center"/>
        <w:spacing w:after="0" w:line="203" w:lineRule="auto"/>
        <w:rPr>
          <w:sz w:val="20"/>
          <w:szCs w:val="20"/>
          <w:color w:val="auto"/>
        </w:rPr>
      </w:pPr>
      <w:r>
        <w:rPr>
          <w:rFonts w:ascii="Arial" w:cs="Arial" w:eastAsia="Arial" w:hAnsi="Arial"/>
          <w:sz w:val="18"/>
          <w:szCs w:val="18"/>
          <w:b w:val="1"/>
          <w:bCs w:val="1"/>
          <w:color w:val="auto"/>
        </w:rPr>
        <w:t>Chief Financial Officer Pursuant to</w:t>
      </w:r>
    </w:p>
    <w:p>
      <w:pPr>
        <w:jc w:val="center"/>
        <w:spacing w:after="0" w:line="204" w:lineRule="auto"/>
        <w:rPr>
          <w:sz w:val="20"/>
          <w:szCs w:val="20"/>
          <w:color w:val="auto"/>
        </w:rPr>
      </w:pPr>
      <w:r>
        <w:rPr>
          <w:rFonts w:ascii="Arial" w:cs="Arial" w:eastAsia="Arial" w:hAnsi="Arial"/>
          <w:sz w:val="18"/>
          <w:szCs w:val="18"/>
          <w:b w:val="1"/>
          <w:bCs w:val="1"/>
          <w:color w:val="auto"/>
        </w:rPr>
        <w:t>18 U.S.C. Section 1350, 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In connection with the Annual Report of Matson, Inc. (the “Company”) on Form 10-K for the fiscal year ended December 31, 2016 as filed with the Securities and Exchange Commission on the date hereof (the “Report”), Matthew J. Cox, as President and Chief Executive Officer of the Company, and Joel M. Wine, as Senior Vice President and Chief Financial Officer of the Company, hereby certify, pursuant to 18 U.S.C. Section 1350, as adopted pursuant to Section 906 of the Sarbanes-Oxley Act of 2002, that to their knowledge:</w:t>
      </w:r>
    </w:p>
    <w:p>
      <w:pPr>
        <w:spacing w:after="0" w:line="122" w:lineRule="exact"/>
        <w:rPr>
          <w:sz w:val="20"/>
          <w:szCs w:val="20"/>
          <w:color w:val="auto"/>
        </w:rPr>
      </w:pPr>
    </w:p>
    <w:p>
      <w:pPr>
        <w:ind w:left="1320" w:hanging="669"/>
        <w:spacing w:after="0"/>
        <w:tabs>
          <w:tab w:leader="none" w:pos="132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w:t>
      </w:r>
    </w:p>
    <w:p>
      <w:pPr>
        <w:spacing w:after="0" w:line="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1934; and</w:t>
      </w:r>
    </w:p>
    <w:p>
      <w:pPr>
        <w:spacing w:after="0" w:line="128" w:lineRule="exact"/>
        <w:rPr>
          <w:rFonts w:ascii="Arial" w:cs="Arial" w:eastAsia="Arial" w:hAnsi="Arial"/>
          <w:sz w:val="16"/>
          <w:szCs w:val="16"/>
          <w:color w:val="auto"/>
        </w:rPr>
      </w:pPr>
    </w:p>
    <w:p>
      <w:pPr>
        <w:ind w:right="40" w:firstLine="651"/>
        <w:spacing w:after="0" w:line="235" w:lineRule="auto"/>
        <w:tabs>
          <w:tab w:leader="none" w:pos="130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Matthew J.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Matthew J. Cox</w:t>
      </w:r>
    </w:p>
    <w:p>
      <w:pPr>
        <w:spacing w:after="0" w:line="229" w:lineRule="auto"/>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24,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Joel M. 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28816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8"/>
          <w:szCs w:val="18"/>
          <w:color w:val="auto"/>
        </w:rPr>
        <w:t>Name: Joel M. Wine</w:t>
      </w:r>
    </w:p>
    <w:p>
      <w:pPr>
        <w:spacing w:after="0" w:line="229" w:lineRule="auto"/>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and Chief Financial Officer</w:t>
      </w: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24,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1."/>
      <w:numFmt w:val="upperLetter"/>
      <w:start w:val="1"/>
    </w:lvl>
  </w:abstractNum>
  <w:abstractNum w:abstractNumId="3">
    <w:nsid w:val="5D888A08"/>
    <w:multiLevelType w:val="hybridMultilevel"/>
    <w:lvl w:ilvl="0">
      <w:lvlJc w:val="left"/>
      <w:lvlText w:val="·"/>
      <w:numFmt w:val="bullet"/>
      <w:start w:val="1"/>
    </w:lvl>
  </w:abstractNum>
  <w:abstractNum w:abstractNumId="4">
    <w:nsid w:val="2A082C70"/>
    <w:multiLevelType w:val="hybridMultilevel"/>
    <w:lvl w:ilvl="0">
      <w:lvlJc w:val="left"/>
      <w:lvlText w:val="%1."/>
      <w:numFmt w:val="upperLetter"/>
      <w:start w:val="2"/>
    </w:lvl>
    <w:lvl w:ilvl="1">
      <w:lvlJc w:val="left"/>
      <w:lvlText w:val="(%2)"/>
      <w:numFmt w:val="decimal"/>
      <w:start w:val="1"/>
    </w:lvl>
  </w:abstractNum>
  <w:abstractNum w:abstractNumId="5">
    <w:nsid w:val="5EC6AFD4"/>
    <w:multiLevelType w:val="hybridMultilevel"/>
    <w:lvl w:ilvl="0">
      <w:lvlJc w:val="left"/>
      <w:lvlText w:val="(%1)"/>
      <w:numFmt w:val="decimal"/>
      <w:start w:val="1"/>
    </w:lvl>
  </w:abstractNum>
  <w:abstractNum w:abstractNumId="6">
    <w:nsid w:val="19E21BB2"/>
    <w:multiLevelType w:val="hybridMultilevel"/>
    <w:lvl w:ilvl="0">
      <w:lvlJc w:val="left"/>
      <w:lvlText w:val="·"/>
      <w:numFmt w:val="bullet"/>
      <w:start w:val="1"/>
    </w:lvl>
  </w:abstractNum>
  <w:abstractNum w:abstractNumId="7">
    <w:nsid w:val="75E0858A"/>
    <w:multiLevelType w:val="hybridMultilevel"/>
    <w:lvl w:ilvl="0">
      <w:lvlJc w:val="left"/>
      <w:lvlText w:val="·"/>
      <w:numFmt w:val="bullet"/>
      <w:start w:val="1"/>
    </w:lvl>
  </w:abstractNum>
  <w:abstractNum w:abstractNumId="8">
    <w:nsid w:val="57A61A29"/>
    <w:multiLevelType w:val="hybridMultilevel"/>
    <w:lvl w:ilvl="0">
      <w:lvlJc w:val="left"/>
      <w:lvlText w:val="(%1)"/>
      <w:numFmt w:val="decimal"/>
      <w:start w:val="1"/>
    </w:lvl>
  </w:abstractNum>
  <w:abstractNum w:abstractNumId="9">
    <w:nsid w:val="5399C654"/>
    <w:multiLevelType w:val="hybridMultilevel"/>
    <w:lvl w:ilvl="0">
      <w:lvlJc w:val="left"/>
      <w:lvlText w:val="(%1)"/>
      <w:numFmt w:val="decimal"/>
      <w:start w:val="1"/>
    </w:lvl>
  </w:abstractNum>
  <w:abstractNum w:abstractNumId="10">
    <w:nsid w:val="20EE1348"/>
    <w:multiLevelType w:val="hybridMultilevel"/>
    <w:lvl w:ilvl="0">
      <w:lvlJc w:val="left"/>
      <w:lvlText w:val="%1."/>
      <w:numFmt w:val="upperLetter"/>
      <w:start w:val="3"/>
    </w:lvl>
  </w:abstractNum>
  <w:abstractNum w:abstractNumId="11">
    <w:nsid w:val="4427069A"/>
    <w:multiLevelType w:val="hybridMultilevel"/>
    <w:lvl w:ilvl="0">
      <w:lvlJc w:val="left"/>
      <w:lvlText w:val="%1."/>
      <w:numFmt w:val="upperLetter"/>
      <w:start w:val="4"/>
    </w:lvl>
  </w:abstractNum>
  <w:abstractNum w:abstractNumId="12">
    <w:nsid w:val="B37E80A"/>
    <w:multiLevelType w:val="hybridMultilevel"/>
    <w:lvl w:ilvl="0">
      <w:lvlJc w:val="left"/>
      <w:lvlText w:val="·"/>
      <w:numFmt w:val="bullet"/>
      <w:start w:val="1"/>
    </w:lvl>
  </w:abstractNum>
  <w:abstractNum w:abstractNumId="13">
    <w:nsid w:val="2157F6BC"/>
    <w:multiLevelType w:val="hybridMultilevel"/>
    <w:lvl w:ilvl="0">
      <w:lvlJc w:val="left"/>
      <w:lvlText w:val="·"/>
      <w:numFmt w:val="bullet"/>
      <w:start w:val="1"/>
    </w:lvl>
  </w:abstractNum>
  <w:abstractNum w:abstractNumId="14">
    <w:nsid w:val="704E1DD5"/>
    <w:multiLevelType w:val="hybridMultilevel"/>
    <w:lvl w:ilvl="0">
      <w:lvlJc w:val="left"/>
      <w:lvlText w:val="*"/>
      <w:numFmt w:val="bullet"/>
      <w:start w:val="1"/>
    </w:lvl>
  </w:abstractNum>
  <w:abstractNum w:abstractNumId="15">
    <w:nsid w:val="57D2F10E"/>
    <w:multiLevelType w:val="hybridMultilevel"/>
    <w:lvl w:ilvl="0">
      <w:lvlJc w:val="left"/>
      <w:lvlText w:val="(%1)"/>
      <w:numFmt w:val="decimal"/>
      <w:start w:val="1"/>
    </w:lvl>
  </w:abstractNum>
  <w:abstractNum w:abstractNumId="16">
    <w:nsid w:val="BFFAE18"/>
    <w:multiLevelType w:val="hybridMultilevel"/>
    <w:lvl w:ilvl="0">
      <w:lvlJc w:val="left"/>
      <w:lvlText w:val="(%1)"/>
      <w:numFmt w:val="decimal"/>
      <w:start w:val="1"/>
    </w:lvl>
  </w:abstractNum>
  <w:abstractNum w:abstractNumId="17">
    <w:nsid w:val="E3E47A8"/>
    <w:multiLevelType w:val="hybridMultilevel"/>
    <w:lvl w:ilvl="0">
      <w:lvlJc w:val="left"/>
      <w:lvlText w:val="·"/>
      <w:numFmt w:val="bullet"/>
      <w:start w:val="1"/>
    </w:lvl>
  </w:abstractNum>
  <w:abstractNum w:abstractNumId="18">
    <w:nsid w:val="2E48F044"/>
    <w:multiLevelType w:val="hybridMultilevel"/>
    <w:lvl w:ilvl="0">
      <w:lvlJc w:val="left"/>
      <w:lvlText w:val="(%1)"/>
      <w:numFmt w:val="decimal"/>
      <w:start w:val="1"/>
    </w:lvl>
  </w:abstractNum>
  <w:abstractNum w:abstractNumId="19">
    <w:nsid w:val="49D0FEAC"/>
    <w:multiLevelType w:val="hybridMultilevel"/>
    <w:lvl w:ilvl="0">
      <w:lvlJc w:val="left"/>
      <w:lvlText w:val="(%1)"/>
      <w:numFmt w:val="decimal"/>
      <w:start w:val="1"/>
    </w:lvl>
  </w:abstractNum>
  <w:abstractNum w:abstractNumId="20">
    <w:nsid w:val="4BEE5A5B"/>
    <w:multiLevelType w:val="hybridMultilevel"/>
    <w:lvl w:ilvl="0">
      <w:lvlJc w:val="left"/>
      <w:lvlText w:val="(%1)"/>
      <w:numFmt w:val="decimal"/>
      <w:start w:val="1"/>
    </w:lvl>
  </w:abstractNum>
  <w:abstractNum w:abstractNumId="21">
    <w:nsid w:val="5551B9F3"/>
    <w:multiLevelType w:val="hybridMultilevel"/>
    <w:lvl w:ilvl="0">
      <w:lvlJc w:val="left"/>
      <w:lvlText w:val="(%1)"/>
      <w:numFmt w:val="decimal"/>
      <w:start w:val="1"/>
    </w:lvl>
  </w:abstractNum>
  <w:abstractNum w:abstractNumId="22">
    <w:nsid w:val="24F6AB8E"/>
    <w:multiLevelType w:val="hybridMultilevel"/>
    <w:lvl w:ilvl="0">
      <w:lvlJc w:val="left"/>
      <w:lvlText w:val="(%1)"/>
      <w:numFmt w:val="decimal"/>
      <w:start w:val="2"/>
    </w:lvl>
  </w:abstractNum>
  <w:abstractNum w:abstractNumId="23">
    <w:nsid w:val="634C574C"/>
    <w:multiLevelType w:val="hybridMultilevel"/>
    <w:lvl w:ilvl="0">
      <w:lvlJc w:val="left"/>
      <w:lvlText w:val="(%1)"/>
      <w:numFmt w:val="decimal"/>
      <w:start w:val="3"/>
    </w:lvl>
  </w:abstractNum>
  <w:abstractNum w:abstractNumId="24">
    <w:nsid w:val="24E99DD7"/>
    <w:multiLevelType w:val="hybridMultilevel"/>
    <w:lvl w:ilvl="0">
      <w:lvlJc w:val="left"/>
      <w:lvlText w:val="(%1)"/>
      <w:numFmt w:val="decimal"/>
      <w:start w:val="1"/>
    </w:lvl>
    <w:lvl w:ilvl="1">
      <w:lvlJc w:val="left"/>
      <w:lvlText w:val="(%2)"/>
      <w:numFmt w:val="lowerRoman"/>
      <w:start w:val="2"/>
    </w:lvl>
  </w:abstractNum>
  <w:abstractNum w:abstractNumId="25">
    <w:nsid w:val="2A31B62D"/>
    <w:multiLevelType w:val="hybridMultilevel"/>
    <w:lvl w:ilvl="0">
      <w:lvlJc w:val="left"/>
      <w:lvlText w:val="(%1)"/>
      <w:numFmt w:val="decimal"/>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emdash "/>
      <w:numFmt w:val="bullet"/>
      <w:start w:val="1"/>
    </w:lvl>
  </w:abstractNum>
  <w:abstractNum w:abstractNumId="28">
    <w:nsid w:val="754342"/>
    <w:multiLevelType w:val="hybridMultilevel"/>
    <w:lvl w:ilvl="0">
      <w:lvlJc w:val="left"/>
      <w:lvlText w:val="%1."/>
      <w:numFmt w:val="decimal"/>
      <w:start w:val="1"/>
    </w:lvl>
  </w:abstractNum>
  <w:abstractNum w:abstractNumId="29">
    <w:nsid w:val="69E7F3E5"/>
    <w:multiLevelType w:val="hybridMultilevel"/>
    <w:lvl w:ilvl="0">
      <w:lvlJc w:val="left"/>
      <w:lvlText w:val="%1."/>
      <w:numFmt w:val="decimal"/>
      <w:start w:val="2"/>
    </w:lvl>
  </w:abstractNum>
  <w:abstractNum w:abstractNumId="30">
    <w:nsid w:val="2A6DE806"/>
    <w:multiLevelType w:val="hybridMultilevel"/>
    <w:lvl w:ilvl="0">
      <w:lvlJc w:val="left"/>
      <w:lvlText w:val="(%1)"/>
      <w:numFmt w:val="decimal"/>
      <w:start w:val="1"/>
    </w:lvl>
  </w:abstractNum>
  <w:abstractNum w:abstractNumId="31">
    <w:nsid w:val="1816F8C4"/>
    <w:multiLevelType w:val="hybridMultilevel"/>
    <w:lvl w:ilvl="0">
      <w:lvlJc w:val="left"/>
      <w:lvlText w:val="%1."/>
      <w:numFmt w:val="decimal"/>
      <w:start w:val="3"/>
    </w:lvl>
  </w:abstractNum>
  <w:abstractNum w:abstractNumId="32">
    <w:nsid w:val="37DF2233"/>
    <w:multiLevelType w:val="hybridMultilevel"/>
    <w:lvl w:ilvl="0">
      <w:lvlJc w:val="left"/>
      <w:lvlText w:val="%1."/>
      <w:numFmt w:val="decimal"/>
      <w:start w:val="4"/>
    </w:lvl>
  </w:abstractNum>
  <w:abstractNum w:abstractNumId="33">
    <w:nsid w:val="7AB49DAF"/>
    <w:multiLevelType w:val="hybridMultilevel"/>
    <w:lvl w:ilvl="0">
      <w:lvlJc w:val="left"/>
      <w:lvlText w:val="(%1)"/>
      <w:numFmt w:val="decimal"/>
      <w:start w:val="1"/>
    </w:lvl>
  </w:abstractNum>
  <w:abstractNum w:abstractNumId="34">
    <w:nsid w:val="759F82CD"/>
    <w:multiLevelType w:val="hybridMultilevel"/>
    <w:lvl w:ilvl="0">
      <w:lvlJc w:val="left"/>
      <w:lvlText w:val="%1."/>
      <w:numFmt w:val="decimal"/>
      <w:start w:val="5"/>
    </w:lvl>
  </w:abstractNum>
  <w:abstractNum w:abstractNumId="35">
    <w:nsid w:val="61E74EA3"/>
    <w:multiLevelType w:val="hybridMultilevel"/>
    <w:lvl w:ilvl="0">
      <w:lvlJc w:val="left"/>
      <w:lvlText w:val="%1."/>
      <w:numFmt w:val="decimal"/>
      <w:start w:val="7"/>
    </w:lvl>
  </w:abstractNum>
  <w:abstractNum w:abstractNumId="36">
    <w:nsid w:val="597B4D84"/>
    <w:multiLevelType w:val="hybridMultilevel"/>
    <w:lvl w:ilvl="0">
      <w:lvlJc w:val="left"/>
      <w:lvlText w:val="§"/>
      <w:numFmt w:val="bullet"/>
      <w:start w:val="1"/>
    </w:lvl>
  </w:abstractNum>
  <w:abstractNum w:abstractNumId="37">
    <w:nsid w:val="F819E7F"/>
    <w:multiLevelType w:val="hybridMultilevel"/>
    <w:lvl w:ilvl="0">
      <w:lvlJc w:val="left"/>
      <w:lvlText w:val="§"/>
      <w:numFmt w:val="bullet"/>
      <w:start w:val="1"/>
    </w:lvl>
  </w:abstractNum>
  <w:abstractNum w:abstractNumId="38">
    <w:nsid w:val="57C7D42D"/>
    <w:multiLevelType w:val="hybridMultilevel"/>
    <w:lvl w:ilvl="0">
      <w:lvlJc w:val="left"/>
      <w:lvlText w:val="%1."/>
      <w:numFmt w:val="decimal"/>
      <w:start w:val="9"/>
    </w:lvl>
  </w:abstractNum>
  <w:abstractNum w:abstractNumId="39">
    <w:nsid w:val="312167AD"/>
    <w:multiLevelType w:val="hybridMultilevel"/>
    <w:lvl w:ilvl="0">
      <w:lvlJc w:val="left"/>
      <w:lvlText w:val="%1."/>
      <w:numFmt w:val="decimal"/>
      <w:start w:val="10"/>
    </w:lvl>
  </w:abstractNum>
  <w:abstractNum w:abstractNumId="40">
    <w:nsid w:val="631B64D4"/>
    <w:multiLevelType w:val="hybridMultilevel"/>
    <w:lvl w:ilvl="0">
      <w:lvlJc w:val="left"/>
      <w:lvlText w:val="%1."/>
      <w:numFmt w:val="decimal"/>
      <w:start w:val="11"/>
    </w:lvl>
  </w:abstractNum>
  <w:abstractNum w:abstractNumId="41">
    <w:nsid w:val="78B5E776"/>
    <w:multiLevelType w:val="hybridMultilevel"/>
    <w:lvl w:ilvl="0">
      <w:lvlJc w:val="left"/>
      <w:lvlText w:val="(%1)"/>
      <w:numFmt w:val="decimal"/>
      <w:start w:val="1"/>
    </w:lvl>
  </w:abstractNum>
  <w:abstractNum w:abstractNumId="42">
    <w:nsid w:val="75486E47"/>
    <w:multiLevelType w:val="hybridMultilevel"/>
    <w:lvl w:ilvl="0">
      <w:lvlJc w:val="left"/>
      <w:lvlText w:val="(%1)"/>
      <w:numFmt w:val="decimal"/>
      <w:start w:val="1"/>
    </w:lvl>
  </w:abstractNum>
  <w:abstractNum w:abstractNumId="43">
    <w:nsid w:val="6E534CDE"/>
    <w:multiLevelType w:val="hybridMultilevel"/>
    <w:lvl w:ilvl="0">
      <w:lvlJc w:val="left"/>
      <w:lvlText w:val="(%1)"/>
      <w:numFmt w:val="decimal"/>
      <w:start w:val="1"/>
    </w:lvl>
  </w:abstractNum>
  <w:abstractNum w:abstractNumId="44">
    <w:nsid w:val="1A0DDE32"/>
    <w:multiLevelType w:val="hybridMultilevel"/>
    <w:lvl w:ilvl="0">
      <w:lvlJc w:val="left"/>
      <w:lvlText w:val="(%1)"/>
      <w:numFmt w:val="decimal"/>
      <w:start w:val="1"/>
    </w:lvl>
  </w:abstractNum>
  <w:abstractNum w:abstractNumId="45">
    <w:nsid w:val="65968C1C"/>
    <w:multiLevelType w:val="hybridMultilevel"/>
    <w:lvl w:ilvl="0">
      <w:lvlJc w:val="left"/>
      <w:lvlText w:val="%1."/>
      <w:numFmt w:val="decimal"/>
      <w:start w:val="12"/>
    </w:lvl>
  </w:abstractNum>
  <w:abstractNum w:abstractNumId="46">
    <w:nsid w:val="46263DEC"/>
    <w:multiLevelType w:val="hybridMultilevel"/>
    <w:lvl w:ilvl="0">
      <w:lvlJc w:val="left"/>
      <w:lvlText w:val="%1."/>
      <w:numFmt w:val="decimal"/>
      <w:start w:val="13"/>
    </w:lvl>
  </w:abstractNum>
  <w:abstractNum w:abstractNumId="47">
    <w:nsid w:val="260D8C4A"/>
    <w:multiLevelType w:val="hybridMultilevel"/>
    <w:lvl w:ilvl="0">
      <w:lvlJc w:val="left"/>
      <w:lvlText w:val="%1."/>
      <w:numFmt w:val="decimal"/>
      <w:start w:val="14"/>
    </w:lvl>
  </w:abstractNum>
  <w:abstractNum w:abstractNumId="48">
    <w:nsid w:val="73D4D3C4"/>
    <w:multiLevelType w:val="hybridMultilevel"/>
    <w:lvl w:ilvl="0">
      <w:lvlJc w:val="left"/>
      <w:lvlText w:val="(%1)"/>
      <w:numFmt w:val="decimal"/>
      <w:start w:val="1"/>
    </w:lvl>
  </w:abstractNum>
  <w:abstractNum w:abstractNumId="49">
    <w:nsid w:val="746F2E30"/>
    <w:multiLevelType w:val="hybridMultilevel"/>
    <w:lvl w:ilvl="0">
      <w:lvlJc w:val="left"/>
      <w:lvlText w:val="%1."/>
      <w:numFmt w:val="decimal"/>
      <w:start w:val="15"/>
    </w:lvl>
  </w:abstractNum>
  <w:abstractNum w:abstractNumId="50">
    <w:nsid w:val="6FDE8AF6"/>
    <w:multiLevelType w:val="hybridMultilevel"/>
    <w:lvl w:ilvl="0">
      <w:lvlJc w:val="left"/>
      <w:lvlText w:val="%1."/>
      <w:numFmt w:val="decimal"/>
      <w:start w:val="1"/>
    </w:lvl>
  </w:abstractNum>
  <w:abstractNum w:abstractNumId="51">
    <w:nsid w:val="3FC32E20"/>
    <w:multiLevelType w:val="hybridMultilevel"/>
    <w:lvl w:ilvl="0">
      <w:lvlJc w:val="left"/>
      <w:lvlText w:val="(%1)"/>
      <w:numFmt w:val="decimal"/>
      <w:start w:val="1"/>
    </w:lvl>
  </w:abstractNum>
  <w:abstractNum w:abstractNumId="52">
    <w:nsid w:val="49C0E823"/>
    <w:multiLevelType w:val="hybridMultilevel"/>
    <w:lvl w:ilvl="0">
      <w:lvlJc w:val="left"/>
      <w:lvlText w:val="(%1)"/>
      <w:numFmt w:val="decimal"/>
      <w:start w:val="1"/>
    </w:lvl>
  </w:abstractNum>
  <w:abstractNum w:abstractNumId="53">
    <w:nsid w:val="14D53685"/>
    <w:multiLevelType w:val="hybridMultilevel"/>
    <w:lvl w:ilvl="0">
      <w:lvlJc w:val="left"/>
      <w:lvlText w:val="%1."/>
      <w:numFmt w:val="decimal"/>
      <w:start w:val="16"/>
    </w:lvl>
  </w:abstractNum>
  <w:abstractNum w:abstractNumId="54">
    <w:nsid w:val="230F856C"/>
    <w:multiLevelType w:val="hybridMultilevel"/>
    <w:lvl w:ilvl="0">
      <w:lvlJc w:val="left"/>
      <w:lvlText w:val="(%1)"/>
      <w:numFmt w:val="decimal"/>
      <w:start w:val="1"/>
    </w:lvl>
  </w:abstractNum>
  <w:abstractNum w:abstractNumId="55">
    <w:nsid w:val="6EAA85FB"/>
    <w:multiLevelType w:val="hybridMultilevel"/>
    <w:lvl w:ilvl="0">
      <w:lvlJc w:val="left"/>
      <w:lvlText w:val="(%1)"/>
      <w:numFmt w:val="decimal"/>
      <w:start w:val="1"/>
    </w:lvl>
  </w:abstractNum>
  <w:abstractNum w:abstractNumId="56">
    <w:nsid w:val="3F06ECB2"/>
    <w:multiLevelType w:val="hybridMultilevel"/>
    <w:lvl w:ilvl="0">
      <w:lvlJc w:val="left"/>
      <w:lvlText w:val="%1."/>
      <w:numFmt w:val="upperLetter"/>
      <w:start w:val="1"/>
    </w:lvl>
  </w:abstractNum>
  <w:abstractNum w:abstractNumId="57">
    <w:nsid w:val="3B594807"/>
    <w:multiLevelType w:val="hybridMultilevel"/>
    <w:lvl w:ilvl="0">
      <w:lvlJc w:val="left"/>
      <w:lvlText w:val="%1."/>
      <w:numFmt w:val="upperLetter"/>
      <w:start w:val="2"/>
    </w:lvl>
  </w:abstractNum>
  <w:abstractNum w:abstractNumId="58">
    <w:nsid w:val="6CAA2304"/>
    <w:multiLevelType w:val="hybridMultilevel"/>
    <w:lvl w:ilvl="0">
      <w:lvlJc w:val="left"/>
      <w:lvlText w:val="%1."/>
      <w:numFmt w:val="upperLetter"/>
      <w:start w:val="3"/>
    </w:lvl>
  </w:abstractNum>
  <w:abstractNum w:abstractNumId="59">
    <w:nsid w:val="3F7C2FF4"/>
    <w:multiLevelType w:val="hybridMultilevel"/>
    <w:lvl w:ilvl="0">
      <w:lvlJc w:val="left"/>
      <w:lvlText w:val="%1."/>
      <w:numFmt w:val="upperLetter"/>
      <w:start w:val="4"/>
    </w:lvl>
  </w:abstractNum>
  <w:abstractNum w:abstractNumId="60">
    <w:nsid w:val="25413BEC"/>
    <w:multiLevelType w:val="hybridMultilevel"/>
    <w:lvl w:ilvl="0">
      <w:lvlJc w:val="left"/>
      <w:lvlText w:val="%1."/>
      <w:numFmt w:val="upperLetter"/>
      <w:start w:val="1"/>
    </w:lvl>
  </w:abstractNum>
  <w:abstractNum w:abstractNumId="61">
    <w:nsid w:val="17180B0B"/>
    <w:multiLevelType w:val="hybridMultilevel"/>
    <w:lvl w:ilvl="0">
      <w:lvlJc w:val="left"/>
      <w:lvlText w:val="%1."/>
      <w:numFmt w:val="upperLetter"/>
      <w:start w:val="2"/>
    </w:lvl>
  </w:abstractNum>
  <w:abstractNum w:abstractNumId="62">
    <w:nsid w:val="579328B9"/>
    <w:multiLevelType w:val="hybridMultilevel"/>
    <w:lvl w:ilvl="0">
      <w:lvlJc w:val="left"/>
      <w:lvlText w:val="%1."/>
      <w:numFmt w:val="upperLetter"/>
      <w:start w:val="3"/>
    </w:lvl>
  </w:abstractNum>
  <w:abstractNum w:abstractNumId="63">
    <w:nsid w:val="5D205E20"/>
    <w:multiLevelType w:val="hybridMultilevel"/>
    <w:lvl w:ilvl="0">
      <w:lvlJc w:val="left"/>
      <w:lvlText w:val="*"/>
      <w:numFmt w:val="bullet"/>
      <w:start w:val="1"/>
    </w:lvl>
  </w:abstractNum>
  <w:abstractNum w:abstractNumId="64">
    <w:nsid w:val="11CCA8BA"/>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65">
    <w:nsid w:val="4D32AB86"/>
    <w:multiLevelType w:val="hybridMultilevel"/>
    <w:lvl w:ilvl="0">
      <w:lvlJc w:val="left"/>
      <w:lvlText w:val="%1."/>
      <w:numFmt w:val="upperLetter"/>
      <w:start w:val="35"/>
    </w:lvl>
    <w:lvl w:ilvl="1">
      <w:lvlJc w:val="left"/>
      <w:lvlText w:val="%2."/>
      <w:numFmt w:val="upperLetter"/>
      <w:start w:val="1"/>
    </w:lvl>
  </w:abstractNum>
  <w:abstractNum w:abstractNumId="66">
    <w:nsid w:val="3F07ACC3"/>
    <w:multiLevelType w:val="hybridMultilevel"/>
    <w:lvl w:ilvl="0">
      <w:lvlJc w:val="left"/>
      <w:lvlText w:val="%1."/>
      <w:numFmt w:val="upperLetter"/>
      <w:start w:val="61"/>
    </w:lvl>
    <w:lvl w:ilvl="1">
      <w:lvlJc w:val="left"/>
      <w:lvlText w:val="%2."/>
      <w:numFmt w:val="upperLetter"/>
      <w:start w:val="1"/>
    </w:lvl>
  </w:abstractNum>
  <w:abstractNum w:abstractNumId="67">
    <w:nsid w:val="6B47F63E"/>
    <w:multiLevelType w:val="hybridMultilevel"/>
    <w:lvl w:ilvl="0">
      <w:lvlJc w:val="left"/>
      <w:lvlText w:val="%1."/>
      <w:numFmt w:val="upperLetter"/>
      <w:start w:val="22"/>
    </w:lvl>
    <w:lvl w:ilvl="1">
      <w:lvlJc w:val="left"/>
      <w:lvlText w:val="%2"/>
      <w:numFmt w:val="upperLetter"/>
      <w:start w:val="1"/>
    </w:lvl>
  </w:abstractNum>
  <w:abstractNum w:abstractNumId="68">
    <w:nsid w:val="5CB44A05"/>
    <w:multiLevelType w:val="hybridMultilevel"/>
    <w:lvl w:ilvl="0">
      <w:lvlJc w:val="left"/>
      <w:lvlText w:val="%1."/>
      <w:numFmt w:val="upperLetter"/>
      <w:start w:val="2"/>
    </w:lvl>
    <w:lvl w:ilvl="1">
      <w:lvlJc w:val="left"/>
      <w:lvlText w:val="%2."/>
      <w:numFmt w:val="decimal"/>
      <w:start w:val="1"/>
    </w:lvl>
  </w:abstractNum>
  <w:abstractNum w:abstractNumId="69">
    <w:nsid w:val="16CF80F1"/>
    <w:multiLevelType w:val="hybridMultilevel"/>
    <w:lvl w:ilvl="0">
      <w:lvlJc w:val="left"/>
      <w:lvlText w:val="%1."/>
      <w:numFmt w:val="upperLetter"/>
      <w:start w:val="1"/>
    </w:lvl>
  </w:abstractNum>
  <w:abstractNum w:abstractNumId="70">
    <w:nsid w:val="1C695DEC"/>
    <w:multiLevelType w:val="hybridMultilevel"/>
    <w:lvl w:ilvl="0">
      <w:lvlJc w:val="left"/>
      <w:lvlText w:val="%1."/>
      <w:numFmt w:val="upperLetter"/>
      <w:start w:val="4"/>
    </w:lvl>
  </w:abstractNum>
  <w:abstractNum w:abstractNumId="71">
    <w:nsid w:val="3FCFAED9"/>
    <w:multiLevelType w:val="hybridMultilevel"/>
    <w:lvl w:ilvl="0">
      <w:lvlJc w:val="left"/>
      <w:lvlText w:val="%1"/>
      <w:numFmt w:val="lowerRoman"/>
      <w:start w:val="1"/>
    </w:lvl>
    <w:lvl w:ilvl="1">
      <w:lvlJc w:val="left"/>
      <w:lvlText w:val="%2."/>
      <w:numFmt w:val="lowerRoman"/>
      <w:start w:val="1"/>
    </w:lvl>
  </w:abstractNum>
  <w:abstractNum w:abstractNumId="72">
    <w:nsid w:val="F856867"/>
    <w:multiLevelType w:val="hybridMultilevel"/>
    <w:lvl w:ilvl="0">
      <w:lvlJc w:val="left"/>
      <w:lvlText w:val="(%1)"/>
      <w:numFmt w:val="lowerRoman"/>
      <w:start w:val="6"/>
    </w:lvl>
    <w:lvl w:ilvl="1">
      <w:lvlJc w:val="left"/>
      <w:lvlText w:val="%2"/>
      <w:numFmt w:val="lowerRoman"/>
      <w:start w:val="1"/>
    </w:lvl>
  </w:abstractNum>
  <w:abstractNum w:abstractNumId="73">
    <w:nsid w:val="11B1CC33"/>
    <w:multiLevelType w:val="hybridMultilevel"/>
    <w:lvl w:ilvl="0">
      <w:lvlJc w:val="left"/>
      <w:lvlText w:val="(%1)"/>
      <w:numFmt w:val="lowerRoman"/>
      <w:start w:val="9"/>
    </w:lvl>
    <w:lvl w:ilvl="1">
      <w:lvlJc w:val="left"/>
      <w:lvlText w:val="%2"/>
      <w:numFmt w:val="lowerRoman"/>
      <w:start w:val="1"/>
    </w:lvl>
  </w:abstractNum>
  <w:abstractNum w:abstractNumId="74">
    <w:nsid w:val="2E22FBB7"/>
    <w:multiLevelType w:val="hybridMultilevel"/>
    <w:lvl w:ilvl="0">
      <w:lvlJc w:val="left"/>
      <w:lvlText w:val="(%1)"/>
      <w:numFmt w:val="lowerRoman"/>
      <w:start w:val="13"/>
    </w:lvl>
    <w:lvl w:ilvl="1">
      <w:lvlJc w:val="left"/>
      <w:lvlText w:val="%2"/>
      <w:numFmt w:val="lowerRoman"/>
      <w:start w:val="1"/>
    </w:lvl>
  </w:abstractNum>
  <w:abstractNum w:abstractNumId="75">
    <w:nsid w:val="29934699"/>
    <w:multiLevelType w:val="hybridMultilevel"/>
    <w:lvl w:ilvl="0">
      <w:lvlJc w:val="left"/>
      <w:lvlText w:val="(%1)"/>
      <w:numFmt w:val="upperLetter"/>
      <w:start w:val="5"/>
    </w:lvl>
    <w:lvl w:ilvl="1">
      <w:lvlJc w:val="left"/>
      <w:lvlText w:val="%2."/>
      <w:numFmt w:val="lowerRoman"/>
      <w:start w:val="7"/>
    </w:lvl>
  </w:abstractNum>
  <w:abstractNum w:abstractNumId="76">
    <w:nsid w:val="77485850"/>
    <w:multiLevelType w:val="hybridMultilevel"/>
    <w:lvl w:ilvl="0">
      <w:lvlJc w:val="left"/>
      <w:lvlText w:val="%1."/>
      <w:numFmt w:val="lowerRoman"/>
      <w:start w:val="14"/>
    </w:lvl>
  </w:abstractNum>
  <w:abstractNum w:abstractNumId="77">
    <w:nsid w:val="744939A3"/>
    <w:multiLevelType w:val="hybridMultilevel"/>
    <w:lvl w:ilvl="0">
      <w:lvlJc w:val="left"/>
      <w:lvlText w:val="%1."/>
      <w:numFmt w:val="upperLetter"/>
      <w:start w:val="1"/>
    </w:lvl>
  </w:abstractNum>
  <w:abstractNum w:abstractNumId="78">
    <w:nsid w:val="4FA0D2E3"/>
    <w:multiLevelType w:val="hybridMultilevel"/>
    <w:lvl w:ilvl="0">
      <w:lvlJc w:val="left"/>
      <w:lvlText w:val="%1."/>
      <w:numFmt w:val="decimal"/>
      <w:start w:val="1"/>
    </w:lvl>
  </w:abstractNum>
  <w:abstractNum w:abstractNumId="79">
    <w:nsid w:val="6B1D2C14"/>
    <w:multiLevelType w:val="hybridMultilevel"/>
    <w:lvl w:ilvl="0">
      <w:lvlJc w:val="left"/>
      <w:lvlText w:val="%1."/>
      <w:numFmt w:val="decimal"/>
      <w:start w:val="2"/>
    </w:lvl>
  </w:abstractNum>
  <w:abstractNum w:abstractNumId="80">
    <w:nsid w:val="68B867D3"/>
    <w:multiLevelType w:val="hybridMultilevel"/>
    <w:lvl w:ilvl="0">
      <w:lvlJc w:val="left"/>
      <w:lvlText w:val="%1."/>
      <w:numFmt w:val="decimal"/>
      <w:start w:val="3"/>
    </w:lvl>
    <w:lvl w:ilvl="1">
      <w:lvlJc w:val="left"/>
      <w:lvlText w:val="(%2)"/>
      <w:numFmt w:val="lowerLetter"/>
      <w:start w:val="1"/>
    </w:lvl>
  </w:abstractNum>
  <w:abstractNum w:abstractNumId="81">
    <w:nsid w:val="3F7F5DD9"/>
    <w:multiLevelType w:val="hybridMultilevel"/>
    <w:lvl w:ilvl="0">
      <w:lvlJc w:val="left"/>
      <w:lvlText w:val="%1."/>
      <w:numFmt w:val="decimal"/>
      <w:start w:val="7"/>
    </w:lvl>
    <w:lvl w:ilvl="1">
      <w:lvlJc w:val="left"/>
      <w:lvlText w:val="(%2)"/>
      <w:numFmt w:val="lowerLetter"/>
      <w:start w:val="1"/>
    </w:lvl>
  </w:abstractNum>
  <w:abstractNum w:abstractNumId="82">
    <w:nsid w:val="2AE05A34"/>
    <w:multiLevelType w:val="hybridMultilevel"/>
    <w:lvl w:ilvl="0">
      <w:lvlJc w:val="left"/>
      <w:lvlText w:val="%1."/>
      <w:numFmt w:val="decimal"/>
      <w:start w:val="14"/>
    </w:lvl>
  </w:abstractNum>
  <w:abstractNum w:abstractNumId="83">
    <w:nsid w:val="32794FF7"/>
    <w:multiLevelType w:val="hybridMultilevel"/>
    <w:lvl w:ilvl="0">
      <w:lvlJc w:val="left"/>
      <w:lvlText w:val="%1."/>
      <w:numFmt w:val="upperLetter"/>
      <w:start w:val="1"/>
    </w:lvl>
  </w:abstractNum>
  <w:abstractNum w:abstractNumId="84">
    <w:nsid w:val="5454945E"/>
    <w:multiLevelType w:val="hybridMultilevel"/>
    <w:lvl w:ilvl="0">
      <w:lvlJc w:val="left"/>
      <w:lvlText w:val="%1."/>
      <w:numFmt w:val="upperLetter"/>
      <w:start w:val="1"/>
    </w:lvl>
  </w:abstractNum>
  <w:abstractNum w:abstractNumId="85">
    <w:nsid w:val="4DEFDFA0"/>
    <w:multiLevelType w:val="hybridMultilevel"/>
    <w:lvl w:ilvl="0">
      <w:lvlJc w:val="left"/>
      <w:lvlText w:val="%1."/>
      <w:numFmt w:val="decimal"/>
      <w:start w:val="1"/>
    </w:lvl>
  </w:abstractNum>
  <w:abstractNum w:abstractNumId="86">
    <w:nsid w:val="2123D5F2"/>
    <w:multiLevelType w:val="hybridMultilevel"/>
    <w:lvl w:ilvl="0">
      <w:lvlJc w:val="left"/>
      <w:lvlText w:val="%1."/>
      <w:numFmt w:val="decimal"/>
      <w:start w:val="2"/>
    </w:lvl>
  </w:abstractNum>
  <w:abstractNum w:abstractNumId="87">
    <w:nsid w:val="135B8110"/>
    <w:multiLevelType w:val="hybridMultilevel"/>
    <w:lvl w:ilvl="0">
      <w:lvlJc w:val="left"/>
      <w:lvlText w:val="%1."/>
      <w:numFmt w:val="decimal"/>
      <w:start w:val="3"/>
    </w:lvl>
    <w:lvl w:ilvl="1">
      <w:lvlJc w:val="left"/>
      <w:lvlText w:val="(%2)"/>
      <w:numFmt w:val="lowerLetter"/>
      <w:start w:val="1"/>
    </w:lvl>
  </w:abstractNum>
  <w:abstractNum w:abstractNumId="88">
    <w:nsid w:val="94927A8"/>
    <w:multiLevelType w:val="hybridMultilevel"/>
    <w:lvl w:ilvl="0">
      <w:lvlJc w:val="left"/>
      <w:lvlText w:val="%1."/>
      <w:numFmt w:val="decimal"/>
      <w:start w:val="7"/>
    </w:lvl>
    <w:lvl w:ilvl="1">
      <w:lvlJc w:val="left"/>
      <w:lvlText w:val="(%2)"/>
      <w:numFmt w:val="lowerLetter"/>
      <w:start w:val="1"/>
    </w:lvl>
  </w:abstractNum>
  <w:abstractNum w:abstractNumId="89">
    <w:nsid w:val="DCDF8F6"/>
    <w:multiLevelType w:val="hybridMultilevel"/>
    <w:lvl w:ilvl="0">
      <w:lvlJc w:val="left"/>
      <w:lvlText w:val="%1."/>
      <w:numFmt w:val="decimal"/>
      <w:start w:val="14"/>
    </w:lvl>
  </w:abstractNum>
  <w:abstractNum w:abstractNumId="90">
    <w:nsid w:val="52D7B105"/>
    <w:multiLevelType w:val="hybridMultilevel"/>
    <w:lvl w:ilvl="0">
      <w:lvlJc w:val="left"/>
      <w:lvlText w:val="%1."/>
      <w:numFmt w:val="upperLetter"/>
      <w:start w:val="1"/>
    </w:lvl>
  </w:abstractNum>
  <w:abstractNum w:abstractNumId="91">
    <w:nsid w:val="2E8A6394"/>
    <w:multiLevelType w:val="hybridMultilevel"/>
    <w:lvl w:ilvl="0">
      <w:lvlJc w:val="left"/>
      <w:lvlText w:val="%1."/>
      <w:numFmt w:val="upperLetter"/>
      <w:start w:val="3"/>
    </w:lvl>
  </w:abstractNum>
  <w:abstractNum w:abstractNumId="92">
    <w:nsid w:val="24E60401"/>
    <w:multiLevelType w:val="hybridMultilevel"/>
    <w:lvl w:ilvl="0">
      <w:lvlJc w:val="left"/>
      <w:lvlText w:val="%1."/>
      <w:numFmt w:val="upperLetter"/>
      <w:start w:val="1"/>
    </w:lvl>
  </w:abstractNum>
  <w:abstractNum w:abstractNumId="93">
    <w:nsid w:val="2A6AD9BE"/>
    <w:multiLevelType w:val="hybridMultilevel"/>
    <w:lvl w:ilvl="0">
      <w:lvlJc w:val="left"/>
      <w:lvlText w:val="%1."/>
      <w:numFmt w:val="upperLetter"/>
      <w:start w:val="2"/>
    </w:lvl>
  </w:abstractNum>
  <w:abstractNum w:abstractNumId="94">
    <w:nsid w:val="BAAC1B4"/>
    <w:multiLevelType w:val="hybridMultilevel"/>
    <w:lvl w:ilvl="0">
      <w:lvlJc w:val="left"/>
      <w:lvlText w:val="%1."/>
      <w:numFmt w:val="decimal"/>
      <w:start w:val="1"/>
    </w:lvl>
  </w:abstractNum>
  <w:abstractNum w:abstractNumId="95">
    <w:nsid w:val="36B2ACBC"/>
    <w:multiLevelType w:val="hybridMultilevel"/>
    <w:lvl w:ilvl="0">
      <w:lvlJc w:val="left"/>
      <w:lvlText w:val="%1."/>
      <w:numFmt w:val="decimal"/>
      <w:start w:val="3"/>
    </w:lvl>
    <w:lvl w:ilvl="1">
      <w:lvlJc w:val="left"/>
      <w:lvlText w:val="(%2)"/>
      <w:numFmt w:val="lowerLetter"/>
      <w:start w:val="1"/>
    </w:lvl>
  </w:abstractNum>
  <w:abstractNum w:abstractNumId="96">
    <w:nsid w:val="779D8544"/>
    <w:multiLevelType w:val="hybridMultilevel"/>
    <w:lvl w:ilvl="0">
      <w:lvlJc w:val="left"/>
      <w:lvlText w:val="%1."/>
      <w:numFmt w:val="decimal"/>
      <w:start w:val="5"/>
    </w:lvl>
    <w:lvl w:ilvl="1">
      <w:lvlJc w:val="left"/>
      <w:lvlText w:val="(%2)"/>
      <w:numFmt w:val="lowerLetter"/>
      <w:start w:val="1"/>
    </w:lvl>
  </w:abstractNum>
  <w:abstractNum w:abstractNumId="97">
    <w:nsid w:val="4AB26E78"/>
    <w:multiLevelType w:val="hybridMultilevel"/>
    <w:lvl w:ilvl="0">
      <w:lvlJc w:val="left"/>
      <w:lvlText w:val="%1"/>
      <w:numFmt w:val="decimal"/>
      <w:start w:val="1"/>
    </w:lvl>
    <w:lvl w:ilvl="1">
      <w:lvlJc w:val="left"/>
      <w:lvlText w:val="(%2)"/>
      <w:numFmt w:val="lowerLetter"/>
      <w:start w:val="4"/>
    </w:lvl>
  </w:abstractNum>
  <w:abstractNum w:abstractNumId="98">
    <w:nsid w:val="21FAA2FA"/>
    <w:multiLevelType w:val="hybridMultilevel"/>
    <w:lvl w:ilvl="0">
      <w:lvlJc w:val="left"/>
      <w:lvlText w:val="%1."/>
      <w:numFmt w:val="decimal"/>
      <w:start w:val="6"/>
    </w:lvl>
    <w:lvl w:ilvl="1">
      <w:lvlJc w:val="left"/>
      <w:lvlText w:val="(%2)"/>
      <w:numFmt w:val="lowerLetter"/>
      <w:start w:val="1"/>
    </w:lvl>
  </w:abstractNum>
  <w:abstractNum w:abstractNumId="99">
    <w:nsid w:val="5451CF49"/>
    <w:multiLevelType w:val="hybridMultilevel"/>
    <w:lvl w:ilvl="0">
      <w:lvlJc w:val="left"/>
      <w:lvlText w:val="(%1)"/>
      <w:numFmt w:val="lowerRoman"/>
      <w:start w:val="1"/>
    </w:lvl>
  </w:abstractNum>
  <w:abstractNum w:abstractNumId="100">
    <w:nsid w:val="6181EF69"/>
    <w:multiLevelType w:val="hybridMultilevel"/>
    <w:lvl w:ilvl="0">
      <w:lvlJc w:val="left"/>
      <w:lvlText w:val="(%1)"/>
      <w:numFmt w:val="lowerRoman"/>
      <w:start w:val="3"/>
    </w:lvl>
  </w:abstractNum>
  <w:abstractNum w:abstractNumId="101">
    <w:nsid w:val="3E6400E6"/>
    <w:multiLevelType w:val="hybridMultilevel"/>
    <w:lvl w:ilvl="0">
      <w:lvlJc w:val="left"/>
      <w:lvlText w:val="(%1)"/>
      <w:numFmt w:val="lowerRoman"/>
      <w:start w:val="7"/>
    </w:lvl>
  </w:abstractNum>
  <w:abstractNum w:abstractNumId="102">
    <w:nsid w:val="14217E23"/>
    <w:multiLevelType w:val="hybridMultilevel"/>
    <w:lvl w:ilvl="0">
      <w:lvlJc w:val="left"/>
      <w:lvlText w:val="-"/>
      <w:numFmt w:val="bullet"/>
      <w:start w:val="1"/>
    </w:lvl>
    <w:lvl w:ilvl="1">
      <w:lvlJc w:val="left"/>
      <w:lvlText w:val="(%2)"/>
      <w:numFmt w:val="lowerLetter"/>
      <w:start w:val="2"/>
    </w:lvl>
  </w:abstractNum>
  <w:abstractNum w:abstractNumId="103">
    <w:nsid w:val="710757D0"/>
    <w:multiLevelType w:val="hybridMultilevel"/>
    <w:lvl w:ilvl="0">
      <w:lvlJc w:val="left"/>
      <w:lvlText w:val="-"/>
      <w:numFmt w:val="bullet"/>
      <w:start w:val="1"/>
    </w:lvl>
    <w:lvl w:ilvl="1">
      <w:lvlJc w:val="left"/>
      <w:lvlText w:val="(%2)"/>
      <w:numFmt w:val="lowerLetter"/>
      <w:start w:val="4"/>
    </w:lvl>
  </w:abstractNum>
  <w:abstractNum w:abstractNumId="104">
    <w:nsid w:val="5015CD1A"/>
    <w:multiLevelType w:val="hybridMultilevel"/>
    <w:lvl w:ilvl="0">
      <w:lvlJc w:val="left"/>
      <w:lvlText w:val="%1."/>
      <w:numFmt w:val="decimal"/>
      <w:start w:val="8"/>
    </w:lvl>
    <w:lvl w:ilvl="1">
      <w:lvlJc w:val="left"/>
      <w:lvlText w:val="-"/>
      <w:numFmt w:val="bullet"/>
      <w:start w:val="1"/>
    </w:lvl>
  </w:abstractNum>
  <w:abstractNum w:abstractNumId="105">
    <w:nsid w:val="424479DA"/>
    <w:multiLevelType w:val="hybridMultilevel"/>
    <w:lvl w:ilvl="0">
      <w:lvlJc w:val="left"/>
      <w:lvlText w:val="%1."/>
      <w:numFmt w:val="decimal"/>
      <w:start w:val="11"/>
    </w:lvl>
    <w:lvl w:ilvl="1">
      <w:lvlJc w:val="left"/>
      <w:lvlText w:val="(%2)"/>
      <w:numFmt w:val="lowerLetter"/>
      <w:start w:val="1"/>
    </w:lvl>
  </w:abstractNum>
  <w:abstractNum w:abstractNumId="106">
    <w:nsid w:val="1A9A9E69"/>
    <w:multiLevelType w:val="hybridMultilevel"/>
    <w:lvl w:ilvl="0">
      <w:lvlJc w:val="left"/>
      <w:lvlText w:val="%1"/>
      <w:numFmt w:val="decimal"/>
      <w:start w:val="1"/>
    </w:lvl>
    <w:lvl w:ilvl="1">
      <w:lvlJc w:val="left"/>
      <w:lvlText w:val="(%2)"/>
      <w:numFmt w:val="lowerLetter"/>
      <w:start w:val="2"/>
    </w:lvl>
  </w:abstractNum>
  <w:abstractNum w:abstractNumId="107">
    <w:nsid w:val="475E256A"/>
    <w:multiLevelType w:val="hybridMultilevel"/>
    <w:lvl w:ilvl="0">
      <w:lvlJc w:val="left"/>
      <w:lvlText w:val="%1."/>
      <w:numFmt w:val="decimal"/>
      <w:start w:val="16"/>
    </w:lvl>
    <w:lvl w:ilvl="1">
      <w:lvlJc w:val="left"/>
      <w:lvlText w:val="(%2)"/>
      <w:numFmt w:val="lowerLetter"/>
      <w:start w:val="1"/>
    </w:lvl>
  </w:abstractNum>
  <w:abstractNum w:abstractNumId="108">
    <w:nsid w:val="368DB37E"/>
    <w:multiLevelType w:val="hybridMultilevel"/>
    <w:lvl w:ilvl="0">
      <w:lvlJc w:val="left"/>
      <w:lvlText w:val="%1"/>
      <w:numFmt w:val="decimal"/>
      <w:start w:val="1"/>
    </w:lvl>
    <w:lvl w:ilvl="1">
      <w:lvlJc w:val="left"/>
      <w:lvlText w:val="(%2)"/>
      <w:numFmt w:val="lowerLetter"/>
      <w:start w:val="2"/>
    </w:lvl>
  </w:abstractNum>
  <w:abstractNum w:abstractNumId="109">
    <w:nsid w:val="6A3B714C"/>
    <w:multiLevelType w:val="hybridMultilevel"/>
    <w:lvl w:ilvl="0">
      <w:lvlJc w:val="left"/>
      <w:lvlText w:val="%1."/>
      <w:numFmt w:val="decimal"/>
      <w:start w:val="18"/>
    </w:lvl>
    <w:lvl w:ilvl="1">
      <w:lvlJc w:val="left"/>
      <w:lvlText w:val="%2"/>
      <w:numFmt w:val="lowerLetter"/>
      <w:start w:val="1"/>
    </w:lvl>
  </w:abstractNum>
  <w:abstractNum w:abstractNumId="110">
    <w:nsid w:val="327B517E"/>
    <w:multiLevelType w:val="hybridMultilevel"/>
    <w:lvl w:ilvl="0">
      <w:lvlJc w:val="left"/>
      <w:lvlText w:val="%1."/>
      <w:numFmt w:val="upperLetter"/>
      <w:start w:val="1"/>
    </w:lvl>
  </w:abstractNum>
  <w:abstractNum w:abstractNumId="111">
    <w:nsid w:val="1F461B51"/>
    <w:multiLevelType w:val="hybridMultilevel"/>
    <w:lvl w:ilvl="0">
      <w:lvlJc w:val="left"/>
      <w:lvlText w:val="%1."/>
      <w:numFmt w:val="upperLetter"/>
      <w:start w:val="9"/>
    </w:lvl>
  </w:abstractNum>
  <w:abstractNum w:abstractNumId="112">
    <w:nsid w:val="29BACF25"/>
    <w:multiLevelType w:val="hybridMultilevel"/>
    <w:lvl w:ilvl="0">
      <w:lvlJc w:val="left"/>
      <w:lvlText w:val="%1."/>
      <w:numFmt w:val="upperLetter"/>
      <w:start w:val="14"/>
    </w:lvl>
  </w:abstractNum>
  <w:abstractNum w:abstractNumId="113">
    <w:nsid w:val="5D5BABB3"/>
    <w:multiLevelType w:val="hybridMultilevel"/>
    <w:lvl w:ilvl="0">
      <w:lvlJc w:val="left"/>
      <w:lvlText w:val="%1."/>
      <w:numFmt w:val="upperLetter"/>
      <w:start w:val="15"/>
    </w:lvl>
    <w:lvl w:ilvl="1">
      <w:lvlJc w:val="left"/>
      <w:lvlText w:val="(%2)"/>
      <w:numFmt w:val="lowerRoman"/>
      <w:start w:val="1"/>
    </w:lvl>
    <w:lvl w:ilvl="2">
      <w:lvlJc w:val="left"/>
      <w:lvlText w:val="%3."/>
      <w:numFmt w:val="lowerLetter"/>
      <w:start w:val="1"/>
    </w:lvl>
  </w:abstractNum>
  <w:abstractNum w:abstractNumId="114">
    <w:nsid w:val="51BF6B48"/>
    <w:multiLevelType w:val="hybridMultilevel"/>
    <w:lvl w:ilvl="0">
      <w:lvlJc w:val="left"/>
      <w:lvlText w:val="(%1)"/>
      <w:numFmt w:val="lowerRoman"/>
      <w:start w:val="4"/>
    </w:lvl>
  </w:abstractNum>
  <w:abstractNum w:abstractNumId="115">
    <w:nsid w:val="7E0F6384"/>
    <w:multiLevelType w:val="hybridMultilevel"/>
    <w:lvl w:ilvl="0">
      <w:lvlJc w:val="left"/>
      <w:lvlText w:val="%1."/>
      <w:numFmt w:val="upperLetter"/>
      <w:start w:val="1"/>
    </w:lvl>
  </w:abstractNum>
  <w:abstractNum w:abstractNumId="116">
    <w:nsid w:val="2B4B8B53"/>
    <w:multiLevelType w:val="hybridMultilevel"/>
    <w:lvl w:ilvl="0">
      <w:lvlJc w:val="left"/>
      <w:lvlText w:val="%1."/>
      <w:numFmt w:val="decimal"/>
      <w:start w:val="1"/>
    </w:lvl>
  </w:abstractNum>
  <w:abstractNum w:abstractNumId="117">
    <w:nsid w:val="72E3413A"/>
    <w:multiLevelType w:val="hybridMultilevel"/>
    <w:lvl w:ilvl="0">
      <w:lvlJc w:val="left"/>
      <w:lvlText w:val="%1."/>
      <w:numFmt w:val="decimal"/>
      <w:start w:val="3"/>
    </w:lvl>
    <w:lvl w:ilvl="1">
      <w:lvlJc w:val="left"/>
      <w:lvlText w:val="(%2)"/>
      <w:numFmt w:val="lowerLetter"/>
      <w:start w:val="1"/>
    </w:lvl>
  </w:abstractNum>
  <w:abstractNum w:abstractNumId="118">
    <w:nsid w:val="116AE494"/>
    <w:multiLevelType w:val="hybridMultilevel"/>
    <w:lvl w:ilvl="0">
      <w:lvlJc w:val="left"/>
      <w:lvlText w:val="%1."/>
      <w:numFmt w:val="decimal"/>
      <w:start w:val="5"/>
    </w:lvl>
    <w:lvl w:ilvl="1">
      <w:lvlJc w:val="left"/>
      <w:lvlText w:val="(%2)"/>
      <w:numFmt w:val="lowerLetter"/>
      <w:start w:val="1"/>
    </w:lvl>
  </w:abstractNum>
  <w:abstractNum w:abstractNumId="119">
    <w:nsid w:val="3494B2FB"/>
    <w:multiLevelType w:val="hybridMultilevel"/>
    <w:lvl w:ilvl="0">
      <w:lvlJc w:val="left"/>
      <w:lvlText w:val="%1"/>
      <w:numFmt w:val="decimal"/>
      <w:start w:val="1"/>
    </w:lvl>
    <w:lvl w:ilvl="1">
      <w:lvlJc w:val="left"/>
      <w:lvlText w:val="(%2)"/>
      <w:numFmt w:val="lowerLetter"/>
      <w:start w:val="4"/>
    </w:lvl>
  </w:abstractNum>
  <w:abstractNum w:abstractNumId="120">
    <w:nsid w:val="B13A31"/>
    <w:multiLevelType w:val="hybridMultilevel"/>
    <w:lvl w:ilvl="0">
      <w:lvlJc w:val="left"/>
      <w:lvlText w:val="%1."/>
      <w:numFmt w:val="decimal"/>
      <w:start w:val="6"/>
    </w:lvl>
    <w:lvl w:ilvl="1">
      <w:lvlJc w:val="left"/>
      <w:lvlText w:val="(%2)"/>
      <w:numFmt w:val="lowerLetter"/>
      <w:start w:val="1"/>
    </w:lvl>
  </w:abstractNum>
  <w:abstractNum w:abstractNumId="121">
    <w:nsid w:val="64429599"/>
    <w:multiLevelType w:val="hybridMultilevel"/>
    <w:lvl w:ilvl="0">
      <w:lvlJc w:val="left"/>
      <w:lvlText w:val="(%1)"/>
      <w:numFmt w:val="lowerRoman"/>
      <w:start w:val="1"/>
    </w:lvl>
  </w:abstractNum>
  <w:abstractNum w:abstractNumId="122">
    <w:nsid w:val="631F1690"/>
    <w:multiLevelType w:val="hybridMultilevel"/>
    <w:lvl w:ilvl="0">
      <w:lvlJc w:val="left"/>
      <w:lvlText w:val="(%1)"/>
      <w:numFmt w:val="lowerRoman"/>
      <w:start w:val="3"/>
    </w:lvl>
  </w:abstractNum>
  <w:abstractNum w:abstractNumId="123">
    <w:nsid w:val="25973E32"/>
    <w:multiLevelType w:val="hybridMultilevel"/>
    <w:lvl w:ilvl="0">
      <w:lvlJc w:val="left"/>
      <w:lvlText w:val="(%1)"/>
      <w:numFmt w:val="lowerRoman"/>
      <w:start w:val="7"/>
    </w:lvl>
  </w:abstractNum>
  <w:abstractNum w:abstractNumId="124">
    <w:nsid w:val="EAD6F57"/>
    <w:multiLevelType w:val="hybridMultilevel"/>
    <w:lvl w:ilvl="0">
      <w:lvlJc w:val="left"/>
      <w:lvlText w:val="-"/>
      <w:numFmt w:val="bullet"/>
      <w:start w:val="1"/>
    </w:lvl>
    <w:lvl w:ilvl="1">
      <w:lvlJc w:val="left"/>
      <w:lvlText w:val="(%2)"/>
      <w:numFmt w:val="lowerLetter"/>
      <w:start w:val="2"/>
    </w:lvl>
  </w:abstractNum>
  <w:abstractNum w:abstractNumId="125">
    <w:nsid w:val="6EC9D844"/>
    <w:multiLevelType w:val="hybridMultilevel"/>
    <w:lvl w:ilvl="0">
      <w:lvlJc w:val="left"/>
      <w:lvlText w:val="-"/>
      <w:numFmt w:val="bullet"/>
      <w:start w:val="1"/>
    </w:lvl>
    <w:lvl w:ilvl="1">
      <w:lvlJc w:val="left"/>
      <w:lvlText w:val="(%2)"/>
      <w:numFmt w:val="lowerLetter"/>
      <w:start w:val="4"/>
    </w:lvl>
  </w:abstractNum>
  <w:abstractNum w:abstractNumId="126">
    <w:nsid w:val="5C49EAEE"/>
    <w:multiLevelType w:val="hybridMultilevel"/>
    <w:lvl w:ilvl="0">
      <w:lvlJc w:val="left"/>
      <w:lvlText w:val="%1."/>
      <w:numFmt w:val="decimal"/>
      <w:start w:val="8"/>
    </w:lvl>
    <w:lvl w:ilvl="1">
      <w:lvlJc w:val="left"/>
      <w:lvlText w:val="-"/>
      <w:numFmt w:val="bullet"/>
      <w:start w:val="1"/>
    </w:lvl>
  </w:abstractNum>
  <w:abstractNum w:abstractNumId="127">
    <w:nsid w:val="64AF49B"/>
    <w:multiLevelType w:val="hybridMultilevel"/>
    <w:lvl w:ilvl="0">
      <w:lvlJc w:val="left"/>
      <w:lvlText w:val="%1."/>
      <w:numFmt w:val="decimal"/>
      <w:start w:val="11"/>
    </w:lvl>
    <w:lvl w:ilvl="1">
      <w:lvlJc w:val="left"/>
      <w:lvlText w:val="(%2)"/>
      <w:numFmt w:val="lowerLetter"/>
      <w:start w:val="1"/>
    </w:lvl>
  </w:abstractNum>
  <w:abstractNum w:abstractNumId="128">
    <w:nsid w:val="397C46BC"/>
    <w:multiLevelType w:val="hybridMultilevel"/>
    <w:lvl w:ilvl="0">
      <w:lvlJc w:val="left"/>
      <w:lvlText w:val="%1"/>
      <w:numFmt w:val="decimal"/>
      <w:start w:val="1"/>
    </w:lvl>
    <w:lvl w:ilvl="1">
      <w:lvlJc w:val="left"/>
      <w:lvlText w:val="(%2)"/>
      <w:numFmt w:val="lowerLetter"/>
      <w:start w:val="2"/>
    </w:lvl>
  </w:abstractNum>
  <w:abstractNum w:abstractNumId="129">
    <w:nsid w:val="7E448DE9"/>
    <w:multiLevelType w:val="hybridMultilevel"/>
    <w:lvl w:ilvl="0">
      <w:lvlJc w:val="left"/>
      <w:lvlText w:val="%1."/>
      <w:numFmt w:val="decimal"/>
      <w:start w:val="16"/>
    </w:lvl>
    <w:lvl w:ilvl="1">
      <w:lvlJc w:val="left"/>
      <w:lvlText w:val="(%2)"/>
      <w:numFmt w:val="lowerLetter"/>
      <w:start w:val="1"/>
    </w:lvl>
  </w:abstractNum>
  <w:abstractNum w:abstractNumId="130">
    <w:nsid w:val="5A9CC3E5"/>
    <w:multiLevelType w:val="hybridMultilevel"/>
    <w:lvl w:ilvl="0">
      <w:lvlJc w:val="left"/>
      <w:lvlText w:val="%1"/>
      <w:numFmt w:val="decimal"/>
      <w:start w:val="1"/>
    </w:lvl>
    <w:lvl w:ilvl="1">
      <w:lvlJc w:val="left"/>
      <w:lvlText w:val="(%2)"/>
      <w:numFmt w:val="lowerLetter"/>
      <w:start w:val="2"/>
    </w:lvl>
  </w:abstractNum>
  <w:abstractNum w:abstractNumId="131">
    <w:nsid w:val="1AFE3625"/>
    <w:multiLevelType w:val="hybridMultilevel"/>
    <w:lvl w:ilvl="0">
      <w:lvlJc w:val="left"/>
      <w:lvlText w:val="%1."/>
      <w:numFmt w:val="decimal"/>
      <w:start w:val="18"/>
    </w:lvl>
    <w:lvl w:ilvl="1">
      <w:lvlJc w:val="left"/>
      <w:lvlText w:val="%2"/>
      <w:numFmt w:val="lowerLetter"/>
      <w:start w:val="1"/>
    </w:lvl>
  </w:abstractNum>
  <w:abstractNum w:abstractNumId="132">
    <w:nsid w:val="3CA88ECF"/>
    <w:multiLevelType w:val="hybridMultilevel"/>
    <w:lvl w:ilvl="0">
      <w:lvlJc w:val="left"/>
      <w:lvlText w:val="%1"/>
      <w:numFmt w:val="decimal"/>
      <w:start w:val="1"/>
    </w:lvl>
    <w:lvl w:ilvl="1">
      <w:lvlJc w:val="left"/>
      <w:lvlText w:val="%2."/>
      <w:numFmt w:val="upperLetter"/>
      <w:start w:val="1"/>
    </w:lvl>
  </w:abstractNum>
  <w:abstractNum w:abstractNumId="133">
    <w:nsid w:val="6EBE4208"/>
    <w:multiLevelType w:val="hybridMultilevel"/>
    <w:lvl w:ilvl="0">
      <w:lvlJc w:val="left"/>
      <w:lvlText w:val="(%1)"/>
      <w:numFmt w:val="decimal"/>
      <w:start w:val="55"/>
    </w:lvl>
    <w:lvl w:ilvl="1">
      <w:lvlJc w:val="left"/>
      <w:lvlText w:val="%2"/>
      <w:numFmt w:val="upperLetter"/>
      <w:start w:val="1"/>
    </w:lvl>
  </w:abstractNum>
  <w:abstractNum w:abstractNumId="134">
    <w:nsid w:val="C058DF5"/>
    <w:multiLevelType w:val="hybridMultilevel"/>
    <w:lvl w:ilvl="0">
      <w:lvlJc w:val="left"/>
      <w:lvlText w:val="%1."/>
      <w:numFmt w:val="upperLetter"/>
      <w:start w:val="9"/>
    </w:lvl>
  </w:abstractNum>
  <w:abstractNum w:abstractNumId="135">
    <w:nsid w:val="CBE5BE9"/>
    <w:multiLevelType w:val="hybridMultilevel"/>
    <w:lvl w:ilvl="0">
      <w:lvlJc w:val="left"/>
      <w:lvlText w:val="%1."/>
      <w:numFmt w:val="upperLetter"/>
      <w:start w:val="14"/>
    </w:lvl>
  </w:abstractNum>
  <w:abstractNum w:abstractNumId="136">
    <w:nsid w:val="3102BBE2"/>
    <w:multiLevelType w:val="hybridMultilevel"/>
    <w:lvl w:ilvl="0">
      <w:lvlJc w:val="left"/>
      <w:lvlText w:val="%1."/>
      <w:numFmt w:val="upperLetter"/>
      <w:start w:val="15"/>
    </w:lvl>
    <w:lvl w:ilvl="1">
      <w:lvlJc w:val="left"/>
      <w:lvlText w:val="(%2)"/>
      <w:numFmt w:val="lowerRoman"/>
      <w:start w:val="1"/>
    </w:lvl>
    <w:lvl w:ilvl="2">
      <w:lvlJc w:val="left"/>
      <w:lvlText w:val="%3."/>
      <w:numFmt w:val="lowerLetter"/>
      <w:start w:val="1"/>
    </w:lvl>
  </w:abstractNum>
  <w:abstractNum w:abstractNumId="137">
    <w:nsid w:val="26A02C5E"/>
    <w:multiLevelType w:val="hybridMultilevel"/>
    <w:lvl w:ilvl="0">
      <w:lvlJc w:val="left"/>
      <w:lvlText w:val="(%1)"/>
      <w:numFmt w:val="lowerRoman"/>
      <w:start w:val="4"/>
    </w:lvl>
  </w:abstractNum>
  <w:abstractNum w:abstractNumId="138">
    <w:nsid w:val="541C8153"/>
    <w:multiLevelType w:val="hybridMultilevel"/>
    <w:lvl w:ilvl="0">
      <w:lvlJc w:val="left"/>
      <w:lvlText w:val="%1."/>
      <w:numFmt w:val="upperLetter"/>
      <w:start w:val="1"/>
    </w:lvl>
  </w:abstractNum>
  <w:abstractNum w:abstractNumId="139">
    <w:nsid w:val="67906F60"/>
    <w:multiLevelType w:val="hybridMultilevel"/>
    <w:lvl w:ilvl="0">
      <w:lvlJc w:val="left"/>
      <w:lvlText w:val="%1."/>
      <w:numFmt w:val="upperLetter"/>
      <w:start w:val="2"/>
    </w:lvl>
  </w:abstractNum>
  <w:abstractNum w:abstractNumId="140">
    <w:nsid w:val="10DB9DAA"/>
    <w:multiLevelType w:val="hybridMultilevel"/>
    <w:lvl w:ilvl="0">
      <w:lvlJc w:val="left"/>
      <w:lvlText w:val="%1."/>
      <w:numFmt w:val="decimal"/>
      <w:start w:val="1"/>
    </w:lvl>
  </w:abstractNum>
  <w:abstractNum w:abstractNumId="141">
    <w:nsid w:val="697D2D2"/>
    <w:multiLevelType w:val="hybridMultilevel"/>
    <w:lvl w:ilvl="0">
      <w:lvlJc w:val="left"/>
      <w:lvlText w:val="(%1)"/>
      <w:numFmt w:val="lowerLetter"/>
      <w:start w:val="9"/>
    </w:lvl>
    <w:lvl w:ilvl="1">
      <w:lvlJc w:val="left"/>
      <w:lvlText w:val="(%2)"/>
      <w:numFmt w:val="lowerLetter"/>
      <w:start w:val="24"/>
    </w:lvl>
    <w:lvl w:ilvl="2">
      <w:lvlJc w:val="left"/>
      <w:lvlText w:val="(%3)"/>
      <w:numFmt w:val="lowerLetter"/>
      <w:start w:val="1"/>
    </w:lvl>
    <w:lvl w:ilvl="3">
      <w:lvlJc w:val="left"/>
      <w:lvlText w:val="(%4)"/>
      <w:numFmt w:val="lowerRoman"/>
      <w:start w:val="1"/>
    </w:lvl>
  </w:abstractNum>
  <w:abstractNum w:abstractNumId="142">
    <w:nsid w:val="6D68AB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143">
    <w:nsid w:val="3A966CD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44">
    <w:nsid w:val="63F37E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45">
    <w:nsid w:val="5895F5F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6">
    <w:nsid w:val="38A5D054"/>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147">
    <w:nsid w:val="F3F09D8"/>
    <w:multiLevelType w:val="hybridMultilevel"/>
    <w:lvl w:ilvl="0">
      <w:lvlJc w:val="left"/>
      <w:lvlText w:val="(%1)"/>
      <w:numFmt w:val="lowerLetter"/>
      <w:start w:val="4"/>
    </w:lvl>
    <w:lvl w:ilvl="1">
      <w:lvlJc w:val="left"/>
      <w:lvlText w:val="(%2)"/>
      <w:numFmt w:val="lowerRoman"/>
      <w:start w:val="1"/>
    </w:lvl>
  </w:abstractNum>
  <w:abstractNum w:abstractNumId="148">
    <w:nsid w:val="4B793735"/>
    <w:multiLevelType w:val="hybridMultilevel"/>
    <w:lvl w:ilvl="0">
      <w:lvlJc w:val="left"/>
      <w:lvlText w:val="(%1)"/>
      <w:numFmt w:val="lowerRoman"/>
      <w:start w:val="3"/>
    </w:lvl>
  </w:abstractNum>
  <w:abstractNum w:abstractNumId="149">
    <w:nsid w:val="4A10B4E8"/>
    <w:multiLevelType w:val="hybridMultilevel"/>
    <w:lvl w:ilvl="0">
      <w:lvlJc w:val="left"/>
      <w:lvlText w:val="%1"/>
      <w:numFmt w:val="decimal"/>
      <w:start w:val="1"/>
    </w:lvl>
    <w:lvl w:ilvl="1">
      <w:lvlJc w:val="left"/>
      <w:lvlText w:val="(%2)"/>
      <w:numFmt w:val="lowerRoman"/>
      <w:start w:val="4"/>
    </w:lvl>
  </w:abstractNum>
  <w:abstractNum w:abstractNumId="150">
    <w:nsid w:val="43D3BCD4"/>
    <w:multiLevelType w:val="hybridMultilevel"/>
    <w:lvl w:ilvl="0">
      <w:lvlJc w:val="left"/>
      <w:lvlText w:val="%1."/>
      <w:numFmt w:val="decimal"/>
      <w:start w:val="6"/>
    </w:lvl>
    <w:lvl w:ilvl="1">
      <w:lvlJc w:val="left"/>
      <w:lvlText w:val="%2"/>
      <w:numFmt w:val="lowerRoman"/>
      <w:start w:val="1"/>
    </w:lvl>
  </w:abstractNum>
  <w:abstractNum w:abstractNumId="151">
    <w:nsid w:val="4C2A7166"/>
    <w:multiLevelType w:val="hybridMultilevel"/>
    <w:lvl w:ilvl="0">
      <w:lvlJc w:val="left"/>
      <w:lvlText w:val="(%1)"/>
      <w:numFmt w:val="lowerLetter"/>
      <w:start w:val="1"/>
    </w:lvl>
  </w:abstractNum>
  <w:abstractNum w:abstractNumId="152">
    <w:nsid w:val="2E534A82"/>
    <w:multiLevelType w:val="hybridMultilevel"/>
    <w:lvl w:ilvl="0">
      <w:lvlJc w:val="left"/>
      <w:lvlText w:val="-"/>
      <w:numFmt w:val="bullet"/>
      <w:start w:val="1"/>
    </w:lvl>
  </w:abstractNum>
  <w:abstractNum w:abstractNumId="153">
    <w:nsid w:val="26F2D364"/>
    <w:multiLevelType w:val="hybridMultilevel"/>
    <w:lvl w:ilvl="0">
      <w:lvlJc w:val="left"/>
      <w:lvlText w:val="(%1)"/>
      <w:numFmt w:val="lowerLetter"/>
      <w:start w:val="4"/>
    </w:lvl>
  </w:abstractNum>
  <w:abstractNum w:abstractNumId="154">
    <w:nsid w:val="71C1AF98"/>
    <w:multiLevelType w:val="hybridMultilevel"/>
    <w:lvl w:ilvl="0">
      <w:lvlJc w:val="left"/>
      <w:lvlText w:val="%1."/>
      <w:numFmt w:val="decimal"/>
      <w:start w:val="9"/>
    </w:lvl>
    <w:lvl w:ilvl="1">
      <w:lvlJc w:val="left"/>
      <w:lvlText w:val="-"/>
      <w:numFmt w:val="bullet"/>
      <w:start w:val="1"/>
    </w:lvl>
  </w:abstractNum>
  <w:abstractNum w:abstractNumId="155">
    <w:nsid w:val="3D00B9D9"/>
    <w:multiLevelType w:val="hybridMultilevel"/>
    <w:lvl w:ilvl="0">
      <w:lvlJc w:val="left"/>
      <w:lvlText w:val="%1."/>
      <w:numFmt w:val="decimal"/>
      <w:start w:val="13"/>
    </w:lvl>
    <w:lvl w:ilvl="1">
      <w:lvlJc w:val="left"/>
      <w:lvlText w:val="(%2)"/>
      <w:numFmt w:val="lowerLetter"/>
      <w:start w:val="1"/>
    </w:lvl>
  </w:abstractNum>
  <w:abstractNum w:abstractNumId="156">
    <w:nsid w:val="15BCABA8"/>
    <w:multiLevelType w:val="hybridMultilevel"/>
    <w:lvl w:ilvl="0">
      <w:lvlJc w:val="left"/>
      <w:lvlText w:val="%1"/>
      <w:numFmt w:val="decimal"/>
      <w:start w:val="1"/>
    </w:lvl>
    <w:lvl w:ilvl="1">
      <w:lvlJc w:val="left"/>
      <w:lvlText w:val="(%2)"/>
      <w:numFmt w:val="lowerLetter"/>
      <w:start w:val="2"/>
    </w:lvl>
  </w:abstractNum>
  <w:abstractNum w:abstractNumId="157">
    <w:nsid w:val="4E0B9A87"/>
    <w:multiLevelType w:val="hybridMultilevel"/>
    <w:lvl w:ilvl="0">
      <w:lvlJc w:val="left"/>
      <w:lvlText w:val="%1."/>
      <w:numFmt w:val="decimal"/>
      <w:start w:val="16"/>
    </w:lvl>
    <w:lvl w:ilvl="1">
      <w:lvlJc w:val="left"/>
      <w:lvlText w:val="(%2)"/>
      <w:numFmt w:val="lowerLetter"/>
      <w:start w:val="1"/>
    </w:lvl>
  </w:abstractNum>
  <w:abstractNum w:abstractNumId="158">
    <w:nsid w:val="434BAE75"/>
    <w:multiLevelType w:val="hybridMultilevel"/>
    <w:lvl w:ilvl="0">
      <w:lvlJc w:val="left"/>
      <w:lvlText w:val="%1."/>
      <w:numFmt w:val="decimal"/>
      <w:start w:val="18"/>
    </w:lvl>
  </w:abstractNum>
  <w:abstractNum w:abstractNumId="159">
    <w:nsid w:val="4F38F265"/>
    <w:multiLevelType w:val="hybridMultilevel"/>
    <w:lvl w:ilvl="0">
      <w:lvlJc w:val="left"/>
      <w:lvlText w:val="%1."/>
      <w:numFmt w:val="upperLetter"/>
      <w:start w:val="1"/>
    </w:lvl>
  </w:abstractNum>
  <w:abstractNum w:abstractNumId="160">
    <w:nsid w:val="4C502870"/>
    <w:multiLevelType w:val="hybridMultilevel"/>
    <w:lvl w:ilvl="0">
      <w:lvlJc w:val="left"/>
      <w:lvlText w:val="%1."/>
      <w:numFmt w:val="upperLetter"/>
      <w:start w:val="10"/>
    </w:lvl>
  </w:abstractNum>
  <w:abstractNum w:abstractNumId="161">
    <w:nsid w:val="1DE8725A"/>
    <w:multiLevelType w:val="hybridMultilevel"/>
    <w:lvl w:ilvl="0">
      <w:lvlJc w:val="left"/>
      <w:lvlText w:val="%1."/>
      <w:numFmt w:val="upperLetter"/>
      <w:start w:val="11"/>
    </w:lvl>
  </w:abstractNum>
  <w:abstractNum w:abstractNumId="162">
    <w:nsid w:val="6A37288A"/>
    <w:multiLevelType w:val="hybridMultilevel"/>
    <w:lvl w:ilvl="0">
      <w:lvlJc w:val="left"/>
      <w:lvlText w:val="%1."/>
      <w:numFmt w:val="upperLetter"/>
      <w:start w:val="20"/>
    </w:lvl>
  </w:abstractNum>
  <w:abstractNum w:abstractNumId="163">
    <w:nsid w:val="8F8B73F"/>
    <w:multiLevelType w:val="hybridMultilevel"/>
    <w:lvl w:ilvl="0">
      <w:lvlJc w:val="left"/>
      <w:lvlText w:val="%1"/>
      <w:numFmt w:val="decimal"/>
      <w:start w:val="1"/>
    </w:lvl>
    <w:lvl w:ilvl="1">
      <w:lvlJc w:val="left"/>
      <w:lvlText w:val="%2."/>
      <w:numFmt w:val="upperLetter"/>
      <w:start w:val="21"/>
    </w:lvl>
    <w:lvl w:ilvl="2">
      <w:lvlJc w:val="left"/>
      <w:lvlText w:val="(%3)"/>
      <w:numFmt w:val="lowerRoman"/>
      <w:start w:val="1"/>
    </w:lvl>
  </w:abstractNum>
  <w:abstractNum w:abstractNumId="164">
    <w:nsid w:val="CA6B462"/>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2"/>
    </w:lvl>
  </w:abstractNum>
  <w:abstractNum w:abstractNumId="165">
    <w:nsid w:val="763CB680"/>
    <w:multiLevelType w:val="hybridMultilevel"/>
    <w:lvl w:ilvl="0">
      <w:lvlJc w:val="left"/>
      <w:lvlText w:val="%1"/>
      <w:numFmt w:val="upperLetter"/>
      <w:start w:val="1"/>
    </w:lvl>
    <w:lvl w:ilvl="1">
      <w:lvlJc w:val="left"/>
      <w:lvlText w:val="(%2)"/>
      <w:numFmt w:val="lowerRoman"/>
      <w:start w:val="3"/>
    </w:lvl>
  </w:abstractNum>
  <w:abstractNum w:abstractNumId="166">
    <w:nsid w:val="15B71329"/>
    <w:multiLevelType w:val="hybridMultilevel"/>
    <w:lvl w:ilvl="0">
      <w:lvlJc w:val="left"/>
      <w:lvlText w:val="%1."/>
      <w:numFmt w:val="upperLetter"/>
      <w:start w:val="22"/>
    </w:lvl>
    <w:lvl w:ilvl="1">
      <w:lvlJc w:val="left"/>
      <w:lvlText w:val="%2"/>
      <w:numFmt w:val="lowerRoman"/>
      <w:start w:val="1"/>
    </w:lvl>
  </w:abstractNum>
  <w:abstractNum w:abstractNumId="167">
    <w:nsid w:val="3DA97044"/>
    <w:multiLevelType w:val="hybridMultilevel"/>
    <w:lvl w:ilvl="0">
      <w:lvlJc w:val="left"/>
      <w:lvlText w:val="%1."/>
      <w:numFmt w:val="decimal"/>
      <w:start w:val="1"/>
    </w:lvl>
  </w:abstractNum>
  <w:abstractNum w:abstractNumId="168">
    <w:nsid w:val="1CDCE2DE"/>
    <w:multiLevelType w:val="hybridMultilevel"/>
    <w:lvl w:ilvl="0">
      <w:lvlJc w:val="left"/>
      <w:lvlText w:val="%1."/>
      <w:numFmt w:val="upperLetter"/>
      <w:start w:val="1"/>
    </w:lvl>
  </w:abstractNum>
  <w:abstractNum w:abstractNumId="169">
    <w:nsid w:val="69D3947C"/>
    <w:multiLevelType w:val="hybridMultilevel"/>
    <w:lvl w:ilvl="0">
      <w:lvlJc w:val="left"/>
      <w:lvlText w:val="%1."/>
      <w:numFmt w:val="decimal"/>
      <w:start w:val="1"/>
    </w:lvl>
  </w:abstractNum>
  <w:abstractNum w:abstractNumId="170">
    <w:nsid w:val="2539DFA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1">
    <w:nsid w:val="2DB8808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3"/>
    </w:lvl>
  </w:abstractNum>
  <w:abstractNum w:abstractNumId="172">
    <w:nsid w:val="706B674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73">
    <w:nsid w:val="2C106A5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4">
    <w:nsid w:val="684EED5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75">
    <w:nsid w:val="545EE5D3"/>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176">
    <w:nsid w:val="4A66051"/>
    <w:multiLevelType w:val="hybridMultilevel"/>
    <w:lvl w:ilvl="0">
      <w:lvlJc w:val="left"/>
      <w:lvlText w:val="(%1)"/>
      <w:numFmt w:val="lowerLetter"/>
      <w:start w:val="4"/>
    </w:lvl>
    <w:lvl w:ilvl="1">
      <w:lvlJc w:val="left"/>
      <w:lvlText w:val="(%2)"/>
      <w:numFmt w:val="lowerRoman"/>
      <w:start w:val="1"/>
    </w:lvl>
  </w:abstractNum>
  <w:abstractNum w:abstractNumId="177">
    <w:nsid w:val="20F4BDAD"/>
    <w:multiLevelType w:val="hybridMultilevel"/>
    <w:lvl w:ilvl="0">
      <w:lvlJc w:val="left"/>
      <w:lvlText w:val="%1"/>
      <w:numFmt w:val="decimal"/>
      <w:start w:val="1"/>
    </w:lvl>
    <w:lvl w:ilvl="1">
      <w:lvlJc w:val="left"/>
      <w:lvlText w:val="(%2)"/>
      <w:numFmt w:val="lowerRoman"/>
      <w:start w:val="4"/>
    </w:lvl>
  </w:abstractNum>
  <w:abstractNum w:abstractNumId="178">
    <w:nsid w:val="639DEFAC"/>
    <w:multiLevelType w:val="hybridMultilevel"/>
    <w:lvl w:ilvl="0">
      <w:lvlJc w:val="left"/>
      <w:lvlText w:val="%1."/>
      <w:numFmt w:val="decimal"/>
      <w:start w:val="6"/>
    </w:lvl>
    <w:lvl w:ilvl="1">
      <w:lvlJc w:val="left"/>
      <w:lvlText w:val="%2"/>
      <w:numFmt w:val="lowerRoman"/>
      <w:start w:val="1"/>
    </w:lvl>
  </w:abstractNum>
  <w:abstractNum w:abstractNumId="179">
    <w:nsid w:val="501F9786"/>
    <w:multiLevelType w:val="hybridMultilevel"/>
    <w:lvl w:ilvl="0">
      <w:lvlJc w:val="left"/>
      <w:lvlText w:val="%1."/>
      <w:numFmt w:val="decimal"/>
      <w:start w:val="8"/>
    </w:lvl>
    <w:lvl w:ilvl="1">
      <w:lvlJc w:val="left"/>
      <w:lvlText w:val="(%2)"/>
      <w:numFmt w:val="lowerLetter"/>
      <w:start w:val="1"/>
    </w:lvl>
  </w:abstractNum>
  <w:abstractNum w:abstractNumId="180">
    <w:nsid w:val="6B057295"/>
    <w:multiLevelType w:val="hybridMultilevel"/>
    <w:lvl w:ilvl="0">
      <w:lvlJc w:val="left"/>
      <w:lvlText w:val="-"/>
      <w:numFmt w:val="bullet"/>
      <w:start w:val="1"/>
    </w:lvl>
  </w:abstractNum>
  <w:abstractNum w:abstractNumId="181">
    <w:nsid w:val="2771AC80"/>
    <w:multiLevelType w:val="hybridMultilevel"/>
    <w:lvl w:ilvl="0">
      <w:lvlJc w:val="left"/>
      <w:lvlText w:val="(%1)"/>
      <w:numFmt w:val="lowerLetter"/>
      <w:start w:val="4"/>
    </w:lvl>
  </w:abstractNum>
  <w:abstractNum w:abstractNumId="182">
    <w:nsid w:val="1C4A08EC"/>
    <w:multiLevelType w:val="hybridMultilevel"/>
    <w:lvl w:ilvl="0">
      <w:lvlJc w:val="left"/>
      <w:lvlText w:val="%1"/>
      <w:numFmt w:val="decimal"/>
      <w:start w:val="1"/>
    </w:lvl>
    <w:lvl w:ilvl="1">
      <w:lvlJc w:val="left"/>
      <w:lvlText w:val="(%2)"/>
      <w:numFmt w:val="lowerLetter"/>
      <w:start w:val="5"/>
    </w:lvl>
  </w:abstractNum>
  <w:abstractNum w:abstractNumId="183">
    <w:nsid w:val="1958BD17"/>
    <w:multiLevelType w:val="hybridMultilevel"/>
    <w:lvl w:ilvl="0">
      <w:lvlJc w:val="left"/>
      <w:lvlText w:val="%1."/>
      <w:numFmt w:val="decimal"/>
      <w:start w:val="9"/>
    </w:lvl>
    <w:lvl w:ilvl="1">
      <w:lvlJc w:val="left"/>
      <w:lvlText w:val="%2"/>
      <w:numFmt w:val="lowerLetter"/>
      <w:start w:val="1"/>
    </w:lvl>
  </w:abstractNum>
  <w:abstractNum w:abstractNumId="184">
    <w:nsid w:val="4E647FE4"/>
    <w:multiLevelType w:val="hybridMultilevel"/>
    <w:lvl w:ilvl="0">
      <w:lvlJc w:val="left"/>
      <w:lvlText w:val="%1."/>
      <w:numFmt w:val="decimal"/>
      <w:start w:val="9"/>
    </w:lvl>
    <w:lvl w:ilvl="1">
      <w:lvlJc w:val="left"/>
      <w:lvlText w:val="-"/>
      <w:numFmt w:val="bullet"/>
      <w:start w:val="1"/>
    </w:lvl>
  </w:abstractNum>
  <w:abstractNum w:abstractNumId="185">
    <w:nsid w:val="E0BB885"/>
    <w:multiLevelType w:val="hybridMultilevel"/>
    <w:lvl w:ilvl="0">
      <w:lvlJc w:val="left"/>
      <w:lvlText w:val="%1."/>
      <w:numFmt w:val="decimal"/>
      <w:start w:val="12"/>
    </w:lvl>
    <w:lvl w:ilvl="1">
      <w:lvlJc w:val="left"/>
      <w:lvlText w:val="(%2)"/>
      <w:numFmt w:val="lowerLetter"/>
      <w:start w:val="1"/>
    </w:lvl>
  </w:abstractNum>
  <w:abstractNum w:abstractNumId="186">
    <w:nsid w:val="565976F1"/>
    <w:multiLevelType w:val="hybridMultilevel"/>
    <w:lvl w:ilvl="0">
      <w:lvlJc w:val="left"/>
      <w:lvlText w:val="%1"/>
      <w:numFmt w:val="decimal"/>
      <w:start w:val="1"/>
    </w:lvl>
    <w:lvl w:ilvl="1">
      <w:lvlJc w:val="left"/>
      <w:lvlText w:val="(%2)"/>
      <w:numFmt w:val="lowerLetter"/>
      <w:start w:val="2"/>
    </w:lvl>
  </w:abstractNum>
  <w:abstractNum w:abstractNumId="187">
    <w:nsid w:val="64212B8C"/>
    <w:multiLevelType w:val="hybridMultilevel"/>
    <w:lvl w:ilvl="0">
      <w:lvlJc w:val="left"/>
      <w:lvlText w:val="%1."/>
      <w:numFmt w:val="decimal"/>
      <w:start w:val="16"/>
    </w:lvl>
    <w:lvl w:ilvl="1">
      <w:lvlJc w:val="left"/>
      <w:lvlText w:val="(%2)"/>
      <w:numFmt w:val="lowerLetter"/>
      <w:start w:val="1"/>
    </w:lvl>
  </w:abstractNum>
  <w:abstractNum w:abstractNumId="188">
    <w:nsid w:val="5C17530C"/>
    <w:multiLevelType w:val="hybridMultilevel"/>
    <w:lvl w:ilvl="0">
      <w:lvlJc w:val="left"/>
      <w:lvlText w:val="%1."/>
      <w:numFmt w:val="decimal"/>
      <w:start w:val="18"/>
    </w:lvl>
  </w:abstractNum>
  <w:abstractNum w:abstractNumId="189">
    <w:nsid w:val="19A52566"/>
    <w:multiLevelType w:val="hybridMultilevel"/>
    <w:lvl w:ilvl="0">
      <w:lvlJc w:val="left"/>
      <w:lvlText w:val="%1."/>
      <w:numFmt w:val="upperLetter"/>
      <w:start w:val="1"/>
    </w:lvl>
  </w:abstractNum>
  <w:abstractNum w:abstractNumId="190">
    <w:nsid w:val="335A1DF1"/>
    <w:multiLevelType w:val="hybridMultilevel"/>
    <w:lvl w:ilvl="0">
      <w:lvlJc w:val="left"/>
      <w:lvlText w:val="%1."/>
      <w:numFmt w:val="upperLetter"/>
      <w:start w:val="9"/>
    </w:lvl>
  </w:abstractNum>
  <w:abstractNum w:abstractNumId="191">
    <w:nsid w:val="28677B7C"/>
    <w:multiLevelType w:val="hybridMultilevel"/>
    <w:lvl w:ilvl="0">
      <w:lvlJc w:val="left"/>
      <w:lvlText w:val="%1."/>
      <w:numFmt w:val="upperLetter"/>
      <w:start w:val="10"/>
    </w:lvl>
  </w:abstractNum>
  <w:abstractNum w:abstractNumId="192">
    <w:nsid w:val="378D97C0"/>
    <w:multiLevelType w:val="hybridMultilevel"/>
    <w:lvl w:ilvl="0">
      <w:lvlJc w:val="left"/>
      <w:lvlText w:val="%1."/>
      <w:numFmt w:val="upperLetter"/>
      <w:start w:val="11"/>
    </w:lvl>
  </w:abstractNum>
  <w:abstractNum w:abstractNumId="193">
    <w:nsid w:val="1D91467C"/>
    <w:multiLevelType w:val="hybridMultilevel"/>
    <w:lvl w:ilvl="0">
      <w:lvlJc w:val="left"/>
      <w:lvlText w:val="%1"/>
      <w:numFmt w:val="decimal"/>
      <w:start w:val="1"/>
    </w:lvl>
    <w:lvl w:ilvl="1">
      <w:lvlJc w:val="left"/>
      <w:lvlText w:val="%2."/>
      <w:numFmt w:val="upperLetter"/>
      <w:start w:val="20"/>
    </w:lvl>
    <w:lvl w:ilvl="2">
      <w:lvlJc w:val="left"/>
      <w:lvlText w:val="(%3)"/>
      <w:numFmt w:val="lowerRoman"/>
      <w:start w:val="1"/>
    </w:lvl>
  </w:abstractNum>
  <w:abstractNum w:abstractNumId="194">
    <w:nsid w:val="316032BB"/>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195">
    <w:nsid w:val="44344C22"/>
    <w:multiLevelType w:val="hybridMultilevel"/>
    <w:lvl w:ilvl="0">
      <w:lvlJc w:val="left"/>
      <w:lvlText w:val="%1"/>
      <w:numFmt w:val="upperLetter"/>
      <w:start w:val="1"/>
    </w:lvl>
    <w:lvl w:ilvl="1">
      <w:lvlJc w:val="left"/>
      <w:lvlText w:val="(%2)"/>
      <w:numFmt w:val="lowerRoman"/>
      <w:start w:val="2"/>
    </w:lvl>
  </w:abstractNum>
  <w:abstractNum w:abstractNumId="196">
    <w:nsid w:val="13CDFCFC"/>
    <w:multiLevelType w:val="hybridMultilevel"/>
    <w:lvl w:ilvl="0">
      <w:lvlJc w:val="left"/>
      <w:lvlText w:val="%1."/>
      <w:numFmt w:val="upperLetter"/>
      <w:start w:val="22"/>
    </w:lvl>
    <w:lvl w:ilvl="1">
      <w:lvlJc w:val="left"/>
      <w:lvlText w:val="%2"/>
      <w:numFmt w:val="lowerRoman"/>
      <w:start w:val="1"/>
    </w:lvl>
  </w:abstractNum>
  <w:abstractNum w:abstractNumId="197">
    <w:nsid w:val="471745E4"/>
    <w:multiLevelType w:val="hybridMultilevel"/>
    <w:lvl w:ilvl="0">
      <w:lvlJc w:val="left"/>
      <w:lvlText w:val="%1."/>
      <w:numFmt w:val="decimal"/>
      <w:start w:val="1"/>
    </w:lvl>
  </w:abstractNum>
  <w:abstractNum w:abstractNumId="198">
    <w:nsid w:val="1DDBC66"/>
    <w:multiLevelType w:val="hybridMultilevel"/>
    <w:lvl w:ilvl="0">
      <w:lvlJc w:val="left"/>
      <w:lvlText w:val="%1"/>
      <w:numFmt w:val="decimal"/>
      <w:start w:val="100"/>
    </w:lvl>
  </w:abstractNum>
  <w:abstractNum w:abstractNumId="199">
    <w:nsid w:val="30AADFDA"/>
    <w:multiLevelType w:val="hybridMultilevel"/>
    <w:lvl w:ilvl="0">
      <w:lvlJc w:val="left"/>
      <w:lvlText w:val="%1."/>
      <w:numFmt w:val="decimal"/>
      <w:start w:val="3"/>
    </w:lvl>
  </w:abstractNum>
  <w:abstractNum w:abstractNumId="200">
    <w:nsid w:val="30EADA61"/>
    <w:multiLevelType w:val="hybridMultilevel"/>
    <w:lvl w:ilvl="0">
      <w:lvlJc w:val="left"/>
      <w:lvlText w:val="(%1)"/>
      <w:numFmt w:val="lowerLetter"/>
      <w:start w:val="1"/>
    </w:lvl>
  </w:abstractNum>
  <w:abstractNum w:abstractNumId="201">
    <w:nsid w:val="27179C0B"/>
    <w:multiLevelType w:val="hybridMultilevel"/>
    <w:lvl w:ilvl="0">
      <w:lvlJc w:val="left"/>
      <w:lvlText w:val="(%1)"/>
      <w:numFmt w:val="lowerLetter"/>
      <w:start w:val="1"/>
    </w:lvl>
  </w:abstractNum>
  <w:abstractNum w:abstractNumId="202">
    <w:nsid w:val="5E636063"/>
    <w:multiLevelType w:val="hybridMultilevel"/>
    <w:lvl w:ilvl="0">
      <w:lvlJc w:val="left"/>
      <w:lvlText w:val="*"/>
      <w:numFmt w:val="bullet"/>
      <w:start w:val="1"/>
    </w:lvl>
  </w:abstractNum>
  <w:abstractNum w:abstractNumId="203">
    <w:nsid w:val="215641AF"/>
    <w:multiLevelType w:val="hybridMultilevel"/>
    <w:lvl w:ilvl="0">
      <w:lvlJc w:val="left"/>
      <w:lvlText w:val="**"/>
      <w:numFmt w:val="bullet"/>
      <w:start w:val="1"/>
    </w:lvl>
  </w:abstractNum>
  <w:abstractNum w:abstractNumId="204">
    <w:nsid w:val="53280662"/>
    <w:multiLevelType w:val="hybridMultilevel"/>
    <w:lvl w:ilvl="0">
      <w:lvlJc w:val="left"/>
      <w:lvlText w:val="***"/>
      <w:numFmt w:val="bullet"/>
      <w:start w:val="1"/>
    </w:lvl>
  </w:abstractNum>
  <w:abstractNum w:abstractNumId="205">
    <w:nsid w:val="46B24DBC"/>
    <w:multiLevelType w:val="hybridMultilevel"/>
    <w:lvl w:ilvl="0">
      <w:lvlJc w:val="left"/>
      <w:lvlText w:val="%1."/>
      <w:numFmt w:val="upperLetter"/>
      <w:start w:val="1"/>
    </w:lvl>
  </w:abstractNum>
  <w:abstractNum w:abstractNumId="206">
    <w:nsid w:val="75B52783"/>
    <w:multiLevelType w:val="hybridMultilevel"/>
    <w:lvl w:ilvl="0">
      <w:lvlJc w:val="left"/>
      <w:lvlText w:val="%1."/>
      <w:numFmt w:val="decimal"/>
      <w:start w:val="1"/>
    </w:lvl>
  </w:abstractNum>
  <w:abstractNum w:abstractNumId="207">
    <w:nsid w:val="57CE66B4"/>
    <w:multiLevelType w:val="hybridMultilevel"/>
    <w:lvl w:ilvl="0">
      <w:lvlJc w:val="left"/>
      <w:lvlText w:val="%1."/>
      <w:numFmt w:val="decimal"/>
      <w:start w:val="3"/>
    </w:lvl>
    <w:lvl w:ilvl="1">
      <w:lvlJc w:val="left"/>
      <w:lvlText w:val="(%2)"/>
      <w:numFmt w:val="lowerLetter"/>
      <w:start w:val="1"/>
    </w:lvl>
  </w:abstractNum>
  <w:abstractNum w:abstractNumId="208">
    <w:nsid w:val="67A70B69"/>
    <w:multiLevelType w:val="hybridMultilevel"/>
    <w:lvl w:ilvl="0">
      <w:lvlJc w:val="left"/>
      <w:lvlText w:val="%1."/>
      <w:numFmt w:val="decimal"/>
      <w:start w:val="5"/>
    </w:lvl>
    <w:lvl w:ilvl="1">
      <w:lvlJc w:val="left"/>
      <w:lvlText w:val="(%2)"/>
      <w:numFmt w:val="lowerLetter"/>
      <w:start w:val="1"/>
    </w:lvl>
  </w:abstractNum>
  <w:abstractNum w:abstractNumId="209">
    <w:nsid w:val="5953172F"/>
    <w:multiLevelType w:val="hybridMultilevel"/>
    <w:lvl w:ilvl="0">
      <w:lvlJc w:val="left"/>
      <w:lvlText w:val="%1"/>
      <w:numFmt w:val="decimal"/>
      <w:start w:val="1"/>
    </w:lvl>
    <w:lvl w:ilvl="1">
      <w:lvlJc w:val="left"/>
      <w:lvlText w:val="(%2)"/>
      <w:numFmt w:val="lowerLetter"/>
      <w:start w:val="4"/>
    </w:lvl>
  </w:abstractNum>
  <w:abstractNum w:abstractNumId="210">
    <w:nsid w:val="27EDFE3A"/>
    <w:multiLevelType w:val="hybridMultilevel"/>
    <w:lvl w:ilvl="0">
      <w:lvlJc w:val="left"/>
      <w:lvlText w:val="%1."/>
      <w:numFmt w:val="decimal"/>
      <w:start w:val="6"/>
    </w:lvl>
    <w:lvl w:ilvl="1">
      <w:lvlJc w:val="left"/>
      <w:lvlText w:val="(%2)"/>
      <w:numFmt w:val="lowerLetter"/>
      <w:start w:val="1"/>
    </w:lvl>
  </w:abstractNum>
  <w:abstractNum w:abstractNumId="211">
    <w:nsid w:val="52AC7DFF"/>
    <w:multiLevelType w:val="hybridMultilevel"/>
    <w:lvl w:ilvl="0">
      <w:lvlJc w:val="left"/>
      <w:lvlText w:val="(%1)"/>
      <w:numFmt w:val="lowerRoman"/>
      <w:start w:val="1"/>
    </w:lvl>
  </w:abstractNum>
  <w:abstractNum w:abstractNumId="212">
    <w:nsid w:val="C4C3AF"/>
    <w:multiLevelType w:val="hybridMultilevel"/>
    <w:lvl w:ilvl="0">
      <w:lvlJc w:val="left"/>
      <w:lvlText w:val="(%1)"/>
      <w:numFmt w:val="lowerRoman"/>
      <w:start w:val="3"/>
    </w:lvl>
  </w:abstractNum>
  <w:abstractNum w:abstractNumId="213">
    <w:nsid w:val="44380727"/>
    <w:multiLevelType w:val="hybridMultilevel"/>
    <w:lvl w:ilvl="0">
      <w:lvlJc w:val="left"/>
      <w:lvlText w:val="(%1)"/>
      <w:numFmt w:val="lowerRoman"/>
      <w:start w:val="7"/>
    </w:lvl>
  </w:abstractNum>
  <w:abstractNum w:abstractNumId="214">
    <w:nsid w:val="6C053B16"/>
    <w:multiLevelType w:val="hybridMultilevel"/>
    <w:lvl w:ilvl="0">
      <w:lvlJc w:val="left"/>
      <w:lvlText w:val="-"/>
      <w:numFmt w:val="bullet"/>
      <w:start w:val="1"/>
    </w:lvl>
    <w:lvl w:ilvl="1">
      <w:lvlJc w:val="left"/>
      <w:lvlText w:val="(%2)"/>
      <w:numFmt w:val="lowerLetter"/>
      <w:start w:val="2"/>
    </w:lvl>
  </w:abstractNum>
  <w:abstractNum w:abstractNumId="215">
    <w:nsid w:val="4F294393"/>
    <w:multiLevelType w:val="hybridMultilevel"/>
    <w:lvl w:ilvl="0">
      <w:lvlJc w:val="left"/>
      <w:lvlText w:val="-"/>
      <w:numFmt w:val="bullet"/>
      <w:start w:val="1"/>
    </w:lvl>
    <w:lvl w:ilvl="1">
      <w:lvlJc w:val="left"/>
      <w:lvlText w:val="(%2)"/>
      <w:numFmt w:val="lowerLetter"/>
      <w:start w:val="4"/>
    </w:lvl>
  </w:abstractNum>
  <w:abstractNum w:abstractNumId="216">
    <w:nsid w:val="5243BFAC"/>
    <w:multiLevelType w:val="hybridMultilevel"/>
    <w:lvl w:ilvl="0">
      <w:lvlJc w:val="left"/>
      <w:lvlText w:val="%1."/>
      <w:numFmt w:val="decimal"/>
      <w:start w:val="8"/>
    </w:lvl>
    <w:lvl w:ilvl="1">
      <w:lvlJc w:val="left"/>
      <w:lvlText w:val="-"/>
      <w:numFmt w:val="bullet"/>
      <w:start w:val="1"/>
    </w:lvl>
  </w:abstractNum>
  <w:abstractNum w:abstractNumId="217">
    <w:nsid w:val="425EB207"/>
    <w:multiLevelType w:val="hybridMultilevel"/>
    <w:lvl w:ilvl="0">
      <w:lvlJc w:val="left"/>
      <w:lvlText w:val="%1."/>
      <w:numFmt w:val="decimal"/>
      <w:start w:val="11"/>
    </w:lvl>
    <w:lvl w:ilvl="1">
      <w:lvlJc w:val="left"/>
      <w:lvlText w:val="(%2)"/>
      <w:numFmt w:val="lowerLetter"/>
      <w:start w:val="1"/>
    </w:lvl>
  </w:abstractNum>
  <w:abstractNum w:abstractNumId="218">
    <w:nsid w:val="334A6F1F"/>
    <w:multiLevelType w:val="hybridMultilevel"/>
    <w:lvl w:ilvl="0">
      <w:lvlJc w:val="left"/>
      <w:lvlText w:val="%1"/>
      <w:numFmt w:val="decimal"/>
      <w:start w:val="1"/>
    </w:lvl>
    <w:lvl w:ilvl="1">
      <w:lvlJc w:val="left"/>
      <w:lvlText w:val="(%2)"/>
      <w:numFmt w:val="lowerLetter"/>
      <w:start w:val="2"/>
    </w:lvl>
  </w:abstractNum>
  <w:abstractNum w:abstractNumId="219">
    <w:nsid w:val="2E5B12B8"/>
    <w:multiLevelType w:val="hybridMultilevel"/>
    <w:lvl w:ilvl="0">
      <w:lvlJc w:val="left"/>
      <w:lvlText w:val="%1."/>
      <w:numFmt w:val="decimal"/>
      <w:start w:val="16"/>
    </w:lvl>
    <w:lvl w:ilvl="1">
      <w:lvlJc w:val="left"/>
      <w:lvlText w:val="(%2)"/>
      <w:numFmt w:val="lowerLetter"/>
      <w:start w:val="1"/>
    </w:lvl>
  </w:abstractNum>
  <w:abstractNum w:abstractNumId="220">
    <w:nsid w:val="5C03D76D"/>
    <w:multiLevelType w:val="hybridMultilevel"/>
    <w:lvl w:ilvl="0">
      <w:lvlJc w:val="left"/>
      <w:lvlText w:val="%1"/>
      <w:numFmt w:val="decimal"/>
      <w:start w:val="1"/>
    </w:lvl>
    <w:lvl w:ilvl="1">
      <w:lvlJc w:val="left"/>
      <w:lvlText w:val="(%2)"/>
      <w:numFmt w:val="lowerLetter"/>
      <w:start w:val="2"/>
    </w:lvl>
  </w:abstractNum>
  <w:abstractNum w:abstractNumId="221">
    <w:nsid w:val="66A48D11"/>
    <w:multiLevelType w:val="hybridMultilevel"/>
    <w:lvl w:ilvl="0">
      <w:lvlJc w:val="left"/>
      <w:lvlText w:val="%1."/>
      <w:numFmt w:val="decimal"/>
      <w:start w:val="18"/>
    </w:lvl>
    <w:lvl w:ilvl="1">
      <w:lvlJc w:val="left"/>
      <w:lvlText w:val="%2"/>
      <w:numFmt w:val="lowerLetter"/>
      <w:start w:val="1"/>
    </w:lvl>
  </w:abstractNum>
  <w:abstractNum w:abstractNumId="222">
    <w:nsid w:val="56C28E34"/>
    <w:multiLevelType w:val="hybridMultilevel"/>
    <w:lvl w:ilvl="0">
      <w:lvlJc w:val="left"/>
      <w:lvlText w:val="%1."/>
      <w:numFmt w:val="upperLetter"/>
      <w:start w:val="1"/>
    </w:lvl>
  </w:abstractNum>
  <w:abstractNum w:abstractNumId="223">
    <w:nsid w:val="13916F2D"/>
    <w:multiLevelType w:val="hybridMultilevel"/>
    <w:lvl w:ilvl="0">
      <w:lvlJc w:val="left"/>
      <w:lvlText w:val="%1."/>
      <w:numFmt w:val="upperLetter"/>
      <w:start w:val="9"/>
    </w:lvl>
  </w:abstractNum>
  <w:abstractNum w:abstractNumId="224">
    <w:nsid w:val="435D38D"/>
    <w:multiLevelType w:val="hybridMultilevel"/>
    <w:lvl w:ilvl="0">
      <w:lvlJc w:val="left"/>
      <w:lvlText w:val="%1."/>
      <w:numFmt w:val="upperLetter"/>
      <w:start w:val="14"/>
    </w:lvl>
  </w:abstractNum>
  <w:abstractNum w:abstractNumId="225">
    <w:nsid w:val="822C0EF"/>
    <w:multiLevelType w:val="hybridMultilevel"/>
    <w:lvl w:ilvl="0">
      <w:lvlJc w:val="left"/>
      <w:lvlText w:val="%1"/>
      <w:numFmt w:val="decimal"/>
      <w:start w:val="1"/>
    </w:lvl>
    <w:lvl w:ilvl="1">
      <w:lvlJc w:val="left"/>
      <w:lvlText w:val="%2."/>
      <w:numFmt w:val="upperLetter"/>
      <w:start w:val="15"/>
    </w:lvl>
    <w:lvl w:ilvl="2">
      <w:lvlJc w:val="left"/>
      <w:lvlText w:val="(%3)"/>
      <w:numFmt w:val="lowerRoman"/>
      <w:start w:val="1"/>
    </w:lvl>
    <w:lvl w:ilvl="3">
      <w:lvlJc w:val="left"/>
      <w:lvlText w:val="%4."/>
      <w:numFmt w:val="lowerLetter"/>
      <w:start w:val="1"/>
    </w:lvl>
  </w:abstractNum>
  <w:abstractNum w:abstractNumId="226">
    <w:nsid w:val="57C5BB4F"/>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lvl w:ilvl="3">
      <w:lvlJc w:val="left"/>
      <w:lvlText w:val="%4."/>
      <w:numFmt w:val="lowerLetter"/>
      <w:start w:val="2"/>
    </w:lvl>
  </w:abstractNum>
  <w:abstractNum w:abstractNumId="227">
    <w:nsid w:val="1803D089"/>
    <w:multiLevelType w:val="hybridMultilevel"/>
    <w:lvl w:ilvl="0">
      <w:lvlJc w:val="left"/>
      <w:lvlText w:val="(%1)"/>
      <w:numFmt w:val="lowerRoman"/>
      <w:start w:val="4"/>
    </w:lvl>
  </w:abstractNum>
  <w:abstractNum w:abstractNumId="228">
    <w:nsid w:val="4F3A06D4"/>
    <w:multiLevelType w:val="hybridMultilevel"/>
    <w:lvl w:ilvl="0">
      <w:lvlJc w:val="left"/>
      <w:lvlText w:val="%1."/>
      <w:numFmt w:val="upperLetter"/>
      <w:start w:val="1"/>
    </w:lvl>
  </w:abstractNum>
  <w:abstractNum w:abstractNumId="229">
    <w:nsid w:val="59A377B6"/>
    <w:multiLevelType w:val="hybridMultilevel"/>
    <w:lvl w:ilvl="0">
      <w:lvlJc w:val="left"/>
      <w:lvlText w:val="%1."/>
      <w:numFmt w:val="decimal"/>
      <w:start w:val="1"/>
    </w:lvl>
  </w:abstractNum>
  <w:abstractNum w:abstractNumId="230">
    <w:nsid w:val="48AEB063"/>
    <w:multiLevelType w:val="hybridMultilevel"/>
    <w:lvl w:ilvl="0">
      <w:lvlJc w:val="left"/>
      <w:lvlText w:val="%1."/>
      <w:numFmt w:val="decimal"/>
      <w:start w:val="3"/>
    </w:lvl>
    <w:lvl w:ilvl="1">
      <w:lvlJc w:val="left"/>
      <w:lvlText w:val="(%2)"/>
      <w:numFmt w:val="lowerLetter"/>
      <w:start w:val="1"/>
    </w:lvl>
  </w:abstractNum>
  <w:abstractNum w:abstractNumId="231">
    <w:nsid w:val="24E135"/>
    <w:multiLevelType w:val="hybridMultilevel"/>
    <w:lvl w:ilvl="0">
      <w:lvlJc w:val="left"/>
      <w:lvlText w:val="%1."/>
      <w:numFmt w:val="decimal"/>
      <w:start w:val="5"/>
    </w:lvl>
    <w:lvl w:ilvl="1">
      <w:lvlJc w:val="left"/>
      <w:lvlText w:val="(%2)"/>
      <w:numFmt w:val="lowerLetter"/>
      <w:start w:val="1"/>
    </w:lvl>
  </w:abstractNum>
  <w:abstractNum w:abstractNumId="232">
    <w:nsid w:val="BB13C1"/>
    <w:multiLevelType w:val="hybridMultilevel"/>
    <w:lvl w:ilvl="0">
      <w:lvlJc w:val="left"/>
      <w:lvlText w:val="%1"/>
      <w:numFmt w:val="decimal"/>
      <w:start w:val="1"/>
    </w:lvl>
    <w:lvl w:ilvl="1">
      <w:lvlJc w:val="left"/>
      <w:lvlText w:val="(%2)"/>
      <w:numFmt w:val="lowerLetter"/>
      <w:start w:val="4"/>
    </w:lvl>
  </w:abstractNum>
  <w:abstractNum w:abstractNumId="233">
    <w:nsid w:val="271210C7"/>
    <w:multiLevelType w:val="hybridMultilevel"/>
    <w:lvl w:ilvl="0">
      <w:lvlJc w:val="left"/>
      <w:lvlText w:val="%1."/>
      <w:numFmt w:val="decimal"/>
      <w:start w:val="6"/>
    </w:lvl>
    <w:lvl w:ilvl="1">
      <w:lvlJc w:val="left"/>
      <w:lvlText w:val="(%2)"/>
      <w:numFmt w:val="lowerLetter"/>
      <w:start w:val="1"/>
    </w:lvl>
  </w:abstractNum>
  <w:abstractNum w:abstractNumId="234">
    <w:nsid w:val="217B22E4"/>
    <w:multiLevelType w:val="hybridMultilevel"/>
    <w:lvl w:ilvl="0">
      <w:lvlJc w:val="left"/>
      <w:lvlText w:val="(%1)"/>
      <w:numFmt w:val="lowerRoman"/>
      <w:start w:val="1"/>
    </w:lvl>
  </w:abstractNum>
  <w:abstractNum w:abstractNumId="235">
    <w:nsid w:val="53E31A24"/>
    <w:multiLevelType w:val="hybridMultilevel"/>
    <w:lvl w:ilvl="0">
      <w:lvlJc w:val="left"/>
      <w:lvlText w:val="(%1)"/>
      <w:numFmt w:val="lowerRoman"/>
      <w:start w:val="3"/>
    </w:lvl>
  </w:abstractNum>
  <w:abstractNum w:abstractNumId="236">
    <w:nsid w:val="6DC45E83"/>
    <w:multiLevelType w:val="hybridMultilevel"/>
    <w:lvl w:ilvl="0">
      <w:lvlJc w:val="left"/>
      <w:lvlText w:val="(%1)"/>
      <w:numFmt w:val="lowerRoman"/>
      <w:start w:val="7"/>
    </w:lvl>
  </w:abstractNum>
  <w:abstractNum w:abstractNumId="237">
    <w:nsid w:val="17304A67"/>
    <w:multiLevelType w:val="hybridMultilevel"/>
    <w:lvl w:ilvl="0">
      <w:lvlJc w:val="left"/>
      <w:lvlText w:val="-"/>
      <w:numFmt w:val="bullet"/>
      <w:start w:val="1"/>
    </w:lvl>
    <w:lvl w:ilvl="1">
      <w:lvlJc w:val="left"/>
      <w:lvlText w:val="(%2)"/>
      <w:numFmt w:val="lowerLetter"/>
      <w:start w:val="2"/>
    </w:lvl>
  </w:abstractNum>
  <w:abstractNum w:abstractNumId="238">
    <w:nsid w:val="2BB180D8"/>
    <w:multiLevelType w:val="hybridMultilevel"/>
    <w:lvl w:ilvl="0">
      <w:lvlJc w:val="left"/>
      <w:lvlText w:val="-"/>
      <w:numFmt w:val="bullet"/>
      <w:start w:val="1"/>
    </w:lvl>
    <w:lvl w:ilvl="1">
      <w:lvlJc w:val="left"/>
      <w:lvlText w:val="(%2)"/>
      <w:numFmt w:val="lowerLetter"/>
      <w:start w:val="4"/>
    </w:lvl>
  </w:abstractNum>
  <w:abstractNum w:abstractNumId="239">
    <w:nsid w:val="556B69ED"/>
    <w:multiLevelType w:val="hybridMultilevel"/>
    <w:lvl w:ilvl="0">
      <w:lvlJc w:val="left"/>
      <w:lvlText w:val="%1."/>
      <w:numFmt w:val="decimal"/>
      <w:start w:val="8"/>
    </w:lvl>
    <w:lvl w:ilvl="1">
      <w:lvlJc w:val="left"/>
      <w:lvlText w:val="-"/>
      <w:numFmt w:val="bullet"/>
      <w:start w:val="1"/>
    </w:lvl>
  </w:abstractNum>
  <w:abstractNum w:abstractNumId="240">
    <w:nsid w:val="70836196"/>
    <w:multiLevelType w:val="hybridMultilevel"/>
    <w:lvl w:ilvl="0">
      <w:lvlJc w:val="left"/>
      <w:lvlText w:val="%1."/>
      <w:numFmt w:val="decimal"/>
      <w:start w:val="11"/>
    </w:lvl>
    <w:lvl w:ilvl="1">
      <w:lvlJc w:val="left"/>
      <w:lvlText w:val="(%2)"/>
      <w:numFmt w:val="lowerLetter"/>
      <w:start w:val="1"/>
    </w:lvl>
  </w:abstractNum>
  <w:abstractNum w:abstractNumId="241">
    <w:nsid w:val="539F7F12"/>
    <w:multiLevelType w:val="hybridMultilevel"/>
    <w:lvl w:ilvl="0">
      <w:lvlJc w:val="left"/>
      <w:lvlText w:val="%1"/>
      <w:numFmt w:val="decimal"/>
      <w:start w:val="1"/>
    </w:lvl>
    <w:lvl w:ilvl="1">
      <w:lvlJc w:val="left"/>
      <w:lvlText w:val="(%2)"/>
      <w:numFmt w:val="lowerLetter"/>
      <w:start w:val="2"/>
    </w:lvl>
  </w:abstractNum>
  <w:abstractNum w:abstractNumId="242">
    <w:nsid w:val="2817E7EC"/>
    <w:multiLevelType w:val="hybridMultilevel"/>
    <w:lvl w:ilvl="0">
      <w:lvlJc w:val="left"/>
      <w:lvlText w:val="%1."/>
      <w:numFmt w:val="decimal"/>
      <w:start w:val="16"/>
    </w:lvl>
    <w:lvl w:ilvl="1">
      <w:lvlJc w:val="left"/>
      <w:lvlText w:val="(%2)"/>
      <w:numFmt w:val="lowerLetter"/>
      <w:start w:val="1"/>
    </w:lvl>
  </w:abstractNum>
  <w:abstractNum w:abstractNumId="243">
    <w:nsid w:val="71482545"/>
    <w:multiLevelType w:val="hybridMultilevel"/>
    <w:lvl w:ilvl="0">
      <w:lvlJc w:val="left"/>
      <w:lvlText w:val="%1"/>
      <w:numFmt w:val="decimal"/>
      <w:start w:val="1"/>
    </w:lvl>
    <w:lvl w:ilvl="1">
      <w:lvlJc w:val="left"/>
      <w:lvlText w:val="(%2)"/>
      <w:numFmt w:val="lowerLetter"/>
      <w:start w:val="2"/>
    </w:lvl>
  </w:abstractNum>
  <w:abstractNum w:abstractNumId="244">
    <w:nsid w:val="17D78639"/>
    <w:multiLevelType w:val="hybridMultilevel"/>
    <w:lvl w:ilvl="0">
      <w:lvlJc w:val="left"/>
      <w:lvlText w:val="%1."/>
      <w:numFmt w:val="decimal"/>
      <w:start w:val="18"/>
    </w:lvl>
    <w:lvl w:ilvl="1">
      <w:lvlJc w:val="left"/>
      <w:lvlText w:val="%2"/>
      <w:numFmt w:val="lowerLetter"/>
      <w:start w:val="1"/>
    </w:lvl>
  </w:abstractNum>
  <w:abstractNum w:abstractNumId="245">
    <w:nsid w:val="141D2302"/>
    <w:multiLevelType w:val="hybridMultilevel"/>
    <w:lvl w:ilvl="0">
      <w:lvlJc w:val="left"/>
      <w:lvlText w:val="%1."/>
      <w:numFmt w:val="upperLetter"/>
      <w:start w:val="1"/>
    </w:lvl>
  </w:abstractNum>
  <w:abstractNum w:abstractNumId="246">
    <w:nsid w:val="407168D8"/>
    <w:multiLevelType w:val="hybridMultilevel"/>
    <w:lvl w:ilvl="0">
      <w:lvlJc w:val="left"/>
      <w:lvlText w:val="%1."/>
      <w:numFmt w:val="upperLetter"/>
      <w:start w:val="9"/>
    </w:lvl>
  </w:abstractNum>
  <w:abstractNum w:abstractNumId="247">
    <w:nsid w:val="6A1B45E5"/>
    <w:multiLevelType w:val="hybridMultilevel"/>
    <w:lvl w:ilvl="0">
      <w:lvlJc w:val="left"/>
      <w:lvlText w:val="%1."/>
      <w:numFmt w:val="upperLetter"/>
      <w:start w:val="14"/>
    </w:lvl>
  </w:abstractNum>
  <w:abstractNum w:abstractNumId="248">
    <w:nsid w:val="567BD50A"/>
    <w:multiLevelType w:val="hybridMultilevel"/>
    <w:lvl w:ilvl="0">
      <w:lvlJc w:val="left"/>
      <w:lvlText w:val="%1."/>
      <w:numFmt w:val="upperLetter"/>
      <w:start w:val="15"/>
    </w:lvl>
    <w:lvl w:ilvl="1">
      <w:lvlJc w:val="left"/>
      <w:lvlText w:val="(%2)"/>
      <w:numFmt w:val="lowerRoman"/>
      <w:start w:val="1"/>
    </w:lvl>
    <w:lvl w:ilvl="2">
      <w:lvlJc w:val="left"/>
      <w:lvlText w:val="%3."/>
      <w:numFmt w:val="lowerLetter"/>
      <w:start w:val="1"/>
    </w:lvl>
  </w:abstractNum>
  <w:abstractNum w:abstractNumId="249">
    <w:nsid w:val="73BBD7F8"/>
    <w:multiLevelType w:val="hybridMultilevel"/>
    <w:lvl w:ilvl="0">
      <w:lvlJc w:val="left"/>
      <w:lvlText w:val="(%1)"/>
      <w:numFmt w:val="lowerRoman"/>
      <w:start w:val="4"/>
    </w:lvl>
  </w:abstractNum>
  <w:abstractNum w:abstractNumId="250">
    <w:nsid w:val="1876589D"/>
    <w:multiLevelType w:val="hybridMultilevel"/>
    <w:lvl w:ilvl="0">
      <w:lvlJc w:val="left"/>
      <w:lvlText w:val="%1."/>
      <w:numFmt w:val="decimal"/>
      <w:start w:val="1"/>
    </w:lvl>
    <w:lvl w:ilvl="1">
      <w:lvlJc w:val="left"/>
      <w:lvlText w:val="(%2)"/>
      <w:numFmt w:val="lowerLetter"/>
      <w:start w:val="1"/>
    </w:lvl>
  </w:abstractNum>
  <w:abstractNum w:abstractNumId="251">
    <w:nsid w:val="327FAC77"/>
    <w:multiLevelType w:val="hybridMultilevel"/>
    <w:lvl w:ilvl="0">
      <w:lvlJc w:val="left"/>
      <w:lvlText w:val="%1."/>
      <w:numFmt w:val="decimal"/>
      <w:start w:val="1"/>
    </w:lvl>
    <w:lvl w:ilvl="1">
      <w:lvlJc w:val="left"/>
      <w:lvlText w:val="(%2)"/>
      <w:numFmt w:val="lowerLetter"/>
      <w:start w:val="1"/>
    </w:lvl>
  </w:abstractNum>
  <w:abstractNum w:abstractNumId="252">
    <w:nsid w:val="5A60650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2019-12-29T07:50:52Z</dcterms:created>
  <dcterms:modified xsi:type="dcterms:W3CDTF">2019-12-29T07:50:52Z</dcterms:modified>
</cp:coreProperties>
</file>