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atx-20260331x10q.htm"/>
        <w:bookmarkStart w:id="1" w:name="ksmatx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left"/>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2fd8a103_3e18_435d_adeb_5bb846a410b7"/>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 the quarterly period ended March</w:t>
      </w:r>
      <w:r>
        <w:rPr>
          <w:rFonts w:ascii="Times New Roman;Times;serif" w:hAnsi="Times New Roman;Times;serif"/>
          <w:sz w:val="20"/>
        </w:rPr>
        <w:t> </w:t>
      </w:r>
      <w:r>
        <w:rPr>
          <w:rFonts w:ascii="Times New Roman;Times;serif" w:hAnsi="Times New Roman;Times;serif"/>
          <w:b/>
          <w:sz w:val="20"/>
        </w:rPr>
        <w:t>31, 2026</w:t>
      </w:r>
    </w:p>
    <w:p>
      <w:pPr>
        <w:pStyle w:val="TextBody"/>
        <w:pBdr/>
        <w:bidi w:val="0"/>
        <w:spacing w:before="0" w:after="0"/>
        <w:ind w:left="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001-34187</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Matson,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kjczkYIMf0iQt4SrRnwh6Q_4_1"/>
      <w:bookmarkStart w:id="4" w:name="Tc_W3SsQ_wlskOTzbZFshRwXg_4_0"/>
      <w:bookmarkStart w:id="5" w:name="Tc_JwPWOmuqfU61DsotaAk23Q_2_1"/>
      <w:bookmarkStart w:id="6" w:name="Tc_mpj_3Y-bCk6P0noNgQYtZg_2_0"/>
      <w:bookmarkStart w:id="7" w:name="_af43c18c_e622_4da7_b8c0_a30e09a9a76f"/>
      <w:bookmarkStart w:id="8" w:name="Tc_kjczkYIMf0iQt4SrRnwh6Q_4_1"/>
      <w:bookmarkStart w:id="9" w:name="Tc_W3SsQ_wlskOTzbZFshRwXg_4_0"/>
      <w:bookmarkStart w:id="10" w:name="Tc_JwPWOmuqfU61DsotaAk23Q_2_1"/>
      <w:bookmarkStart w:id="11" w:name="Tc_mpj_3Y-bCk6P0noNgQYtZg_2_0"/>
      <w:bookmarkStart w:id="12" w:name="_af43c18c_e622_4da7_b8c0_a30e09a9a76f"/>
      <w:bookmarkEnd w:id="8"/>
      <w:bookmarkEnd w:id="9"/>
      <w:bookmarkEnd w:id="10"/>
      <w:bookmarkEnd w:id="11"/>
      <w:bookmarkEnd w:id="12"/>
    </w:p>
    <w:tbl>
      <w:tblPr>
        <w:tblW w:w="4952" w:type="dxa"/>
        <w:jc w:val="left"/>
        <w:tblInd w:w="0" w:type="dxa"/>
        <w:tblLayout w:type="fixed"/>
        <w:tblCellMar>
          <w:top w:w="0" w:type="dxa"/>
          <w:left w:w="0" w:type="dxa"/>
          <w:bottom w:w="0" w:type="dxa"/>
          <w:right w:w="0" w:type="dxa"/>
        </w:tblCellMar>
      </w:tblPr>
      <w:tblGrid>
        <w:gridCol w:w="3301"/>
        <w:gridCol w:w="1651"/>
      </w:tblGrid>
      <w:tr>
        <w:trPr/>
        <w:tc>
          <w:tcPr>
            <w:tcW w:w="3301" w:type="dxa"/>
            <w:tcBorders/>
            <w:vAlign w:val="center"/>
          </w:tcPr>
          <w:p>
            <w:pPr>
              <w:pStyle w:val="TableContents"/>
              <w:bidi w:val="0"/>
              <w:spacing w:lineRule="atLeast" w:line="220" w:before="0" w:after="0"/>
              <w:ind w:left="0" w:right="0" w:hanging="0"/>
              <w:jc w:val="left"/>
              <w:rPr/>
            </w:pPr>
            <w:r>
              <w:rPr/>
              <w:t>​</w:t>
            </w:r>
          </w:p>
        </w:tc>
        <w:tc>
          <w:tcPr>
            <w:tcW w:w="1651" w:type="dxa"/>
            <w:tcBorders/>
            <w:vAlign w:val="center"/>
          </w:tcPr>
          <w:p>
            <w:pPr>
              <w:pStyle w:val="TableContents"/>
              <w:bidi w:val="0"/>
              <w:spacing w:lineRule="atLeast" w:line="220" w:before="0" w:after="0"/>
              <w:ind w:left="0" w:right="0" w:hanging="0"/>
              <w:jc w:val="left"/>
              <w:rPr/>
            </w:pPr>
            <w:r>
              <w:rPr/>
              <w:t>​</w:t>
            </w:r>
          </w:p>
        </w:tc>
      </w:tr>
      <w:tr>
        <w:trPr/>
        <w:tc>
          <w:tcPr>
            <w:tcW w:w="3301" w:type="dxa"/>
            <w:tcBorders/>
            <w:vAlign w:val="center"/>
          </w:tcPr>
          <w:p>
            <w:pPr>
              <w:pStyle w:val="TableContents"/>
              <w:pBdr/>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Hawaii</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99-0032630</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301" w:type="dxa"/>
            <w:tcBorders/>
            <w:vAlign w:val="center"/>
          </w:tcPr>
          <w:p>
            <w:pPr>
              <w:pStyle w:val="TableContents"/>
              <w:bidi w:val="0"/>
              <w:spacing w:lineRule="atLeast" w:line="160" w:before="0" w:after="0"/>
              <w:ind w:left="0" w:right="0" w:hanging="0"/>
              <w:jc w:val="center"/>
              <w:rPr/>
            </w:pPr>
            <w:r>
              <w:rPr/>
              <w:t>​</w:t>
            </w:r>
          </w:p>
        </w:tc>
        <w:tc>
          <w:tcPr>
            <w:tcW w:w="1651" w:type="dxa"/>
            <w:tcBorders/>
            <w:vAlign w:val="center"/>
          </w:tcPr>
          <w:p>
            <w:pPr>
              <w:pStyle w:val="TableContents"/>
              <w:bidi w:val="0"/>
              <w:spacing w:lineRule="atLeast" w:line="160" w:before="0" w:after="0"/>
              <w:ind w:left="0" w:right="0" w:hanging="0"/>
              <w:jc w:val="center"/>
              <w:rPr/>
            </w:pPr>
            <w:r>
              <w:rPr/>
              <w:t>​</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1411 Sand Island Parkway</w:t>
            </w:r>
          </w:p>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Honolulu, HI</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96819</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(808) 848-1211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lineRule="atLeast" w:line="160" w:before="0" w:after="0"/>
        <w:ind w:left="0" w:right="0" w:hanging="0"/>
        <w:jc w:val="center"/>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Ev741I7X2kaG_92efIEr5g_1_2"/>
      <w:bookmarkStart w:id="14" w:name="Tc_6mgAnhYjjUOC7FCKopT8_Q_1_1"/>
      <w:bookmarkStart w:id="15" w:name="Tc__pzM2lmDVkuXbqt01AHi9Q_1_0"/>
      <w:bookmarkStart w:id="16" w:name="_9ec5e65e_c459_445f_8eeb_4921fa4e128f"/>
      <w:bookmarkStart w:id="17" w:name="Tc_Ev741I7X2kaG_92efIEr5g_1_2"/>
      <w:bookmarkStart w:id="18" w:name="Tc_6mgAnhYjjUOC7FCKopT8_Q_1_1"/>
      <w:bookmarkStart w:id="19" w:name="Tc__pzM2lmDVkuXbqt01AHi9Q_1_0"/>
      <w:bookmarkStart w:id="20" w:name="_9ec5e65e_c459_445f_8eeb_4921fa4e128f"/>
      <w:bookmarkEnd w:id="17"/>
      <w:bookmarkEnd w:id="18"/>
      <w:bookmarkEnd w:id="19"/>
      <w:bookmarkEnd w:id="20"/>
    </w:p>
    <w:tbl>
      <w:tblPr>
        <w:tblW w:w="8223" w:type="dxa"/>
        <w:jc w:val="left"/>
        <w:tblInd w:w="0" w:type="dxa"/>
        <w:tblLayout w:type="fixed"/>
        <w:tblCellMar>
          <w:top w:w="0" w:type="dxa"/>
          <w:left w:w="0" w:type="dxa"/>
          <w:bottom w:w="0" w:type="dxa"/>
          <w:right w:w="0" w:type="dxa"/>
        </w:tblCellMar>
      </w:tblPr>
      <w:tblGrid>
        <w:gridCol w:w="2896"/>
        <w:gridCol w:w="1621"/>
        <w:gridCol w:w="37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without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MATX</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60" w:before="0" w:after="0"/>
        <w:ind w:left="0" w:right="0" w:hanging="0"/>
        <w:jc w:val="left"/>
        <w:rPr/>
      </w:pPr>
      <w:r>
        <w:rPr/>
        <w: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lineRule="atLeast" w:line="142" w:before="0" w:after="0"/>
              <w:ind w:left="0" w:right="0" w:hanging="0"/>
              <w:jc w:val="left"/>
              <w:rPr/>
            </w:pPr>
            <w:r>
              <w:rPr/>
              <w:t>​</w:t>
            </w:r>
          </w:p>
        </w:tc>
        <w:tc>
          <w:tcPr>
            <w:tcW w:w="2581" w:type="dxa"/>
            <w:tcBorders/>
            <w:vAlign w:val="center"/>
          </w:tcPr>
          <w:p>
            <w:pPr>
              <w:pStyle w:val="TableContents"/>
              <w:bidi w:val="0"/>
              <w:spacing w:lineRule="atLeast" w:line="142" w:before="0" w:after="0"/>
              <w:ind w:left="0" w:right="0" w:hanging="0"/>
              <w:jc w:val="left"/>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center"/>
        <w:rPr/>
      </w:pPr>
      <w:r>
        <w:rPr/>
        <w:t>​</w:t>
      </w:r>
    </w:p>
    <w:p>
      <w:pPr>
        <w:pStyle w:val="TextBody"/>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Number of shares of common stock outstanding as of March 31, 2026: 30,263,281</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c802b730_3cc0_4de7_9420_d091ccdfc060"/>
      <w:bookmarkEnd w:id="21"/>
      <w:r>
        <w:rPr>
          <w:rFonts w:ascii="Times New Roman;Times;serif" w:hAnsi="Times New Roman;Times;serif"/>
          <w:b/>
          <w:sz w:val="20"/>
        </w:rPr>
        <w:t>MATSON, INC. AND SUBSIDIARIES</w:t>
      </w:r>
    </w:p>
    <w:p>
      <w:pPr>
        <w:pStyle w:val="TextBody"/>
        <w:shd w:fill="FFFFFF" w:val="clear"/>
        <w:bidi w:val="0"/>
        <w:spacing w:before="24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shd w:fill="FFFFFF" w:val="clear"/>
        <w:bidi w:val="0"/>
        <w:spacing w:before="0" w:after="0"/>
        <w:ind w:left="0" w:right="0" w:hanging="0"/>
        <w:jc w:val="center"/>
        <w:rPr/>
      </w:pPr>
      <w:r>
        <w:rPr/>
        <w:t>​</w:t>
      </w:r>
    </w:p>
    <w:tbl>
      <w:tblPr>
        <w:tblW w:w="8944" w:type="dxa"/>
        <w:jc w:val="left"/>
        <w:tblInd w:w="0" w:type="dxa"/>
        <w:tblLayout w:type="fixed"/>
        <w:tblCellMar>
          <w:top w:w="0" w:type="dxa"/>
          <w:left w:w="0" w:type="dxa"/>
          <w:bottom w:w="0" w:type="dxa"/>
          <w:right w:w="0" w:type="dxa"/>
        </w:tblCellMar>
      </w:tblPr>
      <w:tblGrid>
        <w:gridCol w:w="811"/>
        <w:gridCol w:w="7366"/>
        <w:gridCol w:w="226"/>
        <w:gridCol w:w="541"/>
      </w:tblGrid>
      <w:tr>
        <w:trPr/>
        <w:tc>
          <w:tcPr>
            <w:tcW w:w="811" w:type="dxa"/>
            <w:tcBorders/>
            <w:shd w:fill="FFFFFF" w:val="clear"/>
            <w:vAlign w:val="center"/>
          </w:tcPr>
          <w:p>
            <w:pPr>
              <w:pStyle w:val="TableContents"/>
              <w:bidi w:val="0"/>
              <w:spacing w:lineRule="atLeast" w:line="240" w:before="0" w:after="0"/>
              <w:ind w:left="0" w:right="0" w:hanging="0"/>
              <w:jc w:val="left"/>
              <w:rPr/>
            </w:pPr>
            <w:r>
              <w:rPr/>
              <w:t>​</w:t>
            </w:r>
          </w:p>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26" w:type="dxa"/>
            <w:tcBorders/>
            <w:shd w:fill="FFFFFF" w:val="clear"/>
            <w:vAlign w:val="center"/>
          </w:tcPr>
          <w:p>
            <w:pPr>
              <w:pStyle w:val="TableContents"/>
              <w:bidi w:val="0"/>
              <w:spacing w:lineRule="atLeast" w:line="240"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77" w:type="dxa"/>
            <w:gridSpan w:val="2"/>
            <w:tcBorders/>
            <w:shd w:fill="FFFFFF" w:val="clear"/>
            <w:vAlign w:val="center"/>
          </w:tcPr>
          <w:p>
            <w:pPr>
              <w:pStyle w:val="TableContents"/>
              <w:pBdr/>
              <w:bidi w:val="0"/>
              <w:spacing w:lineRule="atLeast" w:line="240" w:before="0" w:after="0"/>
              <w:ind w:left="0" w:right="0" w:hanging="0"/>
              <w:jc w:val="left"/>
              <w:rPr/>
            </w:pPr>
            <w:hyperlink w:anchor="PART_I_FINANCIAL_INFORMATION">
              <w:r>
                <w:rPr>
                  <w:rStyle w:val="InternetLink"/>
                  <w:rFonts w:ascii="Times New Roman;Times;serif" w:hAnsi="Times New Roman;Times;serif"/>
                  <w:b w:val="false"/>
                  <w:i w:val="false"/>
                  <w:caps w:val="false"/>
                  <w:smallCaps w:val="false"/>
                  <w:sz w:val="20"/>
                  <w:shd w:fill="FFFFFF" w:val="clear"/>
                </w:rPr>
                <w:t>Part I—FINANCIAL INFORMATION</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top w:val="single" w:sz="2" w:space="0" w:color="000000"/>
            </w:tcBorders>
            <w:shd w:fill="FFFFFF" w:val="clear"/>
            <w:tcMar>
              <w:top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lineRule="atLeast" w:line="240" w:before="0" w:after="0"/>
              <w:ind w:left="0" w:right="0" w:hanging="0"/>
              <w:jc w:val="left"/>
              <w:rPr/>
            </w:pPr>
            <w:r>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left"/>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shd w:fill="FFFFFF" w:val="clear"/>
                </w:rPr>
                <w:t>Financial Statements (Unaudited)</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Consolidated_Statements_of_Income">
              <w:r>
                <w:rPr>
                  <w:rStyle w:val="InternetLink"/>
                  <w:rFonts w:ascii="Times New Roman;Times;serif" w:hAnsi="Times New Roman;Times;serif"/>
                  <w:b w:val="false"/>
                  <w:i w:val="false"/>
                  <w:caps w:val="false"/>
                  <w:smallCaps w:val="false"/>
                  <w:sz w:val="20"/>
                  <w:shd w:fill="FFFFFF" w:val="clear"/>
                </w:rPr>
                <w:t>Condensed Consolidated Statements of Income and Comprehensive Income</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ConsolidatedBalanceSheets_846706">
              <w:r>
                <w:rPr>
                  <w:rStyle w:val="InternetLink"/>
                  <w:rFonts w:ascii="Times New Roman;Times;serif" w:hAnsi="Times New Roman;Times;serif"/>
                  <w:b w:val="false"/>
                  <w:i w:val="false"/>
                  <w:caps w:val="false"/>
                  <w:smallCaps w:val="false"/>
                  <w:sz w:val="20"/>
                  <w:shd w:fill="FFFFFF" w:val="clear"/>
                </w:rPr>
                <w:t>Condensed Consolidated Balance Sheets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StatementsofCashFlows_473640">
              <w:r>
                <w:rPr>
                  <w:rStyle w:val="InternetLink"/>
                  <w:rFonts w:ascii="Times New Roman;Times;serif" w:hAnsi="Times New Roman;Times;serif"/>
                  <w:b w:val="false"/>
                  <w:i w:val="false"/>
                  <w:caps w:val="false"/>
                  <w:smallCaps w:val="false"/>
                  <w:sz w:val="20"/>
                  <w:shd w:fill="FFFFFF" w:val="clear"/>
                </w:rPr>
                <w:t>Condensed Consolidated Statements of Cash Flows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StatementsofShareholdersEquity">
              <w:r>
                <w:rPr>
                  <w:rStyle w:val="InternetLink"/>
                  <w:rFonts w:ascii="Times New Roman;Times;serif" w:hAnsi="Times New Roman;Times;serif"/>
                  <w:b w:val="false"/>
                  <w:i w:val="false"/>
                  <w:caps w:val="false"/>
                  <w:smallCaps w:val="false"/>
                  <w:sz w:val="20"/>
                  <w:shd w:fill="FFFFFF" w:val="clear"/>
                </w:rPr>
                <w:t>Condensed Consolidated Statements of Shareholders’ Equity</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NOTESTOTHECONDENSEDCONSOLIDATEDFINANICAL">
              <w:r>
                <w:rPr>
                  <w:rStyle w:val="InternetLink"/>
                  <w:rFonts w:ascii="Times New Roman;Times;serif" w:hAnsi="Times New Roman;Times;serif"/>
                  <w:b w:val="false"/>
                  <w:i w:val="false"/>
                  <w:caps w:val="false"/>
                  <w:smallCaps w:val="false"/>
                  <w:sz w:val="20"/>
                  <w:shd w:fill="FFFFFF" w:val="clear"/>
                </w:rPr>
                <w:t>Notes to the Condensed Consolidated Financial Statements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shd w:fill="FFFFFF" w:val="clear"/>
                </w:rPr>
                <w:t>Management’s Discussion and Analysis of Financial Condition and Results of Operations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shd w:fill="FFFFFF" w:val="clear"/>
                </w:rPr>
                <w:t>Quantitative and Qualitative Disclosures about Market Risk</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shd w:fill="FFFFFF" w:val="clear"/>
                </w:rPr>
                <w:t>Controls and Procedures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7366"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226" w:type="dxa"/>
            <w:tcBorders/>
            <w:shd w:fill="FFFFFF" w:val="clear"/>
            <w:vAlign w:val="center"/>
          </w:tcPr>
          <w:p>
            <w:pPr>
              <w:pStyle w:val="TableContents"/>
              <w:bidi w:val="0"/>
              <w:spacing w:lineRule="atLeast" w:line="240" w:before="0" w:after="0"/>
              <w:ind w:left="0" w:right="0" w:hanging="0"/>
              <w:jc w:val="right"/>
              <w:rPr>
                <w:shd w:fill="FFFF00" w:val="clear"/>
              </w:rPr>
            </w:pPr>
            <w:r>
              <w:rPr>
                <w:shd w:fill="FFFF00" w:val="clear"/>
              </w:rPr>
              <w:t>​</w:t>
            </w:r>
          </w:p>
        </w:tc>
        <w:tc>
          <w:tcPr>
            <w:tcW w:w="541" w:type="dxa"/>
            <w:tcBorders/>
            <w:shd w:fill="FFFFFF" w:val="clear"/>
            <w:vAlign w:val="center"/>
          </w:tcPr>
          <w:p>
            <w:pPr>
              <w:pStyle w:val="TableContents"/>
              <w:bidi w:val="0"/>
              <w:spacing w:lineRule="atLeast" w:line="240" w:before="0" w:after="0"/>
              <w:ind w:left="0" w:right="0" w:hanging="0"/>
              <w:jc w:val="center"/>
              <w:rPr>
                <w:shd w:fill="FFFF00" w:val="clear"/>
              </w:rPr>
            </w:pPr>
            <w:r>
              <w:rPr>
                <w:shd w:fill="FFFF00" w:val="clear"/>
              </w:rPr>
              <w:t>​</w:t>
            </w:r>
          </w:p>
        </w:tc>
      </w:tr>
      <w:tr>
        <w:trPr/>
        <w:tc>
          <w:tcPr>
            <w:tcW w:w="8177" w:type="dxa"/>
            <w:gridSpan w:val="2"/>
            <w:tcBorders/>
            <w:shd w:fill="FFFFFF" w:val="clear"/>
            <w:vAlign w:val="center"/>
          </w:tcPr>
          <w:p>
            <w:pPr>
              <w:pStyle w:val="TableContents"/>
              <w:pBdr/>
              <w:bidi w:val="0"/>
              <w:spacing w:lineRule="atLeast" w:line="240" w:before="0" w:after="0"/>
              <w:ind w:left="0" w:right="0" w:hanging="0"/>
              <w:jc w:val="left"/>
              <w:rPr/>
            </w:pPr>
            <w:hyperlink w:anchor="PARTIIOTHERINFORMATION_744928">
              <w:r>
                <w:rPr>
                  <w:rStyle w:val="InternetLink"/>
                  <w:rFonts w:ascii="Times New Roman;Times;serif" w:hAnsi="Times New Roman;Times;serif"/>
                  <w:b w:val="false"/>
                  <w:i w:val="false"/>
                  <w:caps w:val="false"/>
                  <w:smallCaps w:val="false"/>
                  <w:sz w:val="20"/>
                  <w:shd w:fill="FFFFFF" w:val="clear"/>
                </w:rPr>
                <w:t>Part II—OTHER INFORMATION</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r>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shd w:fill="FFFFFF" w:val="clear"/>
                </w:rPr>
                <w:t>Legal Proceedings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rPr>
                <w:t>Item 1A.</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shd w:fill="FFFFFF" w:val="clear"/>
                </w:rPr>
                <w:t>Risk Factors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shd w:fill="FFFFFF" w:val="clear"/>
                </w:rPr>
                <w:t>Unregistered Sales of Equity Securities and Use of Proceeds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shd w:fill="FFFFFF" w:val="clear"/>
                </w:rPr>
                <w:t>Defaults Upon Senior Securities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shd w:fill="FFFFFF" w:val="clear"/>
                </w:rPr>
                <w:t>Mine Safety Disclosures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rPr>
                <w:t>Item 5.</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shd w:fill="FFFFFF" w:val="clear"/>
                </w:rPr>
                <w:t>Other Information</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rPr>
                <w:t>Item 6.</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shd w:fill="FFFFFF" w:val="clear"/>
                </w:rPr>
                <w:t>Exhibits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SIGNATURES_841218">
              <w:r>
                <w:rPr>
                  <w:rStyle w:val="InternetLink"/>
                  <w:rFonts w:ascii="Times New Roman;Times;serif" w:hAnsi="Times New Roman;Times;serif"/>
                  <w:b w:val="false"/>
                  <w:i w:val="false"/>
                  <w:caps w:val="false"/>
                  <w:smallCaps w:val="false"/>
                  <w:sz w:val="20"/>
                  <w:shd w:fill="FFFFFF" w:val="clear"/>
                </w:rPr>
                <w:t>Signatures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PART_I_FINANCIAL_INFORMATION"/>
      <w:bookmarkStart w:id="24" w:name="_2bb83c36_231f_449e_9ce7_4d98eda016f0"/>
      <w:bookmarkEnd w:id="23"/>
      <w:bookmarkEnd w:id="24"/>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25" w:name="ITEM_1_FINANCIAL_STATEMENTS"/>
      <w:bookmarkEnd w:id="25"/>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6" w:name="Consolidated_Statements_of_Income"/>
      <w:bookmarkEnd w:id="26"/>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 w:name="Tc_dyQI60iwL0mAAJ_rrUK4-g_36_0"/>
      <w:bookmarkStart w:id="28" w:name="Tc_mjIJKSm5VUiXhblcoFgb4Q_35_0"/>
      <w:bookmarkStart w:id="29" w:name="Tc_j9b1ynJhUE6h0JDOkxmTkA_34_0"/>
      <w:bookmarkStart w:id="30" w:name="Tc_h-yyqrKGGkeu9RqC3Nmm3w_32_5"/>
      <w:bookmarkStart w:id="31" w:name="Tc_y8Q9T3V7nkOSJCMySYl_Uw_32_2"/>
      <w:bookmarkStart w:id="32" w:name="Tc_cl7gLePvFUeiroJ6_lo90g_32_0"/>
      <w:bookmarkStart w:id="33" w:name="Tc__FtlX1RR3k-Ej4XFUJ-p8g_31_5"/>
      <w:bookmarkStart w:id="34" w:name="Tc_dNrPH96WkU2eNbw2L0sK_A_31_2"/>
      <w:bookmarkStart w:id="35" w:name="Tc_OXHzB5o2MkWnxdT0zdUI-w_31_0"/>
      <w:bookmarkStart w:id="36" w:name="Tc_qzZH888fP0qumD6ftjpOoA_29_5"/>
      <w:bookmarkStart w:id="37" w:name="Tc_cTwVIreyyUGtqFlBNKmKqg_29_2"/>
      <w:bookmarkStart w:id="38" w:name="Tc_m6GidtzKcEywKW27ALbbAg_29_0"/>
      <w:bookmarkStart w:id="39" w:name="Tc_zpQQDp5xmUCdhVN-iEU00A_28_0"/>
      <w:bookmarkStart w:id="40" w:name="Tc_4GpypFXhzkiA6vl3pqYcPg_27_3"/>
      <w:bookmarkStart w:id="41" w:name="Tc_VJzy2bv120eoxu_inaHwqA_27_0"/>
      <w:bookmarkStart w:id="42" w:name="Tc_7bkNPxJ10E6ZD3X40BoxPg_26_0"/>
      <w:bookmarkStart w:id="43" w:name="Tc_UH0fKersYEinGtBq2YwNGg_25_0"/>
      <w:bookmarkStart w:id="44" w:name="Tc_2xOEaQxdJ0qdelC-9BhvdA_24_5"/>
      <w:bookmarkStart w:id="45" w:name="Tc_26ipbZL7h0eUHJOmPoGiXA_24_2"/>
      <w:bookmarkStart w:id="46" w:name="Tc_GHmMm2NW1U-g-XkQzlH8gg_24_0"/>
      <w:bookmarkStart w:id="47" w:name="Tc_5kVWVj5vy0C6nNfVgkpLyg_23_0"/>
      <w:bookmarkStart w:id="48" w:name="Tc_PtuXLcriM0KRaUV_vvzqwA_21_5"/>
      <w:bookmarkStart w:id="49" w:name="Tc_O4DX3yH__UaJHifUnd4bvg_21_2"/>
      <w:bookmarkStart w:id="50" w:name="Tc_ih_RWAPIyU-J0_lJ8rv60g_21_0"/>
      <w:bookmarkStart w:id="51" w:name="Tc_9kdHHA_iBkewTVFUcsDyxA_20_0"/>
      <w:bookmarkStart w:id="52" w:name="Tc_owY8_evkbESLyJyiMoaj1Q_19_0"/>
      <w:bookmarkStart w:id="53" w:name="Tc_A-RVOOyAmUyhMrpPFsXvnA_18_0"/>
      <w:bookmarkStart w:id="54" w:name="Tc_LGMzSaz4LE6wpmetJ2-A4Q_17_0"/>
      <w:bookmarkStart w:id="55" w:name="Tc_r2oK75ADRUWj1FLlxIa94A_16_0"/>
      <w:bookmarkStart w:id="56" w:name="Tc_j2bcQXC0Ykq6_oNqLdbPdg_15_0"/>
      <w:bookmarkStart w:id="57" w:name="Tc_-N6Y3l4pcUij133l1G_S6Q_13_0"/>
      <w:bookmarkStart w:id="58" w:name="Tc_UnLfyEitd0Kg14Jgozd7bg_12_0"/>
      <w:bookmarkStart w:id="59" w:name="Tc_JLjxB6PSt0mamOSY7qhU9g_11_0"/>
      <w:bookmarkStart w:id="60" w:name="Tc_W3hL789DIEO6WOzqELGiKQ_10_0"/>
      <w:bookmarkStart w:id="61" w:name="Tc_FvRFV1KkEEeqLYgKHplyFQ_9_0"/>
      <w:bookmarkStart w:id="62" w:name="Tc_r8wmsnSwUE6u64Y8me8pAg_7_0"/>
      <w:bookmarkStart w:id="63" w:name="Tc_0OwQbHJm9EWUp-jwq4jDNA_6_0"/>
      <w:bookmarkStart w:id="64" w:name="Tc_GnkjxHtrwUqh_qtJnmS0Cw_5_5"/>
      <w:bookmarkStart w:id="65" w:name="Tc_Q7vxGVdCWkG8WLn0S_3voQ_5_2"/>
      <w:bookmarkStart w:id="66" w:name="Tc_ZZOxad_Q7UWl2SL4iR948g_5_0"/>
      <w:bookmarkStart w:id="67" w:name="Tc_dQh2LGaLAkGb5-hspf9Oog_4_0"/>
      <w:bookmarkStart w:id="68" w:name="Tc_lcAnjgIvtEuvjDlCXfnEsw_3_5"/>
      <w:bookmarkStart w:id="69" w:name="Tc_mv7njV_cS0OnWWIiF0ab0A_3_2"/>
      <w:bookmarkStart w:id="70" w:name="Tc_HUyAUdBiA0u84gEPx_ELrA_3_0"/>
      <w:bookmarkStart w:id="71" w:name="Tc_zYWe01EACkSMbGFdkrIwZw_2_2"/>
      <w:bookmarkStart w:id="72" w:name="Tc_lUPiUBmtY0GogYtUS8fOGA_1_2"/>
      <w:bookmarkStart w:id="73" w:name="_40632128_9b38_41f2_99c4_634cee63da95"/>
      <w:bookmarkStart w:id="74" w:name="Tc_dyQI60iwL0mAAJ_rrUK4-g_36_0"/>
      <w:bookmarkStart w:id="75" w:name="Tc_mjIJKSm5VUiXhblcoFgb4Q_35_0"/>
      <w:bookmarkStart w:id="76" w:name="Tc_j9b1ynJhUE6h0JDOkxmTkA_34_0"/>
      <w:bookmarkStart w:id="77" w:name="Tc_h-yyqrKGGkeu9RqC3Nmm3w_32_5"/>
      <w:bookmarkStart w:id="78" w:name="Tc_y8Q9T3V7nkOSJCMySYl_Uw_32_2"/>
      <w:bookmarkStart w:id="79" w:name="Tc_cl7gLePvFUeiroJ6_lo90g_32_0"/>
      <w:bookmarkStart w:id="80" w:name="Tc__FtlX1RR3k-Ej4XFUJ-p8g_31_5"/>
      <w:bookmarkStart w:id="81" w:name="Tc_dNrPH96WkU2eNbw2L0sK_A_31_2"/>
      <w:bookmarkStart w:id="82" w:name="Tc_OXHzB5o2MkWnxdT0zdUI-w_31_0"/>
      <w:bookmarkStart w:id="83" w:name="Tc_qzZH888fP0qumD6ftjpOoA_29_5"/>
      <w:bookmarkStart w:id="84" w:name="Tc_cTwVIreyyUGtqFlBNKmKqg_29_2"/>
      <w:bookmarkStart w:id="85" w:name="Tc_m6GidtzKcEywKW27ALbbAg_29_0"/>
      <w:bookmarkStart w:id="86" w:name="Tc_zpQQDp5xmUCdhVN-iEU00A_28_0"/>
      <w:bookmarkStart w:id="87" w:name="Tc_4GpypFXhzkiA6vl3pqYcPg_27_3"/>
      <w:bookmarkStart w:id="88" w:name="Tc_VJzy2bv120eoxu_inaHwqA_27_0"/>
      <w:bookmarkStart w:id="89" w:name="Tc_7bkNPxJ10E6ZD3X40BoxPg_26_0"/>
      <w:bookmarkStart w:id="90" w:name="Tc_UH0fKersYEinGtBq2YwNGg_25_0"/>
      <w:bookmarkStart w:id="91" w:name="Tc_2xOEaQxdJ0qdelC-9BhvdA_24_5"/>
      <w:bookmarkStart w:id="92" w:name="Tc_26ipbZL7h0eUHJOmPoGiXA_24_2"/>
      <w:bookmarkStart w:id="93" w:name="Tc_GHmMm2NW1U-g-XkQzlH8gg_24_0"/>
      <w:bookmarkStart w:id="94" w:name="Tc_5kVWVj5vy0C6nNfVgkpLyg_23_0"/>
      <w:bookmarkStart w:id="95" w:name="Tc_PtuXLcriM0KRaUV_vvzqwA_21_5"/>
      <w:bookmarkStart w:id="96" w:name="Tc_O4DX3yH__UaJHifUnd4bvg_21_2"/>
      <w:bookmarkStart w:id="97" w:name="Tc_ih_RWAPIyU-J0_lJ8rv60g_21_0"/>
      <w:bookmarkStart w:id="98" w:name="Tc_9kdHHA_iBkewTVFUcsDyxA_20_0"/>
      <w:bookmarkStart w:id="99" w:name="Tc_owY8_evkbESLyJyiMoaj1Q_19_0"/>
      <w:bookmarkStart w:id="100" w:name="Tc_A-RVOOyAmUyhMrpPFsXvnA_18_0"/>
      <w:bookmarkStart w:id="101" w:name="Tc_LGMzSaz4LE6wpmetJ2-A4Q_17_0"/>
      <w:bookmarkStart w:id="102" w:name="Tc_r2oK75ADRUWj1FLlxIa94A_16_0"/>
      <w:bookmarkStart w:id="103" w:name="Tc_j2bcQXC0Ykq6_oNqLdbPdg_15_0"/>
      <w:bookmarkStart w:id="104" w:name="Tc_-N6Y3l4pcUij133l1G_S6Q_13_0"/>
      <w:bookmarkStart w:id="105" w:name="Tc_UnLfyEitd0Kg14Jgozd7bg_12_0"/>
      <w:bookmarkStart w:id="106" w:name="Tc_JLjxB6PSt0mamOSY7qhU9g_11_0"/>
      <w:bookmarkStart w:id="107" w:name="Tc_W3hL789DIEO6WOzqELGiKQ_10_0"/>
      <w:bookmarkStart w:id="108" w:name="Tc_FvRFV1KkEEeqLYgKHplyFQ_9_0"/>
      <w:bookmarkStart w:id="109" w:name="Tc_r8wmsnSwUE6u64Y8me8pAg_7_0"/>
      <w:bookmarkStart w:id="110" w:name="Tc_0OwQbHJm9EWUp-jwq4jDNA_6_0"/>
      <w:bookmarkStart w:id="111" w:name="Tc_GnkjxHtrwUqh_qtJnmS0Cw_5_5"/>
      <w:bookmarkStart w:id="112" w:name="Tc_Q7vxGVdCWkG8WLn0S_3voQ_5_2"/>
      <w:bookmarkStart w:id="113" w:name="Tc_ZZOxad_Q7UWl2SL4iR948g_5_0"/>
      <w:bookmarkStart w:id="114" w:name="Tc_dQh2LGaLAkGb5-hspf9Oog_4_0"/>
      <w:bookmarkStart w:id="115" w:name="Tc_lcAnjgIvtEuvjDlCXfnEsw_3_5"/>
      <w:bookmarkStart w:id="116" w:name="Tc_mv7njV_cS0OnWWIiF0ab0A_3_2"/>
      <w:bookmarkStart w:id="117" w:name="Tc_HUyAUdBiA0u84gEPx_ELrA_3_0"/>
      <w:bookmarkStart w:id="118" w:name="Tc_zYWe01EACkSMbGFdkrIwZw_2_2"/>
      <w:bookmarkStart w:id="119" w:name="Tc_lUPiUBmtY0GogYtUS8fOGA_1_2"/>
      <w:bookmarkStart w:id="120" w:name="_40632128_9b38_41f2_99c4_634cee63da95"/>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tbl>
      <w:tblPr>
        <w:tblW w:w="7852" w:type="dxa"/>
        <w:jc w:val="left"/>
        <w:tblInd w:w="0" w:type="dxa"/>
        <w:tblLayout w:type="fixed"/>
        <w:tblCellMar>
          <w:top w:w="0" w:type="dxa"/>
          <w:left w:w="0" w:type="dxa"/>
          <w:bottom w:w="0" w:type="dxa"/>
          <w:right w:w="0" w:type="dxa"/>
        </w:tblCellMar>
      </w:tblPr>
      <w:tblGrid>
        <w:gridCol w:w="5311"/>
        <w:gridCol w:w="346"/>
        <w:gridCol w:w="211"/>
        <w:gridCol w:w="691"/>
        <w:gridCol w:w="346"/>
        <w:gridCol w:w="211"/>
        <w:gridCol w:w="736"/>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372485" cy="175260"/>
                      <wp:effectExtent l="0" t="0" r="0" b="0"/>
                      <wp:wrapNone/>
                      <wp:docPr id="1" name="Frame1"/>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8785" cy="175260"/>
                      <wp:effectExtent l="0" t="0" r="0" b="0"/>
                      <wp:wrapNone/>
                      <wp:docPr id="4" name="Frame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67360" cy="175260"/>
                      <wp:effectExtent l="0" t="0" r="0" b="0"/>
                      <wp:wrapNone/>
                      <wp:docPr id="7" name="Frame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637.4</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782.0</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(631.1)</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SSAT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(699.9)</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Net of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pension and post-retirement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5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1" w:name="_dee1004e_e234_4106_abb9_900075f8c350"/>
      <w:bookmarkEnd w:id="121"/>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122" w:name="ConsolidatedBalanceSheets_846706"/>
      <w:bookmarkEnd w:id="122"/>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23" w:name="Tc_EMngzItOcEeuDf8flCfvhQ_41_5"/>
      <w:bookmarkStart w:id="124" w:name="Tc_KyOkntVmFEC8pQ_vfaMufQ_41_2"/>
      <w:bookmarkStart w:id="125" w:name="Tc_MDygyceB0kahWyGboBYh3Q_41_0"/>
      <w:bookmarkStart w:id="126" w:name="Tc_XQfFN1Y9m0WQi7RlsllG5w_40_0"/>
      <w:bookmarkStart w:id="127" w:name="Tc_mv38jAm6T0eo2mI92I9l-g_39_0"/>
      <w:bookmarkStart w:id="128" w:name="Tc_u8Fe6xKvVUaGgtQvRX7CuQ_38_0"/>
      <w:bookmarkStart w:id="129" w:name="Tc_oQVH9jgajUWhs8ijjRJvww_37_0"/>
      <w:bookmarkStart w:id="130" w:name="Tc_5u5ly1cFtkaHutTTpN8uwg_36_0"/>
      <w:bookmarkStart w:id="131" w:name="Tc_kkwTt60Ik0CFfIXYs-8_QQ_35_0"/>
      <w:bookmarkStart w:id="132" w:name="Tc_2oHwEksn40yyO7LzH1lNUA_34_0"/>
      <w:bookmarkStart w:id="133" w:name="Tc_ZxsnF5GEzkmalFiMyY1uUQ_33_0"/>
      <w:bookmarkStart w:id="134" w:name="Tc_oPlHQSYOh0-plmFImnqzfQ_32_0"/>
      <w:bookmarkStart w:id="135" w:name="Tc_E-s7r7LiakajiT_SSJqmTA_31_0"/>
      <w:bookmarkStart w:id="136" w:name="Tc_oWqJpyv6YEasQFM8L3radg_30_0"/>
      <w:bookmarkStart w:id="137" w:name="Tc_8OBaRHJ8NkSPBx9VoC-eMw_29_0"/>
      <w:bookmarkStart w:id="138" w:name="Tc_G2NoBBRbaEuidBiMZLyJIA_28_0"/>
      <w:bookmarkStart w:id="139" w:name="Tc_Q69rp_4veEi3sXkaFFnXDg_27_0"/>
      <w:bookmarkStart w:id="140" w:name="Tc_mShjPE2-n0urwppNqBlldg_26_0"/>
      <w:bookmarkStart w:id="141" w:name="Tc_dUXZpi0zk0axv0dfdMpRmQ_25_0"/>
      <w:bookmarkStart w:id="142" w:name="Tc_D4F91OueNkeFUa_g03zpmw_24_0"/>
      <w:bookmarkStart w:id="143" w:name="Tc_dampLjbQ10iS2O3exEjNKQ_23_5"/>
      <w:bookmarkStart w:id="144" w:name="Tc_rZBacmmIG0-sI_pfL87IIg_23_2"/>
      <w:bookmarkStart w:id="145" w:name="Tc_CNuECrBevEqh7IStFM3ygg_23_0"/>
      <w:bookmarkStart w:id="146" w:name="Tc_WB4ZyMiWmkG_8CNWpBlGfg_22_0"/>
      <w:bookmarkStart w:id="147" w:name="Tc_I8kI4NQhqkiRW7jqf3DzWg_21_0"/>
      <w:bookmarkStart w:id="148" w:name="Tc_YjkdwpB6ZUarqL8UNaWOuQ_19_5"/>
      <w:bookmarkStart w:id="149" w:name="Tc_WGxl0brxVU6jCMGEMdaZtw_19_2"/>
      <w:bookmarkStart w:id="150" w:name="Tc_ALPqFMX7d0S2_0Mb9DiXmA_19_0"/>
      <w:bookmarkStart w:id="151" w:name="Tc_5XXhdz1FskWbf715SBrFOg_18_0"/>
      <w:bookmarkStart w:id="152" w:name="Tc_kI1uo7Lh2kyelhPTXgdd5w_17_0"/>
      <w:bookmarkStart w:id="153" w:name="Tc_ef_FpnwF_EqCnNoBZjzKxw_16_0"/>
      <w:bookmarkStart w:id="154" w:name="Tc_qv1ledlfYEqNWVXtuHRoRQ_15_0"/>
      <w:bookmarkStart w:id="155" w:name="Tc_sJH3gg5cn0K6TkzSGDHX2g_14_0"/>
      <w:bookmarkStart w:id="156" w:name="Tc_av8P7KV56Uao01FIZ6auhg_13_0"/>
      <w:bookmarkStart w:id="157" w:name="Tc_LrV6bomJhEK1rzf-f5y5iw_12_0"/>
      <w:bookmarkStart w:id="158" w:name="Tc__dL4iCFxXEiT9JE20gEpMg_11_0"/>
      <w:bookmarkStart w:id="159" w:name="Tc_zTz5CZXpMk-lXevQ-h9trA_10_0"/>
      <w:bookmarkStart w:id="160" w:name="Tc_Wl9I1HamdUCfPxtD5_vYtQ_9_0"/>
      <w:bookmarkStart w:id="161" w:name="Tc_6By7f6sQMUqjEAIZzfz7sg_8_0"/>
      <w:bookmarkStart w:id="162" w:name="Tc_ygs9MmRPtkOQlvbm7XEuKA_7_0"/>
      <w:bookmarkStart w:id="163" w:name="Tc_OlTDF2m5x0Wssv23YpJiGQ_6_0"/>
      <w:bookmarkStart w:id="164" w:name="Tc_pQosJLBKH0GA2Xs2rg4gzw_5_5"/>
      <w:bookmarkStart w:id="165" w:name="Tc_FZTfukYSDEqTDtcO5Q0IzQ_5_2"/>
      <w:bookmarkStart w:id="166" w:name="Tc_MDuidRfcHESlGxfXKWRkSQ_5_0"/>
      <w:bookmarkStart w:id="167" w:name="Tc_ishNmhg_-kOdk_GoCrhnsQ_4_0"/>
      <w:bookmarkStart w:id="168" w:name="Tc_Cwc7rhJRx0-s062xHTNMtA_3_0"/>
      <w:bookmarkStart w:id="169" w:name="Tc_3zXhAJrOSUGFAgaNgBBLzw_2_5"/>
      <w:bookmarkStart w:id="170" w:name="Tc_9U7Vw0ZFxkixrCdAthNlKA_2_2"/>
      <w:bookmarkStart w:id="171" w:name="Tc_z4-BAFGb4kGtRZHDlwn53g_2_0"/>
      <w:bookmarkStart w:id="172" w:name="Tc_oKgHC32NMEeTnuG9EcOslw_1_5"/>
      <w:bookmarkStart w:id="173" w:name="Tc_-DhddOyYykKntRASyWG2Lw_1_2"/>
      <w:bookmarkStart w:id="174" w:name="_4e639415_3bef_4e1f_89c3_54bf7449adc0"/>
      <w:bookmarkStart w:id="175" w:name="Tc_EMngzItOcEeuDf8flCfvhQ_41_5"/>
      <w:bookmarkStart w:id="176" w:name="Tc_KyOkntVmFEC8pQ_vfaMufQ_41_2"/>
      <w:bookmarkStart w:id="177" w:name="Tc_MDygyceB0kahWyGboBYh3Q_41_0"/>
      <w:bookmarkStart w:id="178" w:name="Tc_XQfFN1Y9m0WQi7RlsllG5w_40_0"/>
      <w:bookmarkStart w:id="179" w:name="Tc_mv38jAm6T0eo2mI92I9l-g_39_0"/>
      <w:bookmarkStart w:id="180" w:name="Tc_u8Fe6xKvVUaGgtQvRX7CuQ_38_0"/>
      <w:bookmarkStart w:id="181" w:name="Tc_oQVH9jgajUWhs8ijjRJvww_37_0"/>
      <w:bookmarkStart w:id="182" w:name="Tc_5u5ly1cFtkaHutTTpN8uwg_36_0"/>
      <w:bookmarkStart w:id="183" w:name="Tc_kkwTt60Ik0CFfIXYs-8_QQ_35_0"/>
      <w:bookmarkStart w:id="184" w:name="Tc_2oHwEksn40yyO7LzH1lNUA_34_0"/>
      <w:bookmarkStart w:id="185" w:name="Tc_ZxsnF5GEzkmalFiMyY1uUQ_33_0"/>
      <w:bookmarkStart w:id="186" w:name="Tc_oPlHQSYOh0-plmFImnqzfQ_32_0"/>
      <w:bookmarkStart w:id="187" w:name="Tc_E-s7r7LiakajiT_SSJqmTA_31_0"/>
      <w:bookmarkStart w:id="188" w:name="Tc_oWqJpyv6YEasQFM8L3radg_30_0"/>
      <w:bookmarkStart w:id="189" w:name="Tc_8OBaRHJ8NkSPBx9VoC-eMw_29_0"/>
      <w:bookmarkStart w:id="190" w:name="Tc_G2NoBBRbaEuidBiMZLyJIA_28_0"/>
      <w:bookmarkStart w:id="191" w:name="Tc_Q69rp_4veEi3sXkaFFnXDg_27_0"/>
      <w:bookmarkStart w:id="192" w:name="Tc_mShjPE2-n0urwppNqBlldg_26_0"/>
      <w:bookmarkStart w:id="193" w:name="Tc_dUXZpi0zk0axv0dfdMpRmQ_25_0"/>
      <w:bookmarkStart w:id="194" w:name="Tc_D4F91OueNkeFUa_g03zpmw_24_0"/>
      <w:bookmarkStart w:id="195" w:name="Tc_dampLjbQ10iS2O3exEjNKQ_23_5"/>
      <w:bookmarkStart w:id="196" w:name="Tc_rZBacmmIG0-sI_pfL87IIg_23_2"/>
      <w:bookmarkStart w:id="197" w:name="Tc_CNuECrBevEqh7IStFM3ygg_23_0"/>
      <w:bookmarkStart w:id="198" w:name="Tc_WB4ZyMiWmkG_8CNWpBlGfg_22_0"/>
      <w:bookmarkStart w:id="199" w:name="Tc_I8kI4NQhqkiRW7jqf3DzWg_21_0"/>
      <w:bookmarkStart w:id="200" w:name="Tc_YjkdwpB6ZUarqL8UNaWOuQ_19_5"/>
      <w:bookmarkStart w:id="201" w:name="Tc_WGxl0brxVU6jCMGEMdaZtw_19_2"/>
      <w:bookmarkStart w:id="202" w:name="Tc_ALPqFMX7d0S2_0Mb9DiXmA_19_0"/>
      <w:bookmarkStart w:id="203" w:name="Tc_5XXhdz1FskWbf715SBrFOg_18_0"/>
      <w:bookmarkStart w:id="204" w:name="Tc_kI1uo7Lh2kyelhPTXgdd5w_17_0"/>
      <w:bookmarkStart w:id="205" w:name="Tc_ef_FpnwF_EqCnNoBZjzKxw_16_0"/>
      <w:bookmarkStart w:id="206" w:name="Tc_qv1ledlfYEqNWVXtuHRoRQ_15_0"/>
      <w:bookmarkStart w:id="207" w:name="Tc_sJH3gg5cn0K6TkzSGDHX2g_14_0"/>
      <w:bookmarkStart w:id="208" w:name="Tc_av8P7KV56Uao01FIZ6auhg_13_0"/>
      <w:bookmarkStart w:id="209" w:name="Tc_LrV6bomJhEK1rzf-f5y5iw_12_0"/>
      <w:bookmarkStart w:id="210" w:name="Tc__dL4iCFxXEiT9JE20gEpMg_11_0"/>
      <w:bookmarkStart w:id="211" w:name="Tc_zTz5CZXpMk-lXevQ-h9trA_10_0"/>
      <w:bookmarkStart w:id="212" w:name="Tc_Wl9I1HamdUCfPxtD5_vYtQ_9_0"/>
      <w:bookmarkStart w:id="213" w:name="Tc_6By7f6sQMUqjEAIZzfz7sg_8_0"/>
      <w:bookmarkStart w:id="214" w:name="Tc_ygs9MmRPtkOQlvbm7XEuKA_7_0"/>
      <w:bookmarkStart w:id="215" w:name="Tc_OlTDF2m5x0Wssv23YpJiGQ_6_0"/>
      <w:bookmarkStart w:id="216" w:name="Tc_pQosJLBKH0GA2Xs2rg4gzw_5_5"/>
      <w:bookmarkStart w:id="217" w:name="Tc_FZTfukYSDEqTDtcO5Q0IzQ_5_2"/>
      <w:bookmarkStart w:id="218" w:name="Tc_MDuidRfcHESlGxfXKWRkSQ_5_0"/>
      <w:bookmarkStart w:id="219" w:name="Tc_ishNmhg_-kOdk_GoCrhnsQ_4_0"/>
      <w:bookmarkStart w:id="220" w:name="Tc_Cwc7rhJRx0-s062xHTNMtA_3_0"/>
      <w:bookmarkStart w:id="221" w:name="Tc_3zXhAJrOSUGFAgaNgBBLzw_2_5"/>
      <w:bookmarkStart w:id="222" w:name="Tc_9U7Vw0ZFxkixrCdAthNlKA_2_2"/>
      <w:bookmarkStart w:id="223" w:name="Tc_z4-BAFGb4kGtRZHDlwn53g_2_0"/>
      <w:bookmarkStart w:id="224" w:name="Tc_oKgHC32NMEeTnuG9EcOslw_1_5"/>
      <w:bookmarkStart w:id="225" w:name="Tc_-DhddOyYykKntRASyWG2Lw_1_2"/>
      <w:bookmarkStart w:id="226" w:name="_4e639415_3bef_4e1f_89c3_54bf7449adc0"/>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10205" w:type="dxa"/>
        <w:jc w:val="left"/>
        <w:tblInd w:w="0" w:type="dxa"/>
        <w:tblLayout w:type="fixed"/>
        <w:tblCellMar>
          <w:top w:w="0" w:type="dxa"/>
          <w:left w:w="0" w:type="dxa"/>
          <w:bottom w:w="0" w:type="dxa"/>
          <w:right w:w="0" w:type="dxa"/>
        </w:tblCellMar>
      </w:tblPr>
      <w:tblGrid>
        <w:gridCol w:w="7407"/>
        <w:gridCol w:w="346"/>
        <w:gridCol w:w="211"/>
        <w:gridCol w:w="721"/>
        <w:gridCol w:w="346"/>
        <w:gridCol w:w="238"/>
        <w:gridCol w:w="936"/>
      </w:tblGrid>
      <w:tr>
        <w:trPr/>
        <w:tc>
          <w:tcPr>
            <w:tcW w:w="7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703445" cy="175260"/>
                      <wp:effectExtent l="0" t="0" r="0" b="0"/>
                      <wp:wrapNone/>
                      <wp:docPr id="8" name="Frame8"/>
                      <a:graphic xmlns:a="http://schemas.openxmlformats.org/drawingml/2006/main">
                        <a:graphicData uri="http://schemas.microsoft.com/office/word/2010/wordprocessingShape">
                          <wps:wsp>
                            <wps:cNvSpPr txBox="1"/>
                            <wps:spPr>
                              <a:xfrm>
                                <a:off x="0" y="0"/>
                                <a:ext cx="4703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57835" cy="175260"/>
                      <wp:effectExtent l="0" t="0" r="0" b="0"/>
                      <wp:wrapNone/>
                      <wp:docPr id="11" name="Frame1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51130" cy="175260"/>
                      <wp:effectExtent l="0" t="0" r="0" b="0"/>
                      <wp:wrapNone/>
                      <wp:docPr id="13" name="Frame1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4360" cy="175260"/>
                      <wp:effectExtent l="0" t="0" r="0" b="0"/>
                      <wp:wrapNone/>
                      <wp:docPr id="14" name="Frame14"/>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$8.2 million and $8.6 million,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436.4</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471.9</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SSAT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2,510.6</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2,499.4</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345.6</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costs,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4,146.6</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4,163.7</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4,583.0</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4,635.6</w:t>
            </w:r>
          </w:p>
        </w:tc>
      </w:tr>
      <w:tr>
        <w:trPr/>
        <w:tc>
          <w:tcPr>
            <w:tcW w:w="74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529.9</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deferred loan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701.9</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1,323.0</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1,349.2</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(see Note 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2,439.4</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2,730.1</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2,759.0</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4,583.0</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4,635.6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7" w:name="_21321b2d_3b15_42b7_83de_7cf5e2e0feea"/>
      <w:bookmarkEnd w:id="227"/>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28" w:name="StatementsofCashFlows_473640"/>
      <w:bookmarkEnd w:id="22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29" w:name="Tc_mw2f5NHXLkWvcKgnAAiD6g_46_5"/>
      <w:bookmarkStart w:id="230" w:name="Tc_VuUqA4JrbUeRb4NS98xtKg_46_2"/>
      <w:bookmarkStart w:id="231" w:name="Tc_M9HPpmFwakqXfGZL8dvv5g_46_0"/>
      <w:bookmarkStart w:id="232" w:name="Tc_1uwRqA5OV0-oOYxavk2t1w_45_0"/>
      <w:bookmarkStart w:id="233" w:name="Tc_pZ9SwqH-kUyvA5D_-wYTBg_43_5"/>
      <w:bookmarkStart w:id="234" w:name="Tc_Ppip-fVLCEe8jeEi13zp4A_43_2"/>
      <w:bookmarkStart w:id="235" w:name="Tc_rD6qK_fmJkihUSfgahUhQA_43_0"/>
      <w:bookmarkStart w:id="236" w:name="Tc_bdbXwcQOC0WzQ9lFKe8PNQ_42_5"/>
      <w:bookmarkStart w:id="237" w:name="Tc_mtHy3EBYYE-A5mfIBNpc7Q_42_2"/>
      <w:bookmarkStart w:id="238" w:name="Tc_4W-GD5__CESPpKdux6EpWg_42_0"/>
      <w:bookmarkStart w:id="239" w:name="Tc_1Ge1DoknhU-n_GNCDxRwaw_41_0"/>
      <w:bookmarkStart w:id="240" w:name="Tc_7GUE1998OECI19LEmWzQRA_39_5"/>
      <w:bookmarkStart w:id="241" w:name="Tc_4uwJ8BKZuEexG9J9khkR4w_39_2"/>
      <w:bookmarkStart w:id="242" w:name="Tc_DHjAZNT1IUC-lH12i2iaoQ_39_0"/>
      <w:bookmarkStart w:id="243" w:name="Tc_o05YVehnp0mkXb7S5ogTrw_38_0"/>
      <w:bookmarkStart w:id="244" w:name="Tc_xA8AAS2pQka-zHXbzKCzrA_37_0"/>
      <w:bookmarkStart w:id="245" w:name="Tc_L7od8fZpvEqMtCrL_0qX0A_35_0"/>
      <w:bookmarkStart w:id="246" w:name="Tc_vMdmrDM5dUymEuIG-lMO7Q_34_0"/>
      <w:bookmarkStart w:id="247" w:name="Tc_0e4n3_oMUky5RcEautEi3A_33_0"/>
      <w:bookmarkStart w:id="248" w:name="Tc_sqsufoKYEE6Y5kf7Fsy_tQ_32_0"/>
      <w:bookmarkStart w:id="249" w:name="Tc_MgUnsnycSEKAe1h_-s1P6w_31_0"/>
      <w:bookmarkStart w:id="250" w:name="Tc_aETogueESU-1r-M_0CWC1w_30_0"/>
      <w:bookmarkStart w:id="251" w:name="Tc_uJKoxvG2Y0OIQJOErZhFKA_28_0"/>
      <w:bookmarkStart w:id="252" w:name="Tc_-8MHCC_bCk6Jio7iExXicw_27_0"/>
      <w:bookmarkStart w:id="253" w:name="Tc_gUhZjH0IXku-8hEPIFWSag_26_0"/>
      <w:bookmarkStart w:id="254" w:name="Tc_HHxu4hTAXUOGT27bj4XeMQ_25_0"/>
      <w:bookmarkStart w:id="255" w:name="Tc_peyO-dzTrki5BjW_UBQXIA_24_0"/>
      <w:bookmarkStart w:id="256" w:name="Tc_vJ_OXS06hk-4gdcfAdY3rw_23_0"/>
      <w:bookmarkStart w:id="257" w:name="Tc_Hpw6SRWwpkm0Xg-AMWl7Yw_22_0"/>
      <w:bookmarkStart w:id="258" w:name="Tc_0OSAMVdvFUqgQ9ZkfSPllw_20_0"/>
      <w:bookmarkStart w:id="259" w:name="Tc_UOmDIevfrEKuHLJoncLsvA_19_0"/>
      <w:bookmarkStart w:id="260" w:name="Tc_BzNPxZ4jsUihXeDIzBUPIg_18_0"/>
      <w:bookmarkStart w:id="261" w:name="Tc_uHg5_gYywUakoggVNbhDyQ_17_0"/>
      <w:bookmarkStart w:id="262" w:name="Tc_z7y8PZ3McUioHKJleqTyuw_16_0"/>
      <w:bookmarkStart w:id="263" w:name="Tc_wRwTT76ohEKwIky2u0xFUg_15_0"/>
      <w:bookmarkStart w:id="264" w:name="Tc_fZO-mBdieEWhIQPkoiOHRA_14_0"/>
      <w:bookmarkStart w:id="265" w:name="Tc__zCqkgkvC0uR40o_s8aQJA_13_0"/>
      <w:bookmarkStart w:id="266" w:name="Tc_0pPQpA-HwUuTWm2nJ5Stjw_12_0"/>
      <w:bookmarkStart w:id="267" w:name="Tc_2RIAiiXmwE-3Wje6iNSP1A_11_0"/>
      <w:bookmarkStart w:id="268" w:name="Tc__vNPq5JS-EGk0iAledxMag_10_0"/>
      <w:bookmarkStart w:id="269" w:name="Tc_oYim2ylMXk2nYKMcTMxJQw_9_0"/>
      <w:bookmarkStart w:id="270" w:name="Tc_1EQfN-dJa0Se-4rntLN0AQ_8_0"/>
      <w:bookmarkStart w:id="271" w:name="Tc_anI5AsL9F0qNIDyUyCJ_LA_7_0"/>
      <w:bookmarkStart w:id="272" w:name="Tc_-5zhtoVqlU2QTS7S4l4KKA_6_0"/>
      <w:bookmarkStart w:id="273" w:name="Tc_zCnxDFx6YkOnDe-eZxUFrA_5_0"/>
      <w:bookmarkStart w:id="274" w:name="Tc_lcdaUvl9SU6Sw65Jhiun7A_4_5"/>
      <w:bookmarkStart w:id="275" w:name="Tc_GkdyQeTISk-E90qIOuAs6g_4_2"/>
      <w:bookmarkStart w:id="276" w:name="Tc_BqtUqdwH9Eq2d8rOPpuHsw_4_0"/>
      <w:bookmarkStart w:id="277" w:name="Tc_6tpjdrbp2kSOMfv5Acp8rg_3_0"/>
      <w:bookmarkStart w:id="278" w:name="Tc_XASs79Yz6E-eNuaLKPJkAQ_2_5"/>
      <w:bookmarkStart w:id="279" w:name="Tc_ANTiumwjMEmBA-i5C6P40Q_2_2"/>
      <w:bookmarkStart w:id="280" w:name="Tc_vM-FlhngN0yG3mHqSv-2rQ_2_0"/>
      <w:bookmarkStart w:id="281" w:name="Tc_75XH5pyOqEmN1ERfNHRabQ_1_2"/>
      <w:bookmarkStart w:id="282" w:name="_dcb652cd_b01d_4c77_8295_5774b4278ea0"/>
      <w:bookmarkStart w:id="283" w:name="Tc_mw2f5NHXLkWvcKgnAAiD6g_46_5"/>
      <w:bookmarkStart w:id="284" w:name="Tc_VuUqA4JrbUeRb4NS98xtKg_46_2"/>
      <w:bookmarkStart w:id="285" w:name="Tc_M9HPpmFwakqXfGZL8dvv5g_46_0"/>
      <w:bookmarkStart w:id="286" w:name="Tc_1uwRqA5OV0-oOYxavk2t1w_45_0"/>
      <w:bookmarkStart w:id="287" w:name="Tc_pZ9SwqH-kUyvA5D_-wYTBg_43_5"/>
      <w:bookmarkStart w:id="288" w:name="Tc_Ppip-fVLCEe8jeEi13zp4A_43_2"/>
      <w:bookmarkStart w:id="289" w:name="Tc_rD6qK_fmJkihUSfgahUhQA_43_0"/>
      <w:bookmarkStart w:id="290" w:name="Tc_bdbXwcQOC0WzQ9lFKe8PNQ_42_5"/>
      <w:bookmarkStart w:id="291" w:name="Tc_mtHy3EBYYE-A5mfIBNpc7Q_42_2"/>
      <w:bookmarkStart w:id="292" w:name="Tc_4W-GD5__CESPpKdux6EpWg_42_0"/>
      <w:bookmarkStart w:id="293" w:name="Tc_1Ge1DoknhU-n_GNCDxRwaw_41_0"/>
      <w:bookmarkStart w:id="294" w:name="Tc_7GUE1998OECI19LEmWzQRA_39_5"/>
      <w:bookmarkStart w:id="295" w:name="Tc_4uwJ8BKZuEexG9J9khkR4w_39_2"/>
      <w:bookmarkStart w:id="296" w:name="Tc_DHjAZNT1IUC-lH12i2iaoQ_39_0"/>
      <w:bookmarkStart w:id="297" w:name="Tc_o05YVehnp0mkXb7S5ogTrw_38_0"/>
      <w:bookmarkStart w:id="298" w:name="Tc_xA8AAS2pQka-zHXbzKCzrA_37_0"/>
      <w:bookmarkStart w:id="299" w:name="Tc_L7od8fZpvEqMtCrL_0qX0A_35_0"/>
      <w:bookmarkStart w:id="300" w:name="Tc_vMdmrDM5dUymEuIG-lMO7Q_34_0"/>
      <w:bookmarkStart w:id="301" w:name="Tc_0e4n3_oMUky5RcEautEi3A_33_0"/>
      <w:bookmarkStart w:id="302" w:name="Tc_sqsufoKYEE6Y5kf7Fsy_tQ_32_0"/>
      <w:bookmarkStart w:id="303" w:name="Tc_MgUnsnycSEKAe1h_-s1P6w_31_0"/>
      <w:bookmarkStart w:id="304" w:name="Tc_aETogueESU-1r-M_0CWC1w_30_0"/>
      <w:bookmarkStart w:id="305" w:name="Tc_uJKoxvG2Y0OIQJOErZhFKA_28_0"/>
      <w:bookmarkStart w:id="306" w:name="Tc_-8MHCC_bCk6Jio7iExXicw_27_0"/>
      <w:bookmarkStart w:id="307" w:name="Tc_gUhZjH0IXku-8hEPIFWSag_26_0"/>
      <w:bookmarkStart w:id="308" w:name="Tc_HHxu4hTAXUOGT27bj4XeMQ_25_0"/>
      <w:bookmarkStart w:id="309" w:name="Tc_peyO-dzTrki5BjW_UBQXIA_24_0"/>
      <w:bookmarkStart w:id="310" w:name="Tc_vJ_OXS06hk-4gdcfAdY3rw_23_0"/>
      <w:bookmarkStart w:id="311" w:name="Tc_Hpw6SRWwpkm0Xg-AMWl7Yw_22_0"/>
      <w:bookmarkStart w:id="312" w:name="Tc_0OSAMVdvFUqgQ9ZkfSPllw_20_0"/>
      <w:bookmarkStart w:id="313" w:name="Tc_UOmDIevfrEKuHLJoncLsvA_19_0"/>
      <w:bookmarkStart w:id="314" w:name="Tc_BzNPxZ4jsUihXeDIzBUPIg_18_0"/>
      <w:bookmarkStart w:id="315" w:name="Tc_uHg5_gYywUakoggVNbhDyQ_17_0"/>
      <w:bookmarkStart w:id="316" w:name="Tc_z7y8PZ3McUioHKJleqTyuw_16_0"/>
      <w:bookmarkStart w:id="317" w:name="Tc_wRwTT76ohEKwIky2u0xFUg_15_0"/>
      <w:bookmarkStart w:id="318" w:name="Tc_fZO-mBdieEWhIQPkoiOHRA_14_0"/>
      <w:bookmarkStart w:id="319" w:name="Tc__zCqkgkvC0uR40o_s8aQJA_13_0"/>
      <w:bookmarkStart w:id="320" w:name="Tc_0pPQpA-HwUuTWm2nJ5Stjw_12_0"/>
      <w:bookmarkStart w:id="321" w:name="Tc_2RIAiiXmwE-3Wje6iNSP1A_11_0"/>
      <w:bookmarkStart w:id="322" w:name="Tc__vNPq5JS-EGk0iAledxMag_10_0"/>
      <w:bookmarkStart w:id="323" w:name="Tc_oYim2ylMXk2nYKMcTMxJQw_9_0"/>
      <w:bookmarkStart w:id="324" w:name="Tc_1EQfN-dJa0Se-4rntLN0AQ_8_0"/>
      <w:bookmarkStart w:id="325" w:name="Tc_anI5AsL9F0qNIDyUyCJ_LA_7_0"/>
      <w:bookmarkStart w:id="326" w:name="Tc_-5zhtoVqlU2QTS7S4l4KKA_6_0"/>
      <w:bookmarkStart w:id="327" w:name="Tc_zCnxDFx6YkOnDe-eZxUFrA_5_0"/>
      <w:bookmarkStart w:id="328" w:name="Tc_lcdaUvl9SU6Sw65Jhiun7A_4_5"/>
      <w:bookmarkStart w:id="329" w:name="Tc_GkdyQeTISk-E90qIOuAs6g_4_2"/>
      <w:bookmarkStart w:id="330" w:name="Tc_BqtUqdwH9Eq2d8rOPpuHsw_4_0"/>
      <w:bookmarkStart w:id="331" w:name="Tc_6tpjdrbp2kSOMfv5Acp8rg_3_0"/>
      <w:bookmarkStart w:id="332" w:name="Tc_XASs79Yz6E-eNuaLKPJkAQ_2_5"/>
      <w:bookmarkStart w:id="333" w:name="Tc_ANTiumwjMEmBA-i5C6P40Q_2_2"/>
      <w:bookmarkStart w:id="334" w:name="Tc_vM-FlhngN0yG3mHqSv-2rQ_2_0"/>
      <w:bookmarkStart w:id="335" w:name="Tc_75XH5pyOqEmN1ERfNHRabQ_1_2"/>
      <w:bookmarkStart w:id="336" w:name="_dcb652cd_b01d_4c77_8295_5774b4278ea0"/>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tbl>
      <w:tblPr>
        <w:tblW w:w="8853" w:type="dxa"/>
        <w:jc w:val="left"/>
        <w:tblInd w:w="0" w:type="dxa"/>
        <w:tblLayout w:type="fixed"/>
        <w:tblCellMar>
          <w:top w:w="0" w:type="dxa"/>
          <w:left w:w="0" w:type="dxa"/>
          <w:bottom w:w="0" w:type="dxa"/>
          <w:right w:w="0" w:type="dxa"/>
        </w:tblCellMar>
      </w:tblPr>
      <w:tblGrid>
        <w:gridCol w:w="5671"/>
        <w:gridCol w:w="346"/>
        <w:gridCol w:w="251"/>
        <w:gridCol w:w="692"/>
        <w:gridCol w:w="443"/>
        <w:gridCol w:w="251"/>
        <w:gridCol w:w="808"/>
        <w:gridCol w:w="391"/>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601085" cy="175260"/>
                      <wp:effectExtent l="0" t="0" r="0" b="0"/>
                      <wp:wrapNone/>
                      <wp:docPr id="15" name="Frame15"/>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59385" cy="175260"/>
                      <wp:effectExtent l="0" t="0" r="0" b="0"/>
                      <wp:wrapNone/>
                      <wp:docPr id="17" name="Frame1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39420" cy="175260"/>
                      <wp:effectExtent l="0" t="0" r="0" b="0"/>
                      <wp:wrapNone/>
                      <wp:docPr id="18" name="Frame18"/>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81305" cy="175260"/>
                      <wp:effectExtent l="0" t="0" r="0" b="0"/>
                      <wp:wrapNone/>
                      <wp:docPr id="19" name="Frame19"/>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59385" cy="175260"/>
                      <wp:effectExtent l="0" t="0" r="0" b="0"/>
                      <wp:wrapNone/>
                      <wp:docPr id="20" name="Frame20"/>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13080" cy="175260"/>
                      <wp:effectExtent l="0" t="0" r="0" b="0"/>
                      <wp:wrapNone/>
                      <wp:docPr id="21" name="Frame21"/>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48285" cy="175260"/>
                      <wp:effectExtent l="0" t="0" r="0" b="0"/>
                      <wp:wrapNone/>
                      <wp:docPr id="22" name="Frame2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3" w:type="dxa"/>
            <w:tcBorders/>
            <w:vAlign w:val="center"/>
          </w:tcPr>
          <w:p>
            <w:pPr>
              <w:pStyle w:val="TableContents"/>
              <w:bidi w:val="0"/>
              <w:spacing w:before="0" w:after="0"/>
              <w:ind w:left="0" w:right="0" w:hanging="0"/>
              <w:jc w:val="left"/>
              <w:rPr/>
            </w:pPr>
            <w:r>
              <w:rPr/>
              <w:t>  ​ ​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72.3</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Reconciling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from SSAT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80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payments</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accruals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 and liabilities, net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94.0</w:t>
            </w:r>
          </w:p>
        </w:tc>
        <w:tc>
          <w:tcPr>
            <w:tcW w:w="443"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80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Vessel construction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(excluding vessel construction expenditures)</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interest deposited into the Capital Construction Fund</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Withdrawals from Capital Construction Fund</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w:t>
            </w:r>
          </w:p>
        </w:tc>
        <w:tc>
          <w:tcPr>
            <w:tcW w:w="443"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(129.4)</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80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Matson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withholding related to net share settlements of restricted stock units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w:t>
            </w:r>
          </w:p>
        </w:tc>
        <w:tc>
          <w:tcPr>
            <w:tcW w:w="443"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80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the Period</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w:t>
            </w:r>
          </w:p>
        </w:tc>
        <w:tc>
          <w:tcPr>
            <w:tcW w:w="443"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266.8</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80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net of capitalized interest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paid, net of income tax refunds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80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included in accounts payable, accruals and other liabilities</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7" w:name="_d7953563_4ca6_40b6_a9df_e752a86abe73"/>
      <w:bookmarkEnd w:id="337"/>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338" w:name="StatementsofShareholdersEquity"/>
      <w:bookmarkEnd w:id="338"/>
      <w:r>
        <w:rPr>
          <w:rFonts w:ascii="Times New Roman;Times;serif" w:hAnsi="Times New Roman;Times;serif"/>
          <w:b/>
          <w:sz w:val="20"/>
        </w:rPr>
        <w:t>Condensed Consolidated Statements of Shareholders’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39" w:name="Tc_v59WCiBopUOk0JqxgV6A7w_12_16"/>
      <w:bookmarkStart w:id="340" w:name="Tc_WMDqsmJnaUedvywPljTQ0A_12_13"/>
      <w:bookmarkStart w:id="341" w:name="Tc_9NWsu0YpwkanOm-dpPX8tg_12_10"/>
      <w:bookmarkStart w:id="342" w:name="Tc__3XsMEuai06wWwCOXOClVQ_12_7"/>
      <w:bookmarkStart w:id="343" w:name="Tc_7YTbm2Zbs0et2YPZrrj8pQ_12_4"/>
      <w:bookmarkStart w:id="344" w:name="Tc_tcDBF84tcUOkObe1G8p1ng_12_0"/>
      <w:bookmarkStart w:id="345" w:name="Tc_fr_x9ddi7Ue5SN1nNubqug_11_11"/>
      <w:bookmarkStart w:id="346" w:name="Tc_wKdvtwtQ2kK5vISbppnzpQ_11_8"/>
      <w:bookmarkStart w:id="347" w:name="Tc_9jbBR5DEsEqZQV03UpjOeQ_11_5"/>
      <w:bookmarkStart w:id="348" w:name="Tc_hB5U1CZFlkaqozERFDM7Sw_11_2"/>
      <w:bookmarkStart w:id="349" w:name="Tc_GX0XUQfrB0yAB_tgRh9eBg_11_0"/>
      <w:bookmarkStart w:id="350" w:name="Tc_jPKlhupRPEm_onH5ciqH-Q_10_11"/>
      <w:bookmarkStart w:id="351" w:name="Tc_a0uwrKbHF0ujTyrgwOp4bA_10_0"/>
      <w:bookmarkStart w:id="352" w:name="Tc_qYR41JbNTk66hzThURlY8A_9_14"/>
      <w:bookmarkStart w:id="353" w:name="Tc_yn8MWN45LUqhXpt5BcnikA_9_11"/>
      <w:bookmarkStart w:id="354" w:name="Tc_2HcaBfO7gEy6LR6nMYUoJg_9_0"/>
      <w:bookmarkStart w:id="355" w:name="Tc_z9Q9OXPdiEqY1_5x0v3O8g_8_14"/>
      <w:bookmarkStart w:id="356" w:name="Tc_h48IKZvY6UWgRamNokuwWg_8_11"/>
      <w:bookmarkStart w:id="357" w:name="Tc_OTCGds5Td0alPbXkUJiPHQ_8_5"/>
      <w:bookmarkStart w:id="358" w:name="Tc_-q7IddBls0-k86ES9r_k2g_8_2"/>
      <w:bookmarkStart w:id="359" w:name="Tc_DG3RLJCqu0mN3xyHnNprmQ_8_0"/>
      <w:bookmarkStart w:id="360" w:name="Tc_6rRR6qK0cUWZ0DfxaeHNbg_7_14"/>
      <w:bookmarkStart w:id="361" w:name="Tc_UxKwxOQZ7k2BrnM6SYqghQ_7_8"/>
      <w:bookmarkStart w:id="362" w:name="Tc_tYQkS7SnG0qrPX4CS5RzPg_7_5"/>
      <w:bookmarkStart w:id="363" w:name="Tc_aSYop5Dfwki6d8kSOCGJyA_7_2"/>
      <w:bookmarkStart w:id="364" w:name="Tc_48XtYGu0mEaeRbHd-ubtRw_7_0"/>
      <w:bookmarkStart w:id="365" w:name="Tc_Cacy8GnI-kuxZK45HMZ5Tg_6_11"/>
      <w:bookmarkStart w:id="366" w:name="Tc_MZ4vRORtAUyS8oXQ2CZqMQ_6_8"/>
      <w:bookmarkStart w:id="367" w:name="Tc_7BoEzANZSkScRlowC1N6aA_6_5"/>
      <w:bookmarkStart w:id="368" w:name="Tc_s02CeSaIm06-FNJt-YPhLQ_6_2"/>
      <w:bookmarkStart w:id="369" w:name="Tc_QyobYDBZXUK7sYIdkFqIRA_6_0"/>
      <w:bookmarkStart w:id="370" w:name="Tc_oAkxdBKekUGnyMlUT95CUA_5_16"/>
      <w:bookmarkStart w:id="371" w:name="Tc_k3HV1LTN2kqODCpeCkj8qA_5_13"/>
      <w:bookmarkStart w:id="372" w:name="Tc_Vlx56ZK4SkWXWOdfdzk8Aw_5_10"/>
      <w:bookmarkStart w:id="373" w:name="Tc_hFXbZKn91kicbZFqR13nrQ_5_7"/>
      <w:bookmarkStart w:id="374" w:name="Tc_K9TfWWsgx0q4hTBN1rRFqQ_5_4"/>
      <w:bookmarkStart w:id="375" w:name="Tc_zY26daFEIE2PMNMg_QOBdw_5_0"/>
      <w:bookmarkStart w:id="376" w:name="Tc_tXZYYRNMtEizIYPlEN-p_w_4_16"/>
      <w:bookmarkStart w:id="377" w:name="Tc_qYExwqy8TUCm3oPLw5Cxiw_4_13"/>
      <w:bookmarkStart w:id="378" w:name="Tc_k2MM8-10KkCqCMiA3ueKJw_4_10"/>
      <w:bookmarkStart w:id="379" w:name="Tc_5E-w0JdKWUGsw18xZLbjRA_4_7"/>
      <w:bookmarkStart w:id="380" w:name="Tc_8Gb2B9P310adGIaI5mK6Aw_4_4"/>
      <w:bookmarkStart w:id="381" w:name="Tc_4wmxml7H9EG6TrqWNTeKzA_4_2"/>
      <w:bookmarkStart w:id="382" w:name="Tc_CETcrw-iqkGLqTYvwZUMsg_4_0"/>
      <w:bookmarkStart w:id="383" w:name="Tc_qvKSiIWItUe_N9IKOylYvQ_3_13"/>
      <w:bookmarkStart w:id="384" w:name="Tc_M7ZiEn3U_kqWv_W5jLmOYg_3_10"/>
      <w:bookmarkStart w:id="385" w:name="Tc_TfOJ_LxWg02z601mNH1a6g_3_7"/>
      <w:bookmarkStart w:id="386" w:name="Tc_0ltaW6oECE2RMuUmmLEYjg_3_4"/>
      <w:bookmarkStart w:id="387" w:name="Tc_3RabfrT-u0ic3ZdXAS5tvA_2_10"/>
      <w:bookmarkStart w:id="388" w:name="Tc_IAGJDFLnIEadkfFpJ0e7nA_2_7"/>
      <w:bookmarkStart w:id="389" w:name="Tc_DLC0SSSsM0ighncU8nUp-Q_2_2"/>
      <w:bookmarkStart w:id="390" w:name="Tc_ASuBAJfcBUqQgpV6u4M8TA_1_10"/>
      <w:bookmarkStart w:id="391" w:name="_84d7cc09_d41a_43f0_b3da_141481ad90f8"/>
      <w:bookmarkStart w:id="392" w:name="Tc_v59WCiBopUOk0JqxgV6A7w_12_16"/>
      <w:bookmarkStart w:id="393" w:name="Tc_WMDqsmJnaUedvywPljTQ0A_12_13"/>
      <w:bookmarkStart w:id="394" w:name="Tc_9NWsu0YpwkanOm-dpPX8tg_12_10"/>
      <w:bookmarkStart w:id="395" w:name="Tc__3XsMEuai06wWwCOXOClVQ_12_7"/>
      <w:bookmarkStart w:id="396" w:name="Tc_7YTbm2Zbs0et2YPZrrj8pQ_12_4"/>
      <w:bookmarkStart w:id="397" w:name="Tc_tcDBF84tcUOkObe1G8p1ng_12_0"/>
      <w:bookmarkStart w:id="398" w:name="Tc_fr_x9ddi7Ue5SN1nNubqug_11_11"/>
      <w:bookmarkStart w:id="399" w:name="Tc_wKdvtwtQ2kK5vISbppnzpQ_11_8"/>
      <w:bookmarkStart w:id="400" w:name="Tc_9jbBR5DEsEqZQV03UpjOeQ_11_5"/>
      <w:bookmarkStart w:id="401" w:name="Tc_hB5U1CZFlkaqozERFDM7Sw_11_2"/>
      <w:bookmarkStart w:id="402" w:name="Tc_GX0XUQfrB0yAB_tgRh9eBg_11_0"/>
      <w:bookmarkStart w:id="403" w:name="Tc_jPKlhupRPEm_onH5ciqH-Q_10_11"/>
      <w:bookmarkStart w:id="404" w:name="Tc_a0uwrKbHF0ujTyrgwOp4bA_10_0"/>
      <w:bookmarkStart w:id="405" w:name="Tc_qYR41JbNTk66hzThURlY8A_9_14"/>
      <w:bookmarkStart w:id="406" w:name="Tc_yn8MWN45LUqhXpt5BcnikA_9_11"/>
      <w:bookmarkStart w:id="407" w:name="Tc_2HcaBfO7gEy6LR6nMYUoJg_9_0"/>
      <w:bookmarkStart w:id="408" w:name="Tc_z9Q9OXPdiEqY1_5x0v3O8g_8_14"/>
      <w:bookmarkStart w:id="409" w:name="Tc_h48IKZvY6UWgRamNokuwWg_8_11"/>
      <w:bookmarkStart w:id="410" w:name="Tc_OTCGds5Td0alPbXkUJiPHQ_8_5"/>
      <w:bookmarkStart w:id="411" w:name="Tc_-q7IddBls0-k86ES9r_k2g_8_2"/>
      <w:bookmarkStart w:id="412" w:name="Tc_DG3RLJCqu0mN3xyHnNprmQ_8_0"/>
      <w:bookmarkStart w:id="413" w:name="Tc_6rRR6qK0cUWZ0DfxaeHNbg_7_14"/>
      <w:bookmarkStart w:id="414" w:name="Tc_UxKwxOQZ7k2BrnM6SYqghQ_7_8"/>
      <w:bookmarkStart w:id="415" w:name="Tc_tYQkS7SnG0qrPX4CS5RzPg_7_5"/>
      <w:bookmarkStart w:id="416" w:name="Tc_aSYop5Dfwki6d8kSOCGJyA_7_2"/>
      <w:bookmarkStart w:id="417" w:name="Tc_48XtYGu0mEaeRbHd-ubtRw_7_0"/>
      <w:bookmarkStart w:id="418" w:name="Tc_Cacy8GnI-kuxZK45HMZ5Tg_6_11"/>
      <w:bookmarkStart w:id="419" w:name="Tc_MZ4vRORtAUyS8oXQ2CZqMQ_6_8"/>
      <w:bookmarkStart w:id="420" w:name="Tc_7BoEzANZSkScRlowC1N6aA_6_5"/>
      <w:bookmarkStart w:id="421" w:name="Tc_s02CeSaIm06-FNJt-YPhLQ_6_2"/>
      <w:bookmarkStart w:id="422" w:name="Tc_QyobYDBZXUK7sYIdkFqIRA_6_0"/>
      <w:bookmarkStart w:id="423" w:name="Tc_oAkxdBKekUGnyMlUT95CUA_5_16"/>
      <w:bookmarkStart w:id="424" w:name="Tc_k3HV1LTN2kqODCpeCkj8qA_5_13"/>
      <w:bookmarkStart w:id="425" w:name="Tc_Vlx56ZK4SkWXWOdfdzk8Aw_5_10"/>
      <w:bookmarkStart w:id="426" w:name="Tc_hFXbZKn91kicbZFqR13nrQ_5_7"/>
      <w:bookmarkStart w:id="427" w:name="Tc_K9TfWWsgx0q4hTBN1rRFqQ_5_4"/>
      <w:bookmarkStart w:id="428" w:name="Tc_zY26daFEIE2PMNMg_QOBdw_5_0"/>
      <w:bookmarkStart w:id="429" w:name="Tc_tXZYYRNMtEizIYPlEN-p_w_4_16"/>
      <w:bookmarkStart w:id="430" w:name="Tc_qYExwqy8TUCm3oPLw5Cxiw_4_13"/>
      <w:bookmarkStart w:id="431" w:name="Tc_k2MM8-10KkCqCMiA3ueKJw_4_10"/>
      <w:bookmarkStart w:id="432" w:name="Tc_5E-w0JdKWUGsw18xZLbjRA_4_7"/>
      <w:bookmarkStart w:id="433" w:name="Tc_8Gb2B9P310adGIaI5mK6Aw_4_4"/>
      <w:bookmarkStart w:id="434" w:name="Tc_4wmxml7H9EG6TrqWNTeKzA_4_2"/>
      <w:bookmarkStart w:id="435" w:name="Tc_CETcrw-iqkGLqTYvwZUMsg_4_0"/>
      <w:bookmarkStart w:id="436" w:name="Tc_qvKSiIWItUe_N9IKOylYvQ_3_13"/>
      <w:bookmarkStart w:id="437" w:name="Tc_M7ZiEn3U_kqWv_W5jLmOYg_3_10"/>
      <w:bookmarkStart w:id="438" w:name="Tc_TfOJ_LxWg02z601mNH1a6g_3_7"/>
      <w:bookmarkStart w:id="439" w:name="Tc_0ltaW6oECE2RMuUmmLEYjg_3_4"/>
      <w:bookmarkStart w:id="440" w:name="Tc_3RabfrT-u0ic3ZdXAS5tvA_2_10"/>
      <w:bookmarkStart w:id="441" w:name="Tc_IAGJDFLnIEadkfFpJ0e7nA_2_7"/>
      <w:bookmarkStart w:id="442" w:name="Tc_DLC0SSSsM0ighncU8nUp-Q_2_2"/>
      <w:bookmarkStart w:id="443" w:name="Tc_ASuBAJfcBUqQgpV6u4M8TA_1_10"/>
      <w:bookmarkStart w:id="444" w:name="_84d7cc09_d41a_43f0_b3da_141481ad90f8"/>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tbl>
      <w:tblPr>
        <w:tblW w:w="10205" w:type="dxa"/>
        <w:jc w:val="left"/>
        <w:tblInd w:w="0" w:type="dxa"/>
        <w:tblLayout w:type="fixed"/>
        <w:tblCellMar>
          <w:top w:w="0" w:type="dxa"/>
          <w:left w:w="0" w:type="dxa"/>
          <w:bottom w:w="0" w:type="dxa"/>
          <w:right w:w="0" w:type="dxa"/>
        </w:tblCellMar>
      </w:tblPr>
      <w:tblGrid>
        <w:gridCol w:w="3154"/>
        <w:gridCol w:w="346"/>
        <w:gridCol w:w="511"/>
        <w:gridCol w:w="346"/>
        <w:gridCol w:w="211"/>
        <w:gridCol w:w="473"/>
        <w:gridCol w:w="346"/>
        <w:gridCol w:w="211"/>
        <w:gridCol w:w="578"/>
        <w:gridCol w:w="346"/>
        <w:gridCol w:w="339"/>
        <w:gridCol w:w="682"/>
        <w:gridCol w:w="346"/>
        <w:gridCol w:w="211"/>
        <w:gridCol w:w="721"/>
        <w:gridCol w:w="346"/>
        <w:gridCol w:w="211"/>
        <w:gridCol w:w="827"/>
      </w:tblGrid>
      <w:tr>
        <w:trPr/>
        <w:tc>
          <w:tcPr>
            <w:tcW w:w="3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02790" cy="175260"/>
                      <wp:effectExtent l="0" t="0" r="0" b="0"/>
                      <wp:wrapNone/>
                      <wp:docPr id="23" name="Frame23"/>
                      <a:graphic xmlns:a="http://schemas.openxmlformats.org/drawingml/2006/main">
                        <a:graphicData uri="http://schemas.microsoft.com/office/word/2010/wordprocessingShape">
                          <wps:wsp>
                            <wps:cNvSpPr txBox="1"/>
                            <wps:spPr>
                              <a:xfrm>
                                <a:off x="0" y="0"/>
                                <a:ext cx="200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24485" cy="175260"/>
                      <wp:effectExtent l="0" t="0" r="0" b="0"/>
                      <wp:wrapNone/>
                      <wp:docPr id="25" name="Frame2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00355" cy="175260"/>
                      <wp:effectExtent l="0" t="0" r="0" b="0"/>
                      <wp:wrapNone/>
                      <wp:docPr id="28" name="Frame28"/>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67030" cy="175260"/>
                      <wp:effectExtent l="0" t="0" r="0" b="0"/>
                      <wp:wrapNone/>
                      <wp:docPr id="31" name="Frame31"/>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5265" cy="175260"/>
                      <wp:effectExtent l="0" t="0" r="0" b="0"/>
                      <wp:wrapNone/>
                      <wp:docPr id="33" name="Frame33"/>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33070" cy="175260"/>
                      <wp:effectExtent l="0" t="0" r="0" b="0"/>
                      <wp:wrapNone/>
                      <wp:docPr id="34" name="Frame34"/>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57835" cy="175260"/>
                      <wp:effectExtent l="0" t="0" r="0" b="0"/>
                      <wp:wrapNone/>
                      <wp:docPr id="37" name="Frame3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25145" cy="175260"/>
                      <wp:effectExtent l="0" t="0" r="0" b="0"/>
                      <wp:wrapNone/>
                      <wp:docPr id="40" name="Frame40"/>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78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8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46" w:type="dxa"/>
            <w:tcBorders/>
            <w:vAlign w:val="center"/>
          </w:tcPr>
          <w:p>
            <w:pPr>
              <w:pStyle w:val="TableContents"/>
              <w:bidi w:val="0"/>
              <w:spacing w:before="0" w:after="0"/>
              <w:ind w:left="0" w:right="0" w:hanging="0"/>
              <w:jc w:val="center"/>
              <w:rPr/>
            </w:pPr>
            <w:r>
              <w:rPr/>
              <w:t>​</w:t>
            </w:r>
          </w:p>
        </w:tc>
        <w:tc>
          <w:tcPr>
            <w:tcW w:w="78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 ​</w:t>
            </w:r>
            <w:r>
              <w:rPr>
                <w:rFonts w:ascii="Times New Roman;Times;serif" w:hAnsi="Times New Roman;Times;serif"/>
                <w:b/>
                <w:sz w:val="14"/>
              </w:rPr>
              <w:t>Retained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center"/>
              <w:rPr/>
            </w:pPr>
            <w:r>
              <w:rPr/>
              <w:t>  ​ ​ ​</w:t>
            </w:r>
          </w:p>
        </w:tc>
        <w:tc>
          <w:tcPr>
            <w:tcW w:w="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46" w:type="dxa"/>
            <w:tcBorders/>
            <w:vAlign w:val="center"/>
          </w:tcPr>
          <w:p>
            <w:pPr>
              <w:pStyle w:val="TableContents"/>
              <w:bidi w:val="0"/>
              <w:spacing w:before="0" w:after="0"/>
              <w:ind w:left="0" w:right="0" w:hanging="0"/>
              <w:jc w:val="center"/>
              <w:rPr/>
            </w:pPr>
            <w:r>
              <w:rPr/>
              <w:t>  ​ ​ ​</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center"/>
              <w:rPr/>
            </w:pPr>
            <w:r>
              <w:rPr/>
              <w:t>  ​ ​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 ​ ​ ​ ​</w:t>
            </w:r>
            <w:r>
              <w:rPr>
                <w:rFonts w:ascii="Times New Roman;Times;serif" w:hAnsi="Times New Roman;Times;serif"/>
                <w:b/>
                <w:sz w:val="14"/>
              </w:rPr>
              <w:t>Total      </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295.2</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2,439.4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2,759.0</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56.6</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(25.1)</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(0.8)</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($0.36</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2026</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274.6</w:t>
            </w:r>
          </w:p>
        </w:tc>
        <w:tc>
          <w:tcPr>
            <w:tcW w:w="346" w:type="dxa"/>
            <w:tcBorders/>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2,431.7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2,730.1</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45" w:name="Tc_wXCB299QSkCtbXyYgW-LjQ_12_16"/>
      <w:bookmarkStart w:id="446" w:name="Tc_eeUsbBrwQESU567xi9Kw3Q_12_13"/>
      <w:bookmarkStart w:id="447" w:name="Tc_IFuaoxFw9UCyKwt5AKHfKQ_12_10"/>
      <w:bookmarkStart w:id="448" w:name="Tc_bvyfxt5R1Eq-BNkuXj6egw_12_7"/>
      <w:bookmarkStart w:id="449" w:name="Tc_IaULrO_h2UuW3FlNTI-1ag_12_4"/>
      <w:bookmarkStart w:id="450" w:name="Tc_8AFKuYplmUuWEuxDP4ZUEA_12_0"/>
      <w:bookmarkStart w:id="451" w:name="Tc_nRYqoWFgX0GQML5rrXs5yg_11_11"/>
      <w:bookmarkStart w:id="452" w:name="Tc_SFclqAG-tUipgeUMhyiBeA_11_8"/>
      <w:bookmarkStart w:id="453" w:name="Tc_ui5cSeTDO0evFum051AnVw_11_5"/>
      <w:bookmarkStart w:id="454" w:name="Tc_fE3Q1CwulkapdP5VV63ung_11_2"/>
      <w:bookmarkStart w:id="455" w:name="Tc_qp-25AqGKkeg9mg5nzJO-g_11_0"/>
      <w:bookmarkStart w:id="456" w:name="Tc_7nMrEicwFUmKa9n6fowgGg_10_11"/>
      <w:bookmarkStart w:id="457" w:name="Tc_rWnJ7sce-0aJXtf3sYHEaw_10_0"/>
      <w:bookmarkStart w:id="458" w:name="Tc_J5cnaYK4nUyj9WjKZk9rfA_9_14"/>
      <w:bookmarkStart w:id="459" w:name="Tc_XOOH2ZzUAUuQUT5jeVC4FQ_9_11"/>
      <w:bookmarkStart w:id="460" w:name="Tc_u9bpDTOdzEy7wxSDuHItEA_9_0"/>
      <w:bookmarkStart w:id="461" w:name="Tc_NwMKbiq8VkqakLcixbb0Ow_8_14"/>
      <w:bookmarkStart w:id="462" w:name="Tc_25R4O8KXwEa0BLcyUYJzeA_8_11"/>
      <w:bookmarkStart w:id="463" w:name="Tc_EjXbdwe_M0ScRzVwVM1hBg_8_5"/>
      <w:bookmarkStart w:id="464" w:name="Tc_9g4-lyOaL0GCujk2DJQF1g_8_2"/>
      <w:bookmarkStart w:id="465" w:name="Tc_LcwnRW-hJEOEbGh6U4L9KA_8_0"/>
      <w:bookmarkStart w:id="466" w:name="Tc_UI1zpkyfJUWgLFGMTNZ4LQ_7_14"/>
      <w:bookmarkStart w:id="467" w:name="Tc_PFBYcbUbJU6l3LRY9yyxHQ_7_8"/>
      <w:bookmarkStart w:id="468" w:name="Tc_dPUKVQxCwk6CI4pDp_4MRQ_7_5"/>
      <w:bookmarkStart w:id="469" w:name="Tc_EGHfWZ8C6EeicQ_8GOpBFw_7_2"/>
      <w:bookmarkStart w:id="470" w:name="Tc_snAGN5XYMUua3cpXsYHwnw_7_0"/>
      <w:bookmarkStart w:id="471" w:name="Tc_ho53Mm_JzEiPaUQbl4i8WA_6_11"/>
      <w:bookmarkStart w:id="472" w:name="Tc_dRe9LTjgv02EFJehl6nA3A_6_8"/>
      <w:bookmarkStart w:id="473" w:name="Tc_1DQdF7boKUOfYrshKORHSw_6_5"/>
      <w:bookmarkStart w:id="474" w:name="Tc_kJJs5PvaD0mDibVMMhStBg_6_2"/>
      <w:bookmarkStart w:id="475" w:name="Tc_nMN3RJCB0U-ENAeQFEm2SA_6_0"/>
      <w:bookmarkStart w:id="476" w:name="Tc_Mc8N8v_e60upT1v_YR1TsA_5_16"/>
      <w:bookmarkStart w:id="477" w:name="Tc_lne3eFOuUEWFuLKIoQn-Bg_5_13"/>
      <w:bookmarkStart w:id="478" w:name="Tc_tMENsQDYPkCwGQZh0FPtow_5_10"/>
      <w:bookmarkStart w:id="479" w:name="Tc_oJ8CVfnI0kOYq5893BF2ZA_5_7"/>
      <w:bookmarkStart w:id="480" w:name="Tc_uP-jCaheBkyKC9Cn7oyUDw_5_4"/>
      <w:bookmarkStart w:id="481" w:name="Tc_6WLG_I-HqUOqdZQ3p98TcQ_5_0"/>
      <w:bookmarkStart w:id="482" w:name="Tc_Otn4WJhFTE670-oBli53zA_4_16"/>
      <w:bookmarkStart w:id="483" w:name="Tc_zGVTedrz_ki7c1HR1r2Z5Q_4_13"/>
      <w:bookmarkStart w:id="484" w:name="Tc_cnEsoY656UOoRs6dyLXeig_4_10"/>
      <w:bookmarkStart w:id="485" w:name="Tc_-H7KKyqaI0-N7TecgW--hQ_4_7"/>
      <w:bookmarkStart w:id="486" w:name="Tc_dzF1CTtc7UG9DABml0TLng_4_4"/>
      <w:bookmarkStart w:id="487" w:name="Tc_keFeCWQi-UeKQjm2NiURBw_4_2"/>
      <w:bookmarkStart w:id="488" w:name="Tc_JyEYJOPVLUOLkW3WGZqyNA_4_0"/>
      <w:bookmarkStart w:id="489" w:name="Tc_W_pUlRE3OUuPufXIzPnkFw_3_13"/>
      <w:bookmarkStart w:id="490" w:name="Tc_xo3mg8G_D0mfNXzSUnAdGQ_3_10"/>
      <w:bookmarkStart w:id="491" w:name="Tc_lPiN-G2KNkmO-NPtIOaOAw_3_7"/>
      <w:bookmarkStart w:id="492" w:name="Tc_-SeCipFJgEqVcMKyYto0ig_3_4"/>
      <w:bookmarkStart w:id="493" w:name="Tc_GHGQmf-ytUifZx9AjvZzog_2_10"/>
      <w:bookmarkStart w:id="494" w:name="Tc_wN4Kpy-tL0Kmck4ln-83lA_2_7"/>
      <w:bookmarkStart w:id="495" w:name="Tc_MgGCy6QHMESv38yMnf0V8w_2_2"/>
      <w:bookmarkStart w:id="496" w:name="Tc_P929Efwl-kuhkQVY1W8KAw_1_10"/>
      <w:bookmarkStart w:id="497" w:name="_b37e51c8_13fe_428b_9ad1_1dea474ee262"/>
      <w:bookmarkStart w:id="498" w:name="Tc_wXCB299QSkCtbXyYgW-LjQ_12_16"/>
      <w:bookmarkStart w:id="499" w:name="Tc_eeUsbBrwQESU567xi9Kw3Q_12_13"/>
      <w:bookmarkStart w:id="500" w:name="Tc_IFuaoxFw9UCyKwt5AKHfKQ_12_10"/>
      <w:bookmarkStart w:id="501" w:name="Tc_bvyfxt5R1Eq-BNkuXj6egw_12_7"/>
      <w:bookmarkStart w:id="502" w:name="Tc_IaULrO_h2UuW3FlNTI-1ag_12_4"/>
      <w:bookmarkStart w:id="503" w:name="Tc_8AFKuYplmUuWEuxDP4ZUEA_12_0"/>
      <w:bookmarkStart w:id="504" w:name="Tc_nRYqoWFgX0GQML5rrXs5yg_11_11"/>
      <w:bookmarkStart w:id="505" w:name="Tc_SFclqAG-tUipgeUMhyiBeA_11_8"/>
      <w:bookmarkStart w:id="506" w:name="Tc_ui5cSeTDO0evFum051AnVw_11_5"/>
      <w:bookmarkStart w:id="507" w:name="Tc_fE3Q1CwulkapdP5VV63ung_11_2"/>
      <w:bookmarkStart w:id="508" w:name="Tc_qp-25AqGKkeg9mg5nzJO-g_11_0"/>
      <w:bookmarkStart w:id="509" w:name="Tc_7nMrEicwFUmKa9n6fowgGg_10_11"/>
      <w:bookmarkStart w:id="510" w:name="Tc_rWnJ7sce-0aJXtf3sYHEaw_10_0"/>
      <w:bookmarkStart w:id="511" w:name="Tc_J5cnaYK4nUyj9WjKZk9rfA_9_14"/>
      <w:bookmarkStart w:id="512" w:name="Tc_XOOH2ZzUAUuQUT5jeVC4FQ_9_11"/>
      <w:bookmarkStart w:id="513" w:name="Tc_u9bpDTOdzEy7wxSDuHItEA_9_0"/>
      <w:bookmarkStart w:id="514" w:name="Tc_NwMKbiq8VkqakLcixbb0Ow_8_14"/>
      <w:bookmarkStart w:id="515" w:name="Tc_25R4O8KXwEa0BLcyUYJzeA_8_11"/>
      <w:bookmarkStart w:id="516" w:name="Tc_EjXbdwe_M0ScRzVwVM1hBg_8_5"/>
      <w:bookmarkStart w:id="517" w:name="Tc_9g4-lyOaL0GCujk2DJQF1g_8_2"/>
      <w:bookmarkStart w:id="518" w:name="Tc_LcwnRW-hJEOEbGh6U4L9KA_8_0"/>
      <w:bookmarkStart w:id="519" w:name="Tc_UI1zpkyfJUWgLFGMTNZ4LQ_7_14"/>
      <w:bookmarkStart w:id="520" w:name="Tc_PFBYcbUbJU6l3LRY9yyxHQ_7_8"/>
      <w:bookmarkStart w:id="521" w:name="Tc_dPUKVQxCwk6CI4pDp_4MRQ_7_5"/>
      <w:bookmarkStart w:id="522" w:name="Tc_EGHfWZ8C6EeicQ_8GOpBFw_7_2"/>
      <w:bookmarkStart w:id="523" w:name="Tc_snAGN5XYMUua3cpXsYHwnw_7_0"/>
      <w:bookmarkStart w:id="524" w:name="Tc_ho53Mm_JzEiPaUQbl4i8WA_6_11"/>
      <w:bookmarkStart w:id="525" w:name="Tc_dRe9LTjgv02EFJehl6nA3A_6_8"/>
      <w:bookmarkStart w:id="526" w:name="Tc_1DQdF7boKUOfYrshKORHSw_6_5"/>
      <w:bookmarkStart w:id="527" w:name="Tc_kJJs5PvaD0mDibVMMhStBg_6_2"/>
      <w:bookmarkStart w:id="528" w:name="Tc_nMN3RJCB0U-ENAeQFEm2SA_6_0"/>
      <w:bookmarkStart w:id="529" w:name="Tc_Mc8N8v_e60upT1v_YR1TsA_5_16"/>
      <w:bookmarkStart w:id="530" w:name="Tc_lne3eFOuUEWFuLKIoQn-Bg_5_13"/>
      <w:bookmarkStart w:id="531" w:name="Tc_tMENsQDYPkCwGQZh0FPtow_5_10"/>
      <w:bookmarkStart w:id="532" w:name="Tc_oJ8CVfnI0kOYq5893BF2ZA_5_7"/>
      <w:bookmarkStart w:id="533" w:name="Tc_uP-jCaheBkyKC9Cn7oyUDw_5_4"/>
      <w:bookmarkStart w:id="534" w:name="Tc_6WLG_I-HqUOqdZQ3p98TcQ_5_0"/>
      <w:bookmarkStart w:id="535" w:name="Tc_Otn4WJhFTE670-oBli53zA_4_16"/>
      <w:bookmarkStart w:id="536" w:name="Tc_zGVTedrz_ki7c1HR1r2Z5Q_4_13"/>
      <w:bookmarkStart w:id="537" w:name="Tc_cnEsoY656UOoRs6dyLXeig_4_10"/>
      <w:bookmarkStart w:id="538" w:name="Tc_-H7KKyqaI0-N7TecgW--hQ_4_7"/>
      <w:bookmarkStart w:id="539" w:name="Tc_dzF1CTtc7UG9DABml0TLng_4_4"/>
      <w:bookmarkStart w:id="540" w:name="Tc_keFeCWQi-UeKQjm2NiURBw_4_2"/>
      <w:bookmarkStart w:id="541" w:name="Tc_JyEYJOPVLUOLkW3WGZqyNA_4_0"/>
      <w:bookmarkStart w:id="542" w:name="Tc_W_pUlRE3OUuPufXIzPnkFw_3_13"/>
      <w:bookmarkStart w:id="543" w:name="Tc_xo3mg8G_D0mfNXzSUnAdGQ_3_10"/>
      <w:bookmarkStart w:id="544" w:name="Tc_lPiN-G2KNkmO-NPtIOaOAw_3_7"/>
      <w:bookmarkStart w:id="545" w:name="Tc_-SeCipFJgEqVcMKyYto0ig_3_4"/>
      <w:bookmarkStart w:id="546" w:name="Tc_GHGQmf-ytUifZx9AjvZzog_2_10"/>
      <w:bookmarkStart w:id="547" w:name="Tc_wN4Kpy-tL0Kmck4ln-83lA_2_7"/>
      <w:bookmarkStart w:id="548" w:name="Tc_MgGCy6QHMESv38yMnf0V8w_2_2"/>
      <w:bookmarkStart w:id="549" w:name="Tc_P929Efwl-kuhkQVY1W8KAw_1_10"/>
      <w:bookmarkStart w:id="550" w:name="_b37e51c8_13fe_428b_9ad1_1dea474ee262"/>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tbl>
      <w:tblPr>
        <w:tblW w:w="10205" w:type="dxa"/>
        <w:jc w:val="left"/>
        <w:tblInd w:w="0" w:type="dxa"/>
        <w:tblLayout w:type="fixed"/>
        <w:tblCellMar>
          <w:top w:w="0" w:type="dxa"/>
          <w:left w:w="0" w:type="dxa"/>
          <w:bottom w:w="0" w:type="dxa"/>
          <w:right w:w="0" w:type="dxa"/>
        </w:tblCellMar>
      </w:tblPr>
      <w:tblGrid>
        <w:gridCol w:w="3154"/>
        <w:gridCol w:w="346"/>
        <w:gridCol w:w="511"/>
        <w:gridCol w:w="346"/>
        <w:gridCol w:w="211"/>
        <w:gridCol w:w="473"/>
        <w:gridCol w:w="346"/>
        <w:gridCol w:w="211"/>
        <w:gridCol w:w="578"/>
        <w:gridCol w:w="346"/>
        <w:gridCol w:w="339"/>
        <w:gridCol w:w="682"/>
        <w:gridCol w:w="346"/>
        <w:gridCol w:w="211"/>
        <w:gridCol w:w="721"/>
        <w:gridCol w:w="346"/>
        <w:gridCol w:w="211"/>
        <w:gridCol w:w="827"/>
      </w:tblGrid>
      <w:tr>
        <w:trPr/>
        <w:tc>
          <w:tcPr>
            <w:tcW w:w="3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02790" cy="175260"/>
                      <wp:effectExtent l="0" t="0" r="0" b="0"/>
                      <wp:wrapNone/>
                      <wp:docPr id="41" name="Frame41"/>
                      <a:graphic xmlns:a="http://schemas.openxmlformats.org/drawingml/2006/main">
                        <a:graphicData uri="http://schemas.microsoft.com/office/word/2010/wordprocessingShape">
                          <wps:wsp>
                            <wps:cNvSpPr txBox="1"/>
                            <wps:spPr>
                              <a:xfrm>
                                <a:off x="0" y="0"/>
                                <a:ext cx="200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24485" cy="175260"/>
                      <wp:effectExtent l="0" t="0" r="0" b="0"/>
                      <wp:wrapNone/>
                      <wp:docPr id="43" name="Frame4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00355" cy="175260"/>
                      <wp:effectExtent l="0" t="0" r="0" b="0"/>
                      <wp:wrapNone/>
                      <wp:docPr id="46" name="Frame46"/>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67030" cy="175260"/>
                      <wp:effectExtent l="0" t="0" r="0" b="0"/>
                      <wp:wrapNone/>
                      <wp:docPr id="49" name="Frame4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5265" cy="175260"/>
                      <wp:effectExtent l="0" t="0" r="0" b="0"/>
                      <wp:wrapNone/>
                      <wp:docPr id="51" name="Frame51"/>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33070" cy="175260"/>
                      <wp:effectExtent l="0" t="0" r="0" b="0"/>
                      <wp:wrapNone/>
                      <wp:docPr id="52" name="Frame52"/>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57835" cy="175260"/>
                      <wp:effectExtent l="0" t="0" r="0" b="0"/>
                      <wp:wrapNone/>
                      <wp:docPr id="55" name="Frame5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5145" cy="175260"/>
                      <wp:effectExtent l="0" t="0" r="0" b="0"/>
                      <wp:wrapNone/>
                      <wp:docPr id="58" name="Frame58"/>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78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8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46" w:type="dxa"/>
            <w:tcBorders/>
            <w:vAlign w:val="center"/>
          </w:tcPr>
          <w:p>
            <w:pPr>
              <w:pStyle w:val="TableContents"/>
              <w:bidi w:val="0"/>
              <w:spacing w:before="0" w:after="0"/>
              <w:ind w:left="0" w:right="0" w:hanging="0"/>
              <w:jc w:val="center"/>
              <w:rPr/>
            </w:pPr>
            <w:r>
              <w:rPr/>
              <w:t>​</w:t>
            </w:r>
          </w:p>
        </w:tc>
        <w:tc>
          <w:tcPr>
            <w:tcW w:w="78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 ​</w:t>
            </w:r>
            <w:r>
              <w:rPr>
                <w:rFonts w:ascii="Times New Roman;Times;serif" w:hAnsi="Times New Roman;Times;serif"/>
                <w:b/>
                <w:sz w:val="14"/>
              </w:rPr>
              <w:t>Retained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center"/>
              <w:rPr/>
            </w:pPr>
            <w:r>
              <w:rPr/>
              <w:t>  ​ ​ ​</w:t>
            </w:r>
          </w:p>
        </w:tc>
        <w:tc>
          <w:tcPr>
            <w:tcW w:w="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46" w:type="dxa"/>
            <w:tcBorders/>
            <w:vAlign w:val="center"/>
          </w:tcPr>
          <w:p>
            <w:pPr>
              <w:pStyle w:val="TableContents"/>
              <w:bidi w:val="0"/>
              <w:spacing w:before="0" w:after="0"/>
              <w:ind w:left="0" w:right="0" w:hanging="0"/>
              <w:jc w:val="center"/>
              <w:rPr/>
            </w:pPr>
            <w:r>
              <w:rPr/>
              <w:t>  ​ ​ ​</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center"/>
              <w:rPr/>
            </w:pPr>
            <w:r>
              <w:rPr/>
              <w:t>  ​ ​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 ​ ​ ​ ​</w:t>
            </w:r>
            <w:r>
              <w:rPr>
                <w:rFonts w:ascii="Times New Roman;Times;serif" w:hAnsi="Times New Roman;Times;serif"/>
                <w:b/>
                <w:sz w:val="14"/>
              </w:rPr>
              <w:t>Total      </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296.7</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2,652.0</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72.3</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(69.2)</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($0.34</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2025</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284.7</w:t>
            </w:r>
          </w:p>
        </w:tc>
        <w:tc>
          <w:tcPr>
            <w:tcW w:w="346" w:type="dxa"/>
            <w:tcBorders/>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2,633.2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51" w:name="_ece589c6_74db_443a_8dbe_1bb0965dc96b"/>
      <w:bookmarkEnd w:id="551"/>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552" w:name="NOTESTOTHECONDENSEDCONSOLIDATEDFINANICAL"/>
      <w:bookmarkEnd w:id="552"/>
      <w:r>
        <w:rPr>
          <w:rFonts w:ascii="Times New Roman;Times;serif" w:hAnsi="Times New Roman;Times;serif"/>
          <w:b/>
          <w:sz w:val="20"/>
        </w:rPr>
        <w:t>NOTES TO THE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DESCRIPTION OF THE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 a holding company incorporated in the State of Hawaii, and its subsidiaries (“Matson” or the “Company”), is a leading provider of ocean transportation and logistics services. The Company consists of two segments, Ocean Transportation and Logistics.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Ocean Transportation:</w:t>
      </w:r>
      <w:r>
        <w:rPr>
          <w:rFonts w:ascii="Times New Roman;Times;serif" w:hAnsi="Times New Roman;Times;serif"/>
          <w:sz w:val="20"/>
        </w:rPr>
        <w:t xml:space="preserve"> Matson’s Ocean Transportation business is conducted through Matson Navigation Company, Inc. (“MatNav”),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which includes cargo from other Asia origins, provides services to Okinawa, Japan and various islands in the South Pacific, and operates an international export service from Alaska to Asia. In addition, subsidiaries of MatNav provide stevedoring, refrigerated cargo services, inland transportation and other terminal services for MatNav in Hawaii and Alaska.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has a 35 percent ownership interest in SSA Terminals, LLC (“SSAT”), a joint venture between Matson Ventures, Inc., a wholly-owned subsidiary of MatNav, and SSA Ventures, Inc., a subsidiary of Carrix, Inc. SSAT currently provides terminal and stevedoring services to various carriers at seven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Logistics:</w:t>
      </w:r>
      <w:r>
        <w:rPr>
          <w:rFonts w:ascii="Times New Roman;Times;serif" w:hAnsi="Times New Roman;Times;serif"/>
          <w:sz w:val="20"/>
        </w:rPr>
        <w:t xml:space="preserve"> Matson’s Logistics business is conducted through Matson Logistics, Inc. (“Matson Logistics”), a wholly-owned subsidiary of MatNav. Established in 1987, Matson Logistics extends the geographic reach of Matson’s transportation network throughout North America and Asia, and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purchase order management, booking services, and non-vessel operating common carrier (“NVOCC”) freight forwarding services (collectively, “Supply Chain Management” services).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GENERAL AND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Basis of Presentation:</w:t>
      </w:r>
      <w:r>
        <w:rPr>
          <w:rFonts w:ascii="Times New Roman;Times;serif" w:hAnsi="Times New Roman;Times;serif"/>
          <w:sz w:val="20"/>
        </w:rPr>
        <w:t xml:space="preserve"> The Condensed Consolidated Financial Statements are unaudited and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should be read in conjunction with the Consolidated Financial Statements and notes thereto included in the Company’s Annual Report on Form 10-K for the year ended December 31, 2025.</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553" w:name="Tc_XTILaOA5n0W1W-ckTl8LCw_7_5"/>
      <w:bookmarkStart w:id="554" w:name="Tc_1LUWDZHJC0CDxmwQdI0hWQ_7_2"/>
      <w:bookmarkStart w:id="555" w:name="Tc_6-NvZ04MM029D1DKHQpolw_7_0"/>
      <w:bookmarkStart w:id="556" w:name="Tc_6X5rP1gay0yZMxyQLgKseg_6_0"/>
      <w:bookmarkStart w:id="557" w:name="Tc_GPfAI1s2k02Zxhv7lUMoEA_5_0"/>
      <w:bookmarkStart w:id="558" w:name="Tc_i9xa_viXrESeUg-h2gw4oA_4_5"/>
      <w:bookmarkStart w:id="559" w:name="Tc_Vn2La_9ng0i47XLGQ8INUg_4_2"/>
      <w:bookmarkStart w:id="560" w:name="Tc_VeN6xC-U_UmCo1u0Hev7Mg_4_0"/>
      <w:bookmarkStart w:id="561" w:name="Tc_KF8uBkrR4U--2gADrBKG5w_3_5"/>
      <w:bookmarkStart w:id="562" w:name="Tc_ickyhQe5AU-GgAbNyU6zuQ_3_2"/>
      <w:bookmarkStart w:id="563" w:name="Tc_mG49a_kh_UeiygTPA_k0rg_3_0"/>
      <w:bookmarkStart w:id="564" w:name="Tc_7q4kyMBBW0Gqxm_MMkNgNA_2_2"/>
      <w:bookmarkStart w:id="565" w:name="Tc_TTtfjKTL8k-WR1IFqu0Oeg_1_2"/>
      <w:bookmarkStart w:id="566" w:name="_76ce7040_9d75_4809_bd50_999968a13d07"/>
      <w:bookmarkStart w:id="567" w:name="Tc_4Bk0Z2BfLkuLcgnUTIc3OA_7_5"/>
      <w:bookmarkStart w:id="568" w:name="Tc_R1AAT4gzoEuqKNUgMcF81A_7_2"/>
      <w:bookmarkStart w:id="569" w:name="Tc_9LLQXNceUUuuieXQqemLvg_7_0"/>
      <w:bookmarkStart w:id="570" w:name="Tc_xtTceE7S5ECwu6K076kDDA_6_0"/>
      <w:bookmarkStart w:id="571" w:name="Tc_U8ZmRoku6UONxhyQU69_jg_5_0"/>
      <w:bookmarkStart w:id="572" w:name="Tc_wy9KOeU-GEadahsHIKNheA_4_5"/>
      <w:bookmarkStart w:id="573" w:name="Tc_3r_C2c7z-EaG2QOX5jkaDA_4_2"/>
      <w:bookmarkStart w:id="574" w:name="Tc_pE7fSZv4d0meY7pe4ZRqcQ_4_0"/>
      <w:bookmarkStart w:id="575" w:name="Tc_98JtrhBJIEOKohe_-opTnw_3_5"/>
      <w:bookmarkStart w:id="576" w:name="Tc_AcasYaiu70KIkHRVoruttQ_3_2"/>
      <w:bookmarkStart w:id="577" w:name="Tc_gn7acR61MU2yKCGiKOAdAA_3_0"/>
      <w:bookmarkStart w:id="578" w:name="Tc_082TXGKgc0er0tHTuRvCCQ_2_2"/>
      <w:bookmarkStart w:id="579" w:name="Tc_DaBJsYn9VUiz1YIlbIlxUg_1_2"/>
      <w:bookmarkStart w:id="580" w:name="_9c390c95_6a03_4dd1_88e9_a2cd103bb29e"/>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r>
        <w:rPr>
          <w:rFonts w:ascii="Times New Roman;Times;serif" w:hAnsi="Times New Roman;Times;serif"/>
          <w:b/>
          <w:i/>
          <w:sz w:val="20"/>
        </w:rPr>
        <w:t>Fiscal Period:</w:t>
      </w:r>
      <w:r>
        <w:rPr>
          <w:rFonts w:ascii="Times New Roman;Times;serif" w:hAnsi="Times New Roman;Times;serif"/>
          <w:sz w:val="20"/>
        </w:rPr>
        <w:t xml:space="preserve"> The period end for Matson covered by this report is March 31, 2026. The period end for MatNav and its subsidiaries covered by this report is March 27,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Significant Accounting Policies:</w:t>
      </w:r>
      <w:r>
        <w:rPr>
          <w:rFonts w:ascii="Times New Roman;Times;serif" w:hAnsi="Times New Roman;Times;serif"/>
          <w:sz w:val="20"/>
        </w:rPr>
        <w:t xml:space="preserve"> The Company’s significant accounting policies are described in Note 2 to the Consolidated Financial Statements included in Part II, Item 8 of the Company’s Annual Report on Form 10-K for the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Use of Estimates:</w:t>
      </w:r>
      <w:r>
        <w:rPr>
          <w:rFonts w:ascii="Times New Roman;Times;serif" w:hAnsi="Times New Roman;Times;serif"/>
          <w:sz w:val="20"/>
        </w:rPr>
        <w:t xml:space="preserve"> The preparation of the interim Condensed Consolidated Financial Statements in conformity with accounting principles generally accepted in the U.S. requires management to make estimates and assumptions that affect the amounts reported. Estimates and assumptions are used for but not limited to: useful lives of property and equipment, impairment of investments; impairment of long-lived assets, intangible assets and goodwill; capitalized interest; allowance for credit losses; legal contingencies; insurance reserves and other related liabilities; accrual estimates; pension and post-retirement estimates; multi-employer withdrawal liabilities; operating lease assets and liabilities; estimates of income (loss) from SSAT; and income tax estimates. Future results could be materially affected if actual results differ from these estimates and assumptions.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Recognition of Revenues and Expenses:</w:t>
      </w:r>
      <w:r>
        <w:rPr>
          <w:rFonts w:ascii="Times New Roman;Times;serif" w:hAnsi="Times New Roman;Times;serif"/>
          <w:sz w:val="20"/>
        </w:rPr>
        <w:t xml:space="preserve"> Revenue and expenses in the Company’s Condensed Consolidated Financial Statements are presented net of elimination of intercompany amounts and transactions. The following is a description of the Company’s principal revenue generating activities by segment, and the Company’s revenue and expense recognition policy for each activity for the periods presented:</w:t>
      </w:r>
    </w:p>
    <w:p>
      <w:pPr>
        <w:pStyle w:val="TextBody"/>
        <w:bidi w:val="0"/>
        <w:spacing w:before="0" w:after="0"/>
        <w:ind w:left="0" w:right="0" w:hanging="0"/>
        <w:jc w:val="left"/>
        <w:rPr/>
      </w:pPr>
      <w:r>
        <w:rPr/>
        <w:t>​</w:t>
      </w:r>
    </w:p>
    <w:tbl>
      <w:tblPr>
        <w:tblW w:w="5080" w:type="dxa"/>
        <w:jc w:val="left"/>
        <w:tblInd w:w="0" w:type="dxa"/>
        <w:tblLayout w:type="fixed"/>
        <w:tblCellMar>
          <w:top w:w="0" w:type="dxa"/>
          <w:left w:w="0" w:type="dxa"/>
          <w:bottom w:w="0" w:type="dxa"/>
          <w:right w:w="0" w:type="dxa"/>
        </w:tblCellMar>
      </w:tblPr>
      <w:tblGrid>
        <w:gridCol w:w="2956"/>
        <w:gridCol w:w="109"/>
        <w:gridCol w:w="211"/>
        <w:gridCol w:w="571"/>
        <w:gridCol w:w="346"/>
        <w:gridCol w:w="211"/>
        <w:gridCol w:w="67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77060" cy="175260"/>
                      <wp:effectExtent l="0" t="0" r="0" b="0"/>
                      <wp:wrapNone/>
                      <wp:docPr id="59" name="Frame59"/>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62585" cy="175260"/>
                      <wp:effectExtent l="0" t="0" r="0" b="0"/>
                      <wp:wrapNone/>
                      <wp:docPr id="62" name="Frame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29260" cy="175260"/>
                      <wp:effectExtent l="0" t="0" r="0" b="0"/>
                      <wp:wrapNone/>
                      <wp:docPr id="65" name="Frame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Ocean Transportation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632.9</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and other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637.4</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Ocean Transportation services revenue and fuel sales revenue categories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and other related services revenue is recognized as the services are performed. Terminal and other related service costs are recognized as incurred.</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Fuel sales revenue and related costs are recognized when the Company has completed delivery of the product to the customer in accordance with the terms and conditions of the contract. </w:t>
            </w:r>
          </w:p>
        </w:tc>
      </w:tr>
    </w:tbl>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tbl>
      <w:tblPr>
        <w:tblW w:w="6733" w:type="dxa"/>
        <w:jc w:val="left"/>
        <w:tblInd w:w="0" w:type="dxa"/>
        <w:tblLayout w:type="fixed"/>
        <w:tblCellMar>
          <w:top w:w="0" w:type="dxa"/>
          <w:left w:w="0" w:type="dxa"/>
          <w:bottom w:w="0" w:type="dxa"/>
          <w:right w:w="0" w:type="dxa"/>
        </w:tblCellMar>
      </w:tblPr>
      <w:tblGrid>
        <w:gridCol w:w="4846"/>
        <w:gridCol w:w="109"/>
        <w:gridCol w:w="211"/>
        <w:gridCol w:w="571"/>
        <w:gridCol w:w="109"/>
        <w:gridCol w:w="211"/>
        <w:gridCol w:w="67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077210" cy="175260"/>
                      <wp:effectExtent l="0" t="0" r="0" b="0"/>
                      <wp:wrapNone/>
                      <wp:docPr id="66" name="Frame66"/>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62585" cy="175260"/>
                      <wp:effectExtent l="0" t="0" r="0" b="0"/>
                      <wp:wrapNone/>
                      <wp:docPr id="69" name="Frame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29260" cy="175260"/>
                      <wp:effectExtent l="0" t="0" r="0" b="0"/>
                      <wp:wrapNone/>
                      <wp:docPr id="72" name="Frame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Logistics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Brokerage and Freight Forwarding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Warehousing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Management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144.6</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Transportation Brokerage and Freight Forwarding services revenue, and Supply Chain Management services revenue categories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Warehousing services revenue consist of amounts billed to customers for storage, handling, and value-added packaging of customer merchandise. Storage revenue is recognized in the month the service is provided to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 Storage related costs are recognized as incurred. Other Warehousing services revenue and related costs are recognized in proportion to the services performed.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Management and other services revenue, and related costs are recognized in proportion to the services performed.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generally invoices its customers at the commencement of the voyage or the transportation service being provided, or as other services are being performed. Revenue is deferred when services are invoiced in advance to the customer. Deferred revenue is included in other liabilities in the Company’s Condensed Consolidated Financial Statements. The Company’s receivables are classified as short-term as collection terms are for periods of less than one year. The Company expenses sales commissions and contract acquisition costs as incurred because the amounts are generally immaterial. These expenses are included in general and administrative expenses in the Condensed Consolidated Statements of Income and Comprehensive Income.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Capitalized Interest:</w:t>
      </w:r>
      <w:r>
        <w:rPr>
          <w:rFonts w:ascii="Times New Roman;Times;serif" w:hAnsi="Times New Roman;Times;serif"/>
          <w:sz w:val="20"/>
        </w:rPr>
        <w:t xml:space="preserve"> The Company capitalizes interest costs during the period as the qualified assets are being readied for their intended use. The Company determined that vessel construction costs are considered qualifying assets for the purposes of capitalizing interest on these assets. The amount of capitalized interest is calculated based on the amount of expenditures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Condensed Consolidated Balance Sheets (see Note 5). The Company capitalized $0.9 million and $1.1 million of interest related to the construction of new vessels for the three months ended March 31, 2026 and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Dividends:</w:t>
      </w:r>
      <w:r>
        <w:rPr>
          <w:rFonts w:ascii="Times New Roman;Times;serif" w:hAnsi="Times New Roman;Times;serif"/>
          <w:sz w:val="20"/>
        </w:rPr>
        <w:t xml:space="preserve"> The Company’s first quarter 2026 cash dividend of $0.36 per share was paid on March 5, 2026. On April 23, 2026, the Company’s Board of Directors declared a cash dividend of $0.36 per share payable on June 4, 2026 to shareholders of record on May 7,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months ended March 31, 2026 and 2025, the Company repurchased approximately 0.4 million and 0.5 million shares for a total cost of $54.4 million and $69.2 million, respectively. As of March 31, 2026, the maximum number of remaining shares that may be repurchased under the Company’s share repurchase program was approximately 0.8 million shares. On April 23, 2026, the Company’s Board of Directors approved an additional 3.0 million shares of common stock to be added to the Company’s existing share repurchase program and extended the program to December 31, 2029.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Recently adopted accounting pronouncements:</w:t>
      </w:r>
      <w:r>
        <w:rPr>
          <w:rFonts w:ascii="Times New Roman;Times;serif" w:hAnsi="Times New Roman;Times;serif"/>
          <w:sz w:val="20"/>
        </w:rPr>
        <w:t xml:space="preserve"> In July 2025, the Financial Accounting Standards Board (“FASB”) issued Accounting Standard Update (“ASU”) 2025-05, </w:t>
      </w:r>
      <w:r>
        <w:rPr>
          <w:rFonts w:ascii="Times New Roman;Times;serif" w:hAnsi="Times New Roman;Times;serif"/>
          <w:i/>
          <w:sz w:val="20"/>
        </w:rPr>
        <w:t>Financial Instruments-Credit Losses (Topic 326): Measurement of Credit Losses for Accounts Receivable and Contract Assets</w:t>
      </w:r>
      <w:r>
        <w:rPr>
          <w:rFonts w:ascii="Times New Roman;Times;serif" w:hAnsi="Times New Roman;Times;serif"/>
          <w:sz w:val="20"/>
        </w:rPr>
        <w:t xml:space="preserve"> (“ASU 2025-05”). ASU 2025-05 provides optional simplified methods for estimating credit losses on current accounts receivable. ASU 2025-05 is effective for interim and annual periods beginning after December 31, 2025. The adoption of ASU 2025-05 during the three months ended March 31, 2026 did not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New Accounting Pronouncements:</w:t>
      </w:r>
      <w:r>
        <w:rPr>
          <w:rFonts w:ascii="Times New Roman;Times;serif" w:hAnsi="Times New Roman;Times;serif"/>
          <w:sz w:val="20"/>
        </w:rPr>
        <w:t xml:space="preserve"> In November 2024, the FASB issued ASU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xml:space="preserve"> (“ASU 2024-03”). ASU 2024-03 requires disclosure of certain expenses in the financial statements including employee compensation and depreciation and amortization of intangible assets on an annual and interim basis. ASU 2024-03 is effective for fiscal years beginning after December 15, 2026 and interim periods within fiscal years beginning after December 15, 2027. ASU 2024-03 can be adopted either: (i) prospectively to the financial statements issued for reporting periods after the effective date of the ASU or (ii) retrospectively to any or all prior periods presented in the financial statements. The Company is currently evaluating the effects of adopting ASU 2024-03 but does not expect it will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581" w:name="Tc_RgrYpDoiW0qEGM2NyJ3yTw_26_17"/>
      <w:bookmarkStart w:id="582" w:name="Tc_vdV1WPiO60GCCihAFIQpCg_26_14"/>
      <w:bookmarkStart w:id="583" w:name="Tc_z0kITBXxKkaxwNrczprnaQ_26_11"/>
      <w:bookmarkStart w:id="584" w:name="Tc_Xa-ZXauXAEaVrfkAAeRGrQ_26_8"/>
      <w:bookmarkStart w:id="585" w:name="Tc_6hcjVJw-mUirggdKOkR24A_26_5"/>
      <w:bookmarkStart w:id="586" w:name="Tc_NY-fh4R7HUGaje5SXlUOFg_26_2"/>
      <w:bookmarkStart w:id="587" w:name="Tc_sWDgNoEpx0iQnpWLJVX1XQ_26_0"/>
      <w:bookmarkStart w:id="588" w:name="Tc_kH9DctONpUSQyuUA4yQVUQ_24_17"/>
      <w:bookmarkStart w:id="589" w:name="Tc_RlPPdHWX8UWmAlMgpbU0vQ_24_8"/>
      <w:bookmarkStart w:id="590" w:name="Tc_BdL-_nccJEiK6TA_9gFibw_24_0"/>
      <w:bookmarkStart w:id="591" w:name="Tc_GSu5NEEjKEWv-ZGzfxJ6RQ_23_0"/>
      <w:bookmarkStart w:id="592" w:name="Tc_UWptdpnAqkmo9jjz7vJk5Q_22_0"/>
      <w:bookmarkStart w:id="593" w:name="Tc_p_gSAZOclEWEmSq3avVnWg_21_0"/>
      <w:bookmarkStart w:id="594" w:name="Tc_xNUAVR2dDUqQJbSlxt-SUQ_20_0"/>
      <w:bookmarkStart w:id="595" w:name="Tc_2GCnZF9gH0m_vS3SZ03O5A_19_0"/>
      <w:bookmarkStart w:id="596" w:name="Tc_OKkG_1IZV0iNIQryQDmgVQ_18_14"/>
      <w:bookmarkStart w:id="597" w:name="Tc_BNX9zDn6eUSXf9ojE2dH1A_18_11"/>
      <w:bookmarkStart w:id="598" w:name="Tc_18JzOjdNV0ah0X7k1Bd4bw_18_5"/>
      <w:bookmarkStart w:id="599" w:name="Tc_piMKX8b-5EmvpbZdkGzZVA_18_2"/>
      <w:bookmarkStart w:id="600" w:name="Tc_Ugn9eS8yikOqZ35-FS2Log_18_0"/>
      <w:bookmarkStart w:id="601" w:name="Tc_f5CGSTlHi0yfAuHQg_bwpw_16_0"/>
      <w:bookmarkStart w:id="602" w:name="Tc_w3FJ6yhx-UuHqUMdZDQzhA_15_0"/>
      <w:bookmarkStart w:id="603" w:name="Tc_PdF1FjFPWEKDu29Olm_T0A_14_15"/>
      <w:bookmarkStart w:id="604" w:name="Tc_eWIOdba6W0mTtMo9OOgXvw_14_6"/>
      <w:bookmarkStart w:id="605" w:name="Tc_enMwYsiEh0WL6YaYecbdFA_14_0"/>
      <w:bookmarkStart w:id="606" w:name="Tc_HWcmEGxO_0KenemD9V9z4w_13_0"/>
      <w:bookmarkStart w:id="607" w:name="Tc_wfcIHdNG1kyRsmte9df0xw_12_0"/>
      <w:bookmarkStart w:id="608" w:name="Tc_UD3bdhVL10ae8TZQW5DN2g_11_12"/>
      <w:bookmarkStart w:id="609" w:name="Tc_K4wqiIRMREWtO9CEMaZ81Q_11_3"/>
      <w:bookmarkStart w:id="610" w:name="Tc_wCgt_-eNPkqZfNRRBmfNZA_11_0"/>
      <w:bookmarkStart w:id="611" w:name="Tc_wtmU48o9zU-S8q2ANY2y0g_10_15"/>
      <w:bookmarkStart w:id="612" w:name="Tc_fadjU-Aw7EWQ-vPoiCV9Bw_10_6"/>
      <w:bookmarkStart w:id="613" w:name="Tc_UvllTonshE68dIJ9haXeSg_10_0"/>
      <w:bookmarkStart w:id="614" w:name="Tc_JqzCbrdE60iFh16rTOHBhA_9_15"/>
      <w:bookmarkStart w:id="615" w:name="Tc_OZo7bW4ye0KgW4y-pflxlQ_9_6"/>
      <w:bookmarkStart w:id="616" w:name="Tc_tlN6a4lOX06COE7btCI6uw_9_0"/>
      <w:bookmarkStart w:id="617" w:name="Tc_5TbOatAzAUSJzd2sW-bMcQ_8_15"/>
      <w:bookmarkStart w:id="618" w:name="Tc_Zvo98i2QZkiFNYOnqu_pvA_8_6"/>
      <w:bookmarkStart w:id="619" w:name="Tc_zMubRCSwckmm0kOHirxoAg_8_0"/>
      <w:bookmarkStart w:id="620" w:name="Tc_GhYqmkt7OECrs70W46Ycgw_7_0"/>
      <w:bookmarkStart w:id="621" w:name="Tc_xMyYInK3a0629wW8WWTQ-g_6_0"/>
      <w:bookmarkStart w:id="622" w:name="Tc_NH1xkietAkS3O0zr5ksQFA_4_17"/>
      <w:bookmarkStart w:id="623" w:name="Tc_TX7NT-sYikW9pMhqYtRGJw_4_14"/>
      <w:bookmarkStart w:id="624" w:name="Tc_T8qPRf-9pkiH_M7B3WmWPA_4_11"/>
      <w:bookmarkStart w:id="625" w:name="Tc_jWsl7zy950KnHSACUa5QPw_4_8"/>
      <w:bookmarkStart w:id="626" w:name="Tc_D6I0joskVk2WF83U0eZUQA_4_5"/>
      <w:bookmarkStart w:id="627" w:name="Tc_56r9zCHtkEi5mAwhNUNLHg_4_2"/>
      <w:bookmarkStart w:id="628" w:name="Tc_Nq-dEfjY9EKFJrxQCfStGA_4_0"/>
      <w:bookmarkStart w:id="629" w:name="Tc_3P3hTf0iREWeM8Fa0H8nhg_3_17"/>
      <w:bookmarkStart w:id="630" w:name="Tc_eNRfRbc1KUGZaAm8Wg_SZQ_3_14"/>
      <w:bookmarkStart w:id="631" w:name="Tc_6hs3ZAn1QEuRVk5OPq16CA_3_11"/>
      <w:bookmarkStart w:id="632" w:name="Tc_7YVp0OpsakCr-rdv4L-_vA_3_8"/>
      <w:bookmarkStart w:id="633" w:name="Tc_m7c4O7pBE0SfAv1reKFyLQ_3_5"/>
      <w:bookmarkStart w:id="634" w:name="Tc_0Z8Snq5mcEuz60K8LVWptw_3_2"/>
      <w:bookmarkStart w:id="635" w:name="Tc_IA5hyuZPVkOBz7MtgWsCYA_3_0"/>
      <w:bookmarkStart w:id="636" w:name="Tc_xzVxUynE10CGuaPBGqfaAg_2_11"/>
      <w:bookmarkStart w:id="637" w:name="Tc_3Kae6eXteEG7hAxH-QnszA_2_2"/>
      <w:bookmarkStart w:id="638" w:name="Tc_SfcfKF7oFU2UUyY06KOKQw_1_11"/>
      <w:bookmarkStart w:id="639" w:name="Tc_p59zCburs0iq4qUFkF-tcQ_1_2"/>
      <w:bookmarkStart w:id="640" w:name="_c87e55e5_f872_45bd_85f3_b82dbe932a9d"/>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REPORTABLE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segments are components of an enterprise that engage in business activities from which it may earn revenues and incur expenses, whose operating results are regularly reviewed by the chief operating decision maker (“CODM”) to make decisions about resources to be allocated to the segment and assess its performance, and for which discrete financial information is available. The Company’s CODM is its Chief Executive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identified two reportable segments on the basis of internal information provided to the CODM: Ocean Transportation and Logistics which are described in Note 1. Each segment is managed separately based upon fundamental differences in the operations of each segment. The Company’s Ocean Transportation service primarily involves the transportation of customer cargo on Company owned and chartered vessels. The Company’s Logistics service provides customers with logistics solutions primarily using third-party purchased transportation. The Company’s CODM assesses the performance of each segment using operating income. The Company’s CODM reviews the performance of each segment using monthly internal reports which provide variance analysis of actual results by segment compared to budget, forecast and prior year. The Company’s CODM uses this information when making decisions about the allocation of operating and capital resources to each segment. Segment balance sheet information is not provided to the CODM as capital decisions are based upon the Company’s consolidated balance sheet.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financial information for the three months ended March 31, 2026 and 2025 are as follows:</w:t>
      </w:r>
    </w:p>
    <w:p>
      <w:pPr>
        <w:pStyle w:val="TextBody"/>
        <w:bidi w:val="0"/>
        <w:spacing w:before="0" w:after="0"/>
        <w:ind w:left="0" w:right="0" w:hanging="0"/>
        <w:jc w:val="left"/>
        <w:rPr/>
      </w:pPr>
      <w:r>
        <w:rPr/>
        <w:t>​</w:t>
      </w:r>
    </w:p>
    <w:tbl>
      <w:tblPr>
        <w:tblW w:w="9903" w:type="dxa"/>
        <w:jc w:val="left"/>
        <w:tblInd w:w="0" w:type="dxa"/>
        <w:tblLayout w:type="fixed"/>
        <w:tblCellMar>
          <w:top w:w="0" w:type="dxa"/>
          <w:left w:w="0" w:type="dxa"/>
          <w:bottom w:w="0" w:type="dxa"/>
          <w:right w:w="0" w:type="dxa"/>
        </w:tblCellMar>
      </w:tblPr>
      <w:tblGrid>
        <w:gridCol w:w="2221"/>
        <w:gridCol w:w="346"/>
        <w:gridCol w:w="317"/>
        <w:gridCol w:w="928"/>
        <w:gridCol w:w="346"/>
        <w:gridCol w:w="196"/>
        <w:gridCol w:w="631"/>
        <w:gridCol w:w="109"/>
        <w:gridCol w:w="196"/>
        <w:gridCol w:w="631"/>
        <w:gridCol w:w="346"/>
        <w:gridCol w:w="317"/>
        <w:gridCol w:w="928"/>
        <w:gridCol w:w="346"/>
        <w:gridCol w:w="196"/>
        <w:gridCol w:w="631"/>
        <w:gridCol w:w="346"/>
        <w:gridCol w:w="196"/>
        <w:gridCol w:w="67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10335" cy="175260"/>
                      <wp:effectExtent l="0" t="0" r="0" b="0"/>
                      <wp:wrapNone/>
                      <wp:docPr id="73" name="Frame73"/>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1295" cy="175260"/>
                      <wp:effectExtent l="0" t="0" r="0" b="0"/>
                      <wp:wrapNone/>
                      <wp:docPr id="75" name="Frame7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89280" cy="175260"/>
                      <wp:effectExtent l="0" t="0" r="0" b="0"/>
                      <wp:wrapNone/>
                      <wp:docPr id="76" name="Frame76"/>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4460" cy="175260"/>
                      <wp:effectExtent l="0" t="0" r="0" b="0"/>
                      <wp:wrapNone/>
                      <wp:docPr id="78" name="Frame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00685" cy="175260"/>
                      <wp:effectExtent l="0" t="0" r="0" b="0"/>
                      <wp:wrapNone/>
                      <wp:docPr id="79" name="Frame7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4460" cy="175260"/>
                      <wp:effectExtent l="0" t="0" r="0" b="0"/>
                      <wp:wrapNone/>
                      <wp:docPr id="81" name="Frame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00685" cy="175260"/>
                      <wp:effectExtent l="0" t="0" r="0" b="0"/>
                      <wp:wrapNone/>
                      <wp:docPr id="82" name="Frame8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1295" cy="175260"/>
                      <wp:effectExtent l="0" t="0" r="0" b="0"/>
                      <wp:wrapNone/>
                      <wp:docPr id="84" name="Frame8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89280" cy="175260"/>
                      <wp:effectExtent l="0" t="0" r="0" b="0"/>
                      <wp:wrapNone/>
                      <wp:docPr id="85" name="Frame85"/>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460" cy="175260"/>
                      <wp:effectExtent l="0" t="0" r="0" b="0"/>
                      <wp:wrapNone/>
                      <wp:docPr id="87"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00685" cy="175260"/>
                      <wp:effectExtent l="0" t="0" r="0" b="0"/>
                      <wp:wrapNone/>
                      <wp:docPr id="88" name="Frame8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24460" cy="175260"/>
                      <wp:effectExtent l="0" t="0" r="0" b="0"/>
                      <wp:wrapNone/>
                      <wp:docPr id="90" name="Frame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29260" cy="175260"/>
                      <wp:effectExtent l="0" t="0" r="0" b="0"/>
                      <wp:wrapNone/>
                      <wp:docPr id="91" name="Frame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54"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636"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Three Months Ended </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5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March 31, 2026</w:t>
            </w:r>
          </w:p>
        </w:tc>
        <w:tc>
          <w:tcPr>
            <w:tcW w:w="346" w:type="dxa"/>
            <w:tcBorders/>
            <w:vAlign w:val="center"/>
          </w:tcPr>
          <w:p>
            <w:pPr>
              <w:pStyle w:val="TableContents"/>
              <w:bidi w:val="0"/>
              <w:spacing w:before="0" w:after="0"/>
              <w:ind w:left="0" w:right="0" w:hanging="0"/>
              <w:jc w:val="left"/>
              <w:rPr/>
            </w:pPr>
            <w:r>
              <w:rPr/>
              <w:t>​</w:t>
            </w:r>
          </w:p>
        </w:tc>
        <w:tc>
          <w:tcPr>
            <w:tcW w:w="363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March 31, 2025</w:t>
            </w:r>
          </w:p>
        </w:tc>
      </w:tr>
      <w:tr>
        <w:trPr/>
        <w:tc>
          <w:tcPr>
            <w:tcW w:w="2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 millions)</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Revenue (1)(2)</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151.3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757.8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782.0</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costs:</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Direct cargo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(234.8)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(238.2)</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Vessel operating expense</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(138.7)</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(147.4)</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overhead (3)</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(81.7)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(87.1)</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Direct operating costs</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(126.5)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(126.5)</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(117.8)</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(42.2)</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(40.6)</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operating costs</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(129.6)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(623.9)</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(631.1)</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SSAT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General and administrative</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(77.5)</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(75.4)</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(696.4)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(699.9)</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82.1</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income</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income (expense), net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92.2</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taxes</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(19.9)</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72.3</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Capital Expenditures (4)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48.3</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89.2</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revenue excludes inter-segment revenue of $17.8</w:t>
            </w:r>
            <w:r>
              <w:rPr>
                <w:caps w:val="false"/>
                <w:smallCaps w:val="false"/>
              </w:rPr>
              <w:t> </w:t>
            </w:r>
            <w:r>
              <w:rPr>
                <w:rFonts w:ascii="Times New Roman;Times;serif" w:hAnsi="Times New Roman;Times;serif"/>
                <w:b w:val="false"/>
                <w:i w:val="false"/>
                <w:caps w:val="false"/>
                <w:smallCaps w:val="false"/>
                <w:sz w:val="16"/>
              </w:rPr>
              <w:t>million and $21.4</w:t>
            </w:r>
            <w:r>
              <w:rPr>
                <w:caps w:val="false"/>
                <w:smallCaps w:val="false"/>
              </w:rPr>
              <w:t> </w:t>
            </w:r>
            <w:r>
              <w:rPr>
                <w:rFonts w:ascii="Times New Roman;Times;serif" w:hAnsi="Times New Roman;Times;serif"/>
                <w:b w:val="false"/>
                <w:i w:val="false"/>
                <w:caps w:val="false"/>
                <w:smallCaps w:val="false"/>
                <w:sz w:val="16"/>
              </w:rPr>
              <w:t>million for the three months ended March 31, 2026 and 2025, respectively.</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operating revenue excludes inter-segment revenue of $29.8</w:t>
            </w:r>
            <w:r>
              <w:rPr>
                <w:caps w:val="false"/>
                <w:smallCaps w:val="false"/>
              </w:rPr>
              <w:t> </w:t>
            </w:r>
            <w:r>
              <w:rPr>
                <w:rFonts w:ascii="Times New Roman;Times;serif" w:hAnsi="Times New Roman;Times;serif"/>
                <w:b w:val="false"/>
                <w:i w:val="false"/>
                <w:caps w:val="false"/>
                <w:smallCaps w:val="false"/>
                <w:sz w:val="16"/>
              </w:rPr>
              <w:t>million and $32.6</w:t>
            </w:r>
            <w:r>
              <w:rPr>
                <w:caps w:val="false"/>
                <w:smallCaps w:val="false"/>
              </w:rPr>
              <w:t> </w:t>
            </w:r>
            <w:r>
              <w:rPr>
                <w:rFonts w:ascii="Times New Roman;Times;serif" w:hAnsi="Times New Roman;Times;serif"/>
                <w:b w:val="false"/>
                <w:i w:val="false"/>
                <w:caps w:val="false"/>
                <w:smallCaps w:val="false"/>
                <w:sz w:val="16"/>
              </w:rPr>
              <w:t xml:space="preserve">million for the three months ended March 31, 2026 and 2025, respectively. </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overhead includes dry-docking amortization of $7.7</w:t>
            </w:r>
            <w:r>
              <w:rPr>
                <w:caps w:val="false"/>
                <w:smallCaps w:val="false"/>
              </w:rPr>
              <w:t> </w:t>
            </w:r>
            <w:r>
              <w:rPr>
                <w:rFonts w:ascii="Times New Roman;Times;serif" w:hAnsi="Times New Roman;Times;serif"/>
                <w:b w:val="false"/>
                <w:i w:val="false"/>
                <w:caps w:val="false"/>
                <w:smallCaps w:val="false"/>
                <w:sz w:val="16"/>
              </w:rPr>
              <w:t>million and $6.6</w:t>
            </w:r>
            <w:r>
              <w:rPr>
                <w:caps w:val="false"/>
                <w:smallCaps w:val="false"/>
              </w:rPr>
              <w:t> </w:t>
            </w:r>
            <w:r>
              <w:rPr>
                <w:rFonts w:ascii="Times New Roman;Times;serif" w:hAnsi="Times New Roman;Times;serif"/>
                <w:b w:val="false"/>
                <w:i w:val="false"/>
                <w:caps w:val="false"/>
                <w:smallCaps w:val="false"/>
                <w:sz w:val="16"/>
              </w:rPr>
              <w:t>million for the three months ended March 31, 2026 and 2025, respectively.</w:t>
            </w:r>
          </w:p>
        </w:tc>
      </w:tr>
    </w:tbl>
    <w:tbl>
      <w:tblPr>
        <w:tblW w:w="10022" w:type="dxa"/>
        <w:jc w:val="left"/>
        <w:tblInd w:w="0" w:type="dxa"/>
        <w:tblLayout w:type="fixed"/>
        <w:tblCellMar>
          <w:top w:w="0" w:type="dxa"/>
          <w:left w:w="0" w:type="dxa"/>
          <w:bottom w:w="0" w:type="dxa"/>
          <w:right w:w="0" w:type="dxa"/>
        </w:tblCellMar>
      </w:tblPr>
      <w:tblGrid>
        <w:gridCol w:w="331"/>
        <w:gridCol w:w="969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6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Capital expenditures exclude accrued capital expenditures of $3.2</w:t>
            </w:r>
            <w:r>
              <w:rPr>
                <w:caps w:val="false"/>
                <w:smallCaps w:val="false"/>
              </w:rPr>
              <w:t> </w:t>
            </w:r>
            <w:r>
              <w:rPr>
                <w:rFonts w:ascii="Times New Roman;Times;serif" w:hAnsi="Times New Roman;Times;serif"/>
                <w:b w:val="false"/>
                <w:i w:val="false"/>
                <w:caps w:val="false"/>
                <w:smallCaps w:val="false"/>
                <w:sz w:val="16"/>
              </w:rPr>
              <w:t>million and $7.6</w:t>
            </w:r>
            <w:r>
              <w:rPr>
                <w:caps w:val="false"/>
                <w:smallCaps w:val="false"/>
              </w:rPr>
              <w:t> </w:t>
            </w:r>
            <w:r>
              <w:rPr>
                <w:rFonts w:ascii="Times New Roman;Times;serif" w:hAnsi="Times New Roman;Times;serif"/>
                <w:b w:val="false"/>
                <w:i w:val="false"/>
                <w:caps w:val="false"/>
                <w:smallCaps w:val="false"/>
                <w:sz w:val="16"/>
              </w:rPr>
              <w:t>million as of March 31, 2026 and 2025,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Transportation’s operating expenses includes the following:</w:t>
      </w:r>
    </w:p>
    <w:tbl>
      <w:tblPr>
        <w:tblW w:w="2522" w:type="dxa"/>
        <w:jc w:val="left"/>
        <w:tblInd w:w="0" w:type="dxa"/>
        <w:tblLayout w:type="fixed"/>
        <w:tblCellMar>
          <w:top w:w="0" w:type="dxa"/>
          <w:left w:w="0" w:type="dxa"/>
          <w:bottom w:w="0" w:type="dxa"/>
          <w:right w:w="0" w:type="dxa"/>
        </w:tblCellMar>
      </w:tblPr>
      <w:tblGrid>
        <w:gridCol w:w="271"/>
        <w:gridCol w:w="2251"/>
      </w:tblGrid>
      <w:tr>
        <w:trPr/>
        <w:tc>
          <w:tcPr>
            <w:tcW w:w="271"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283"/>
              <w:jc w:val="left"/>
              <w:rPr/>
            </w:pPr>
            <w:r>
              <w:rPr>
                <w:rFonts w:ascii="Times New Roman;Times;serif" w:hAnsi="Times New Roman;Times;serif"/>
                <w:b w:val="false"/>
                <w:i/>
                <w:sz w:val="20"/>
              </w:rPr>
              <w:t>Operating costs</w:t>
            </w:r>
            <w:r>
              <w:rPr>
                <w:caps w:val="false"/>
                <w:smallCaps w:val="false"/>
              </w:rPr>
              <w:t xml:space="preserve"> </w:t>
            </w:r>
            <w:r>
              <w:rPr>
                <w:rFonts w:ascii="Times New Roman;Times;serif" w:hAnsi="Times New Roman;Times;serif"/>
                <w:b w:val="false"/>
                <w:i w:val="false"/>
                <w:caps w:val="false"/>
                <w:smallCaps w:val="false"/>
                <w:sz w:val="20"/>
              </w:rPr>
              <w:t>includes: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Direct Cargo Expense</w:t>
            </w:r>
            <w:r>
              <w:rPr>
                <w:caps w:val="false"/>
                <w:smallCaps w:val="false"/>
              </w:rPr>
              <w:t xml:space="preserve"> </w:t>
            </w:r>
            <w:r>
              <w:rPr>
                <w:rFonts w:ascii="Times New Roman;Times;serif" w:hAnsi="Times New Roman;Times;serif"/>
                <w:b w:val="false"/>
                <w:i w:val="false"/>
                <w:caps w:val="false"/>
                <w:smallCaps w:val="false"/>
                <w:sz w:val="20"/>
              </w:rPr>
              <w:t>includes terminal handling costs including labor, stevedoring and wharfage, outside purchased transportation and other related costs.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Vessel Operating Expense</w:t>
            </w:r>
            <w:r>
              <w:rPr>
                <w:caps w:val="false"/>
                <w:smallCaps w:val="false"/>
              </w:rPr>
              <w:t xml:space="preserve"> </w:t>
            </w:r>
            <w:r>
              <w:rPr>
                <w:rFonts w:ascii="Times New Roman;Times;serif" w:hAnsi="Times New Roman;Times;serif"/>
                <w:b w:val="false"/>
                <w:i w:val="false"/>
                <w:caps w:val="false"/>
                <w:smallCaps w:val="false"/>
                <w:sz w:val="20"/>
              </w:rPr>
              <w:t>includes crew wages and related costs; fuel; pilots, tugs, lines and related costs; vessel charter expenses; and other vessel operating related expenses.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Operating Overhead Expense</w:t>
            </w:r>
            <w:r>
              <w:rPr>
                <w:caps w:val="false"/>
                <w:smallCaps w:val="false"/>
              </w:rPr>
              <w:t xml:space="preserve"> </w:t>
            </w:r>
            <w:r>
              <w:rPr>
                <w:rFonts w:ascii="Times New Roman;Times;serif" w:hAnsi="Times New Roman;Times;serif"/>
                <w:b w:val="false"/>
                <w:i w:val="false"/>
                <w:caps w:val="false"/>
                <w:smallCaps w:val="false"/>
                <w:sz w:val="20"/>
              </w:rPr>
              <w:t>includes vessel repair and maintenance costs, inactive vessel costs, dry-docking amortization, equipment lease costs, equipment repair costs, insurance, port engineers and other maintenance costs, other vessel and shoreside related overhead and other indirect costs.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Depreciation and Amortization Expense</w:t>
            </w:r>
            <w:r>
              <w:rPr>
                <w:caps w:val="false"/>
                <w:smallCaps w:val="false"/>
              </w:rPr>
              <w:t xml:space="preserve"> </w:t>
            </w:r>
            <w:r>
              <w:rPr>
                <w:rFonts w:ascii="Times New Roman;Times;serif" w:hAnsi="Times New Roman;Times;serif"/>
                <w:b w:val="false"/>
                <w:i w:val="false"/>
                <w:caps w:val="false"/>
                <w:smallCaps w:val="false"/>
                <w:sz w:val="20"/>
              </w:rPr>
              <w:t xml:space="preserve">includes depreciation of property and equipment and amortization of intangible assets.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Income from SSAT</w:t>
            </w:r>
            <w:r>
              <w:rPr>
                <w:caps w:val="false"/>
                <w:smallCaps w:val="false"/>
              </w:rPr>
              <w:t xml:space="preserve"> </w:t>
            </w:r>
            <w:r>
              <w:rPr>
                <w:rFonts w:ascii="Times New Roman;Times;serif" w:hAnsi="Times New Roman;Times;serif"/>
                <w:b w:val="false"/>
                <w:i w:val="false"/>
                <w:caps w:val="false"/>
                <w:smallCaps w:val="false"/>
                <w:sz w:val="20"/>
              </w:rPr>
              <w:t>includes the Company’s share of income from its equity investment in SSAT and has been aggregated into the Ocean Transportation segment due to the operations of SSAT being an integral part of the Company’s Ocean Transportation business (see Note 4).</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General and Administrative Expense</w:t>
            </w:r>
            <w:r>
              <w:rPr>
                <w:caps w:val="false"/>
                <w:smallCaps w:val="false"/>
              </w:rPr>
              <w:t xml:space="preserve"> </w:t>
            </w:r>
            <w:r>
              <w:rPr>
                <w:rFonts w:ascii="Times New Roman;Times;serif" w:hAnsi="Times New Roman;Times;serif"/>
                <w:b w:val="false"/>
                <w:i w:val="false"/>
                <w:caps w:val="false"/>
                <w:smallCaps w:val="false"/>
                <w:sz w:val="20"/>
              </w:rPr>
              <w:t xml:space="preserve">includes employee salaries, wages and other related costs, equipment maintenance, computer hardware and software, professional fees and other general and administrative expenses.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expenses includes the following:</w:t>
      </w:r>
    </w:p>
    <w:tbl>
      <w:tblPr>
        <w:tblW w:w="2507" w:type="dxa"/>
        <w:jc w:val="left"/>
        <w:tblInd w:w="0" w:type="dxa"/>
        <w:tblLayout w:type="fixed"/>
        <w:tblCellMar>
          <w:top w:w="0" w:type="dxa"/>
          <w:left w:w="0" w:type="dxa"/>
          <w:bottom w:w="0" w:type="dxa"/>
          <w:right w:w="0" w:type="dxa"/>
        </w:tblCellMar>
      </w:tblPr>
      <w:tblGrid>
        <w:gridCol w:w="271"/>
        <w:gridCol w:w="2236"/>
      </w:tblGrid>
      <w:tr>
        <w:trPr/>
        <w:tc>
          <w:tcPr>
            <w:tcW w:w="271" w:type="dxa"/>
            <w:tcBorders/>
            <w:vAlign w:val="center"/>
          </w:tcPr>
          <w:p>
            <w:pPr>
              <w:pStyle w:val="TableContents"/>
              <w:bidi w:val="0"/>
              <w:spacing w:before="0" w:after="283"/>
              <w:jc w:val="left"/>
              <w:rPr/>
            </w:pPr>
            <w:r>
              <w:rPr/>
              <w:t>●</w:t>
            </w:r>
          </w:p>
        </w:tc>
        <w:tc>
          <w:tcPr>
            <w:tcW w:w="2236" w:type="dxa"/>
            <w:tcBorders/>
            <w:vAlign w:val="center"/>
          </w:tcPr>
          <w:p>
            <w:pPr>
              <w:pStyle w:val="TableContents"/>
              <w:bidi w:val="0"/>
              <w:spacing w:before="0" w:after="283"/>
              <w:jc w:val="left"/>
              <w:rPr/>
            </w:pPr>
            <w:r>
              <w:rPr>
                <w:rFonts w:ascii="Times New Roman;Times;serif" w:hAnsi="Times New Roman;Times;serif"/>
                <w:b w:val="false"/>
                <w:i/>
                <w:sz w:val="20"/>
              </w:rPr>
              <w:t xml:space="preserve">Operating costs </w:t>
            </w:r>
            <w:r>
              <w:rPr>
                <w:rFonts w:ascii="Times New Roman;Times;serif" w:hAnsi="Times New Roman;Times;serif"/>
                <w:b w:val="false"/>
                <w:i w:val="false"/>
                <w:caps w:val="false"/>
                <w:smallCaps w:val="false"/>
                <w:sz w:val="20"/>
              </w:rPr>
              <w:t>includes: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Direct Operating Expense </w:t>
            </w:r>
            <w:r>
              <w:rPr>
                <w:rFonts w:ascii="Times New Roman;Times;serif" w:hAnsi="Times New Roman;Times;serif"/>
                <w:b w:val="false"/>
                <w:i w:val="false"/>
                <w:caps w:val="false"/>
                <w:smallCaps w:val="false"/>
                <w:sz w:val="20"/>
              </w:rPr>
              <w:t>includes transportation costs, transportation brokerage expenses, agency commissions, leases of warehouses, cross-dock and other facility operating costs, wages and other related costs, and other operating overhead.</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Depreciation and Amortization Expense</w:t>
            </w:r>
            <w:r>
              <w:rPr>
                <w:caps w:val="false"/>
                <w:smallCaps w:val="false"/>
              </w:rPr>
              <w:t xml:space="preserve"> </w:t>
            </w:r>
            <w:r>
              <w:rPr>
                <w:rFonts w:ascii="Times New Roman;Times;serif" w:hAnsi="Times New Roman;Times;serif"/>
                <w:b w:val="false"/>
                <w:i w:val="false"/>
                <w:caps w:val="false"/>
                <w:smallCaps w:val="false"/>
                <w:sz w:val="20"/>
              </w:rPr>
              <w:t xml:space="preserve">includes depreciation of property and equipment and amortization of intangible assets.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General and Administrative Expense</w:t>
            </w:r>
            <w:r>
              <w:rPr>
                <w:caps w:val="false"/>
                <w:smallCaps w:val="false"/>
              </w:rPr>
              <w:t xml:space="preserve"> </w:t>
            </w:r>
            <w:r>
              <w:rPr>
                <w:rFonts w:ascii="Times New Roman;Times;serif" w:hAnsi="Times New Roman;Times;serif"/>
                <w:b w:val="false"/>
                <w:i w:val="false"/>
                <w:caps w:val="false"/>
                <w:smallCaps w:val="false"/>
                <w:sz w:val="20"/>
              </w:rPr>
              <w:t>includes employee salaries, wages and other related costs, computer hardware and software, professional fees and other general and administrative expenses.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Ocean Transportation segment provides ocean transportation services to the Logistics segment, and the Logistics segment provides logistics services to the Ocean Transportation segment in certain transactions. Accordingly, inter-segment revenue of $47.6 million and $54.0 million for the </w:t>
      </w:r>
      <w:r>
        <w:rPr>
          <w:rFonts w:ascii="Times New Roman;Times;serif" w:hAnsi="Times New Roman;Times;serif"/>
          <w:sz w:val="20"/>
          <w:shd w:fill="FFFFFF" w:val="clear"/>
        </w:rPr>
        <w:t>three months</w:t>
      </w:r>
      <w:r>
        <w:rPr>
          <w:rFonts w:ascii="Times New Roman;Times;serif" w:hAnsi="Times New Roman;Times;serif"/>
          <w:sz w:val="20"/>
        </w:rPr>
        <w:t xml:space="preserve"> ended </w:t>
      </w:r>
      <w:r>
        <w:rPr>
          <w:rFonts w:ascii="Times New Roman;Times;serif" w:hAnsi="Times New Roman;Times;serif"/>
          <w:sz w:val="20"/>
          <w:shd w:fill="FFFFFF" w:val="clear"/>
        </w:rPr>
        <w:t>March 31, 2026</w:t>
      </w:r>
      <w:r>
        <w:rPr>
          <w:rFonts w:ascii="Times New Roman;Times;serif" w:hAnsi="Times New Roman;Times;serif"/>
          <w:sz w:val="20"/>
        </w:rPr>
        <w:t xml:space="preserve"> and 2025, respectively, have been eliminated from consolidated operating revenues. In arrangements where the customer purchases ocean transportation and logistics services, the revenues are allocated to each reportable segment based upon the contractual amounts for each type of service.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41" w:name="Tc_LDc0Y_0BT0CFehpN5QTQsg_8_5"/>
      <w:bookmarkStart w:id="642" w:name="Tc_44ICzwehvEejyflXTAPwtA_8_2"/>
      <w:bookmarkStart w:id="643" w:name="Tc_MmLPFEWne0akZobPdnvUCQ_8_0"/>
      <w:bookmarkStart w:id="644" w:name="Tc_8mTQlcOSuUuccg6HgFJFmw_7_5"/>
      <w:bookmarkStart w:id="645" w:name="Tc_L-kk164vRk6IcnkgV508ig_7_2"/>
      <w:bookmarkStart w:id="646" w:name="Tc_W1rtya7bGEqwMJ62Zulrag_7_0"/>
      <w:bookmarkStart w:id="647" w:name="Tc_lhCmd9VcaUyVqZlsQVR1jg_6_0"/>
      <w:bookmarkStart w:id="648" w:name="Tc_3UepjTNuC0G28PsVQ25tsw_5_0"/>
      <w:bookmarkStart w:id="649" w:name="Tc_g9X-48ZuEEK-cXlLiKO-BA_4_5"/>
      <w:bookmarkStart w:id="650" w:name="Tc_P_b42U0qFUyHuCcOYWUtMw_4_2"/>
      <w:bookmarkStart w:id="651" w:name="Tc_lr-BHT_RHECP7vFd5B6uiA_4_0"/>
      <w:bookmarkStart w:id="652" w:name="Tc_8B_2XCVe0kiJWYGk34dGYQ_3_5"/>
      <w:bookmarkStart w:id="653" w:name="Tc_EtK8qf_SIEasU9iksomwtA_3_2"/>
      <w:bookmarkStart w:id="654" w:name="Tc_4q84keJpZECdhGW6uep3GA_3_0"/>
      <w:bookmarkStart w:id="655" w:name="Tc_9F11Lc5baUSlraDJGLmFzQ_2_2"/>
      <w:bookmarkStart w:id="656" w:name="Tc_IPIoXU7FkUW4yyBpAya4gQ_1_2"/>
      <w:bookmarkStart w:id="657" w:name="_6be2f3e3_8a73_4a6a_b649_0cc3ac0f7e09"/>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r>
        <w:rPr>
          <w:rFonts w:ascii="Times New Roman;Times;serif" w:hAnsi="Times New Roman;Times;serif"/>
          <w:b/>
          <w:sz w:val="20"/>
        </w:rPr>
        <w:t>4.          INVESTMENT IN SSAT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 in SSAT is described in Note 4 to the Consolidated Financial Statements included in the Company’s Annual Report on Form 10-K for the year ended December 31, 2025. Condensed income statement information for SSAT for the three months ended March 31, 2026 and 2025 consisted of the following:</w:t>
      </w:r>
    </w:p>
    <w:p>
      <w:pPr>
        <w:pStyle w:val="TextBody"/>
        <w:bidi w:val="0"/>
        <w:spacing w:before="0" w:after="0"/>
        <w:ind w:left="0" w:right="0" w:hanging="0"/>
        <w:jc w:val="left"/>
        <w:rPr/>
      </w:pPr>
      <w:r>
        <w:rPr/>
        <w:t>​</w:t>
      </w:r>
    </w:p>
    <w:tbl>
      <w:tblPr>
        <w:tblW w:w="5950" w:type="dxa"/>
        <w:jc w:val="left"/>
        <w:tblInd w:w="0" w:type="dxa"/>
        <w:tblLayout w:type="fixed"/>
        <w:tblCellMar>
          <w:top w:w="0" w:type="dxa"/>
          <w:left w:w="0" w:type="dxa"/>
          <w:bottom w:w="0" w:type="dxa"/>
          <w:right w:w="0" w:type="dxa"/>
        </w:tblCellMar>
      </w:tblPr>
      <w:tblGrid>
        <w:gridCol w:w="3646"/>
        <w:gridCol w:w="109"/>
        <w:gridCol w:w="211"/>
        <w:gridCol w:w="691"/>
        <w:gridCol w:w="346"/>
        <w:gridCol w:w="211"/>
        <w:gridCol w:w="73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315210" cy="175260"/>
                      <wp:effectExtent l="0" t="0" r="0" b="0"/>
                      <wp:wrapNone/>
                      <wp:docPr id="92" name="Frame92"/>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38785" cy="175260"/>
                      <wp:effectExtent l="0" t="0" r="0" b="0"/>
                      <wp:wrapNone/>
                      <wp:docPr id="95" name="Frame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67360" cy="175260"/>
                      <wp:effectExtent l="0" t="0" r="0" b="0"/>
                      <wp:wrapNone/>
                      <wp:docPr id="98" name="Frame9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SSAT’s Net Income (1)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Company’s Share of SSAT’s Net Income (2)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w:t>
            </w:r>
          </w:p>
        </w:tc>
      </w:tr>
    </w:tbl>
    <w:tbl>
      <w:tblPr>
        <w:tblW w:w="10007" w:type="dxa"/>
        <w:jc w:val="left"/>
        <w:tblInd w:w="0" w:type="dxa"/>
        <w:tblLayout w:type="fixed"/>
        <w:tblCellMar>
          <w:top w:w="0" w:type="dxa"/>
          <w:left w:w="0" w:type="dxa"/>
          <w:bottom w:w="0" w:type="dxa"/>
          <w:right w:w="0" w:type="dxa"/>
        </w:tblCellMar>
      </w:tblPr>
      <w:tblGrid>
        <w:gridCol w:w="331"/>
        <w:gridCol w:w="967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earnings and losses from equity method investment held by SSAT less earnings and losses allocated to non-controlling interests.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records its share of net income from SSAT in costs and expenses in the Condensed Consolidated Statement of Income and Comprehensive Income due to the nature of SSAT’s operations.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 in SSAT was $101.5 million and $96.2 million at March 31, 2026 and December 31,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58" w:name="Tc_Z0VQVrEl20aea9ErfVznZw_11_5"/>
      <w:bookmarkStart w:id="659" w:name="Tc_ysEzI69XFEWfdIRui3Xqlg_11_2"/>
      <w:bookmarkStart w:id="660" w:name="Tc_pnzVV4WxKk2U5Q9IOrH0ug_11_0"/>
      <w:bookmarkStart w:id="661" w:name="Tc_SAJpZJvLK0Go592wdxB0-A_10_0"/>
      <w:bookmarkStart w:id="662" w:name="Tc_4Lh3kQuZeUyPp9IEo6r76A_9_0"/>
      <w:bookmarkStart w:id="663" w:name="Tc_HNQH18ZOzECwP18i0c5GUw_8_0"/>
      <w:bookmarkStart w:id="664" w:name="Tc_DYOcFbWP90mdWS_GSc0PYg_7_0"/>
      <w:bookmarkStart w:id="665" w:name="Tc_j9_O5BtkT0KYOwQlN0F2jA_6_0"/>
      <w:bookmarkStart w:id="666" w:name="Tc_GyDe3SsqGES-hE2KIO5OnQ_5_0"/>
      <w:bookmarkStart w:id="667" w:name="Tc_2DzmpwhPVUqQXuU6zzCzsQ_4_5"/>
      <w:bookmarkStart w:id="668" w:name="Tc_43cCFyoIIEOyupZQqDzK_A_4_2"/>
      <w:bookmarkStart w:id="669" w:name="Tc_69R6DHupdEGxSR-Pc-bvdQ_4_0"/>
      <w:bookmarkStart w:id="670" w:name="Tc_2QzARVxfkE-NmsXdMsmBsg_3_0"/>
      <w:bookmarkStart w:id="671" w:name="Tc_BJdOUOsFlEy9qePRVyp1Qw_2_5"/>
      <w:bookmarkStart w:id="672" w:name="Tc_MKY6Q6gKkEKs4JI_Oo59bw_2_2"/>
      <w:bookmarkStart w:id="673" w:name="Tc_6AA1eQb5ekWTolk4hr9T_w_2_0"/>
      <w:bookmarkStart w:id="674" w:name="Tc_DuEyZvn5IUuJ4_gJl0FKUQ_1_5"/>
      <w:bookmarkStart w:id="675" w:name="Tc_fZxXXi6AJE6K8DBo20DGNA_1_2"/>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rFonts w:ascii="Times New Roman;Times;serif" w:hAnsi="Times New Roman;Times;serif"/>
          <w:b/>
          <w:sz w:val="20"/>
        </w:rPr>
        <w:t>5.          PROPERTY AND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March 31, 2026 and December 31, 2025 consisted of the following:</w:t>
      </w:r>
    </w:p>
    <w:p>
      <w:pPr>
        <w:pStyle w:val="TextBody"/>
        <w:bidi w:val="0"/>
        <w:spacing w:before="0" w:after="0"/>
        <w:ind w:left="0" w:right="0" w:hanging="0"/>
        <w:jc w:val="left"/>
        <w:rPr/>
      </w:pPr>
      <w:r>
        <w:rPr/>
        <w:t>​</w:t>
      </w:r>
    </w:p>
    <w:tbl>
      <w:tblPr>
        <w:tblW w:w="6245" w:type="dxa"/>
        <w:jc w:val="left"/>
        <w:tblInd w:w="0" w:type="dxa"/>
        <w:tblLayout w:type="fixed"/>
        <w:tblCellMar>
          <w:top w:w="0" w:type="dxa"/>
          <w:left w:w="0" w:type="dxa"/>
          <w:bottom w:w="0" w:type="dxa"/>
          <w:right w:w="0" w:type="dxa"/>
        </w:tblCellMar>
      </w:tblPr>
      <w:tblGrid>
        <w:gridCol w:w="3316"/>
        <w:gridCol w:w="346"/>
        <w:gridCol w:w="211"/>
        <w:gridCol w:w="841"/>
        <w:gridCol w:w="346"/>
        <w:gridCol w:w="228"/>
        <w:gridCol w:w="957"/>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05660" cy="175260"/>
                      <wp:effectExtent l="0" t="0" r="0" b="0"/>
                      <wp:wrapNone/>
                      <wp:docPr id="99" name="Frame99"/>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34035" cy="175260"/>
                      <wp:effectExtent l="0" t="0" r="0" b="0"/>
                      <wp:wrapNone/>
                      <wp:docPr id="102" name="Frame10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44780" cy="175260"/>
                      <wp:effectExtent l="0" t="0" r="0" b="0"/>
                      <wp:wrapNone/>
                      <wp:docPr id="104" name="Frame10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07695" cy="175260"/>
                      <wp:effectExtent l="0" t="0" r="0" b="0"/>
                      <wp:wrapNone/>
                      <wp:docPr id="105" name="Frame105"/>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2,407.7</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2,405.0</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Containers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962.1</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943.0</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equipment and other property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443.2</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construction in progress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4,007.0</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(1,541.0)</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(1,507.6)</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2,499.4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 at March 31, 2026 and December 31, 2025 includes milestone progress payments, capitalized interest and other costs related to the construction of three new Aloha Class vessels. Delivery of the vessels are expected during the first quarter 2027, the third quarter 2027 and the second quarter 2028.</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76" w:name="Tc_FDYMNqCKE0KdOZOSdEvEsw_10_5"/>
      <w:bookmarkStart w:id="677" w:name="Tc_0KFsYnHbo0eYDbf802vcEw_10_2"/>
      <w:bookmarkStart w:id="678" w:name="Tc_Bk8z1-zpmEWwqcfjHayYMg_10_0"/>
      <w:bookmarkStart w:id="679" w:name="Tc_ZUDBgjk9LE21FlvgNbPfjg_9_0"/>
      <w:bookmarkStart w:id="680" w:name="Tc_cZLV2VvSU0qh6dnhF54ZKA_8_0"/>
      <w:bookmarkStart w:id="681" w:name="Tc_FOBfO9PesESDo42jMzTzKA_7_0"/>
      <w:bookmarkStart w:id="682" w:name="Tc_v5bpbu5Wq0WyNbjNdUeKRg_6_0"/>
      <w:bookmarkStart w:id="683" w:name="Tc_99YLmakk1USwMKFEO2U4TA_5_0"/>
      <w:bookmarkStart w:id="684" w:name="Tc_TFNWwsEMHE6QRJoPu8DvRA_4_5"/>
      <w:bookmarkStart w:id="685" w:name="Tc_ugnCRF6qUkObBzSOcjLxuA_4_2"/>
      <w:bookmarkStart w:id="686" w:name="Tc_O9H5ELPO6UGlMe0SJ4u60g_4_0"/>
      <w:bookmarkStart w:id="687" w:name="Tc_f8sM_k6MOEWJKgKjVLj8pg_3_0"/>
      <w:bookmarkStart w:id="688" w:name="Tc_K6y7kjGGTkWzMkdR22onWA_2_5"/>
      <w:bookmarkStart w:id="689" w:name="Tc_ZG53QYKI_kazEFqgZ7T2-w_2_2"/>
      <w:bookmarkStart w:id="690" w:name="Tc_LYaLt6MPhU-FveXnV20FPA_2_0"/>
      <w:bookmarkStart w:id="691" w:name="Tc_BzSlhAd2_kWU09KaUwbP9g_1_5"/>
      <w:bookmarkStart w:id="692" w:name="Tc_dVdYuGjAyE6ab579_WQ3bA_1_2"/>
      <w:bookmarkStart w:id="693" w:name="Tc_GVlDAvFqkUy-2D_z098o-w_4_18"/>
      <w:bookmarkStart w:id="694" w:name="Tc_G6LOy8_E20i5GN4oMSotAw_4_15"/>
      <w:bookmarkStart w:id="695" w:name="Tc_VzRy4OYhsUC5pZEmEdxe3A_4_12"/>
      <w:bookmarkStart w:id="696" w:name="Tc_F5AlilLlR0iRZrxEOECFoQ_4_8"/>
      <w:bookmarkStart w:id="697" w:name="Tc_KkpxQV7rF0qnDkSrxHyWBg_4_5"/>
      <w:bookmarkStart w:id="698" w:name="Tc_iMXxPC7hbEWOaJKfKVH7Vg_4_2"/>
      <w:bookmarkStart w:id="699" w:name="Tc_e_CleWDSLU6g-FnaiD3Ekg_4_0"/>
      <w:bookmarkStart w:id="700" w:name="Tc_jh1VkQVf406U7NZV_zKlmg_3_18"/>
      <w:bookmarkStart w:id="701" w:name="Tc_SJWf2Vr1a0CFbmHRvaGHIw_3_15"/>
      <w:bookmarkStart w:id="702" w:name="Tc_MjZNj138s061J5m2l3CXyw_3_12"/>
      <w:bookmarkStart w:id="703" w:name="Tc_82W-O3KYXE2OBO4MpKSJQg_3_8"/>
      <w:bookmarkStart w:id="704" w:name="Tc_mFttlJ1biUy2DPtYLD1EIw_3_5"/>
      <w:bookmarkStart w:id="705" w:name="Tc_i6Do5TFq1UWLxqVsK0XCJA_3_2"/>
      <w:bookmarkStart w:id="706" w:name="Tc_UElf3ev4-0azkl4Gb6Dr2w_3_0"/>
      <w:bookmarkStart w:id="707" w:name="Tc_4iKZW4Fqb0SSjkgTw4VqNw_2_12"/>
      <w:bookmarkStart w:id="708" w:name="Tc_cpB9HJzbQ0C4MBX-JpekDg_2_2"/>
      <w:bookmarkStart w:id="709" w:name="Tc_poeGlMChqU-S8jJk84Fg5Q_1_12"/>
      <w:bookmarkStart w:id="710" w:name="Tc_agcxWzI8qUahFueq7HjqtQ_1_2"/>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Pr>
          <w:rFonts w:ascii="Times New Roman;Times;serif" w:hAnsi="Times New Roman;Times;serif"/>
          <w:b/>
          <w:sz w:val="20"/>
        </w:rPr>
        <w:t>6.          GOODWILL AND INTANGIBLES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by segment as of March 31, 2026 and December 31, 2025 consisted of the following:</w:t>
      </w:r>
    </w:p>
    <w:p>
      <w:pPr>
        <w:pStyle w:val="TextBody"/>
        <w:bidi w:val="0"/>
        <w:spacing w:before="0" w:after="0"/>
        <w:ind w:left="0" w:right="0" w:hanging="0"/>
        <w:jc w:val="left"/>
        <w:rPr/>
      </w:pPr>
      <w:r>
        <w:rPr/>
        <w:t>​</w:t>
      </w:r>
    </w:p>
    <w:tbl>
      <w:tblPr>
        <w:tblW w:w="8878" w:type="dxa"/>
        <w:jc w:val="left"/>
        <w:tblInd w:w="0" w:type="dxa"/>
        <w:tblLayout w:type="fixed"/>
        <w:tblCellMar>
          <w:top w:w="0" w:type="dxa"/>
          <w:left w:w="0" w:type="dxa"/>
          <w:bottom w:w="0" w:type="dxa"/>
          <w:right w:w="0" w:type="dxa"/>
        </w:tblCellMar>
      </w:tblPr>
      <w:tblGrid>
        <w:gridCol w:w="991"/>
        <w:gridCol w:w="346"/>
        <w:gridCol w:w="328"/>
        <w:gridCol w:w="888"/>
        <w:gridCol w:w="346"/>
        <w:gridCol w:w="211"/>
        <w:gridCol w:w="571"/>
        <w:gridCol w:w="346"/>
        <w:gridCol w:w="211"/>
        <w:gridCol w:w="571"/>
        <w:gridCol w:w="146"/>
        <w:gridCol w:w="346"/>
        <w:gridCol w:w="328"/>
        <w:gridCol w:w="888"/>
        <w:gridCol w:w="346"/>
        <w:gridCol w:w="211"/>
        <w:gridCol w:w="571"/>
        <w:gridCol w:w="346"/>
        <w:gridCol w:w="211"/>
        <w:gridCol w:w="676"/>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29285" cy="175260"/>
                      <wp:effectExtent l="0" t="0" r="0" b="0"/>
                      <wp:wrapNone/>
                      <wp:docPr id="106" name="Frame10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8280" cy="175260"/>
                      <wp:effectExtent l="0" t="0" r="0" b="0"/>
                      <wp:wrapNone/>
                      <wp:docPr id="108" name="Frame10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63880" cy="175260"/>
                      <wp:effectExtent l="0" t="0" r="0" b="0"/>
                      <wp:wrapNone/>
                      <wp:docPr id="109" name="Frame109"/>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62585" cy="175260"/>
                      <wp:effectExtent l="0" t="0" r="0" b="0"/>
                      <wp:wrapNone/>
                      <wp:docPr id="112" name="Frame1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62585" cy="175260"/>
                      <wp:effectExtent l="0" t="0" r="0" b="0"/>
                      <wp:wrapNone/>
                      <wp:docPr id="115" name="Frame1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2710" cy="175260"/>
                      <wp:effectExtent l="0" t="0" r="0" b="0"/>
                      <wp:wrapNone/>
                      <wp:docPr id="116" name="Frame1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8280" cy="175260"/>
                      <wp:effectExtent l="0" t="0" r="0" b="0"/>
                      <wp:wrapNone/>
                      <wp:docPr id="118" name="Frame11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63880" cy="175260"/>
                      <wp:effectExtent l="0" t="0" r="0" b="0"/>
                      <wp:wrapNone/>
                      <wp:docPr id="119" name="Frame119"/>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62585" cy="175260"/>
                      <wp:effectExtent l="0" t="0" r="0" b="0"/>
                      <wp:wrapNone/>
                      <wp:docPr id="122" name="Frame1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25" name="Frame1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2026</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357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Ocean</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Ocean</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Transportation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Logistics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Transportation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Logistics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Intangible assets as of March 31, 2026 and December 31, 2025 consisted of the following: </w:t>
      </w:r>
    </w:p>
    <w:p>
      <w:pPr>
        <w:pStyle w:val="TextBody"/>
        <w:bidi w:val="0"/>
        <w:spacing w:lineRule="atLeast" w:line="200" w:before="0" w:after="0"/>
        <w:ind w:left="0" w:right="0" w:hanging="0"/>
        <w:jc w:val="left"/>
        <w:rPr/>
      </w:pPr>
      <w:r>
        <w:rPr/>
        <w:t>​</w:t>
      </w:r>
    </w:p>
    <w:tbl>
      <w:tblPr>
        <w:tblW w:w="5784" w:type="dxa"/>
        <w:jc w:val="left"/>
        <w:tblInd w:w="0" w:type="dxa"/>
        <w:tblLayout w:type="fixed"/>
        <w:tblCellMar>
          <w:top w:w="0" w:type="dxa"/>
          <w:left w:w="0" w:type="dxa"/>
          <w:bottom w:w="0" w:type="dxa"/>
          <w:right w:w="0" w:type="dxa"/>
        </w:tblCellMar>
      </w:tblPr>
      <w:tblGrid>
        <w:gridCol w:w="2896"/>
        <w:gridCol w:w="346"/>
        <w:gridCol w:w="211"/>
        <w:gridCol w:w="691"/>
        <w:gridCol w:w="346"/>
        <w:gridCol w:w="285"/>
        <w:gridCol w:w="855"/>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838960" cy="175260"/>
                      <wp:effectExtent l="0" t="0" r="0" b="0"/>
                      <wp:wrapNone/>
                      <wp:docPr id="126" name="Frame126"/>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38785" cy="175260"/>
                      <wp:effectExtent l="0" t="0" r="0" b="0"/>
                      <wp:wrapNone/>
                      <wp:docPr id="129" name="Frame1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80975" cy="175260"/>
                      <wp:effectExtent l="0" t="0" r="0" b="0"/>
                      <wp:wrapNone/>
                      <wp:docPr id="131" name="Frame131"/>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42925" cy="175260"/>
                      <wp:effectExtent l="0" t="0" r="0" b="0"/>
                      <wp:wrapNone/>
                      <wp:docPr id="132" name="Frame132"/>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97790" cy="175260"/>
                      <wp:effectExtent l="0" t="0" r="0" b="0"/>
                      <wp:wrapNone/>
                      <wp:docPr id="133" name="Frame1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Customer Relationships,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 – Logistics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2025 annual impairment tests, the Company concluded that an impairment triggering event did not occur during the three months ended March 31, 2026.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continues to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including the impact of tariffs. It is possible that future changes in such circumstances, including future changes in the assumptions and estimates used in assessing the fair value of the reporting unit, could require the Company to record a non-cash impairment charge.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11" w:name="Tc_IcBsQcouL0GphY7b3UuRsw_6_5"/>
      <w:bookmarkStart w:id="712" w:name="Tc_Ms-qN_CAvUqKg9fBIRHJ3A_6_2"/>
      <w:bookmarkStart w:id="713" w:name="Tc_V41bgKznQkmaT7lF1EbHjA_6_0"/>
      <w:bookmarkStart w:id="714" w:name="Tc_4ITOCEZUkUmHvvM0qVNwaw_5_0"/>
      <w:bookmarkStart w:id="715" w:name="Tc_ZudSyPy2N0yFIp3McSWasg_4_5"/>
      <w:bookmarkStart w:id="716" w:name="Tc_BNGslCw42UmVbOEcah0yTA_4_2"/>
      <w:bookmarkStart w:id="717" w:name="Tc_JOOI_IqwSUa1MH-50pGMLA_4_0"/>
      <w:bookmarkStart w:id="718" w:name="Tc_5VOia6RynUeEaKFoObW7Ng_3_5"/>
      <w:bookmarkStart w:id="719" w:name="Tc_HCH_L3E7VkS6P7Cdg_1scg_3_2"/>
      <w:bookmarkStart w:id="720" w:name="Tc_0oC1ULOCmEO5zjdQzPEY5A_3_0"/>
      <w:bookmarkStart w:id="721" w:name="Tc_q4apOW5pZkOznXbSlkWOWA_2_2"/>
      <w:bookmarkStart w:id="722" w:name="Tc_MuCoCo1bHUaV-GR2JXecPg_1_2"/>
      <w:bookmarkStart w:id="723" w:name="Tc__ABpz_Cw30GfM-RtvrSlcA_17_5"/>
      <w:bookmarkStart w:id="724" w:name="Tc_JrTpX6rITUe612fgiAvqaA_17_2"/>
      <w:bookmarkStart w:id="725" w:name="Tc_vYgSQDIK-ECZNCvjWHTnyg_17_0"/>
      <w:bookmarkStart w:id="726" w:name="Tc_scJgjvdhvk2jfhpnBod_dg_16_0"/>
      <w:bookmarkStart w:id="727" w:name="Tc_BYUUWHx2SEerc94JCncBjw_15_0"/>
      <w:bookmarkStart w:id="728" w:name="Tc_xYc-9JAvv0eHjAa96oJqnQ_14_0"/>
      <w:bookmarkStart w:id="729" w:name="Tc_9IpZ1frJbkao91ToBrOMkA_13_0"/>
      <w:bookmarkStart w:id="730" w:name="Tc_NwtI_7_1xEmb11e40gQ5gg_12_0"/>
      <w:bookmarkStart w:id="731" w:name="Tc_7Mh8dXDk6Umr6KFZZmZlVQ_10_0"/>
      <w:bookmarkStart w:id="732" w:name="Tc_dG9WtogseUiPL1RHUdW0hQ_9_0"/>
      <w:bookmarkStart w:id="733" w:name="Tc_SZ4bcT4iFkq4PHyn-dO85w_8_0"/>
      <w:bookmarkStart w:id="734" w:name="Tc_ErmaofEHEE6A-rGIM2RMqw_7_0"/>
      <w:bookmarkStart w:id="735" w:name="Tc_95u8n0KUeEyCt4N5ctOOkQ_6_0"/>
      <w:bookmarkStart w:id="736" w:name="Tc_EAOaAmW3AEqRpl7hGSHd6w_5_5"/>
      <w:bookmarkStart w:id="737" w:name="Tc_4zjb2Pl4Ak24NRFR-7vAqA_5_2"/>
      <w:bookmarkStart w:id="738" w:name="Tc_f3g3jFQwH0uEpFCLCMVteg_5_0"/>
      <w:bookmarkStart w:id="739" w:name="Tc_v-k2HTqVmk2q1RRV6KhEHw_4_0"/>
      <w:bookmarkStart w:id="740" w:name="Tc_fLo1EiMw206W46h7oI18VQ_3_5"/>
      <w:bookmarkStart w:id="741" w:name="Tc_mpDf9jAo20SSgeihvm_Axg_3_2"/>
      <w:bookmarkStart w:id="742" w:name="Tc_JgESv_f_YU-saFqQ4VArLg_3_0"/>
      <w:bookmarkStart w:id="743" w:name="Tc_C0699r7J8UCv1j_xRL7Ivg_2_2"/>
      <w:bookmarkStart w:id="744" w:name="Tc_8QpCa9a6SkSho0sQorxw3w_1_2"/>
      <w:bookmarkStart w:id="745" w:name="_Hlk164156128"/>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r>
        <w:rPr>
          <w:rFonts w:ascii="Times New Roman;Times;serif" w:hAnsi="Times New Roman;Times;serif"/>
          <w:b/>
          <w:sz w:val="20"/>
        </w:rPr>
        <w:t>7.</w:t>
      </w:r>
      <w:r>
        <w:rPr>
          <w:rFonts w:ascii="Times New Roman;Times;serif" w:hAnsi="Times New Roman;Times;serif"/>
          <w:sz w:val="20"/>
        </w:rPr>
        <w:t>          </w:t>
      </w:r>
      <w:r>
        <w:rPr>
          <w:rFonts w:ascii="Times New Roman;Times;serif" w:hAnsi="Times New Roman;Times;serif"/>
          <w:b/>
          <w:sz w:val="20"/>
        </w:rPr>
        <w:t>CAPITAL CONSTRUCTION FUND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Capital Construction Fund (“CCF”) is described in Note 7 to the Consolidated Financial Statements included in Part II, Item 8 of the Company’s Annual Report on Form 10-K for the year ended December 31, 2025. A summary of the activities within the CCF cash and cash equivalents, and investments account for the three months ended March 31, 2026 and 2025 consisted of the following:</w:t>
      </w:r>
    </w:p>
    <w:p>
      <w:pPr>
        <w:pStyle w:val="TextBody"/>
        <w:bidi w:val="0"/>
        <w:spacing w:before="0" w:after="0"/>
        <w:ind w:left="0" w:right="0" w:hanging="0"/>
        <w:jc w:val="left"/>
        <w:rPr/>
      </w:pPr>
      <w:r>
        <w:rPr/>
        <w:t>​</w:t>
      </w:r>
    </w:p>
    <w:tbl>
      <w:tblPr>
        <w:tblW w:w="8006" w:type="dxa"/>
        <w:jc w:val="left"/>
        <w:tblInd w:w="0" w:type="dxa"/>
        <w:tblLayout w:type="fixed"/>
        <w:tblCellMar>
          <w:top w:w="0" w:type="dxa"/>
          <w:left w:w="0" w:type="dxa"/>
          <w:bottom w:w="0" w:type="dxa"/>
          <w:right w:w="0" w:type="dxa"/>
        </w:tblCellMar>
      </w:tblPr>
      <w:tblGrid>
        <w:gridCol w:w="5686"/>
        <w:gridCol w:w="346"/>
        <w:gridCol w:w="196"/>
        <w:gridCol w:w="541"/>
        <w:gridCol w:w="346"/>
        <w:gridCol w:w="196"/>
        <w:gridCol w:w="541"/>
        <w:gridCol w:w="154"/>
      </w:tblGrid>
      <w:tr>
        <w:trPr/>
        <w:tc>
          <w:tcPr>
            <w:tcW w:w="5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610610" cy="175260"/>
                      <wp:effectExtent l="0" t="0" r="0" b="0"/>
                      <wp:wrapNone/>
                      <wp:docPr id="134" name="Frame134"/>
                      <a:graphic xmlns:a="http://schemas.openxmlformats.org/drawingml/2006/main">
                        <a:graphicData uri="http://schemas.microsoft.com/office/word/2010/wordprocessingShape">
                          <wps:wsp>
                            <wps:cNvSpPr txBox="1"/>
                            <wps:spPr>
                              <a:xfrm>
                                <a:off x="0" y="0"/>
                                <a:ext cx="3610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4460" cy="175260"/>
                      <wp:effectExtent l="0" t="0" r="0" b="0"/>
                      <wp:wrapNone/>
                      <wp:docPr id="136" name="Frame1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43535" cy="175260"/>
                      <wp:effectExtent l="0" t="0" r="0" b="0"/>
                      <wp:wrapNone/>
                      <wp:docPr id="137" name="Frame13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4460" cy="175260"/>
                      <wp:effectExtent l="0" t="0" r="0" b="0"/>
                      <wp:wrapNone/>
                      <wp:docPr id="139" name="Frame1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43535" cy="175260"/>
                      <wp:effectExtent l="0" t="0" r="0" b="0"/>
                      <wp:wrapNone/>
                      <wp:docPr id="140" name="Frame14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97790" cy="175260"/>
                      <wp:effectExtent l="0" t="0" r="0" b="0"/>
                      <wp:wrapNone/>
                      <wp:docPr id="141" name="Frame14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and cash equivalents balance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230.7</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U.S. Treasury debt securities at maturity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on cash and cash equivalents, and CCF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assigned 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Qualifying withdrawal payments for vessel construction expenditures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 balance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411.9</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 of U.S. Treasury debt securities at maturity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CCF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investments 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and investments balance at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Cash and Cash Equivalents:</w:t>
      </w:r>
      <w:r>
        <w:rPr>
          <w:rFonts w:ascii="Times New Roman;Times;serif" w:hAnsi="Times New Roman;Times;serif"/>
          <w:sz w:val="20"/>
        </w:rPr>
        <w:t xml:space="preserve"> Cash on deposit in the CCF account is invested in a short-term U.S. Treasury obligations fund with daily liquidity. At March 31, 2026, these short-term securities had a weighted average life of </w:t>
      </w:r>
      <w:r>
        <w:rPr>
          <w:rFonts w:ascii="Times New Roman;Times;serif" w:hAnsi="Times New Roman;Times;serif"/>
          <w:b w:val="false"/>
          <w:i w:val="false"/>
          <w:caps w:val="false"/>
          <w:smallCaps w:val="false"/>
          <w:sz w:val="20"/>
        </w:rPr>
        <w:t>103 days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Investments:</w:t>
      </w:r>
      <w:r>
        <w:rPr>
          <w:rFonts w:ascii="Times New Roman;Times;serif" w:hAnsi="Times New Roman;Times;serif"/>
          <w:sz w:val="20"/>
        </w:rPr>
        <w:t xml:space="preserve"> The cost of CCF investments accretes to face value on a straight-line basis until maturity. Such accretion is included in interest income in the Condensed Consolidated Statements of Income and Comprehensive Income.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March 31, 2026, CCF investments maturities are as follows:</w:t>
      </w:r>
    </w:p>
    <w:p>
      <w:pPr>
        <w:pStyle w:val="TextBody"/>
        <w:bidi w:val="0"/>
        <w:spacing w:before="0" w:after="0"/>
        <w:ind w:left="0" w:right="0" w:hanging="0"/>
        <w:jc w:val="left"/>
        <w:rPr/>
      </w:pPr>
      <w:r>
        <w:rPr/>
        <w:t>​</w:t>
      </w:r>
    </w:p>
    <w:tbl>
      <w:tblPr>
        <w:tblW w:w="4272" w:type="dxa"/>
        <w:jc w:val="left"/>
        <w:tblInd w:w="0" w:type="dxa"/>
        <w:tblLayout w:type="fixed"/>
        <w:tblCellMar>
          <w:top w:w="0" w:type="dxa"/>
          <w:left w:w="0" w:type="dxa"/>
          <w:bottom w:w="0" w:type="dxa"/>
          <w:right w:w="0" w:type="dxa"/>
        </w:tblCellMar>
      </w:tblPr>
      <w:tblGrid>
        <w:gridCol w:w="1996"/>
        <w:gridCol w:w="346"/>
        <w:gridCol w:w="211"/>
        <w:gridCol w:w="571"/>
        <w:gridCol w:w="109"/>
        <w:gridCol w:w="239"/>
        <w:gridCol w:w="646"/>
        <w:gridCol w:w="154"/>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67460" cy="175260"/>
                      <wp:effectExtent l="0" t="0" r="0" b="0"/>
                      <wp:wrapNone/>
                      <wp:docPr id="142" name="Frame142"/>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62585" cy="175260"/>
                      <wp:effectExtent l="0" t="0" r="0" b="0"/>
                      <wp:wrapNone/>
                      <wp:docPr id="145" name="Frame1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1765" cy="175260"/>
                      <wp:effectExtent l="0" t="0" r="0" b="0"/>
                      <wp:wrapNone/>
                      <wp:docPr id="147" name="Frame14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10210" cy="175260"/>
                      <wp:effectExtent l="0" t="0" r="0" b="0"/>
                      <wp:wrapNone/>
                      <wp:docPr id="148" name="Frame14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7790" cy="175260"/>
                      <wp:effectExtent l="0" t="0" r="0" b="0"/>
                      <wp:wrapNone/>
                      <wp:docPr id="149" name="Frame14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177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54"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17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54" w:type="dxa"/>
            <w:tcBorders/>
            <w:vAlign w:val="center"/>
          </w:tcPr>
          <w:p>
            <w:pPr>
              <w:pStyle w:val="TableContents"/>
              <w:bidi w:val="0"/>
              <w:spacing w:before="0" w:after="0"/>
              <w:ind w:left="0" w:right="0" w:hanging="0"/>
              <w:jc w:val="left"/>
              <w:rPr/>
            </w:pPr>
            <w:r>
              <w:rPr/>
              <w:t>​</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0"/>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54"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154"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CCF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cash and cash equivalents, and investments are classified as a long-term asset in the Company’s Condensed Consolidated Balance Sheets as the Company intends to use withdrawals to fund qualified milestone progress payments for the construction of three new Jones Act vessels.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Assigned Accounts Receivable:</w:t>
      </w:r>
      <w:r>
        <w:rPr>
          <w:rFonts w:ascii="Times New Roman;Times;serif" w:hAnsi="Times New Roman;Times;serif"/>
          <w:sz w:val="20"/>
        </w:rPr>
        <w:t xml:space="preserve"> As of March 31, 2026 and December 31, 2025, eligible accounts receivable of $82.0 million and $82.3 million were assigned to the CCF, respectively. Due to the nature of the assignment of eligible accounts receivable into the CCF, such assigned amounts are classified as part of accounts receivable in the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46" w:name="Tc_o0-aXOgkYkSYj4LdPb6bRw_9_2"/>
      <w:bookmarkStart w:id="747" w:name="Tc_MgEYwDlxMEKrf1RTqBrZdw_9_0"/>
      <w:bookmarkStart w:id="748" w:name="Tc_dxCxrgWR7km8Vj9PWGqTxw_8_0"/>
      <w:bookmarkStart w:id="749" w:name="Tc_9kDFIRTfnkicagJeaiArPA_7_0"/>
      <w:bookmarkStart w:id="750" w:name="Tc_3epf-165jkSHlPBftK4hbw_6_0"/>
      <w:bookmarkStart w:id="751" w:name="Tc_RWZsMs64YE-S2QynSEVC9A_5_0"/>
      <w:bookmarkStart w:id="752" w:name="Tc__MNKmrRf50mOVMZ7fUlRBg_4_0"/>
      <w:bookmarkStart w:id="753" w:name="Tc_TZ7hbXDeIE-vRUBKjoq6_Q_3_2"/>
      <w:bookmarkStart w:id="754" w:name="Tc_W8nnfEkHJ0KycVF4idhBBQ_3_0"/>
      <w:bookmarkStart w:id="755" w:name="Tc_1mraVba7SkaJfq8vevnlNw_2_2"/>
      <w:bookmarkStart w:id="756" w:name="Tc__DHJyjJjX0yhOXoTQb5RvQ_2_0"/>
      <w:bookmarkStart w:id="757" w:name="Tc_2Vsoa1mulEKDUO0X_VpNZw_1_2"/>
      <w:bookmarkStart w:id="758" w:name="Tc_xZQmDxH1pk6t9I-OKduZbw_14_5"/>
      <w:bookmarkStart w:id="759" w:name="Tc_U7uGD6fLA0qDIz8Asx2O_Q_14_2"/>
      <w:bookmarkStart w:id="760" w:name="Tc_bmdTj7oU5UuPEzJkTao10w_14_0"/>
      <w:bookmarkStart w:id="761" w:name="Tc_u1yKRgCtAkaHbsIvUHDBcw_13_0"/>
      <w:bookmarkStart w:id="762" w:name="Tc_eaBZa16nq0OHQS5I9UdGRQ_12_0"/>
      <w:bookmarkStart w:id="763" w:name="Tc_-CRilngg_kiQvaE_1CCE2Q_11_0"/>
      <w:bookmarkStart w:id="764" w:name="Tc_ORsoFYJBqU6nSYJrSsy2Lw_10_0"/>
      <w:bookmarkStart w:id="765" w:name="Tc_6mL8Ir_k_0i9iXDKin_A-w_9_6"/>
      <w:bookmarkStart w:id="766" w:name="Tc_-KBbRWSSCEmphYF9thfWww_9_3"/>
      <w:bookmarkStart w:id="767" w:name="Tc_l5K2bxLGpUaI5_Y_Cqb1yw_9_0"/>
      <w:bookmarkStart w:id="768" w:name="Tc_NcwCUZc3T0qbQSmjS_EaXQ_8_0"/>
      <w:bookmarkStart w:id="769" w:name="Tc_Hd8PekuRukaezJen9F2B4w_7_0"/>
      <w:bookmarkStart w:id="770" w:name="Tc_VUDbSAhKU0668QaO04AJDQ_6_0"/>
      <w:bookmarkStart w:id="771" w:name="Tc_5--JeHMUk0e2pLGgYgmuxg_5_0"/>
      <w:bookmarkStart w:id="772" w:name="Tc_E_JAhN6WQEakDCl5brRfbg_4_5"/>
      <w:bookmarkStart w:id="773" w:name="Tc_4DFcjoYy8E2eyi4a0C7B5g_4_2"/>
      <w:bookmarkStart w:id="774" w:name="Tc_fvbDrCLk6kyP-Z9g-yTmbg_4_0"/>
      <w:bookmarkStart w:id="775" w:name="Tc_1zQNW0rHmEqRZit8VSSc9w_3_0"/>
      <w:bookmarkStart w:id="776" w:name="Tc_l8ML2Hou7ECiURez9lJsVw_2_5"/>
      <w:bookmarkStart w:id="777" w:name="Tc_J7QeWK7EZ0-zgYUBP3u2uA_2_2"/>
      <w:bookmarkStart w:id="778" w:name="Tc_3TaiHfWT80a9Gb-I5Cxrxg_2_0"/>
      <w:bookmarkStart w:id="779" w:name="Tc_vwszuv6M902G-ypYL9NHpA_1_5"/>
      <w:bookmarkStart w:id="780" w:name="Tc_tczFV9BiIkGdh6ZAIN-9tQ_1_2"/>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r>
        <w:rPr>
          <w:rFonts w:ascii="Times New Roman;Times;serif" w:hAnsi="Times New Roman;Times;serif"/>
          <w:b/>
          <w:sz w:val="20"/>
        </w:rPr>
        <w:t>8.</w:t>
      </w:r>
      <w:r>
        <w:rPr>
          <w:rFonts w:ascii="Times New Roman;Times;serif" w:hAnsi="Times New Roman;Times;serif"/>
          <w:sz w:val="20"/>
        </w:rPr>
        <w:t>          </w:t>
      </w:r>
      <w:r>
        <w:rPr>
          <w:rFonts w:ascii="Times New Roman;Times;serif" w:hAnsi="Times New Roman;Times;serif"/>
          <w:b/>
          <w:sz w:val="20"/>
        </w:rPr>
        <w:t>DEBT</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debt is described in Note 8 to the Consolidated Financial Statements included in the Company’s Annual Report on Form 10-K for the year ended December 31, 2025. As of March 31, 2026 and December 31, 2025, the Company’s debt consisted of the following:</w:t>
      </w:r>
    </w:p>
    <w:p>
      <w:pPr>
        <w:pStyle w:val="TextBody"/>
        <w:bidi w:val="0"/>
        <w:spacing w:lineRule="atLeast" w:line="200" w:before="0" w:after="0"/>
        <w:ind w:left="0" w:right="0" w:hanging="0"/>
        <w:jc w:val="left"/>
        <w:rPr/>
      </w:pPr>
      <w:r>
        <w:rPr/>
        <w:t>​</w:t>
      </w:r>
    </w:p>
    <w:tbl>
      <w:tblPr>
        <w:tblW w:w="7488" w:type="dxa"/>
        <w:jc w:val="left"/>
        <w:tblInd w:w="0" w:type="dxa"/>
        <w:tblLayout w:type="fixed"/>
        <w:tblCellMar>
          <w:top w:w="0" w:type="dxa"/>
          <w:left w:w="0" w:type="dxa"/>
          <w:bottom w:w="0" w:type="dxa"/>
          <w:right w:w="0" w:type="dxa"/>
        </w:tblCellMar>
      </w:tblPr>
      <w:tblGrid>
        <w:gridCol w:w="4711"/>
        <w:gridCol w:w="346"/>
        <w:gridCol w:w="242"/>
        <w:gridCol w:w="658"/>
        <w:gridCol w:w="346"/>
        <w:gridCol w:w="281"/>
        <w:gridCol w:w="904"/>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991485" cy="175260"/>
                      <wp:effectExtent l="0" t="0" r="0" b="0"/>
                      <wp:wrapNone/>
                      <wp:docPr id="150" name="Frame150"/>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53670" cy="175260"/>
                      <wp:effectExtent l="0" t="0" r="0" b="0"/>
                      <wp:wrapNone/>
                      <wp:docPr id="152" name="Frame15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17830" cy="175260"/>
                      <wp:effectExtent l="0" t="0" r="0" b="0"/>
                      <wp:wrapNone/>
                      <wp:docPr id="153" name="Frame153"/>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78435" cy="175260"/>
                      <wp:effectExtent l="0" t="0" r="0" b="0"/>
                      <wp:wrapNone/>
                      <wp:docPr id="155" name="Frame15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74040" cy="175260"/>
                      <wp:effectExtent l="0" t="0" r="0" b="0"/>
                      <wp:wrapNone/>
                      <wp:docPr id="156" name="Frame15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Term Loans: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3.37 %, payable through 2027</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3.14 %, payable through 2031</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XI Debt: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1.22 %, payable through 2043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1.35 %, payable through 2044</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Revolving credit facility, maturity date of July 23, 2030 </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Deferred loan fees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 of deferred loan fees</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312.1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Revolving Credit Facility:</w:t>
      </w:r>
      <w:r>
        <w:rPr>
          <w:rFonts w:ascii="Times New Roman;Times;serif" w:hAnsi="Times New Roman;Times;serif"/>
          <w:sz w:val="20"/>
        </w:rPr>
        <w:t xml:space="preserve"> As of March 31, 2026, the Company had $544.3 million of remaining borrowing availability under its $550 million revolving credit facility. The Company used $5.7 million of the revolving credit facility for letters of credit outstanding as of March 31, 2026. Borrowings under the revolving credit facility are classified as long-term debt in the Company’s Consolidated Balance Sheets, as principal payments are not required until the maturity date.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Maturities:</w:t>
      </w:r>
      <w:r>
        <w:rPr>
          <w:rFonts w:ascii="Times New Roman;Times;serif" w:hAnsi="Times New Roman;Times;serif"/>
          <w:sz w:val="20"/>
        </w:rPr>
        <w:t xml:space="preserve"> As of March 31, 2026, debt maturities are as follows:</w:t>
      </w:r>
    </w:p>
    <w:p>
      <w:pPr>
        <w:pStyle w:val="TextBody"/>
        <w:bidi w:val="0"/>
        <w:spacing w:before="0" w:after="0"/>
        <w:ind w:left="0" w:right="0" w:hanging="0"/>
        <w:jc w:val="left"/>
        <w:rPr/>
      </w:pPr>
      <w:r>
        <w:rPr/>
        <w:t>​</w:t>
      </w:r>
    </w:p>
    <w:tbl>
      <w:tblPr>
        <w:tblW w:w="3333" w:type="dxa"/>
        <w:jc w:val="left"/>
        <w:tblInd w:w="0" w:type="dxa"/>
        <w:tblLayout w:type="fixed"/>
        <w:tblCellMar>
          <w:top w:w="0" w:type="dxa"/>
          <w:left w:w="0" w:type="dxa"/>
          <w:bottom w:w="0" w:type="dxa"/>
          <w:right w:w="0" w:type="dxa"/>
        </w:tblCellMar>
      </w:tblPr>
      <w:tblGrid>
        <w:gridCol w:w="1681"/>
        <w:gridCol w:w="346"/>
        <w:gridCol w:w="310"/>
        <w:gridCol w:w="99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067435" cy="175260"/>
                      <wp:effectExtent l="0" t="0" r="0" b="0"/>
                      <wp:wrapNone/>
                      <wp:docPr id="157" name="Frame15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96850" cy="175260"/>
                      <wp:effectExtent l="0" t="0" r="0" b="0"/>
                      <wp:wrapNone/>
                      <wp:docPr id="159" name="Frame15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32460" cy="175260"/>
                      <wp:effectExtent l="0" t="0" r="0" b="0"/>
                      <wp:wrapNone/>
                      <wp:docPr id="160" name="Frame160"/>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81" w:name="Tc_rmYChJiNeUOikyeZKR0UGg_9_5"/>
      <w:bookmarkStart w:id="782" w:name="Tc_WfDtbc2oCkKYF8l_oXJkdQ_9_2"/>
      <w:bookmarkStart w:id="783" w:name="Tc_issOhbBDz0GVkYQiefzwXA_9_0"/>
      <w:bookmarkStart w:id="784" w:name="Tc_REIWT-ZmakqGWLAgUzaKVQ_8_0"/>
      <w:bookmarkStart w:id="785" w:name="Tc_bMdUU31Kp0-bZMQDMbhLyg_7_0"/>
      <w:bookmarkStart w:id="786" w:name="Tc_XGoQlRgEOUqaOeAZaEpkNg_6_0"/>
      <w:bookmarkStart w:id="787" w:name="Tc_V-Ft6Zl_pkmDpQ_yB4A-PQ_5_0"/>
      <w:bookmarkStart w:id="788" w:name="Tc_BE_Z1Tytl0KUcdrTiY5z8Q_4_5"/>
      <w:bookmarkStart w:id="789" w:name="Tc_2hxbsIGimEehVyB36m6Xkg_4_2"/>
      <w:bookmarkStart w:id="790" w:name="Tc_6CGYx7awWkmtiB1MsbLeQg_4_0"/>
      <w:bookmarkStart w:id="791" w:name="Tc_FfT4X7elaUmfjWZuk-IW0A_3_5"/>
      <w:bookmarkStart w:id="792" w:name="Tc_ngEt6qFo9EiAPX46v17W2Q_3_2"/>
      <w:bookmarkStart w:id="793" w:name="Tc_7SBB8GT-TUakn8Z5gbo4xw_3_0"/>
      <w:bookmarkStart w:id="794" w:name="Tc_GdiY4De4X0CIzFHemmozVg_2_2"/>
      <w:bookmarkStart w:id="795" w:name="Tc_UaW9qvYaNUqAXn9hg_ZAHg_1_2"/>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r>
        <w:rPr>
          <w:rFonts w:ascii="Times New Roman;Times;serif" w:hAnsi="Times New Roman;Times;serif"/>
          <w:b/>
          <w:sz w:val="20"/>
        </w:rPr>
        <w:t>9.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leases are described in Note 9 to the Consolidated Financial Statements included in Part II, Item 8 of the Company’s Annual Report on Form 10-K for the year ended December 31,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Components of Lease Cost:</w:t>
      </w:r>
      <w:r>
        <w:rPr>
          <w:rFonts w:ascii="Times New Roman;Times;serif" w:hAnsi="Times New Roman;Times;serif"/>
          <w:sz w:val="20"/>
        </w:rPr>
        <w:t xml:space="preserve"> Components of lease cost recorded in the Company’s Condensed Consolidated Statement of Income and Comprehensive Income for the three months ended March 31, 2026 and 2025 consisted of the following:</w:t>
      </w:r>
    </w:p>
    <w:p>
      <w:pPr>
        <w:pStyle w:val="TextBody"/>
        <w:bidi w:val="0"/>
        <w:spacing w:before="0" w:after="0"/>
        <w:ind w:left="0" w:right="0" w:hanging="0"/>
        <w:jc w:val="left"/>
        <w:rPr/>
      </w:pPr>
      <w:r>
        <w:rPr/>
        <w:t>​</w:t>
      </w:r>
    </w:p>
    <w:tbl>
      <w:tblPr>
        <w:tblW w:w="3841" w:type="dxa"/>
        <w:jc w:val="left"/>
        <w:tblInd w:w="0" w:type="dxa"/>
        <w:tblLayout w:type="fixed"/>
        <w:tblCellMar>
          <w:top w:w="0" w:type="dxa"/>
          <w:left w:w="0" w:type="dxa"/>
          <w:bottom w:w="0" w:type="dxa"/>
          <w:right w:w="0" w:type="dxa"/>
        </w:tblCellMar>
      </w:tblPr>
      <w:tblGrid>
        <w:gridCol w:w="1801"/>
        <w:gridCol w:w="346"/>
        <w:gridCol w:w="226"/>
        <w:gridCol w:w="515"/>
        <w:gridCol w:w="116"/>
        <w:gridCol w:w="226"/>
        <w:gridCol w:w="61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143635" cy="175260"/>
                      <wp:effectExtent l="0" t="0" r="0" b="0"/>
                      <wp:wrapNone/>
                      <wp:docPr id="161" name="Frame161"/>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3510" cy="175260"/>
                      <wp:effectExtent l="0" t="0" r="0" b="0"/>
                      <wp:wrapNone/>
                      <wp:docPr id="163" name="Frame1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27025" cy="175260"/>
                      <wp:effectExtent l="0" t="0" r="0" b="0"/>
                      <wp:wrapNone/>
                      <wp:docPr id="164" name="Frame164"/>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3660" cy="175260"/>
                      <wp:effectExtent l="0" t="0" r="0" b="0"/>
                      <wp:wrapNone/>
                      <wp:docPr id="165" name="Frame165"/>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3510" cy="175260"/>
                      <wp:effectExtent l="0" t="0" r="0" b="0"/>
                      <wp:wrapNone/>
                      <wp:docPr id="166" name="Frame1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87985" cy="175260"/>
                      <wp:effectExtent l="0" t="0" r="0" b="0"/>
                      <wp:wrapNone/>
                      <wp:docPr id="167" name="Frame167"/>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9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center"/>
              <w:rPr/>
            </w:pPr>
            <w:r>
              <w:rPr/>
              <w:t>  ​ ​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6" w:type="dxa"/>
            <w:tcBorders/>
            <w:vAlign w:val="center"/>
          </w:tcPr>
          <w:p>
            <w:pPr>
              <w:pStyle w:val="TableContents"/>
              <w:bidi w:val="0"/>
              <w:spacing w:before="0" w:after="0"/>
              <w:ind w:left="0" w:right="0" w:hanging="0"/>
              <w:jc w:val="left"/>
              <w:rPr/>
            </w:pPr>
            <w:r>
              <w:rPr/>
              <w:t>​</w:t>
            </w:r>
          </w:p>
        </w:tc>
        <w:tc>
          <w:tcPr>
            <w:tcW w:w="8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 net</w:t>
            </w:r>
          </w:p>
        </w:tc>
        <w:tc>
          <w:tcPr>
            <w:tcW w:w="346" w:type="dxa"/>
            <w:tcBorders/>
            <w:vAlign w:val="center"/>
          </w:tcPr>
          <w:p>
            <w:pPr>
              <w:pStyle w:val="TableContents"/>
              <w:bidi w:val="0"/>
              <w:spacing w:before="0" w:after="0"/>
              <w:ind w:left="0" w:right="0" w:hanging="0"/>
              <w:jc w:val="center"/>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11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96" w:name="Tc_1sOHzkECKkmcmZJH0EhcnQ_13_2"/>
      <w:bookmarkStart w:id="797" w:name="Tc_i9TXSi2uCk6eYOSWMeRIQQ_13_0"/>
      <w:bookmarkStart w:id="798" w:name="Tc_VCK4fPnqwEGa8fjcsM8eCw_12_0"/>
      <w:bookmarkStart w:id="799" w:name="Tc_DZFil7nqkEeR7pqFhYs75A_11_0"/>
      <w:bookmarkStart w:id="800" w:name="Tc_rS2QfFnOvESgt508fm5oWg_10_0"/>
      <w:bookmarkStart w:id="801" w:name="Tc_6vzHUJXXBkSJlcZkMPCz2Q_9_0"/>
      <w:bookmarkStart w:id="802" w:name="Tc_Yrv20ZlNO0uH3gNyehnI1g_8_0"/>
      <w:bookmarkStart w:id="803" w:name="Tc_XrTEn_ueS0-KzI71KqY8Cg_7_0"/>
      <w:bookmarkStart w:id="804" w:name="Tc_ezB4YKFoDk61i-gq6456XA_6_0"/>
      <w:bookmarkStart w:id="805" w:name="Tc_xpoiDR5JlU2vrjneCTXzMg_5_0"/>
      <w:bookmarkStart w:id="806" w:name="Tc_vtrqa9S8y0S1ucH8ALwdvA_4_0"/>
      <w:bookmarkStart w:id="807" w:name="Tc_k6BlwwPvEEeXpS6ULOh9kg_3_2"/>
      <w:bookmarkStart w:id="808" w:name="Tc_mtvb7Zker0a4fqVrowMEvw_3_0"/>
      <w:bookmarkStart w:id="809" w:name="Tc_h4edw1aN9UO9MhDB_EEfJQ_2_2"/>
      <w:bookmarkStart w:id="810" w:name="Tc_eVhjxlVUME2U3oGoZ8zg3g_2_0"/>
      <w:bookmarkStart w:id="811" w:name="Tc_92OZGnVHvU-VyijtZExY1w_1_2"/>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r>
        <w:rPr>
          <w:rFonts w:ascii="Times New Roman;Times;serif" w:hAnsi="Times New Roman;Times;serif"/>
          <w:sz w:val="20"/>
        </w:rPr>
        <w:t>Future minimum lease payments of operating lease liabilities that have non-cancelable lease terms in excess of one year at March 31, 2026 are as follows:</w:t>
      </w:r>
    </w:p>
    <w:p>
      <w:pPr>
        <w:pStyle w:val="TextBody"/>
        <w:bidi w:val="0"/>
        <w:spacing w:before="0" w:after="0"/>
        <w:ind w:left="0" w:right="0" w:hanging="0"/>
        <w:jc w:val="left"/>
        <w:rPr/>
      </w:pPr>
      <w:r>
        <w:rPr/>
        <w:t>​</w:t>
      </w:r>
    </w:p>
    <w:tbl>
      <w:tblPr>
        <w:tblW w:w="5163" w:type="dxa"/>
        <w:jc w:val="left"/>
        <w:tblInd w:w="0" w:type="dxa"/>
        <w:tblLayout w:type="fixed"/>
        <w:tblCellMar>
          <w:top w:w="0" w:type="dxa"/>
          <w:left w:w="0" w:type="dxa"/>
          <w:bottom w:w="0" w:type="dxa"/>
          <w:right w:w="0" w:type="dxa"/>
        </w:tblCellMar>
      </w:tblPr>
      <w:tblGrid>
        <w:gridCol w:w="3511"/>
        <w:gridCol w:w="346"/>
        <w:gridCol w:w="310"/>
        <w:gridCol w:w="99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229485" cy="175260"/>
                      <wp:effectExtent l="0" t="0" r="0" b="0"/>
                      <wp:wrapNone/>
                      <wp:docPr id="168" name="Frame168"/>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96850" cy="175260"/>
                      <wp:effectExtent l="0" t="0" r="0" b="0"/>
                      <wp:wrapNone/>
                      <wp:docPr id="170" name="Frame17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32460" cy="175260"/>
                      <wp:effectExtent l="0" t="0" r="0" b="0"/>
                      <wp:wrapNone/>
                      <wp:docPr id="171" name="Frame171"/>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46" w:type="dxa"/>
            <w:tcBorders/>
            <w:vAlign w:val="center"/>
          </w:tcPr>
          <w:p>
            <w:pPr>
              <w:pStyle w:val="TableContents"/>
              <w:bidi w:val="0"/>
              <w:spacing w:before="0" w:after="0"/>
              <w:ind w:left="0" w:right="0" w:hanging="0"/>
              <w:jc w:val="center"/>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center"/>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407.7</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46" w:type="dxa"/>
            <w:tcBorders/>
            <w:vAlign w:val="center"/>
          </w:tcPr>
          <w:p>
            <w:pPr>
              <w:pStyle w:val="TableContents"/>
              <w:bidi w:val="0"/>
              <w:spacing w:before="0" w:after="0"/>
              <w:ind w:left="0" w:right="0" w:hanging="0"/>
              <w:jc w:val="center"/>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4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Short-term portion</w:t>
            </w:r>
          </w:p>
        </w:tc>
        <w:tc>
          <w:tcPr>
            <w:tcW w:w="346" w:type="dxa"/>
            <w:tcBorders/>
            <w:vAlign w:val="center"/>
          </w:tcPr>
          <w:p>
            <w:pPr>
              <w:pStyle w:val="TableContents"/>
              <w:bidi w:val="0"/>
              <w:spacing w:before="0" w:after="0"/>
              <w:ind w:left="0" w:right="0" w:hanging="0"/>
              <w:jc w:val="center"/>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shd w:fill="CCEEFF" w:val="clear"/>
            <w:vAlign w:val="center"/>
          </w:tcPr>
          <w:p>
            <w:pPr>
              <w:pStyle w:val="TableContents"/>
              <w:bidi w:val="0"/>
              <w:spacing w:before="0" w:after="0"/>
              <w:ind w:left="0" w:right="0" w:hanging="0"/>
              <w:jc w:val="center"/>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12" w:name="Tc_2Wpgwg9PxUar9kJKPl8dZQ_12_5"/>
      <w:bookmarkStart w:id="813" w:name="Tc_Kiu2YM7IP0uNJGTXw2JvIQ_12_2"/>
      <w:bookmarkStart w:id="814" w:name="Tc_QJtqwIf3kUCL_551dDCtvg_12_0"/>
      <w:bookmarkStart w:id="815" w:name="Tc_NziElA0X00iHMXMkA1_dzQ_11_0"/>
      <w:bookmarkStart w:id="816" w:name="Tc_eHB9gX43c06RbOZEuMTpig_10_0"/>
      <w:bookmarkStart w:id="817" w:name="Tc_CcuYJXf0DE2lwOequEFEWQ_9_0"/>
      <w:bookmarkStart w:id="818" w:name="Tc_34cKWgmYtk2tUgCJUdeyiw_8_0"/>
      <w:bookmarkStart w:id="819" w:name="Tc_Z3peiRVum0-StncLWoVEHw_7_0"/>
      <w:bookmarkStart w:id="820" w:name="Tc_kf0fvUKZU0i6G03pMwMuxw_6_0"/>
      <w:bookmarkStart w:id="821" w:name="Tc_XksODBvJn0SkQnOV_P_60Q_5_0"/>
      <w:bookmarkStart w:id="822" w:name="Tc_qIpeLhpLtEmM0pcRGlGZrQ_4_5"/>
      <w:bookmarkStart w:id="823" w:name="Tc_TmeUC2M3qkevFRY2Wf-whw_4_2"/>
      <w:bookmarkStart w:id="824" w:name="Tc_boARNbKGg0arqsyJ2PXNFg_4_0"/>
      <w:bookmarkStart w:id="825" w:name="Tc_wg2XqT5OKkqS2VW6l2saXw_3_0"/>
      <w:bookmarkStart w:id="826" w:name="Tc_k7bfsc06zUKN78n6SPGYOw_2_5"/>
      <w:bookmarkStart w:id="827" w:name="Tc_v2z97iMnLU6K1R_fqHywjQ_2_2"/>
      <w:bookmarkStart w:id="828" w:name="Tc_a1m5Mp625E60heUWkHKfxw_2_0"/>
      <w:bookmarkStart w:id="829" w:name="Tc_uge22xoHdUCoR5TBbQ4w5A_1_2"/>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r>
        <w:rPr>
          <w:rFonts w:ascii="Times New Roman;Times;serif" w:hAnsi="Times New Roman;Times;serif"/>
          <w:b/>
          <w:sz w:val="20"/>
        </w:rPr>
        <w:t>10.          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income taxes are described in Note 10 to the Consolidated Financial Statements included in Part II, Item 8 of the Company’s Annual Report on Form 10-K for the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4, 2025, new legislation commonly referred to as the One Big Beautiful Bill Act (the “Act”) was signed into law. Among other things, the Act provides for numerous changes to existing tax law including extending or making permanent certain tax provisions of the Tax Cuts and Jobs Act of 2017 that were set to expire. Certain provisions of the Act were effective in fiscal 2025, while others are effective in fiscal 2026 and future years. The application of the Act did not have a material impact on the Company’s effective tax rate during the three months ended March 31,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Income taxes consist of the following for the three months ended March 31, 2026 and 2025:</w:t>
      </w:r>
    </w:p>
    <w:p>
      <w:pPr>
        <w:pStyle w:val="TextBody"/>
        <w:bidi w:val="0"/>
        <w:spacing w:before="0" w:after="0"/>
        <w:ind w:left="0" w:right="0" w:hanging="0"/>
        <w:jc w:val="left"/>
        <w:rPr/>
      </w:pPr>
      <w:r>
        <w:rPr/>
        <w:t>​</w:t>
      </w:r>
    </w:p>
    <w:tbl>
      <w:tblPr>
        <w:tblW w:w="5102" w:type="dxa"/>
        <w:jc w:val="left"/>
        <w:tblInd w:w="0" w:type="dxa"/>
        <w:tblLayout w:type="fixed"/>
        <w:tblCellMar>
          <w:top w:w="0" w:type="dxa"/>
          <w:left w:w="0" w:type="dxa"/>
          <w:bottom w:w="0" w:type="dxa"/>
          <w:right w:w="0" w:type="dxa"/>
        </w:tblCellMar>
      </w:tblPr>
      <w:tblGrid>
        <w:gridCol w:w="2266"/>
        <w:gridCol w:w="346"/>
        <w:gridCol w:w="291"/>
        <w:gridCol w:w="643"/>
        <w:gridCol w:w="477"/>
        <w:gridCol w:w="291"/>
        <w:gridCol w:w="788"/>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438910" cy="175260"/>
                      <wp:effectExtent l="0" t="0" r="0" b="0"/>
                      <wp:wrapNone/>
                      <wp:docPr id="172" name="Frame172"/>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84785" cy="175260"/>
                      <wp:effectExtent l="0" t="0" r="0" b="0"/>
                      <wp:wrapNone/>
                      <wp:docPr id="174" name="Frame174"/>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08305" cy="175260"/>
                      <wp:effectExtent l="0" t="0" r="0" b="0"/>
                      <wp:wrapNone/>
                      <wp:docPr id="175" name="Frame175"/>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02895" cy="175260"/>
                      <wp:effectExtent l="0" t="0" r="0" b="0"/>
                      <wp:wrapNone/>
                      <wp:docPr id="176" name="Frame176"/>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4785" cy="175260"/>
                      <wp:effectExtent l="0" t="0" r="0" b="0"/>
                      <wp:wrapNone/>
                      <wp:docPr id="177" name="Frame17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00380" cy="175260"/>
                      <wp:effectExtent l="0" t="0" r="0" b="0"/>
                      <wp:wrapNone/>
                      <wp:docPr id="178" name="Frame178"/>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2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7" w:type="dxa"/>
            <w:tcBorders/>
            <w:vAlign w:val="center"/>
          </w:tcPr>
          <w:p>
            <w:pPr>
              <w:pStyle w:val="TableContents"/>
              <w:bidi w:val="0"/>
              <w:spacing w:before="0" w:after="0"/>
              <w:ind w:left="0" w:right="0" w:hanging="0"/>
              <w:jc w:val="left"/>
              <w:rPr/>
            </w:pPr>
            <w:r>
              <w:rPr/>
              <w:t>  ​ ​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477"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77"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477"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77"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taxes</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477"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bookmarkStart w:id="830" w:name="Tc_YBx-iYicZECc70BmtAbrFg_10_14"/>
      <w:bookmarkStart w:id="831" w:name="Tc_Q9hbXhcYIEuQQmKkda_Vmw_10_11"/>
      <w:bookmarkStart w:id="832" w:name="Tc_Q6r5MKfmZECUCp-2986EKw_10_8"/>
      <w:bookmarkStart w:id="833" w:name="Tc_2CJ8iTkti0-JuwPIx8RcJg_10_5"/>
      <w:bookmarkStart w:id="834" w:name="Tc_F4xR8nNNhEiAId537OroQg_10_2"/>
      <w:bookmarkStart w:id="835" w:name="Tc_QlHFokKUiE6gG-s_vgb5Vw_10_0"/>
      <w:bookmarkStart w:id="836" w:name="Tc_J69IZ2zeTUC_kVJOLqJKAw_9_9"/>
      <w:bookmarkStart w:id="837" w:name="Tc_4SN97LWa60i24Kzgnx_PpQ_9_6"/>
      <w:bookmarkStart w:id="838" w:name="Tc_-BB_Xhex0k2_DQIMFWSQ6Q_9_3"/>
      <w:bookmarkStart w:id="839" w:name="Tc_HrJgu6AwFEOdQxvbtjbTkg_9_0"/>
      <w:bookmarkStart w:id="840" w:name="Tc_lWqxeItJykGAoUijb6scnw_8_9"/>
      <w:bookmarkStart w:id="841" w:name="Tc_WFoh8OxdHEqxYkfs9cldsQ_8_6"/>
      <w:bookmarkStart w:id="842" w:name="Tc_W4O_hv2tq0mjbWMJr4KXfg_8_3"/>
      <w:bookmarkStart w:id="843" w:name="Tc_TgYbf_vC5UORAX6Iiqen8Q_8_0"/>
      <w:bookmarkStart w:id="844" w:name="Tc_EM6j4GDPRUCceTFvehS8qA_7_12"/>
      <w:bookmarkStart w:id="845" w:name="Tc_qDYWVezXKUWRwpL3E4XBbQ_7_9"/>
      <w:bookmarkStart w:id="846" w:name="Tc_8FGZoMjqxE6cQrg_ODkACw_7_3"/>
      <w:bookmarkStart w:id="847" w:name="Tc_a4NWsokd60WNIk5AZuyVEQ_7_0"/>
      <w:bookmarkStart w:id="848" w:name="Tc_L0YdzvcvLUKsa12EdcvKmw_6_12"/>
      <w:bookmarkStart w:id="849" w:name="Tc_gyz6OXGzw0aE6IhfX5nLiA_6_9"/>
      <w:bookmarkStart w:id="850" w:name="Tc_36OraPSXZ0eNpWjqE40iUg_6_3"/>
      <w:bookmarkStart w:id="851" w:name="Tc_o5u7gupuf02Ccnu6Jg3HkA_6_0"/>
      <w:bookmarkStart w:id="852" w:name="Tc_6rpBOdf_dEO1rRE3-6XDjw_5_14"/>
      <w:bookmarkStart w:id="853" w:name="Tc_RF4zcFk9D0Kh1sOStdk4gQ_5_11"/>
      <w:bookmarkStart w:id="854" w:name="Tc_P0I_xQUBeEiGc0ohsg6e_g_5_8"/>
      <w:bookmarkStart w:id="855" w:name="Tc__oq_5vsT80Gj0NUDMpW-FA_5_5"/>
      <w:bookmarkStart w:id="856" w:name="Tc_CViiglNsX0uqjvi1_DEZ6Q_5_2"/>
      <w:bookmarkStart w:id="857" w:name="Tc_Y-nS4xKSdkGDf9B37lcP-A_5_0"/>
      <w:bookmarkStart w:id="858" w:name="Tc_5KW4cRXyikKx8to9fHtdIA_4_14"/>
      <w:bookmarkStart w:id="859" w:name="Tc_tjMlNs1Mek2vxq92VZNhcw_4_11"/>
      <w:bookmarkStart w:id="860" w:name="Tc_8FW7b_5P10Os3GIV_LZpHg_4_8"/>
      <w:bookmarkStart w:id="861" w:name="Tc_c-5PQ-Psu0m8XW9LCK6Jtw_4_5"/>
      <w:bookmarkStart w:id="862" w:name="Tc_VPNR7SZ-DEeewEhAdDNcdQ_4_2"/>
      <w:bookmarkStart w:id="863" w:name="Tc_fvyZMhe5aEGyxz4W8DWVoQ_4_0"/>
      <w:bookmarkStart w:id="864" w:name="Tc_OfMwMuWedkuJA_giqqj7HQ_3_14"/>
      <w:bookmarkStart w:id="865" w:name="Tc_iUVcJxiJlkmJeLR4QjOB-Q_3_8"/>
      <w:bookmarkStart w:id="866" w:name="Tc_lnZuDsC3bE2SAbDoDZkahQ_3_5"/>
      <w:bookmarkStart w:id="867" w:name="Tc_bIq8jIPw7UGm5jgqYGVq_Q_3_2"/>
      <w:bookmarkStart w:id="868" w:name="Tc_6LViGkTau0OS3LUUY2do7w_2_14"/>
      <w:bookmarkStart w:id="869" w:name="Tc_PlAHyA2ch0CQKHMQ4EsixQ_2_8"/>
      <w:bookmarkStart w:id="870" w:name="Tc_C1yfP5O8qEe-Pee2gOqkxQ_2_5"/>
      <w:bookmarkStart w:id="871" w:name="Tc_ggG7n-KxYEWdDc__6LUS_A_1_14"/>
      <w:bookmarkStart w:id="872" w:name="Tc_rv-liTfXBEW5TvWAQKRxuA_1_8"/>
      <w:bookmarkStart w:id="873" w:name="_24824587_02f3_40af_a17f_16138927bde4"/>
      <w:bookmarkStart w:id="874" w:name="Tc_aooVNdcrOEqUBKxnnDNznQ_10_14"/>
      <w:bookmarkStart w:id="875" w:name="Tc_csCSPfhya0mXXFfW4yTcyQ_10_11"/>
      <w:bookmarkStart w:id="876" w:name="Tc_eBK6G46NbU2ik-QorMQP8g_10_8"/>
      <w:bookmarkStart w:id="877" w:name="Tc_JUtP2OHio0KLXOT2Lti_Hw_10_5"/>
      <w:bookmarkStart w:id="878" w:name="Tc_a6wN1atWEEmz0v2BeyyPlw_10_2"/>
      <w:bookmarkStart w:id="879" w:name="Tc_fLL8LBD4dEeNsFULezxlrg_10_0"/>
      <w:bookmarkStart w:id="880" w:name="Tc_W_umEWM0NkGajFR737FUWQ_9_9"/>
      <w:bookmarkStart w:id="881" w:name="Tc_m0q2-C6MUEKwk31JPVeu_A_9_6"/>
      <w:bookmarkStart w:id="882" w:name="Tc_9fFoeyMD_EiNi2NSzgzSRQ_9_3"/>
      <w:bookmarkStart w:id="883" w:name="Tc_AgaG5XCTW0q1jBABv_fGtw_9_0"/>
      <w:bookmarkStart w:id="884" w:name="Tc_OBVAnJYY5ky1xAgiGYDheA_8_9"/>
      <w:bookmarkStart w:id="885" w:name="Tc__V1kRomZ9EG5geqQF9908Q_8_6"/>
      <w:bookmarkStart w:id="886" w:name="Tc_non1NbNjnkCoedt8hWGSZA_8_3"/>
      <w:bookmarkStart w:id="887" w:name="Tc_y2CLd-Ft80Sv7wa4JNtukQ_8_0"/>
      <w:bookmarkStart w:id="888" w:name="Tc_A8Ji_1BG-EyBWvvbTd9WOw_7_12"/>
      <w:bookmarkStart w:id="889" w:name="Tc_TOeCEcUJuUeXGN-1Sy89GQ_7_9"/>
      <w:bookmarkStart w:id="890" w:name="Tc_AP7w4oHvAk2xkf8lN6zljg_7_3"/>
      <w:bookmarkStart w:id="891" w:name="Tc_7NZcd9xBbEaPMAEvhIJQrg_7_0"/>
      <w:bookmarkStart w:id="892" w:name="Tc_0suxejUGGUaYpjfnfa7l7w_6_12"/>
      <w:bookmarkStart w:id="893" w:name="Tc_NUThXFiseU28ZvqUGYDxaA_6_9"/>
      <w:bookmarkStart w:id="894" w:name="Tc_M_2mErzQCEy1HCe1JRfaAg_6_3"/>
      <w:bookmarkStart w:id="895" w:name="Tc_g1qgFFyDKkWGoQ1eBNLOAw_6_0"/>
      <w:bookmarkStart w:id="896" w:name="Tc_dDstx8MOW0yT-K-2rdYXUQ_5_14"/>
      <w:bookmarkStart w:id="897" w:name="Tc_GJNOZBXgDU2IkHGLQudqtQ_5_11"/>
      <w:bookmarkStart w:id="898" w:name="Tc_mt0fLlFMuUWvCURfeivq5g_5_8"/>
      <w:bookmarkStart w:id="899" w:name="Tc_HI-mUIBksEW5YeHMc7L_bA_5_5"/>
      <w:bookmarkStart w:id="900" w:name="Tc_lXvBvf8_VEupVCEhSrWwbA_5_2"/>
      <w:bookmarkStart w:id="901" w:name="Tc_d5gHUsMRrEKsuYsSpMKrDw_5_0"/>
      <w:bookmarkStart w:id="902" w:name="Tc_Ez3uBYM1RU-6IO-LMwgV0g_4_14"/>
      <w:bookmarkStart w:id="903" w:name="Tc_VYsMk1PtZEKA-mY0UQVzkg_4_11"/>
      <w:bookmarkStart w:id="904" w:name="Tc_2y6mvQdvD0eUQVHrAx_dDQ_4_8"/>
      <w:bookmarkStart w:id="905" w:name="Tc_B515I2RuM0q6Uw3wyjf7Og_4_5"/>
      <w:bookmarkStart w:id="906" w:name="Tc_65o7aF33qUCVN0F3O0CPrg_4_2"/>
      <w:bookmarkStart w:id="907" w:name="Tc_0grD9oFjHkeOvBs9jfn4pQ_4_0"/>
      <w:bookmarkStart w:id="908" w:name="Tc_jn2Yyrt34ke5Sku3lKHEzQ_3_14"/>
      <w:bookmarkStart w:id="909" w:name="Tc_0gnr0bt7ekGrLjxbo3Snog_3_8"/>
      <w:bookmarkStart w:id="910" w:name="Tc_Rr25JgdW5E-MX8FisZv-Fg_3_5"/>
      <w:bookmarkStart w:id="911" w:name="Tc_iZVLsIfioUSsMVxLJ106cQ_3_2"/>
      <w:bookmarkStart w:id="912" w:name="Tc_Qsx1zeKJQ0C4L6lGUlWUzQ_2_14"/>
      <w:bookmarkStart w:id="913" w:name="Tc_kX9APDidO06vzU6AsKvsQA_2_8"/>
      <w:bookmarkStart w:id="914" w:name="Tc_5xrpce0CYEq5uyzv-o9mYQ_2_5"/>
      <w:bookmarkStart w:id="915" w:name="Tc_D1OvV5sKIUu8L0pU-EjYLw_1_14"/>
      <w:bookmarkStart w:id="916" w:name="Tc_MotCY0VWA06NGu3BgPwE-w_1_8"/>
      <w:bookmarkStart w:id="917" w:name="_e1001717_62d6_4e4c_82f1_b7415064dd16"/>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Pr>
          <w:rFonts w:ascii="Times New Roman;Times;serif" w:hAnsi="Times New Roman;Times;serif"/>
          <w:b/>
          <w:sz w:val="20"/>
        </w:rPr>
        <w:t>11.          ACCUMULATED OTHER COMPREHENSIVE INCOME (LOSS)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three months ended March 31, 2026 consisted of the following:</w:t>
      </w:r>
    </w:p>
    <w:tbl>
      <w:tblPr>
        <w:tblW w:w="9564" w:type="dxa"/>
        <w:jc w:val="left"/>
        <w:tblInd w:w="0" w:type="dxa"/>
        <w:tblLayout w:type="fixed"/>
        <w:tblCellMar>
          <w:top w:w="0" w:type="dxa"/>
          <w:left w:w="0" w:type="dxa"/>
          <w:bottom w:w="0" w:type="dxa"/>
          <w:right w:w="0" w:type="dxa"/>
        </w:tblCellMar>
      </w:tblPr>
      <w:tblGrid>
        <w:gridCol w:w="3346"/>
        <w:gridCol w:w="346"/>
        <w:gridCol w:w="211"/>
        <w:gridCol w:w="481"/>
        <w:gridCol w:w="346"/>
        <w:gridCol w:w="305"/>
        <w:gridCol w:w="611"/>
        <w:gridCol w:w="346"/>
        <w:gridCol w:w="260"/>
        <w:gridCol w:w="521"/>
        <w:gridCol w:w="346"/>
        <w:gridCol w:w="211"/>
        <w:gridCol w:w="481"/>
        <w:gridCol w:w="346"/>
        <w:gridCol w:w="404"/>
        <w:gridCol w:w="812"/>
        <w:gridCol w:w="19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24710" cy="175895"/>
                      <wp:effectExtent l="0" t="0" r="0" b="0"/>
                      <wp:wrapNone/>
                      <wp:docPr id="179" name="Frame179"/>
                      <a:graphic xmlns:a="http://schemas.openxmlformats.org/drawingml/2006/main">
                        <a:graphicData uri="http://schemas.microsoft.com/office/word/2010/wordprocessingShape">
                          <wps:wsp>
                            <wps:cNvSpPr txBox="1"/>
                            <wps:spPr>
                              <a:xfrm>
                                <a:off x="0" y="0"/>
                                <a:ext cx="2124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895"/>
                      <wp:effectExtent l="0" t="0" r="0" b="0"/>
                      <wp:wrapNone/>
                      <wp:docPr id="180" name="Frame18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895"/>
                      <wp:effectExtent l="0" t="0" r="0" b="0"/>
                      <wp:wrapNone/>
                      <wp:docPr id="181" name="Frame18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05435" cy="175895"/>
                      <wp:effectExtent l="0" t="0" r="0" b="0"/>
                      <wp:wrapNone/>
                      <wp:docPr id="182" name="Frame182"/>
                      <a:graphic xmlns:a="http://schemas.openxmlformats.org/drawingml/2006/main">
                        <a:graphicData uri="http://schemas.microsoft.com/office/word/2010/wordprocessingShape">
                          <wps:wsp>
                            <wps:cNvSpPr txBox="1"/>
                            <wps:spPr>
                              <a:xfrm>
                                <a:off x="0" y="0"/>
                                <a:ext cx="305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895"/>
                      <wp:effectExtent l="0" t="0" r="0" b="0"/>
                      <wp:wrapNone/>
                      <wp:docPr id="183" name="Frame18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93675" cy="175895"/>
                      <wp:effectExtent l="0" t="0" r="0" b="0"/>
                      <wp:wrapNone/>
                      <wp:docPr id="184" name="Frame184"/>
                      <a:graphic xmlns:a="http://schemas.openxmlformats.org/drawingml/2006/main">
                        <a:graphicData uri="http://schemas.microsoft.com/office/word/2010/wordprocessingShape">
                          <wps:wsp>
                            <wps:cNvSpPr txBox="1"/>
                            <wps:spPr>
                              <a:xfrm>
                                <a:off x="0" y="0"/>
                                <a:ext cx="1936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87985" cy="175895"/>
                      <wp:effectExtent l="0" t="0" r="0" b="0"/>
                      <wp:wrapNone/>
                      <wp:docPr id="185" name="Frame185"/>
                      <a:graphic xmlns:a="http://schemas.openxmlformats.org/drawingml/2006/main">
                        <a:graphicData uri="http://schemas.microsoft.com/office/word/2010/wordprocessingShape">
                          <wps:wsp>
                            <wps:cNvSpPr txBox="1"/>
                            <wps:spPr>
                              <a:xfrm>
                                <a:off x="0" y="0"/>
                                <a:ext cx="387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895"/>
                      <wp:effectExtent l="0" t="0" r="0" b="0"/>
                      <wp:wrapNone/>
                      <wp:docPr id="186" name="Frame18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5100" cy="175895"/>
                      <wp:effectExtent l="0" t="0" r="0" b="0"/>
                      <wp:wrapNone/>
                      <wp:docPr id="187" name="Frame187"/>
                      <a:graphic xmlns:a="http://schemas.openxmlformats.org/drawingml/2006/main">
                        <a:graphicData uri="http://schemas.microsoft.com/office/word/2010/wordprocessingShape">
                          <wps:wsp>
                            <wps:cNvSpPr txBox="1"/>
                            <wps:spPr>
                              <a:xfrm>
                                <a:off x="0" y="0"/>
                                <a:ext cx="1651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30835" cy="175895"/>
                      <wp:effectExtent l="0" t="0" r="0" b="0"/>
                      <wp:wrapNone/>
                      <wp:docPr id="188" name="Frame188"/>
                      <a:graphic xmlns:a="http://schemas.openxmlformats.org/drawingml/2006/main">
                        <a:graphicData uri="http://schemas.microsoft.com/office/word/2010/wordprocessingShape">
                          <wps:wsp>
                            <wps:cNvSpPr txBox="1"/>
                            <wps:spPr>
                              <a:xfrm>
                                <a:off x="0" y="0"/>
                                <a:ext cx="3308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895"/>
                      <wp:effectExtent l="0" t="0" r="0" b="0"/>
                      <wp:wrapNone/>
                      <wp:docPr id="189" name="Frame18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895"/>
                      <wp:effectExtent l="0" t="0" r="0" b="0"/>
                      <wp:wrapNone/>
                      <wp:docPr id="190" name="Frame19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05435" cy="175895"/>
                      <wp:effectExtent l="0" t="0" r="0" b="0"/>
                      <wp:wrapNone/>
                      <wp:docPr id="191" name="Frame191"/>
                      <a:graphic xmlns:a="http://schemas.openxmlformats.org/drawingml/2006/main">
                        <a:graphicData uri="http://schemas.microsoft.com/office/word/2010/wordprocessingShape">
                          <wps:wsp>
                            <wps:cNvSpPr txBox="1"/>
                            <wps:spPr>
                              <a:xfrm>
                                <a:off x="0" y="0"/>
                                <a:ext cx="305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895"/>
                      <wp:effectExtent l="0" t="0" r="0" b="0"/>
                      <wp:wrapNone/>
                      <wp:docPr id="192" name="Frame19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56540" cy="175895"/>
                      <wp:effectExtent l="0" t="0" r="0" b="0"/>
                      <wp:wrapNone/>
                      <wp:docPr id="193" name="Frame193"/>
                      <a:graphic xmlns:a="http://schemas.openxmlformats.org/drawingml/2006/main">
                        <a:graphicData uri="http://schemas.microsoft.com/office/word/2010/wordprocessingShape">
                          <wps:wsp>
                            <wps:cNvSpPr txBox="1"/>
                            <wps:spPr>
                              <a:xfrm>
                                <a:off x="0" y="0"/>
                                <a:ext cx="2565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15620" cy="175895"/>
                      <wp:effectExtent l="0" t="0" r="0" b="0"/>
                      <wp:wrapNone/>
                      <wp:docPr id="194" name="Frame194"/>
                      <a:graphic xmlns:a="http://schemas.openxmlformats.org/drawingml/2006/main">
                        <a:graphicData uri="http://schemas.microsoft.com/office/word/2010/wordprocessingShape">
                          <wps:wsp>
                            <wps:cNvSpPr txBox="1"/>
                            <wps:spPr>
                              <a:xfrm>
                                <a:off x="0" y="0"/>
                                <a:ext cx="5156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21285" cy="175895"/>
                      <wp:effectExtent l="0" t="0" r="0" b="0"/>
                      <wp:wrapNone/>
                      <wp:docPr id="195" name="Frame195"/>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4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4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4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4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4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1"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1"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1"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1"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1"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1" w:after="1"/>
              <w:ind w:left="0" w:right="0" w:hanging="0"/>
              <w:jc w:val="left"/>
              <w:rPr/>
            </w:pPr>
            <w:r>
              <w:rPr/>
              <w:t> </w:t>
            </w:r>
          </w:p>
        </w:tc>
      </w:tr>
      <w:tr>
        <w:trPr/>
        <w:tc>
          <w:tcPr>
            <w:tcW w:w="33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1" w:after="1"/>
              <w:ind w:left="0" w:right="0" w:hanging="0"/>
              <w:jc w:val="left"/>
              <w:rPr/>
            </w:pPr>
            <w:r>
              <w:rPr/>
              <w:t>​</w:t>
            </w:r>
          </w:p>
        </w:tc>
        <w:tc>
          <w:tcPr>
            <w:tcW w:w="30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305" w:type="dxa"/>
            <w:tcBorders/>
            <w:vAlign w:val="center"/>
          </w:tcPr>
          <w:p>
            <w:pPr>
              <w:pStyle w:val="TableContents"/>
              <w:bidi w:val="0"/>
              <w:spacing w:before="1" w:after="1"/>
              <w:ind w:left="0" w:right="0" w:hanging="0"/>
              <w:jc w:val="left"/>
              <w:rPr/>
            </w:pPr>
            <w:r>
              <w:rPr/>
              <w:t>​</w:t>
            </w:r>
          </w:p>
        </w:tc>
        <w:tc>
          <w:tcPr>
            <w:tcW w:w="61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actuarial gain (loss)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305" w:type="dxa"/>
            <w:tcBorders/>
            <w:shd w:fill="CCEEFF" w:val="clear"/>
            <w:vAlign w:val="center"/>
          </w:tcPr>
          <w:p>
            <w:pPr>
              <w:pStyle w:val="TableContents"/>
              <w:bidi w:val="0"/>
              <w:spacing w:before="1" w:after="1"/>
              <w:ind w:left="0" w:right="0" w:hanging="0"/>
              <w:jc w:val="left"/>
              <w:rPr/>
            </w:pPr>
            <w:r>
              <w:rPr/>
              <w:t>​</w:t>
            </w:r>
          </w:p>
        </w:tc>
        <w:tc>
          <w:tcPr>
            <w:tcW w:w="6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pPr>
            <w:r>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305" w:type="dxa"/>
            <w:tcBorders/>
            <w:vAlign w:val="center"/>
          </w:tcPr>
          <w:p>
            <w:pPr>
              <w:pStyle w:val="TableContents"/>
              <w:bidi w:val="0"/>
              <w:spacing w:before="1" w:after="1"/>
              <w:ind w:left="0" w:right="0" w:hanging="0"/>
              <w:jc w:val="left"/>
              <w:rPr/>
            </w:pPr>
            <w:r>
              <w:rPr/>
              <w:t>​</w:t>
            </w:r>
          </w:p>
        </w:tc>
        <w:tc>
          <w:tcPr>
            <w:tcW w:w="61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1"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1"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1"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1" w:after="1"/>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three months ended March 31, 2025 consisted of the following:</w:t>
      </w:r>
    </w:p>
    <w:tbl>
      <w:tblPr>
        <w:tblW w:w="9669" w:type="dxa"/>
        <w:jc w:val="left"/>
        <w:tblInd w:w="0" w:type="dxa"/>
        <w:tblLayout w:type="fixed"/>
        <w:tblCellMar>
          <w:top w:w="0" w:type="dxa"/>
          <w:left w:w="0" w:type="dxa"/>
          <w:bottom w:w="0" w:type="dxa"/>
          <w:right w:w="0" w:type="dxa"/>
        </w:tblCellMar>
      </w:tblPr>
      <w:tblGrid>
        <w:gridCol w:w="3346"/>
        <w:gridCol w:w="346"/>
        <w:gridCol w:w="211"/>
        <w:gridCol w:w="586"/>
        <w:gridCol w:w="346"/>
        <w:gridCol w:w="305"/>
        <w:gridCol w:w="611"/>
        <w:gridCol w:w="346"/>
        <w:gridCol w:w="260"/>
        <w:gridCol w:w="521"/>
        <w:gridCol w:w="346"/>
        <w:gridCol w:w="211"/>
        <w:gridCol w:w="481"/>
        <w:gridCol w:w="346"/>
        <w:gridCol w:w="404"/>
        <w:gridCol w:w="812"/>
        <w:gridCol w:w="19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24710" cy="175260"/>
                      <wp:effectExtent l="0" t="0" r="0" b="0"/>
                      <wp:wrapNone/>
                      <wp:docPr id="196" name="Frame196"/>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72110" cy="175260"/>
                      <wp:effectExtent l="0" t="0" r="0" b="0"/>
                      <wp:wrapNone/>
                      <wp:docPr id="199" name="Frame19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93675" cy="175260"/>
                      <wp:effectExtent l="0" t="0" r="0" b="0"/>
                      <wp:wrapNone/>
                      <wp:docPr id="201" name="Frame20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87985" cy="175260"/>
                      <wp:effectExtent l="0" t="0" r="0" b="0"/>
                      <wp:wrapNone/>
                      <wp:docPr id="202" name="Frame202"/>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5100" cy="175260"/>
                      <wp:effectExtent l="0" t="0" r="0" b="0"/>
                      <wp:wrapNone/>
                      <wp:docPr id="204" name="Frame20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30835" cy="175260"/>
                      <wp:effectExtent l="0" t="0" r="0" b="0"/>
                      <wp:wrapNone/>
                      <wp:docPr id="205" name="Frame205"/>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05435" cy="175260"/>
                      <wp:effectExtent l="0" t="0" r="0" b="0"/>
                      <wp:wrapNone/>
                      <wp:docPr id="208" name="Frame20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56540" cy="175260"/>
                      <wp:effectExtent l="0" t="0" r="0" b="0"/>
                      <wp:wrapNone/>
                      <wp:docPr id="210" name="Frame210"/>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15620" cy="175260"/>
                      <wp:effectExtent l="0" t="0" r="0" b="0"/>
                      <wp:wrapNone/>
                      <wp:docPr id="211" name="Frame211"/>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1285" cy="175260"/>
                      <wp:effectExtent l="0" t="0" r="0" b="0"/>
                      <wp:wrapNone/>
                      <wp:docPr id="212" name="Frame21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0" w:after="0"/>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12.</w:t>
      </w:r>
      <w:r>
        <w:rPr>
          <w:rFonts w:ascii="Times New Roman;Times;serif" w:hAnsi="Times New Roman;Times;serif"/>
          <w:sz w:val="20"/>
        </w:rPr>
        <w:t>          </w:t>
      </w:r>
      <w:r>
        <w:rPr>
          <w:rFonts w:ascii="Times New Roman;Times;serif" w:hAnsi="Times New Roman;Times;serif"/>
          <w:b/>
          <w:sz w:val="20"/>
        </w:rPr>
        <w:t>FAIR VALUE OF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uses Level 1 inputs for the fair values of its cash and cash equivalents, and CCF cash and cash equivalents and investments, and Level 2 inputs for fixed rate debt. The fair values of cash and cash equivalents, and CCF cash and cash equivalents approximate their carrying values due to the nature of the instruments. The fair value of CCF investments is calculated based upon quoted prices available in active markets. The fair value of fixed rate debt is calculated based upon interest rates available for debt with terms and maturities similar to the Company’s existing debt arrangements.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18" w:name="Tc_ok6WleHH9EykAIr6FiQ4FQ_14_15"/>
      <w:bookmarkStart w:id="919" w:name="Tc_WhxT6L-R5kSg7Qtf7H8BSg_14_14"/>
      <w:bookmarkStart w:id="920" w:name="Tc_lbwM324hPEK_elZlOjvepw_14_11"/>
      <w:bookmarkStart w:id="921" w:name="Tc_tH_DkaUyLkC3uF290GtxvA_14_9"/>
      <w:bookmarkStart w:id="922" w:name="Tc_Nh4n-e3gIUGQUJcO1rLh8g_14_8"/>
      <w:bookmarkStart w:id="923" w:name="Tc_k1IE6QMHPEKhExB0FVT4-A_14_5"/>
      <w:bookmarkStart w:id="924" w:name="Tc_AL-bgo5ZJkmpVnAR4z9OHw_14_2"/>
      <w:bookmarkStart w:id="925" w:name="Tc_5TzMyEN6YUilXZGmYXgbBA_14_0"/>
      <w:bookmarkStart w:id="926" w:name="Tc_hKjmH1VCWEKaBdHnnfMWVA_13_15"/>
      <w:bookmarkStart w:id="927" w:name="Tc_lZGJ1NelGEyfF36oE4J1RA_13_14"/>
      <w:bookmarkStart w:id="928" w:name="Tc_IKgCitd7Y06BrOn5CezJXQ_13_12"/>
      <w:bookmarkStart w:id="929" w:name="Tc_60DUC8LyS0mGQh91x5_IEA_13_11"/>
      <w:bookmarkStart w:id="930" w:name="Tc_iz8It-XQV0-E1tG7l5NDYA_13_8"/>
      <w:bookmarkStart w:id="931" w:name="Tc_6kV5Z2rtp0SfJCXeHNQTLA_13_5"/>
      <w:bookmarkStart w:id="932" w:name="Tc_qP3QcrFTf0WnpWsf2K-31Q_13_2"/>
      <w:bookmarkStart w:id="933" w:name="Tc_rSGVqe1jWkiEsY9JrSyTvw_13_0"/>
      <w:bookmarkStart w:id="934" w:name="Tc_jsQ4PGq69kmw1ch57hK9Jw_12_15"/>
      <w:bookmarkStart w:id="935" w:name="Tc_HnPcDtPDlU6-tv3wEBjucA_12_14"/>
      <w:bookmarkStart w:id="936" w:name="Tc_Vx6q0hV5J06-EA2E6bfEhA_12_12"/>
      <w:bookmarkStart w:id="937" w:name="Tc_y4ZL8-0OlEi6M5wBIju3qQ_12_11"/>
      <w:bookmarkStart w:id="938" w:name="Tc_MhqkASu3i0ObiQOuKxHfKA_12_8"/>
      <w:bookmarkStart w:id="939" w:name="Tc_T2uvHDXcP06dkIo6iKIRKA_12_5"/>
      <w:bookmarkStart w:id="940" w:name="Tc_F6UPFec_sU-Jcd1ZtHKcNg_12_2"/>
      <w:bookmarkStart w:id="941" w:name="Tc_mjx6cZ92vU6x2MsJsG_I_A_12_0"/>
      <w:bookmarkStart w:id="942" w:name="Tc_SiEI821ghEuKnkyAsMeOvg_11_15"/>
      <w:bookmarkStart w:id="943" w:name="Tc_t-WYYp1UNEmyfxzRyRbakw_11_14"/>
      <w:bookmarkStart w:id="944" w:name="Tc_FZ8dTIyvr0SNIkp6PsQBvQ_11_12"/>
      <w:bookmarkStart w:id="945" w:name="Tc_xgVQNebVh06Npn-1gRGjyA_11_11"/>
      <w:bookmarkStart w:id="946" w:name="Tc_Fn-3BFvjQkKlZfwUGhtMMg_11_8"/>
      <w:bookmarkStart w:id="947" w:name="Tc_Z1gIinvkS0OejqLkRncFVA_11_5"/>
      <w:bookmarkStart w:id="948" w:name="Tc_3dE7t2qegk-KpQBZKmFHOA_11_2"/>
      <w:bookmarkStart w:id="949" w:name="Tc_p49kTqR2c0y7PldDNcHusA_11_0"/>
      <w:bookmarkStart w:id="950" w:name="Tc_v1bTpJ_gWUOTbdpoEp8o5g_10_5"/>
      <w:bookmarkStart w:id="951" w:name="Tc_qpENVZ2MVEm0CSY8FnC0qw_10_2"/>
      <w:bookmarkStart w:id="952" w:name="Tc_-M8fZJ5vhkqe_ePIhGQEBg_10_0"/>
      <w:bookmarkStart w:id="953" w:name="Tc_cc9ZlBbLp0ueKVRcMC-zNQ_8_15"/>
      <w:bookmarkStart w:id="954" w:name="Tc_5MyQlW7VgUmN8sTs03NkZA_8_14"/>
      <w:bookmarkStart w:id="955" w:name="Tc_aGWZEcf84U2yf1VsLDdIwQ_8_11"/>
      <w:bookmarkStart w:id="956" w:name="Tc_Ptx_yy1yG0qfwkEqas2X5Q_8_9"/>
      <w:bookmarkStart w:id="957" w:name="Tc_Q4us2bpqMUiHVCS4hQ31HQ_8_8"/>
      <w:bookmarkStart w:id="958" w:name="Tc_6NYs-ucPfUWGC4zRv5QN3A_8_5"/>
      <w:bookmarkStart w:id="959" w:name="Tc_RHQeXZUIY0qIGLVXjya_fA_8_2"/>
      <w:bookmarkStart w:id="960" w:name="Tc_HJscm3cmcEWo7pDnXBK7nw_8_0"/>
      <w:bookmarkStart w:id="961" w:name="Tc_LBX2jyCKuUqqLjzJKdpCvA_7_15"/>
      <w:bookmarkStart w:id="962" w:name="Tc_BEZRkh-mp0OC8C1nqFt9KQ_7_14"/>
      <w:bookmarkStart w:id="963" w:name="Tc_eJfdV4mUzU6Ugf7mTZrwGA_7_12"/>
      <w:bookmarkStart w:id="964" w:name="Tc_GGx_MQS-l02hhlQHf1J84A_7_11"/>
      <w:bookmarkStart w:id="965" w:name="Tc_eu116PI5xEGT9EjZkPwh7g_7_8"/>
      <w:bookmarkStart w:id="966" w:name="Tc__yn5zMPb4UCi1EaCde3E9w_7_5"/>
      <w:bookmarkStart w:id="967" w:name="Tc_8Zw9Hwq2lEecyr_xQYg5yg_7_2"/>
      <w:bookmarkStart w:id="968" w:name="Tc_nriP4xmC30qFWVipp32aJQ_7_0"/>
      <w:bookmarkStart w:id="969" w:name="Tc_Cvfy-OScNE2SdbB3rUsWRQ_6_15"/>
      <w:bookmarkStart w:id="970" w:name="Tc_SpoOa5UwP0uPIgYaEA91Iw_6_14"/>
      <w:bookmarkStart w:id="971" w:name="Tc_hik6loPCQEez77RSEFHRlw_6_12"/>
      <w:bookmarkStart w:id="972" w:name="Tc_IWOkKWeGdEW4ZtZ3q0oH0g_6_11"/>
      <w:bookmarkStart w:id="973" w:name="Tc_fBdwvnUj0kG6O8ZnHPT65A_6_8"/>
      <w:bookmarkStart w:id="974" w:name="Tc_TlJiI1IMr0eriMmsVXXP-w_6_5"/>
      <w:bookmarkStart w:id="975" w:name="Tc_Lk7Pyif7c0yqQS3F2PCLoQ_6_2"/>
      <w:bookmarkStart w:id="976" w:name="Tc_l8l1grro5Umg3x_CHK2pQQ_6_0"/>
      <w:bookmarkStart w:id="977" w:name="Tc_4zPpl9XC6kutwVCMB4Fprw_5_15"/>
      <w:bookmarkStart w:id="978" w:name="Tc_6t3tDEZF6Ueczk8EK4o-Cg_5_14"/>
      <w:bookmarkStart w:id="979" w:name="Tc_JOrPxlVoQU6nhiUqn70BFw_5_12"/>
      <w:bookmarkStart w:id="980" w:name="Tc_Z-nvIFKEbEusBG47Ysbz_w_5_11"/>
      <w:bookmarkStart w:id="981" w:name="Tc_pt6p7K07rEytnskWGKzhQw_5_8"/>
      <w:bookmarkStart w:id="982" w:name="Tc_XD3Fbvdd1USNdE_g5vplJg_5_5"/>
      <w:bookmarkStart w:id="983" w:name="Tc_Lr0gnzgriEqbFCAxI7k_9A_5_2"/>
      <w:bookmarkStart w:id="984" w:name="Tc_fu7PkXHC4USZLMRWJPcAgw_5_0"/>
      <w:bookmarkStart w:id="985" w:name="Tc_dOoHFeAgv0yOnUDKf0DRiQ_4_5"/>
      <w:bookmarkStart w:id="986" w:name="Tc_Y9EGzrUeL0KRQGkawrXA8Q_4_2"/>
      <w:bookmarkStart w:id="987" w:name="Tc_5PtacpbsL0KsSUGjnu2Jgg_4_0"/>
      <w:bookmarkStart w:id="988" w:name="Tc_q-EqlO2pTkCj3Em6Pbz7bg_3_14"/>
      <w:bookmarkStart w:id="989" w:name="Tc_0alfPHMPRkqmcdU3On-DCQ_3_11"/>
      <w:bookmarkStart w:id="990" w:name="Tc_OS-pFxI-1EySiHhL8vpNbQ_3_8"/>
      <w:bookmarkStart w:id="991" w:name="Tc_JLIxttNzjUabKbixJyBG9Q_3_5"/>
      <w:bookmarkStart w:id="992" w:name="Tc_AnKjASgTU0auU9Jw7sEfqA_3_2"/>
      <w:bookmarkStart w:id="993" w:name="Tc_SqFOwAZUtkyG0PpLhGf6uw_2_14"/>
      <w:bookmarkStart w:id="994" w:name="Tc_qZ6LFwUcnUW6xfqZck6Svg_2_11"/>
      <w:bookmarkStart w:id="995" w:name="Tc_ug1msiwYqU-sPy14okGjyQ_2_8"/>
      <w:bookmarkStart w:id="996" w:name="Tc_TC1RDFLAgkC-YCFCmyXKug_2_2"/>
      <w:bookmarkStart w:id="997" w:name="Tc_U0G8EaspNkqT2oReTa-klw_1_14"/>
      <w:bookmarkStart w:id="998" w:name="Tc_HiUU2g5970SDaeALjJ56sQ_1_11"/>
      <w:bookmarkStart w:id="999" w:name="Tc_ZXjnBBdeyUK53HcAgUmGEQ_1_8"/>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r>
        <w:rPr>
          <w:rFonts w:ascii="Times New Roman;Times;serif" w:hAnsi="Times New Roman;Times;serif"/>
          <w:sz w:val="20"/>
        </w:rPr>
        <w:t>The carrying value and fair value of the Company’s financial instruments as of March 31, 2026 and December 31, 2025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76"/>
        <w:gridCol w:w="346"/>
        <w:gridCol w:w="448"/>
        <w:gridCol w:w="1136"/>
        <w:gridCol w:w="346"/>
        <w:gridCol w:w="309"/>
        <w:gridCol w:w="837"/>
        <w:gridCol w:w="346"/>
        <w:gridCol w:w="352"/>
        <w:gridCol w:w="954"/>
        <w:gridCol w:w="346"/>
        <w:gridCol w:w="299"/>
        <w:gridCol w:w="813"/>
        <w:gridCol w:w="346"/>
        <w:gridCol w:w="450"/>
        <w:gridCol w:w="743"/>
        <w:gridCol w:w="158"/>
      </w:tblGrid>
      <w:tr>
        <w:trPr/>
        <w:tc>
          <w:tcPr>
            <w:tcW w:w="1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254760" cy="175260"/>
                      <wp:effectExtent l="0" t="0" r="0" b="0"/>
                      <wp:wrapNone/>
                      <wp:docPr id="213" name="Frame213"/>
                      <a:graphic xmlns:a="http://schemas.openxmlformats.org/drawingml/2006/main">
                        <a:graphicData uri="http://schemas.microsoft.com/office/word/2010/wordprocessingShape">
                          <wps:wsp>
                            <wps:cNvSpPr txBox="1"/>
                            <wps:spPr>
                              <a:xfrm>
                                <a:off x="0" y="0"/>
                                <a:ext cx="125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84480" cy="175260"/>
                      <wp:effectExtent l="0" t="0" r="0" b="0"/>
                      <wp:wrapNone/>
                      <wp:docPr id="215" name="Frame215"/>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21360" cy="175260"/>
                      <wp:effectExtent l="0" t="0" r="0" b="0"/>
                      <wp:wrapNone/>
                      <wp:docPr id="216" name="Frame216"/>
                      <a:graphic xmlns:a="http://schemas.openxmlformats.org/drawingml/2006/main">
                        <a:graphicData uri="http://schemas.microsoft.com/office/word/2010/wordprocessingShape">
                          <wps:wsp>
                            <wps:cNvSpPr txBox="1"/>
                            <wps:spPr>
                              <a:xfrm>
                                <a:off x="0" y="0"/>
                                <a:ext cx="72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96215" cy="175260"/>
                      <wp:effectExtent l="0" t="0" r="0" b="0"/>
                      <wp:wrapNone/>
                      <wp:docPr id="218" name="Frame218"/>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31495" cy="175260"/>
                      <wp:effectExtent l="0" t="0" r="0" b="0"/>
                      <wp:wrapNone/>
                      <wp:docPr id="219" name="Frame219"/>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23520" cy="175260"/>
                      <wp:effectExtent l="0" t="0" r="0" b="0"/>
                      <wp:wrapNone/>
                      <wp:docPr id="221" name="Frame22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05790" cy="175260"/>
                      <wp:effectExtent l="0" t="0" r="0" b="0"/>
                      <wp:wrapNone/>
                      <wp:docPr id="222" name="Frame222"/>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89865" cy="175260"/>
                      <wp:effectExtent l="0" t="0" r="0" b="0"/>
                      <wp:wrapNone/>
                      <wp:docPr id="224" name="Frame22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16255" cy="175260"/>
                      <wp:effectExtent l="0" t="0" r="0" b="0"/>
                      <wp:wrapNone/>
                      <wp:docPr id="225" name="Frame225"/>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85750" cy="175260"/>
                      <wp:effectExtent l="0" t="0" r="0" b="0"/>
                      <wp:wrapNone/>
                      <wp:docPr id="227" name="Frame227"/>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71805" cy="175260"/>
                      <wp:effectExtent l="0" t="0" r="0" b="0"/>
                      <wp:wrapNone/>
                      <wp:docPr id="228" name="Frame228"/>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00330" cy="175260"/>
                      <wp:effectExtent l="0" t="0" r="0" b="0"/>
                      <wp:wrapNone/>
                      <wp:docPr id="229" name="Frame229"/>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84"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11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14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w:t>
            </w:r>
          </w:p>
        </w:tc>
        <w:tc>
          <w:tcPr>
            <w:tcW w:w="346" w:type="dxa"/>
            <w:tcBorders/>
            <w:vAlign w:val="center"/>
          </w:tcPr>
          <w:p>
            <w:pPr>
              <w:pStyle w:val="TableContents"/>
              <w:bidi w:val="0"/>
              <w:spacing w:before="0" w:after="0"/>
              <w:ind w:left="0" w:right="0" w:hanging="0"/>
              <w:jc w:val="left"/>
              <w:rPr/>
            </w:pPr>
            <w:r>
              <w:rPr/>
              <w:t>​</w:t>
            </w:r>
          </w:p>
        </w:tc>
        <w:tc>
          <w:tcPr>
            <w:tcW w:w="11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8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 ​ ​</w:t>
            </w:r>
            <w:r>
              <w:rPr>
                <w:rFonts w:ascii="Times New Roman;Times;serif" w:hAnsi="Times New Roman;Times;serif"/>
                <w:b/>
                <w:sz w:val="16"/>
              </w:rPr>
              <w:t>Carrying Value    </w:t>
            </w:r>
          </w:p>
        </w:tc>
        <w:tc>
          <w:tcPr>
            <w:tcW w:w="346" w:type="dxa"/>
            <w:tcBorders/>
            <w:vAlign w:val="center"/>
          </w:tcPr>
          <w:p>
            <w:pPr>
              <w:pStyle w:val="TableContents"/>
              <w:bidi w:val="0"/>
              <w:spacing w:before="0" w:after="0"/>
              <w:ind w:left="0" w:right="0" w:hanging="0"/>
              <w:jc w:val="left"/>
              <w:rPr/>
            </w:pPr>
            <w:r>
              <w:rPr/>
              <w:t>  ​ ​ ​</w:t>
            </w:r>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 ​ ​ ​ ​ ​ ​</w:t>
            </w:r>
            <w:r>
              <w:rPr>
                <w:rFonts w:ascii="Times New Roman;Times;serif" w:hAnsi="Times New Roman;Times;serif"/>
                <w:b/>
                <w:sz w:val="16"/>
              </w:rPr>
              <w:t>Total         </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46" w:type="dxa"/>
            <w:tcBorders/>
            <w:vAlign w:val="center"/>
          </w:tcPr>
          <w:p>
            <w:pPr>
              <w:pStyle w:val="TableContents"/>
              <w:bidi w:val="0"/>
              <w:spacing w:before="0" w:after="0"/>
              <w:ind w:left="0" w:right="0" w:hanging="0"/>
              <w:jc w:val="left"/>
              <w:rPr/>
            </w:pPr>
            <w:r>
              <w:rPr/>
              <w:t>  ​ ​ ​</w:t>
            </w:r>
          </w:p>
        </w:tc>
        <w:tc>
          <w:tcPr>
            <w:tcW w:w="11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158" w:type="dxa"/>
            <w:tcBorders/>
            <w:vAlign w:val="center"/>
          </w:tcPr>
          <w:p>
            <w:pPr>
              <w:pStyle w:val="TableContents"/>
              <w:bidi w:val="0"/>
              <w:spacing w:before="0" w:after="0"/>
              <w:ind w:left="0" w:right="0" w:hanging="0"/>
              <w:jc w:val="left"/>
              <w:rPr/>
            </w:pPr>
            <w:r>
              <w:rPr/>
              <w:t>​</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15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w:t>
            </w:r>
          </w:p>
        </w:tc>
        <w:tc>
          <w:tcPr>
            <w:tcW w:w="579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March 31, 2026</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349.7</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349.7</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349.7</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282.6</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282.6</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11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15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w:t>
            </w:r>
          </w:p>
        </w:tc>
        <w:tc>
          <w:tcPr>
            <w:tcW w:w="5795" w:type="dxa"/>
            <w:gridSpan w:val="11"/>
            <w:tcBorders>
              <w:bottom w:val="single" w:sz="2" w:space="0" w:color="000000"/>
            </w:tcBorders>
            <w:tcMar>
              <w:bottom w:w="28" w:type="dxa"/>
            </w:tcMar>
            <w:vAlign w:val="center"/>
          </w:tcPr>
          <w:p>
            <w:pPr>
              <w:pStyle w:val="TableContents"/>
              <w:bidi w:val="0"/>
              <w:spacing w:before="0" w:after="0"/>
              <w:ind w:left="0" w:right="0" w:hanging="0"/>
              <w:jc w:val="center"/>
              <w:rPr/>
            </w:pPr>
            <w:r>
              <w:rPr/>
              <w:t>  ​ ​ ​ ​ ​ ​ ​ ​ ​ ​ ​ ​ ​ ​</w:t>
            </w:r>
            <w:r>
              <w:rPr>
                <w:rFonts w:ascii="Times New Roman;Times;serif" w:hAnsi="Times New Roman;Times;serif"/>
                <w:b/>
                <w:sz w:val="16"/>
              </w:rPr>
              <w:t>Fair Value Measurements at December 31, 2025</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00" w:name="Tc_raFktRbk1UmH32FKxQDKEA_8_15"/>
      <w:bookmarkStart w:id="1001" w:name="Tc_q3-0KVb070CZsxPPdyM8LA_8_10"/>
      <w:bookmarkStart w:id="1002" w:name="Tc_Uwmoz7eO8U2D1grgkwjVag_8_7"/>
      <w:bookmarkStart w:id="1003" w:name="Tc_uNw_dKW_TkOyL5wF8JDWIQ_8_2"/>
      <w:bookmarkStart w:id="1004" w:name="Tc_r0a1S-CgyU6en190IRU9Bw_8_0"/>
      <w:bookmarkStart w:id="1005" w:name="Tc_MT64y_5X20Kz84toi-MGwQ_7_11"/>
      <w:bookmarkStart w:id="1006" w:name="Tc_tya5IjEKY0Se-jFbL4lrSQ_7_3"/>
      <w:bookmarkStart w:id="1007" w:name="Tc_Pwmn_vnRxEiJNyCyTSZOEg_7_0"/>
      <w:bookmarkStart w:id="1008" w:name="Tc_Ar8IWc2mjEGwFLDCYNC_kA_6_15"/>
      <w:bookmarkStart w:id="1009" w:name="Tc_F1viID3c3kSWaf8vxAwXKg_6_10"/>
      <w:bookmarkStart w:id="1010" w:name="Tc_zHXoLF4ezki6T0ucrjGYLQ_6_7"/>
      <w:bookmarkStart w:id="1011" w:name="Tc_lWFFbRDUe0WvFOJTA9QoxA_6_2"/>
      <w:bookmarkStart w:id="1012" w:name="Tc_8RY_F10dD0Kut-k1qlkcng_6_0"/>
      <w:bookmarkStart w:id="1013" w:name="Tc_it6k1Oa0jEqH53zxKh_zMA_5_15"/>
      <w:bookmarkStart w:id="1014" w:name="Tc_C_T_eimKHEOUuIGcmpGvJw_5_13"/>
      <w:bookmarkStart w:id="1015" w:name="Tc_C3vOr5Rl90OthxdUpVJHjg_5_10"/>
      <w:bookmarkStart w:id="1016" w:name="Tc_NaY02Gpgjku8DJY7qkVbxw_5_7"/>
      <w:bookmarkStart w:id="1017" w:name="Tc_dtDfIy30Tk6iYLXK2rnkqw_5_5"/>
      <w:bookmarkStart w:id="1018" w:name="Tc_KEClEx29WESInd90-CYWVQ_5_2"/>
      <w:bookmarkStart w:id="1019" w:name="Tc_qh5P1yfwGEKjDrn19y0Xrw_5_0"/>
      <w:bookmarkStart w:id="1020" w:name="Tc_tF_ah6EGTUurDe3ggvMgsg_4_15"/>
      <w:bookmarkStart w:id="1021" w:name="Tc_1FJfllrdGkC1J5g6PdNi8w_4_13"/>
      <w:bookmarkStart w:id="1022" w:name="Tc_X_AGtu-EBUWTj3XUt5kueQ_4_10"/>
      <w:bookmarkStart w:id="1023" w:name="Tc_nGYUPCOjTEeEmgxBStQHow_4_7"/>
      <w:bookmarkStart w:id="1024" w:name="Tc_4hGh6VZ7Qk21hcS66UZkqA_4_5"/>
      <w:bookmarkStart w:id="1025" w:name="Tc_thzwEmuwA0eS_NUcG3evjg_4_2"/>
      <w:bookmarkStart w:id="1026" w:name="Tc_ZPa3ocQFsEiuOP3d-IEXSw_3_15"/>
      <w:bookmarkStart w:id="1027" w:name="Tc_mVGkKpO1AUqsaQ9p_JdZlQ_3_13"/>
      <w:bookmarkStart w:id="1028" w:name="Tc_hcwsgYoew0KRcoCpwGaYXg_3_7"/>
      <w:bookmarkStart w:id="1029" w:name="Tc__5f4VLJX_UOWEWqNmWbuwA_3_5"/>
      <w:bookmarkStart w:id="1030" w:name="Tc_KPlt-Ep930C0bYdtWzh1fQ_2_15"/>
      <w:bookmarkStart w:id="1031" w:name="Tc_ttOk75FeAUefA8DYtpOkvQ_2_13"/>
      <w:bookmarkStart w:id="1032" w:name="Tc_jcy1foHrUUGaV3Yh8HX4mA_2_7"/>
      <w:bookmarkStart w:id="1033" w:name="Tc_tmK5PfLd6UOeORDXwhIkEQ_2_5"/>
      <w:bookmarkStart w:id="1034" w:name="Tc_Q7RGTlMGF0m9EFMEa5LmuA_1_10"/>
      <w:bookmarkStart w:id="1035" w:name="Tc_lqDUE9b8iUy5anQKgjiHAg_1_2"/>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Pr>
          <w:rFonts w:ascii="Times New Roman;Times;serif" w:hAnsi="Times New Roman;Times;serif"/>
          <w:b/>
          <w:sz w:val="20"/>
        </w:rPr>
        <w:t>13.</w:t>
      </w:r>
      <w:r>
        <w:rPr>
          <w:rFonts w:ascii="Times New Roman;Times;serif" w:hAnsi="Times New Roman;Times;serif"/>
          <w:sz w:val="20"/>
        </w:rPr>
        <w:t>          </w:t>
      </w:r>
      <w:r>
        <w:rPr>
          <w:rFonts w:ascii="Times New Roman;Times;serif" w:hAnsi="Times New Roman;Times;serif"/>
          <w:b/>
          <w:sz w:val="20"/>
        </w:rPr>
        <w:t>EARNINGS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 is determined by dividing net income by the weighted average common shares outstanding during the period. The calculation of diluted earnings per share includes the dilutive effect of non-vested restricted stock units. The computation of weighted average common shares outstanding excluded a nominal amount of anti-dilutive restricted stock units for each period ended March 31, 2026 and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computations for basic and diluted earnings per share for the three months ended March 31, 2026 and 2025 are as follows:</w:t>
      </w:r>
    </w:p>
    <w:p>
      <w:pPr>
        <w:pStyle w:val="TextBody"/>
        <w:bidi w:val="0"/>
        <w:spacing w:before="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2131"/>
        <w:gridCol w:w="346"/>
        <w:gridCol w:w="196"/>
        <w:gridCol w:w="421"/>
        <w:gridCol w:w="346"/>
        <w:gridCol w:w="601"/>
        <w:gridCol w:w="346"/>
        <w:gridCol w:w="196"/>
        <w:gridCol w:w="541"/>
        <w:gridCol w:w="346"/>
        <w:gridCol w:w="196"/>
        <w:gridCol w:w="421"/>
        <w:gridCol w:w="346"/>
        <w:gridCol w:w="601"/>
        <w:gridCol w:w="346"/>
        <w:gridCol w:w="196"/>
        <w:gridCol w:w="58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53185" cy="175260"/>
                      <wp:effectExtent l="0" t="0" r="0" b="0"/>
                      <wp:wrapNone/>
                      <wp:docPr id="230" name="Frame23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4460" cy="175260"/>
                      <wp:effectExtent l="0" t="0" r="0" b="0"/>
                      <wp:wrapNone/>
                      <wp:docPr id="232" name="Frame2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67335" cy="175260"/>
                      <wp:effectExtent l="0" t="0" r="0" b="0"/>
                      <wp:wrapNone/>
                      <wp:docPr id="233" name="Frame23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81635" cy="175260"/>
                      <wp:effectExtent l="0" t="0" r="0" b="0"/>
                      <wp:wrapNone/>
                      <wp:docPr id="235" name="Frame23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24460" cy="175260"/>
                      <wp:effectExtent l="0" t="0" r="0" b="0"/>
                      <wp:wrapNone/>
                      <wp:docPr id="237" name="Frame2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43535" cy="175260"/>
                      <wp:effectExtent l="0" t="0" r="0" b="0"/>
                      <wp:wrapNone/>
                      <wp:docPr id="238" name="Frame23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24460" cy="175260"/>
                      <wp:effectExtent l="0" t="0" r="0" b="0"/>
                      <wp:wrapNone/>
                      <wp:docPr id="240" name="Frame2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67335" cy="175260"/>
                      <wp:effectExtent l="0" t="0" r="0" b="0"/>
                      <wp:wrapNone/>
                      <wp:docPr id="241" name="Frame24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81635" cy="175260"/>
                      <wp:effectExtent l="0" t="0" r="0" b="0"/>
                      <wp:wrapNone/>
                      <wp:docPr id="243" name="Frame24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24460" cy="175260"/>
                      <wp:effectExtent l="0" t="0" r="0" b="0"/>
                      <wp:wrapNone/>
                      <wp:docPr id="245" name="Frame2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72110" cy="175260"/>
                      <wp:effectExtent l="0" t="0" r="0" b="0"/>
                      <wp:wrapNone/>
                      <wp:docPr id="246" name="Frame24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Three Months Ended March 31, 2026</w:t>
            </w:r>
          </w:p>
        </w:tc>
        <w:tc>
          <w:tcPr>
            <w:tcW w:w="346" w:type="dxa"/>
            <w:tcBorders/>
            <w:vAlign w:val="center"/>
          </w:tcPr>
          <w:p>
            <w:pPr>
              <w:pStyle w:val="TableContents"/>
              <w:bidi w:val="0"/>
              <w:spacing w:before="0" w:after="0"/>
              <w:ind w:left="0" w:right="0" w:hanging="0"/>
              <w:jc w:val="left"/>
              <w:rPr/>
            </w:pPr>
            <w:r>
              <w:rPr/>
              <w:t>​</w:t>
            </w:r>
          </w:p>
        </w:tc>
        <w:tc>
          <w:tcPr>
            <w:tcW w:w="269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Three Months Ended March 31, 2025</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Weighted</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Per</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Weighted</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Per</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w:t>
            </w:r>
          </w:p>
        </w:tc>
        <w:tc>
          <w:tcPr>
            <w:tcW w:w="34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Net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w:t>
            </w:r>
          </w:p>
        </w:tc>
        <w:tc>
          <w:tcPr>
            <w:tcW w:w="34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w:t>
            </w:r>
          </w:p>
        </w:tc>
        <w:tc>
          <w:tcPr>
            <w:tcW w:w="346" w:type="dxa"/>
            <w:tcBorders/>
            <w:vAlign w:val="center"/>
          </w:tcPr>
          <w:p>
            <w:pPr>
              <w:pStyle w:val="TableContents"/>
              <w:bidi w:val="0"/>
              <w:spacing w:before="0" w:after="0"/>
              <w:ind w:left="0" w:right="0" w:hanging="0"/>
              <w:jc w:val="left"/>
              <w:rPr/>
            </w:pPr>
            <w:r>
              <w:rPr/>
              <w:t>​</w:t>
            </w:r>
          </w:p>
        </w:tc>
        <w:tc>
          <w:tcPr>
            <w:tcW w:w="61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Net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w:t>
            </w:r>
          </w:p>
        </w:tc>
      </w:tr>
      <w:tr>
        <w:trPr/>
        <w:tc>
          <w:tcPr>
            <w:tcW w:w="2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 millions, except per share amounts)</w:t>
            </w:r>
          </w:p>
        </w:tc>
        <w:tc>
          <w:tcPr>
            <w:tcW w:w="346" w:type="dxa"/>
            <w:tcBorders/>
            <w:vAlign w:val="center"/>
          </w:tcPr>
          <w:p>
            <w:pPr>
              <w:pStyle w:val="TableContents"/>
              <w:bidi w:val="0"/>
              <w:spacing w:before="0" w:after="0"/>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72.3</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Dilutive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72.3</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36" w:name="_Hlk164155045"/>
      <w:bookmarkEnd w:id="1036"/>
      <w:r>
        <w:rPr>
          <w:rFonts w:ascii="Times New Roman;Times;serif" w:hAnsi="Times New Roman;Times;serif"/>
          <w:b/>
          <w:sz w:val="20"/>
        </w:rPr>
        <w:t>14.</w:t>
      </w:r>
      <w:r>
        <w:rPr>
          <w:rFonts w:ascii="Times New Roman;Times;serif" w:hAnsi="Times New Roman;Times;serif"/>
          <w:sz w:val="20"/>
        </w:rPr>
        <w:t>          </w:t>
      </w:r>
      <w:r>
        <w:rPr>
          <w:rFonts w:ascii="Times New Roman;Times;serif" w:hAnsi="Times New Roman;Times;serif"/>
          <w:b/>
          <w:sz w:val="20"/>
        </w:rPr>
        <w:t>SHARE-BASED AWARDS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share-based awards are described in Note 15 to the Consolidated Financial Statements included in Part II, Item 8 of the Company’s Annual Report on Form 10-K for the year ended December 31, 2025. During the three months ended March 31, 2026, the Company granted time-based restricted stock units and performance-based shares to certain of its employees totaling approximately 260,900 shares, with a combined weighted average grant date fair value of $116.28 per share.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 expense, net of forfeitures recognized in the Condensed Consolidated Statements of Income and Comprehensive Income as a component of general and administrative expenses was $5.5 million and $5.8 million for the three months ended March 31, 2026 and 2025, respectively. Total unrecognized compensation cost related to non-vested stock units and performance based equity awards was $36.5 million at March 31, 2026, and is expected to be recognized over a weighted average period of approximately 2.1 years.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37" w:name="Tc_juCQJORmBkuWIc2Lsq9pKA_10_11"/>
      <w:bookmarkStart w:id="1038" w:name="Tc_aku4PnXWMUuP4OGXrdrN6Q_10_8"/>
      <w:bookmarkStart w:id="1039" w:name="Tc_A_NXJ-H7-0O-1jIU6hqs0A_10_5"/>
      <w:bookmarkStart w:id="1040" w:name="Tc_vV_PCOCR8ES_yNFDEEuujw_10_2"/>
      <w:bookmarkStart w:id="1041" w:name="Tc_w4xT4n-ioEi3X1nha7IndA_10_0"/>
      <w:bookmarkStart w:id="1042" w:name="Tc_XQDEU_6lSUypDjdnEIF7bQ_9_6"/>
      <w:bookmarkStart w:id="1043" w:name="Tc_cn2Pq4fMaUaF7jwEdEaRnw_9_3"/>
      <w:bookmarkStart w:id="1044" w:name="Tc_EuBXoFt_v0SdBn-f_I3fCA_9_0"/>
      <w:bookmarkStart w:id="1045" w:name="Tc_4FQERaQc60CHYlEwJljxGA_8_6"/>
      <w:bookmarkStart w:id="1046" w:name="Tc_oTIdBmOEMkSnyybKPXAO8w_8_3"/>
      <w:bookmarkStart w:id="1047" w:name="Tc_RqXXZsAQJ0epdoXdKakd6g_8_0"/>
      <w:bookmarkStart w:id="1048" w:name="Tc_J70Bn53fbEi8_wBy3AGOsg_7_12"/>
      <w:bookmarkStart w:id="1049" w:name="Tc_v36n_rlwWUCV0pW4p4wGcA_7_9"/>
      <w:bookmarkStart w:id="1050" w:name="Tc_nC9IdeIAVUOniqXvFfiLfw_7_0"/>
      <w:bookmarkStart w:id="1051" w:name="Tc_GnNGz_5BoEuJlwzq8jVW1g_6_0"/>
      <w:bookmarkStart w:id="1052" w:name="Tc_2oO_FM3Gpk2H17o7AsIQkA_5_12"/>
      <w:bookmarkStart w:id="1053" w:name="Tc_TEPdURinEkyT9Zj4R7rxQA_5_11"/>
      <w:bookmarkStart w:id="1054" w:name="Tc_NVVHdtzYEUGfFXYgOY0emw_5_8"/>
      <w:bookmarkStart w:id="1055" w:name="Tc_6lHeaWHK5U-F3Y6Ahnw7RQ_5_5"/>
      <w:bookmarkStart w:id="1056" w:name="Tc_jx1qPGAnP0-WhCvBu0fhKA_5_2"/>
      <w:bookmarkStart w:id="1057" w:name="Tc_05Vx5EuK8U2_DDI4l3hRmg_5_0"/>
      <w:bookmarkStart w:id="1058" w:name="Tc_35GjCYm97EmT7GkiEra8Jw_4_0"/>
      <w:bookmarkStart w:id="1059" w:name="Tc_IspspL1x80-hwGgD6THbtw_3_11"/>
      <w:bookmarkStart w:id="1060" w:name="Tc_KOiY5QFdzkmUtPIRkEotVg_3_8"/>
      <w:bookmarkStart w:id="1061" w:name="Tc_UzUBWz63zEiPtEAxy7jkxQ_3_5"/>
      <w:bookmarkStart w:id="1062" w:name="Tc_jyOTPICBJUeDh85HLvxGLA_3_2"/>
      <w:bookmarkStart w:id="1063" w:name="Tc_NJAtHZtvDUipkoAV3VAm7w_3_0"/>
      <w:bookmarkStart w:id="1064" w:name="Tc_dcgCQhnUpEen93I8Y8AmVw_2_8"/>
      <w:bookmarkStart w:id="1065" w:name="Tc_N932rNaL7k20Q9pECT3yaQ_2_2"/>
      <w:bookmarkStart w:id="1066" w:name="Tc_RmG2-RC6s0KkKBwbANLurg_1_8"/>
      <w:bookmarkStart w:id="1067" w:name="Tc_VleGww9xEUew4AThsWS4uQ_1_2"/>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r>
        <w:rPr>
          <w:rFonts w:ascii="Times New Roman;Times;serif" w:hAnsi="Times New Roman;Times;serif"/>
          <w:b/>
          <w:sz w:val="20"/>
        </w:rPr>
        <w:t>15.</w:t>
      </w:r>
      <w:r>
        <w:rPr>
          <w:rFonts w:ascii="Times New Roman;Times;serif" w:hAnsi="Times New Roman;Times;serif"/>
          <w:sz w:val="20"/>
        </w:rPr>
        <w:t>          </w:t>
      </w:r>
      <w:r>
        <w:rPr>
          <w:rFonts w:ascii="Times New Roman;Times;serif" w:hAnsi="Times New Roman;Times;serif"/>
          <w:b/>
          <w:sz w:val="20"/>
        </w:rPr>
        <w:t>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pension and post-retirement plans are described in Note 11 to the Consolidated Financial Statements included in Part II, Item 8 of the Company’s Annual Report on Form 10-K for the year ended December 31, 2025. Components of net periodic benefit cost and other amounts recognized in Other Comprehensive Income (Loss) for the qualified pension plans and the post-retirement benefit plans for the three months ended March 31, 2026 and 2025 consisted of the following:</w:t>
      </w:r>
    </w:p>
    <w:p>
      <w:pPr>
        <w:pStyle w:val="TextBody"/>
        <w:bidi w:val="0"/>
        <w:spacing w:before="0" w:after="0"/>
        <w:ind w:left="0" w:right="0" w:hanging="0"/>
        <w:jc w:val="left"/>
        <w:rPr/>
      </w:pPr>
      <w:r>
        <w:rPr/>
        <w:t>​</w:t>
      </w:r>
    </w:p>
    <w:tbl>
      <w:tblPr>
        <w:tblW w:w="9797" w:type="dxa"/>
        <w:jc w:val="left"/>
        <w:tblInd w:w="0" w:type="dxa"/>
        <w:tblLayout w:type="fixed"/>
        <w:tblCellMar>
          <w:top w:w="0" w:type="dxa"/>
          <w:left w:w="0" w:type="dxa"/>
          <w:bottom w:w="0" w:type="dxa"/>
          <w:right w:w="0" w:type="dxa"/>
        </w:tblCellMar>
      </w:tblPr>
      <w:tblGrid>
        <w:gridCol w:w="4171"/>
        <w:gridCol w:w="346"/>
        <w:gridCol w:w="298"/>
        <w:gridCol w:w="680"/>
        <w:gridCol w:w="489"/>
        <w:gridCol w:w="298"/>
        <w:gridCol w:w="680"/>
        <w:gridCol w:w="346"/>
        <w:gridCol w:w="317"/>
        <w:gridCol w:w="632"/>
        <w:gridCol w:w="520"/>
        <w:gridCol w:w="317"/>
        <w:gridCol w:w="703"/>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648585" cy="175260"/>
                      <wp:effectExtent l="0" t="0" r="0" b="0"/>
                      <wp:wrapNone/>
                      <wp:docPr id="247" name="Frame247"/>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89230" cy="175260"/>
                      <wp:effectExtent l="0" t="0" r="0" b="0"/>
                      <wp:wrapNone/>
                      <wp:docPr id="249" name="Frame249"/>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31800" cy="175260"/>
                      <wp:effectExtent l="0" t="0" r="0" b="0"/>
                      <wp:wrapNone/>
                      <wp:docPr id="250" name="Frame250"/>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10515" cy="175260"/>
                      <wp:effectExtent l="0" t="0" r="0" b="0"/>
                      <wp:wrapNone/>
                      <wp:docPr id="251" name="Frame251"/>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89230" cy="175260"/>
                      <wp:effectExtent l="0" t="0" r="0" b="0"/>
                      <wp:wrapNone/>
                      <wp:docPr id="252" name="Frame252"/>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31800" cy="175260"/>
                      <wp:effectExtent l="0" t="0" r="0" b="0"/>
                      <wp:wrapNone/>
                      <wp:docPr id="253" name="Frame253"/>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1295" cy="175260"/>
                      <wp:effectExtent l="0" t="0" r="0" b="0"/>
                      <wp:wrapNone/>
                      <wp:docPr id="255" name="Frame25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01320" cy="175260"/>
                      <wp:effectExtent l="0" t="0" r="0" b="0"/>
                      <wp:wrapNone/>
                      <wp:docPr id="256" name="Frame256"/>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30200" cy="175260"/>
                      <wp:effectExtent l="0" t="0" r="0" b="0"/>
                      <wp:wrapNone/>
                      <wp:docPr id="257" name="Frame257"/>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1295" cy="175260"/>
                      <wp:effectExtent l="0" t="0" r="0" b="0"/>
                      <wp:wrapNone/>
                      <wp:docPr id="258" name="Frame258"/>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46405" cy="175260"/>
                      <wp:effectExtent l="0" t="0" r="0" b="0"/>
                      <wp:wrapNone/>
                      <wp:docPr id="259" name="Frame259"/>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46" w:type="dxa"/>
            <w:tcBorders/>
            <w:vAlign w:val="center"/>
          </w:tcPr>
          <w:p>
            <w:pPr>
              <w:pStyle w:val="TableContents"/>
              <w:bidi w:val="0"/>
              <w:spacing w:before="0" w:after="0"/>
              <w:ind w:left="0" w:right="0" w:hanging="0"/>
              <w:jc w:val="left"/>
              <w:rPr/>
            </w:pPr>
            <w:r>
              <w:rPr/>
              <w:t>​</w:t>
            </w:r>
          </w:p>
        </w:tc>
        <w:tc>
          <w:tcPr>
            <w:tcW w:w="248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0"/>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9" w:type="dxa"/>
            <w:tcBorders/>
            <w:vAlign w:val="center"/>
          </w:tcPr>
          <w:p>
            <w:pPr>
              <w:pStyle w:val="TableContents"/>
              <w:bidi w:val="0"/>
              <w:spacing w:before="0" w:after="0"/>
              <w:ind w:left="0" w:right="0" w:hanging="0"/>
              <w:jc w:val="left"/>
              <w:rPr/>
            </w:pPr>
            <w:r>
              <w:rPr/>
              <w:t>  ​ ​ ​</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0" w:type="dxa"/>
            <w:tcBorders/>
            <w:vAlign w:val="center"/>
          </w:tcPr>
          <w:p>
            <w:pPr>
              <w:pStyle w:val="TableContents"/>
              <w:bidi w:val="0"/>
              <w:spacing w:before="0" w:after="0"/>
              <w:ind w:left="0" w:right="0" w:hanging="0"/>
              <w:jc w:val="left"/>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(credit):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center"/>
              <w:rPr/>
            </w:pPr>
            <w:r>
              <w:rPr/>
              <w:t>​</w:t>
            </w:r>
          </w:p>
        </w:tc>
        <w:tc>
          <w:tcPr>
            <w:tcW w:w="680" w:type="dxa"/>
            <w:tcBorders/>
            <w:shd w:fill="CCEEFF" w:val="clear"/>
            <w:vAlign w:val="center"/>
          </w:tcPr>
          <w:p>
            <w:pPr>
              <w:pStyle w:val="TableContents"/>
              <w:bidi w:val="0"/>
              <w:spacing w:before="0" w:after="0"/>
              <w:ind w:left="0" w:right="0" w:hanging="0"/>
              <w:jc w:val="center"/>
              <w:rPr/>
            </w:pPr>
            <w:r>
              <w:rPr/>
              <w:t>​</w:t>
            </w:r>
          </w:p>
        </w:tc>
        <w:tc>
          <w:tcPr>
            <w:tcW w:w="48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center"/>
              <w:rPr/>
            </w:pPr>
            <w:r>
              <w:rPr/>
              <w:t>​</w:t>
            </w:r>
          </w:p>
        </w:tc>
        <w:tc>
          <w:tcPr>
            <w:tcW w:w="68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center"/>
              <w:rPr/>
            </w:pPr>
            <w:r>
              <w:rPr/>
              <w:t>​</w:t>
            </w:r>
          </w:p>
        </w:tc>
        <w:tc>
          <w:tcPr>
            <w:tcW w:w="632"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center"/>
              <w:rPr/>
            </w:pPr>
            <w:r>
              <w:rPr/>
              <w:t>​</w:t>
            </w:r>
          </w:p>
        </w:tc>
        <w:tc>
          <w:tcPr>
            <w:tcW w:w="703" w:type="dxa"/>
            <w:tcBorders/>
            <w:shd w:fill="CCEEFF" w:val="clear"/>
            <w:vAlign w:val="center"/>
          </w:tcPr>
          <w:p>
            <w:pPr>
              <w:pStyle w:val="TableContents"/>
              <w:bidi w:val="0"/>
              <w:spacing w:before="0" w:after="0"/>
              <w:ind w:left="0" w:right="0" w:hanging="0"/>
              <w:jc w:val="center"/>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8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520"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8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 </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520"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48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pPr>
            <w:r>
              <w:rPr/>
              <w:t>—</w:t>
            </w:r>
          </w:p>
        </w:tc>
        <w:tc>
          <w:tcPr>
            <w:tcW w:w="48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 </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520"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89"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520"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 (credit)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89"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520"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16.</w:t>
      </w:r>
      <w:r>
        <w:rPr>
          <w:rFonts w:ascii="Times New Roman;Times;serif" w:hAnsi="Times New Roman;Times;serif"/>
          <w:sz w:val="20"/>
        </w:rPr>
        <w:t>          </w:t>
      </w:r>
      <w:r>
        <w:rPr>
          <w:rFonts w:ascii="Times New Roman;Times;serif" w:hAnsi="Times New Roman;Times;serif"/>
          <w:b/>
          <w:sz w:val="20"/>
        </w:rPr>
        <w:t>COMMITMENTS AND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commitments and contingencies are described in Note 17 to the Consolidated Financial Statements included in Part II, Item 8 of the Company’s Annual Report on Form 10-K for the year ended December 31, 2025. Contingencies and other litigation related matters are described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Environmental Matters:</w:t>
      </w:r>
      <w:r>
        <w:rPr>
          <w:rFonts w:ascii="Times New Roman;Times;serif" w:hAnsi="Times New Roman;Times;serif"/>
          <w:sz w:val="20"/>
        </w:rPr>
        <w:t xml:space="preserve"> The Company faces certain risks that could result in material expenditures related to environmental remediation. The Company believes that based on all information currently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68" w:name="ITEM_2_MDA"/>
      <w:bookmarkStart w:id="1069" w:name="_daa2ac42_3f49_4fb3_baec_bc39f849fdbd"/>
      <w:bookmarkEnd w:id="1068"/>
      <w:bookmarkEnd w:id="1069"/>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the Condensed Consolidated Financial Statements and related notes, and other financial information appearing elsewhere in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 Company, from time to time, may make or may have made certain forward-looking statements, whether orally or in writing, such as, among others, forecasts or projections of the Company’s future performance or statements of management’s plans and objectives. These statements are considered “forward-looking” statements as that term is defined in the Private Securities Litigation Reform Act of 1995. Such forward-looking statements may be contained in, among other things, Securities and Exchange Commission (“SEC”) filings such as Forms 10-K, 10-Q and 8-K, the Company’s Annual Report to Shareholders, the Company’s Sustainability Report, press releases made by the Company, the Company’s Internet websites (including websites of its subsidiaries), and oral statements made by officers of the Company. Except for historical information contained in these written or oral communications, all other statements are forward-looking statements. These include, for example, all references to 2026 or future years, including such references included under “First Quarter 2026 Discussion and Outlook for 2026,” as well as statements generally identified through the inclusion of words such as “anticipate,” “believe,” “can,” “commit,” “estimate,” “expect,” “focus,” “goal,” “hope,” “intend,” “may,” “plan,” “seek,” “should,” “target,” and “will,” or similar statements or variations of such terms and other similar expressions. New risks or uncertainties may emerge from time to time, risks that the Company currently does not consider to be material could become material, and it is not possible for the Company to predict all such risks, nor can it assess the impact of all such risks on the Company’s business or the extent to which any factor, or combination of factors, may cause actual results or outcomes, or the timing of results or outcomes, to differ materially from those contained in any forward-looking statements. Accordingly, forward-looking statements cannot be relied upon as a guarantee of future results or outcomes and involve a number of risks and uncertainties that could cause actual results or outcomes to differ materially from those projected in the statements, including but not limited to the factors that are described in Part II, Item 1A under the caption “Risk Factors” of the Company’s </w:t>
      </w:r>
      <w:hyperlink r:id="rId2">
        <w:r>
          <w:rPr>
            <w:rStyle w:val="InternetLink"/>
            <w:rFonts w:ascii="Times New Roman;Times;serif" w:hAnsi="Times New Roman;Times;serif"/>
            <w:b w:val="false"/>
            <w:i w:val="false"/>
            <w:caps w:val="false"/>
            <w:smallCaps w:val="false"/>
            <w:sz w:val="20"/>
          </w:rPr>
          <w:t>Form 10-K for the year ended December 31, 2025</w:t>
        </w:r>
      </w:hyperlink>
      <w:r>
        <w:rPr>
          <w:rFonts w:ascii="Times New Roman;Times;serif" w:hAnsi="Times New Roman;Times;serif"/>
          <w:sz w:val="20"/>
        </w:rPr>
        <w:t>. Except as required by law, the Company undertakes no obligation to revise or update publicly forward-looking statements or any factors that may affect actual results, whether as a result of new information, future events, circumstances occurring after the date of this report, or otherwise.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affected the Company’s Condensed Consolidated Financial Statements. The MD&amp;A is provided as a supplement to the Condensed Consolidated Financial Statements and notes herein, and should be read in conjunction with the Company’s </w:t>
      </w:r>
      <w:hyperlink r:id="rId3">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 the Company’s reports on Forms 10-Q and 8-K, and other publicly available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FIRST</w:t>
      </w:r>
      <w:r>
        <w:rPr>
          <w:rFonts w:ascii="Times New Roman;Times;serif" w:hAnsi="Times New Roman;Times;serif"/>
          <w:sz w:val="20"/>
        </w:rPr>
        <w:t xml:space="preserve"> </w:t>
      </w:r>
      <w:r>
        <w:rPr>
          <w:rFonts w:ascii="Times New Roman;Times;serif" w:hAnsi="Times New Roman;Times;serif"/>
          <w:b/>
          <w:sz w:val="20"/>
        </w:rPr>
        <w:t>QUARTER 2026 DISCUSSION AND OUTLOOK FOR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Ocean Transportation:</w:t>
      </w:r>
      <w:r>
        <w:rPr>
          <w:rFonts w:ascii="Times New Roman;Times;serif" w:hAnsi="Times New Roman;Times;serif"/>
          <w:sz w:val="20"/>
        </w:rPr>
        <w:t xml:space="preserve"> The Company’s container volume in the Hawaii service in the first quarter 2026 was 5.6 percent lower year-over-year primarily due to lower general demand and the dry-docking of a competitor’s vessel in the year ago period. Hawaii’s economy is expected to experience modest growth supported by construction activity, while tourism remains soft and inflationary pressures persist. The Company expects volume in full year 2026 to be comparable to the level achieved in 2025, reflecting similar economic conditions and stable market share.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the China service, the Company’s container volume in the first quarter 2026 decreased 9.5 percent year-over-year primarily due to lower general demand from a more traditional Lunar New Year freight cycle. The Company saw higher than expected freight demand post-Lunar New Year and the uptick in freight demand has continued to build in the second quarter as demand strengthens and volume returns to a more traditional seasonal pattern. The Company also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expects this demand strength to continue through peak season. In the second quarter 2026, the Company expects higher volume compared to the prior year period, which included a market decline in Transpacific demand due to the tariffs imposed in April 2025. The Company expects volume in full year 2026 to be moderately higher than the level achieved in 2025 based on our expectations of continued solid U.S. consumer demand and a stable trading environment in the Transpacific tradelane.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Guam service, the Company’s container volume in the first quarter 2026 was flat year-over-year. In the near term, the Company expects Guam’s economy to remain stable. For full year 2026, the Company expects volume to be comparable to the level achieved last year.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Alaska service, the Company’s container volume in the first quarter 2026 decreased 2.0 percent year-over-year. The decrease was primarily due to lower general demand, partially offset by an additional northbound sailing and an additional AAX sailing compared to the year ago period. In the near term, the Company expects continued economic growth in Alaska supported by a low unemployment rate, jobs growth and continued oil and gas exploration and production activity. For full year 2026, the Company expects volume to be comparable to the level achieved last year.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contribution from the Company’s SSAT joint venture investment was $5.0 million in the first quarter 2026, or $1.6 million lower than first quarter 2025. The decrease was primarily due to lower lift volume. For full year 2026, the Company expects the contribution from SSAT to be lower than the $32.5 million achieved in full year 2025.</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the outlook trends noted above, the Company expects Ocean Transportation operating income in the second quarter 2026 to be approximately $20 million higher than the $98.6 million achieved in the second quarter 2025. For full year 2026, the Company expects Ocean Transportation operating income to modestly exceed the level achieved in full year 2025.</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Logistics:</w:t>
      </w:r>
      <w:r>
        <w:rPr>
          <w:rFonts w:ascii="Times New Roman;Times;serif" w:hAnsi="Times New Roman;Times;serif"/>
          <w:sz w:val="20"/>
        </w:rPr>
        <w:t xml:space="preserve"> Operating income for the Company’s Logistics segment was $6.8 million in the first quarter 2026, or $1.7 million lower compared to the level achieved in the first quarter 2025. The decrease was primarily due to a lower contribution from supply chain management. For the second quarter 2026, the Company expects Logistics operating income to approach the $14.4 million achieved in the second quarter 2025. For full year 2026, the Company expects Logistics operating income to approach the $44.2 million achieved in full year 2025.</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Consolidated Operating Income:</w:t>
      </w:r>
      <w:r>
        <w:rPr>
          <w:rFonts w:ascii="Times New Roman;Times;serif" w:hAnsi="Times New Roman;Times;serif"/>
          <w:sz w:val="20"/>
        </w:rPr>
        <w:t xml:space="preserve"> To date, the Iran conflict has not impacted the Company’s operating performance or service levels; however, it has impacted fuel prices in all of the Company’s markets. While the Company has effective mechanisms to recover the cost of fuel by the end of the year, for the second quarter the Company expects a negative impact from the lag in the recovery of fuel costs. For the second quarter 2026, the Company expects consolidated operating income to be approximately $20 million higher than the $113.0 million achieved in the second quarter 2025. For full year 2026, the Company expects consolidated operating income to modestly exceed the level achieved in full year 2025 based on the Company’s expectations of China demand strength in the second quarter continuing through peak season, continued solid U.S. consumer demand and a stable trading environment in the Transpacific Tradelane. For 2026 compared to 2025, the Company continues to expect a more normal operating seasonality pattern with consolidated operating income in the second and third quarters being the strongest relative to the first and fourth quarters.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Depreciation and Amortization:</w:t>
      </w:r>
      <w:r>
        <w:rPr>
          <w:rFonts w:ascii="Times New Roman;Times;serif" w:hAnsi="Times New Roman;Times;serif"/>
          <w:sz w:val="20"/>
        </w:rPr>
        <w:t xml:space="preserve"> For full year 2026, the Company expects depreciation and amortization expense to be approximately $210 million, inclusive of dry-docking amortization of approximately $35 million.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 xml:space="preserve">The Company expects interest income for the full year 2026 to be approximately $16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 Net:</w:t>
      </w:r>
      <w:r>
        <w:rPr>
          <w:rFonts w:ascii="Times New Roman;Times;serif" w:hAnsi="Times New Roman;Times;serif"/>
          <w:sz w:val="20"/>
        </w:rPr>
        <w:t xml:space="preserve"> The Company expects interest expense for the full year 2026 to be approximately $6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70" w:name="_Hlk179577062"/>
      <w:bookmarkEnd w:id="1070"/>
      <w:r>
        <w:rPr>
          <w:rFonts w:ascii="Times New Roman;Times;serif" w:hAnsi="Times New Roman;Times;serif"/>
          <w:i/>
          <w:sz w:val="20"/>
        </w:rPr>
        <w:t xml:space="preserve">Other Income (Expense): </w:t>
      </w:r>
      <w:r>
        <w:rPr>
          <w:rFonts w:ascii="Times New Roman;Times;serif" w:hAnsi="Times New Roman;Times;serif"/>
          <w:sz w:val="20"/>
        </w:rPr>
        <w:t>The Company expects full year 2026 other income (expense) to be approximately $7 million in income, which is attributable to the amortization of certain components of net periodic benefit costs or gains related to the Company’s pension and post-retirement plans.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the first quarter 2026, the Company’s effective tax rate was 16.6 percent. For the full year 2026, the Company expects its effective tax rate to be approximately 21.0 percent.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71" w:name="_Hlk179577135"/>
      <w:bookmarkEnd w:id="1071"/>
      <w:r>
        <w:rPr>
          <w:rFonts w:ascii="Times New Roman;Times;serif" w:hAnsi="Times New Roman;Times;serif"/>
          <w:i/>
          <w:sz w:val="20"/>
        </w:rPr>
        <w:t>Capital and Vessel Dry-docking Expenditures:</w:t>
      </w:r>
      <w:r>
        <w:rPr>
          <w:rFonts w:ascii="Times New Roman;Times;serif" w:hAnsi="Times New Roman;Times;serif"/>
          <w:sz w:val="20"/>
        </w:rPr>
        <w:t xml:space="preserve"> For the first quarter 2026, the Company made capital expenditure payments excluding new vessel construction expenditures of $30.3 million, new vessel construction expenditures (including capitalized interest and owner’s items) of $18.0 million, and dry-docking payments of $11.9 million. For the full year 2026, the Company expects to make other capital expenditure payments, including maintenance capital expenditures, of approximately $150 to $170 million, new vessel construction expenditures (including capitalized interest and owner’s items) of approximately $400 million, and dry-docking payments of approximately $45 million.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Three months ended March 31, 2026 compared with 2025:</w:t>
      </w:r>
    </w:p>
    <w:p>
      <w:pPr>
        <w:pStyle w:val="TextBody"/>
        <w:bidi w:val="0"/>
        <w:spacing w:before="0" w:after="0"/>
        <w:ind w:left="0" w:right="0" w:hanging="0"/>
        <w:jc w:val="left"/>
        <w:rPr/>
      </w:pPr>
      <w:r>
        <w:rPr/>
        <w:t>​</w:t>
      </w:r>
    </w:p>
    <w:tbl>
      <w:tblPr>
        <w:tblW w:w="8368" w:type="dxa"/>
        <w:jc w:val="left"/>
        <w:tblInd w:w="0" w:type="dxa"/>
        <w:tblLayout w:type="fixed"/>
        <w:tblCellMar>
          <w:top w:w="0" w:type="dxa"/>
          <w:left w:w="0" w:type="dxa"/>
          <w:bottom w:w="0" w:type="dxa"/>
          <w:right w:w="0" w:type="dxa"/>
        </w:tblCellMar>
      </w:tblPr>
      <w:tblGrid>
        <w:gridCol w:w="3481"/>
        <w:gridCol w:w="346"/>
        <w:gridCol w:w="211"/>
        <w:gridCol w:w="691"/>
        <w:gridCol w:w="346"/>
        <w:gridCol w:w="211"/>
        <w:gridCol w:w="691"/>
        <w:gridCol w:w="346"/>
        <w:gridCol w:w="211"/>
        <w:gridCol w:w="586"/>
        <w:gridCol w:w="346"/>
        <w:gridCol w:w="58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210435" cy="175260"/>
                      <wp:effectExtent l="0" t="0" r="0" b="0"/>
                      <wp:wrapNone/>
                      <wp:docPr id="260" name="Frame260"/>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38785" cy="175260"/>
                      <wp:effectExtent l="0" t="0" r="0" b="0"/>
                      <wp:wrapNone/>
                      <wp:docPr id="263" name="Frame2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38785" cy="175260"/>
                      <wp:effectExtent l="0" t="0" r="0" b="0"/>
                      <wp:wrapNone/>
                      <wp:docPr id="266" name="Frame2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72110" cy="175260"/>
                      <wp:effectExtent l="0" t="0" r="0" b="0"/>
                      <wp:wrapNone/>
                      <wp:docPr id="269" name="Frame26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72110" cy="175260"/>
                      <wp:effectExtent l="0" t="0" r="0" b="0"/>
                      <wp:wrapNone/>
                      <wp:docPr id="271" name="Frame27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0660" cy="175260"/>
                      <wp:effectExtent l="0" t="0" r="0" b="0"/>
                      <wp:wrapNone/>
                      <wp:docPr id="272" name="Frame27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2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7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757.8</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782.0</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shd w:fill="CCEEFF" w:val="clear"/>
            <w:vAlign w:val="center"/>
          </w:tcPr>
          <w:p>
            <w:pPr>
              <w:pStyle w:val="TableContents"/>
              <w:bidi w:val="0"/>
              <w:spacing w:before="0" w:after="0"/>
              <w:ind w:left="0" w:right="0" w:hanging="0"/>
              <w:jc w:val="left"/>
              <w:rPr/>
            </w:pPr>
            <w:r>
              <w:rPr/>
              <w:t>  ​ ​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Consolidated Operating Revenues</w:t>
      </w:r>
      <w:r>
        <w:rPr>
          <w:rFonts w:ascii="Times New Roman;Times;serif" w:hAnsi="Times New Roman;Times;serif"/>
          <w:sz w:val="20"/>
        </w:rPr>
        <w:t xml:space="preserve"> for the three months ended March 31, 2026 decreased by $24.2 million, or 3.1 percent, compared to the three months ended March 31, 2025. The decrease was due to a decrease in Ocean Transportation revenue of $30.9 million, offset by an increase in Logistics revenue of $6.7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for the three months ended March 31, 2026 decreased by $3.5 million, or 0.5 percent, compared to the three months ended March 31, 2025. The decrease was due to a decrease in Ocean Transportation operating costs and expenses of $11.9 million, offset by an increase in Logistics operating costs and expenses of $8.4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xml:space="preserve"> for the three months ended March 31, 2026 decreased by $20.7 million, or 25.2 percent, compared to the three months ended March 31, 2025. The decrease was due to a decrease in Ocean Transportation operating income of $19.0 million, and a decrease in Logistics operating income of $1.7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operating costs and expenses, and operating income are further described below in the Analysis of Operating Revenue and Income by Segment.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 xml:space="preserve"> was $6.1 million for the three months ended March 31, 2026, compared to $9.4 million for the three months ended March 31, 2025. The decrease in interest income for the three months ended March 31, 2026, compared to the three months ended March 31, 2025, was due to lower amounts of cash and cash equivalent, and CCF funds that were invested in interest bearing accounts during the three months ended March 31, 2026.</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 net</w:t>
      </w:r>
      <w:r>
        <w:rPr>
          <w:rFonts w:ascii="Times New Roman;Times;serif" w:hAnsi="Times New Roman;Times;serif"/>
          <w:sz w:val="20"/>
        </w:rPr>
        <w:t xml:space="preserve"> was $1.6 million for the three months ended March 31, 2026, compared to $1.7 million for the three months ended March 31, 2025. Interest expense incurred during the quarter ended March 31, 2026 was lower due to a reduction in outstanding debt during the period, which was offset by a reduction in capitalized interest related to the construction of new vessels for the three months ended March 31, 2026, compared to the three months ended March 31, 2025.</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xml:space="preserve"> was $2.0 million for the three months ended March 31, 2026, compared to $2.4 million for the three months ended March 31, 2025. Other income (expense), net relates to the amortization of certain components of net periodic benefit costs or gains related to the Company’s pension and post-retirement plans. The decrease in other income (expense), net, was due to a decrease in the amortization of favorable adjustments related to the Company’s pension and post-retirement plan liabilities.</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were $11.3 million, or 16.6 percent of income before taxes, for the three months ended March 31, 2026, compared to $19.9 million, or 21.6 percent of income before taxes, for the three months ended March 31, 2025. The effective tax rate for the three months ended March 31, 2026 benefited from higher discrete tax adjustments that lowered the effective tax rate for that period, compared to the same prior year period.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Three months ended March 31, 2026 compared with 2025:</w:t>
      </w:r>
    </w:p>
    <w:p>
      <w:pPr>
        <w:pStyle w:val="TextBody"/>
        <w:bidi w:val="0"/>
        <w:spacing w:before="0" w:after="0"/>
        <w:ind w:left="0" w:right="0" w:hanging="0"/>
        <w:jc w:val="left"/>
        <w:rPr/>
      </w:pPr>
      <w:r>
        <w:rPr/>
        <w:t>​</w:t>
      </w:r>
    </w:p>
    <w:tbl>
      <w:tblPr>
        <w:tblW w:w="9571" w:type="dxa"/>
        <w:jc w:val="left"/>
        <w:tblInd w:w="0" w:type="dxa"/>
        <w:tblLayout w:type="fixed"/>
        <w:tblCellMar>
          <w:top w:w="0" w:type="dxa"/>
          <w:left w:w="0" w:type="dxa"/>
          <w:bottom w:w="0" w:type="dxa"/>
          <w:right w:w="0" w:type="dxa"/>
        </w:tblCellMar>
      </w:tblPr>
      <w:tblGrid>
        <w:gridCol w:w="4816"/>
        <w:gridCol w:w="346"/>
        <w:gridCol w:w="211"/>
        <w:gridCol w:w="691"/>
        <w:gridCol w:w="346"/>
        <w:gridCol w:w="211"/>
        <w:gridCol w:w="691"/>
        <w:gridCol w:w="346"/>
        <w:gridCol w:w="211"/>
        <w:gridCol w:w="691"/>
        <w:gridCol w:w="109"/>
        <w:gridCol w:w="586"/>
        <w:gridCol w:w="31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058160" cy="175260"/>
                      <wp:effectExtent l="0" t="0" r="0" b="0"/>
                      <wp:wrapNone/>
                      <wp:docPr id="273" name="Frame273"/>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38785" cy="175260"/>
                      <wp:effectExtent l="0" t="0" r="0" b="0"/>
                      <wp:wrapNone/>
                      <wp:docPr id="276" name="Frame2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38785" cy="175260"/>
                      <wp:effectExtent l="0" t="0" r="0" b="0"/>
                      <wp:wrapNone/>
                      <wp:docPr id="279" name="Frame2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38785" cy="175260"/>
                      <wp:effectExtent l="0" t="0" r="0" b="0"/>
                      <wp:wrapNone/>
                      <wp:docPr id="282" name="Frame28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72110" cy="175260"/>
                      <wp:effectExtent l="0" t="0" r="0" b="0"/>
                      <wp:wrapNone/>
                      <wp:docPr id="284" name="Frame28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0660" cy="175260"/>
                      <wp:effectExtent l="0" t="0" r="0" b="0"/>
                      <wp:wrapNone/>
                      <wp:docPr id="285" name="Frame28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vAlign w:val="center"/>
          </w:tcPr>
          <w:p>
            <w:pPr>
              <w:pStyle w:val="TableContents"/>
              <w:bidi w:val="0"/>
              <w:spacing w:before="0" w:after="0"/>
              <w:ind w:left="0" w:right="0" w:hanging="0"/>
              <w:jc w:val="left"/>
              <w:rPr/>
            </w:pPr>
            <w:r>
              <w:rPr/>
              <w:t> </w:t>
            </w:r>
          </w:p>
        </w:tc>
      </w:tr>
      <w:tr>
        <w:trPr/>
        <w:tc>
          <w:tcPr>
            <w:tcW w:w="4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59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by Service (Forty-foot equivalent units (FEU))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4277" w:type="dxa"/>
        <w:jc w:val="left"/>
        <w:tblInd w:w="0" w:type="dxa"/>
        <w:tblLayout w:type="fixed"/>
        <w:tblCellMar>
          <w:top w:w="0" w:type="dxa"/>
          <w:left w:w="0" w:type="dxa"/>
          <w:bottom w:w="0" w:type="dxa"/>
          <w:right w:w="0" w:type="dxa"/>
        </w:tblCellMar>
      </w:tblPr>
      <w:tblGrid>
        <w:gridCol w:w="331"/>
        <w:gridCol w:w="39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China and other Asia origins.</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decreased $30.9 million, or 4.8 percent, during the three months ended March 31, 2026, compared with the three months ended March 31, 2025. The decrease was primarily due to lower volume in the China service.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service container volume decreased 5.6 percent primarily due to lower general demand and the dry docking of a competitor’s vessel in the year ago period; Alaska service volume decreased 2.0 percent primarily due to lower general demand, partially offset by an additional northbound sailing and an additional AAX sailing compared to the year ago period; China service volume was 9.5 percent lower primarily due to lower general demand from a more traditional Lunar New Year freight cycle; Guam service volume was flat; and Other containers volume decreased 2.9 percent.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decreased $19.0 million, or 25.8 percent, during the three months ended March 31, 2026, compared with the three months ended March 31, 2025. The decrease was primarily due to a lower contribution from the China service.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$5.0 million during the three months ended March 31, 2026, compared to $6.6 million during the three months ended March 31, 2025. The decrease was primarily due to lower lift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 Three months ended March 31, 2026 compared with 2025:</w:t>
      </w:r>
    </w:p>
    <w:p>
      <w:pPr>
        <w:pStyle w:val="TextBody"/>
        <w:bidi w:val="0"/>
        <w:spacing w:before="0" w:after="0"/>
        <w:ind w:left="0" w:right="0" w:hanging="0"/>
        <w:jc w:val="left"/>
        <w:rPr/>
      </w:pPr>
      <w:r>
        <w:rPr/>
        <w:t>​</w:t>
      </w:r>
    </w:p>
    <w:tbl>
      <w:tblPr>
        <w:tblW w:w="7051" w:type="dxa"/>
        <w:jc w:val="left"/>
        <w:tblInd w:w="0" w:type="dxa"/>
        <w:tblLayout w:type="fixed"/>
        <w:tblCellMar>
          <w:top w:w="0" w:type="dxa"/>
          <w:left w:w="0" w:type="dxa"/>
          <w:bottom w:w="0" w:type="dxa"/>
          <w:right w:w="0" w:type="dxa"/>
        </w:tblCellMar>
      </w:tblPr>
      <w:tblGrid>
        <w:gridCol w:w="2506"/>
        <w:gridCol w:w="346"/>
        <w:gridCol w:w="211"/>
        <w:gridCol w:w="691"/>
        <w:gridCol w:w="346"/>
        <w:gridCol w:w="211"/>
        <w:gridCol w:w="691"/>
        <w:gridCol w:w="346"/>
        <w:gridCol w:w="211"/>
        <w:gridCol w:w="481"/>
        <w:gridCol w:w="109"/>
        <w:gridCol w:w="586"/>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591310" cy="175260"/>
                      <wp:effectExtent l="0" t="0" r="0" b="0"/>
                      <wp:wrapNone/>
                      <wp:docPr id="286" name="Frame28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38785" cy="175260"/>
                      <wp:effectExtent l="0" t="0" r="0" b="0"/>
                      <wp:wrapNone/>
                      <wp:docPr id="289" name="Frame2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38785" cy="175260"/>
                      <wp:effectExtent l="0" t="0" r="0" b="0"/>
                      <wp:wrapNone/>
                      <wp:docPr id="292" name="Frame2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05435" cy="175260"/>
                      <wp:effectExtent l="0" t="0" r="0" b="0"/>
                      <wp:wrapNone/>
                      <wp:docPr id="295" name="Frame29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72110" cy="175260"/>
                      <wp:effectExtent l="0" t="0" r="0" b="0"/>
                      <wp:wrapNone/>
                      <wp:docPr id="297" name="Frame29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0660" cy="175260"/>
                      <wp:effectExtent l="0" t="0" r="0" b="0"/>
                      <wp:wrapNone/>
                      <wp:docPr id="298" name="Frame29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8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6.2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increased $6.7 million, or 4.6 percent, during the three months ended March 31, 2026, compared with the three months ended March 31, 2025. The increase was primarily due to higher revenue in transportation brokerage.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$1.7 million, or 20.0 percent, during the three months ended March 31, 2026, compared with the three months ended March 31, 2025. The decrease was primarily due to a lower contribution from supply chain management.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primary sources of liquidity are its cash flows generated from operating activities and its debt. Sources of liquidity available to the Company as of March 31, 2026 compared to December 31, 2025 were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Cash and Cash Equivalents, Accounts Receivable and CCF:</w:t>
      </w:r>
      <w:r>
        <w:rPr>
          <w:rFonts w:ascii="Times New Roman;Times;serif" w:hAnsi="Times New Roman;Times;serif"/>
          <w:sz w:val="20"/>
        </w:rPr>
        <w:t xml:space="preserve"> Cash and cash equivalents, accounts receivable and CCF as of March 31, 2026 compared to December 31, 2025 were as follows:</w:t>
      </w:r>
    </w:p>
    <w:p>
      <w:pPr>
        <w:pStyle w:val="TextBody"/>
        <w:bidi w:val="0"/>
        <w:spacing w:before="0" w:after="0"/>
        <w:ind w:left="0" w:right="0" w:hanging="0"/>
        <w:jc w:val="left"/>
        <w:rPr/>
      </w:pPr>
      <w:r>
        <w:rPr/>
        <w:t>​</w:t>
      </w:r>
    </w:p>
    <w:tbl>
      <w:tblPr>
        <w:tblW w:w="8766" w:type="dxa"/>
        <w:jc w:val="left"/>
        <w:tblInd w:w="0" w:type="dxa"/>
        <w:tblLayout w:type="fixed"/>
        <w:tblCellMar>
          <w:top w:w="0" w:type="dxa"/>
          <w:left w:w="0" w:type="dxa"/>
          <w:bottom w:w="0" w:type="dxa"/>
          <w:right w:w="0" w:type="dxa"/>
        </w:tblCellMar>
      </w:tblPr>
      <w:tblGrid>
        <w:gridCol w:w="4846"/>
        <w:gridCol w:w="346"/>
        <w:gridCol w:w="242"/>
        <w:gridCol w:w="658"/>
        <w:gridCol w:w="346"/>
        <w:gridCol w:w="307"/>
        <w:gridCol w:w="833"/>
        <w:gridCol w:w="346"/>
        <w:gridCol w:w="211"/>
        <w:gridCol w:w="631"/>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077210" cy="175260"/>
                      <wp:effectExtent l="0" t="0" r="0" b="0"/>
                      <wp:wrapNone/>
                      <wp:docPr id="299" name="Frame299"/>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53670" cy="175260"/>
                      <wp:effectExtent l="0" t="0" r="0" b="0"/>
                      <wp:wrapNone/>
                      <wp:docPr id="301" name="Frame30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17830" cy="175260"/>
                      <wp:effectExtent l="0" t="0" r="0" b="0"/>
                      <wp:wrapNone/>
                      <wp:docPr id="302" name="Frame302"/>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94945" cy="175260"/>
                      <wp:effectExtent l="0" t="0" r="0" b="0"/>
                      <wp:wrapNone/>
                      <wp:docPr id="304" name="Frame30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28955" cy="175260"/>
                      <wp:effectExtent l="0" t="0" r="0" b="0"/>
                      <wp:wrapNone/>
                      <wp:docPr id="305" name="Frame305"/>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00685" cy="175260"/>
                      <wp:effectExtent l="0" t="0" r="0" b="0"/>
                      <wp:wrapNone/>
                      <wp:docPr id="308" name="Frame30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(1)</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equivalents, and investments account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Eligible accounts receivable of $82.0 million and $82.3 million at March 31, 2026 and December 31, 2025, respectively, were assigned to the CCF. The Company’s CCF is described in Note 7 of Part I, Item 1 above.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Company’s cash and cash equivalents for the three months ended March 31, 2026, compared to the three months ended March 31, 2025, are as follows:</w:t>
      </w:r>
    </w:p>
    <w:tbl>
      <w:tblPr>
        <w:tblW w:w="7195" w:type="dxa"/>
        <w:jc w:val="left"/>
        <w:tblInd w:w="0" w:type="dxa"/>
        <w:tblLayout w:type="fixed"/>
        <w:tblCellMar>
          <w:top w:w="0" w:type="dxa"/>
          <w:left w:w="0" w:type="dxa"/>
          <w:bottom w:w="0" w:type="dxa"/>
          <w:right w:w="0" w:type="dxa"/>
        </w:tblCellMar>
      </w:tblPr>
      <w:tblGrid>
        <w:gridCol w:w="3721"/>
        <w:gridCol w:w="346"/>
        <w:gridCol w:w="196"/>
        <w:gridCol w:w="541"/>
        <w:gridCol w:w="346"/>
        <w:gridCol w:w="196"/>
        <w:gridCol w:w="631"/>
        <w:gridCol w:w="346"/>
        <w:gridCol w:w="196"/>
        <w:gridCol w:w="67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362835" cy="175260"/>
                      <wp:effectExtent l="0" t="0" r="0" b="0"/>
                      <wp:wrapNone/>
                      <wp:docPr id="309" name="Frame309"/>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4460" cy="175260"/>
                      <wp:effectExtent l="0" t="0" r="0" b="0"/>
                      <wp:wrapNone/>
                      <wp:docPr id="311" name="Frame3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43535" cy="175260"/>
                      <wp:effectExtent l="0" t="0" r="0" b="0"/>
                      <wp:wrapNone/>
                      <wp:docPr id="312" name="Frame31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4460" cy="175260"/>
                      <wp:effectExtent l="0" t="0" r="0" b="0"/>
                      <wp:wrapNone/>
                      <wp:docPr id="314" name="Frame3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00685" cy="175260"/>
                      <wp:effectExtent l="0" t="0" r="0" b="0"/>
                      <wp:wrapNone/>
                      <wp:docPr id="315" name="Frame31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24460" cy="175260"/>
                      <wp:effectExtent l="0" t="0" r="0" b="0"/>
                      <wp:wrapNone/>
                      <wp:docPr id="317" name="Frame3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29260" cy="175260"/>
                      <wp:effectExtent l="0" t="0" r="0" b="0"/>
                      <wp:wrapNone/>
                      <wp:docPr id="318" name="Frame3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 (1)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 (2)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92.6</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 (3)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103.0</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(1) Changes in net cash provided by operating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provided by operating activities for the three months ended March 31, 2026, compared to the three months ended March 31, 2025, were due to the following:</w:t>
      </w:r>
    </w:p>
    <w:p>
      <w:pPr>
        <w:pStyle w:val="TextBody"/>
        <w:bidi w:val="0"/>
        <w:spacing w:before="0" w:after="0"/>
        <w:ind w:left="0" w:right="0" w:hanging="0"/>
        <w:jc w:val="left"/>
        <w:rPr/>
      </w:pPr>
      <w:r>
        <w:rPr/>
        <w:t>​</w:t>
      </w:r>
    </w:p>
    <w:tbl>
      <w:tblPr>
        <w:tblW w:w="6139" w:type="dxa"/>
        <w:jc w:val="left"/>
        <w:tblInd w:w="0" w:type="dxa"/>
        <w:tblLayout w:type="fixed"/>
        <w:tblCellMar>
          <w:top w:w="0" w:type="dxa"/>
          <w:left w:w="0" w:type="dxa"/>
          <w:bottom w:w="0" w:type="dxa"/>
          <w:right w:w="0" w:type="dxa"/>
        </w:tblCellMar>
      </w:tblPr>
      <w:tblGrid>
        <w:gridCol w:w="4951"/>
        <w:gridCol w:w="346"/>
        <w:gridCol w:w="211"/>
        <w:gridCol w:w="631"/>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143885" cy="175260"/>
                      <wp:effectExtent l="0" t="0" r="0" b="0"/>
                      <wp:wrapNone/>
                      <wp:docPr id="319" name="Frame319"/>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00685" cy="175260"/>
                      <wp:effectExtent l="0" t="0" r="0" b="0"/>
                      <wp:wrapNone/>
                      <wp:docPr id="322" name="Frame32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related changes,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and distribution from SSAT,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accruals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 and liabilities,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amortization of 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was $56.6 million for the three months ended March 31, 2026, compared to $72.3 million for the three months ended March 31, 2025. Income from SSAT was $5.0 million for the three months ended March 31, 2026, compared to $6.6 million for the three months ended March 31, 2025. The decrease in income from SSAT was primarily due to lower lift volume during the three months ended March 31, 2026, compared to the same prior year period. There were no distributions received from SSAT during the three months ended March 31, 2026 and 2025. Changes in accounts receivable were primarily due to the timing of collections associated with those receivables.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accounts payable, accruals and other liabilities were due to the timing of payments associated with those liabilities. Changes in operating lease assets and liabilities were primarily due to new operating lease additions and renewals, offset by operating lease payments and terminations. Deferred dry-docking payments for the three months ended March 31, 2026 were $11.9 million, compared to $10.4 million for the three months ended March 31, 2025. Changes in deferred dry-docking are primarily due to the timing of vessel dry-dock related activities and the payments associated with those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(2) Changes in net cash used in investing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investing activities for the three months ended March 31, 2026, compared to the three months ended March 31, 2025, were due to the following:</w:t>
      </w:r>
    </w:p>
    <w:p>
      <w:pPr>
        <w:pStyle w:val="TextBody"/>
        <w:bidi w:val="0"/>
        <w:spacing w:before="0" w:after="0"/>
        <w:ind w:left="0" w:right="0" w:hanging="0"/>
        <w:jc w:val="left"/>
        <w:rPr/>
      </w:pPr>
      <w:r>
        <w:rPr/>
        <w:t>​</w:t>
      </w:r>
    </w:p>
    <w:tbl>
      <w:tblPr>
        <w:tblW w:w="6694" w:type="dxa"/>
        <w:jc w:val="left"/>
        <w:tblInd w:w="0" w:type="dxa"/>
        <w:tblLayout w:type="fixed"/>
        <w:tblCellMar>
          <w:top w:w="0" w:type="dxa"/>
          <w:left w:w="0" w:type="dxa"/>
          <w:bottom w:w="0" w:type="dxa"/>
          <w:right w:w="0" w:type="dxa"/>
        </w:tblCellMar>
      </w:tblPr>
      <w:tblGrid>
        <w:gridCol w:w="5506"/>
        <w:gridCol w:w="346"/>
        <w:gridCol w:w="211"/>
        <w:gridCol w:w="631"/>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496310" cy="175260"/>
                      <wp:effectExtent l="0" t="0" r="0" b="0"/>
                      <wp:wrapNone/>
                      <wp:docPr id="323" name="Frame323"/>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00685" cy="175260"/>
                      <wp:effectExtent l="0" t="0" r="0" b="0"/>
                      <wp:wrapNone/>
                      <wp:docPr id="326" name="Frame32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pPr>
            <w:r>
              <w:rPr/>
              <w:t>​</w:t>
            </w:r>
          </w:p>
        </w:tc>
      </w:tr>
      <w:tr>
        <w:trPr/>
        <w:tc>
          <w:tcPr>
            <w:tcW w:w="5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deposits and interest into the CCF</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Withdrawals from CCF</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construction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(excluding vessel construction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property and equipment, net,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72" w:name="_Hlk140611037"/>
      <w:bookmarkEnd w:id="1072"/>
      <w:r>
        <w:rPr>
          <w:rFonts w:ascii="Times New Roman;Times;serif" w:hAnsi="Times New Roman;Times;serif"/>
          <w:sz w:val="20"/>
        </w:rPr>
        <w:t>During the three months ended March 31, 2026, cash deposits into the CCF included $4.6 million of interest income and $1.2 million from the repurchase of assigned accounts receivable, compared to $4.7 million of interest income and $100.7 million from the repurchase of assigned accounts receivable for the same prior year period. During the three months ended March 31, 2026, cash withdrawals from the CCF for the payment of vessel construction milestone payments were $17.4 million, compared to $65.0 million for the same prior year period. The decrease in vessel construction milestone payments was due to the timing of milestone payments related to the Company’s fleet renewal program. Qualifying withdrawal payments relate to milestone payments for the construction of three new Aloha Class vessels. Capital expenditures (excluding vessel construction expenditures) were $30.3 million for the three months ended March 31, 2026, compared to $22.5 million for the three months ended March 31, 2025. Capital expenditures (excluding vessel construction expenditures) primarily relate to vessel related expenditures, the acquisition of containers, chassis and other equipment, and expenditures on other capital related projects. The increase in capital expenditures for the three months ended March 31, 2026, compared to the same prior year period primarily related to the timing of when vessel maintenance activities are performed and when other capital related projects are incurred.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(3) Changes in net cash used in financing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financing activities for the three months ended March 31, 2026, compared to the three months ended March 31, 2025, were due to the following:</w:t>
      </w:r>
    </w:p>
    <w:p>
      <w:pPr>
        <w:pStyle w:val="TextBody"/>
        <w:bidi w:val="0"/>
        <w:spacing w:before="0" w:after="0"/>
        <w:ind w:left="0" w:right="0" w:hanging="0"/>
        <w:jc w:val="left"/>
        <w:rPr/>
      </w:pPr>
      <w:r>
        <w:rPr/>
        <w:t>​</w:t>
      </w:r>
    </w:p>
    <w:tbl>
      <w:tblPr>
        <w:tblW w:w="6859" w:type="dxa"/>
        <w:jc w:val="left"/>
        <w:tblInd w:w="0" w:type="dxa"/>
        <w:tblLayout w:type="fixed"/>
        <w:tblCellMar>
          <w:top w:w="0" w:type="dxa"/>
          <w:left w:w="0" w:type="dxa"/>
          <w:bottom w:w="0" w:type="dxa"/>
          <w:right w:w="0" w:type="dxa"/>
        </w:tblCellMar>
      </w:tblPr>
      <w:tblGrid>
        <w:gridCol w:w="5776"/>
        <w:gridCol w:w="346"/>
        <w:gridCol w:w="211"/>
        <w:gridCol w:w="526"/>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667760" cy="175260"/>
                      <wp:effectExtent l="0" t="0" r="0" b="0"/>
                      <wp:wrapNone/>
                      <wp:docPr id="327" name="Frame327"/>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34010" cy="175260"/>
                      <wp:effectExtent l="0" t="0" r="0" b="0"/>
                      <wp:wrapNone/>
                      <wp:docPr id="330" name="Frame33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Matson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withheld for taxes related to settlement of restricted stock units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2026, the Company paid $52.8 million to repurchase Matson common stock, compared to $66.9 million during the three months ended March 31, 2025. During the three months ended March 31, 2026, the Company paid $10.1 million in scheduled fixed interest debt payments, compared to $10.1 million during the three months ended March 31, 2025. During the three months ended March 31, 2026, the Company paid $25.1 million in withholding taxes related to vested restricted stock units, compared to $16.1 million during the three months ended March 31, 2025. During the three months ended March 31, 2026, the Company paid $11.0 million in dividends, compared to $11.3 million during the three months ended March 31, 2025. The decrease in dividend payments was due to a reduction in common stock outstanding, partially offset by an increase in dividends declared per share of common stock by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Working Capital:</w:t>
      </w:r>
      <w:r>
        <w:rPr>
          <w:rFonts w:ascii="Times New Roman;Times;serif" w:hAnsi="Times New Roman;Times;serif"/>
          <w:sz w:val="20"/>
        </w:rPr>
        <w:t xml:space="preserve"> The Company had a working capital deficit of $93.5 million at March 31, 2026, compared to a working capital deficit of $55.5 million at December 31, 2025.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decrease in the Company’s working capital at March 31, 2026, compared to December 31, 2025 is primarily due to lower cash and cash equivalents as described above.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 Construction Fund:</w:t>
      </w:r>
      <w:r>
        <w:rPr>
          <w:rFonts w:ascii="Times New Roman;Times;serif" w:hAnsi="Times New Roman;Times;serif"/>
          <w:sz w:val="20"/>
        </w:rPr>
        <w:t xml:space="preserve"> The Company’s CCF is described in Note 7 of Part I, Item 1 above. The Company utilizes its CCF to fund milestone payments for the construction of new vessels. Cash on deposit and CCF investments as of March 31, 2026 and December 31, 2025 are as follows:</w:t>
      </w:r>
    </w:p>
    <w:tbl>
      <w:tblPr>
        <w:tblW w:w="8574" w:type="dxa"/>
        <w:jc w:val="left"/>
        <w:tblInd w:w="0" w:type="dxa"/>
        <w:tblLayout w:type="fixed"/>
        <w:tblCellMar>
          <w:top w:w="0" w:type="dxa"/>
          <w:left w:w="0" w:type="dxa"/>
          <w:bottom w:w="0" w:type="dxa"/>
          <w:right w:w="0" w:type="dxa"/>
        </w:tblCellMar>
      </w:tblPr>
      <w:tblGrid>
        <w:gridCol w:w="4891"/>
        <w:gridCol w:w="346"/>
        <w:gridCol w:w="242"/>
        <w:gridCol w:w="658"/>
        <w:gridCol w:w="346"/>
        <w:gridCol w:w="307"/>
        <w:gridCol w:w="833"/>
        <w:gridCol w:w="109"/>
        <w:gridCol w:w="211"/>
        <w:gridCol w:w="631"/>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105785" cy="175260"/>
                      <wp:effectExtent l="0" t="0" r="0" b="0"/>
                      <wp:wrapNone/>
                      <wp:docPr id="331" name="Frame331"/>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53670" cy="175260"/>
                      <wp:effectExtent l="0" t="0" r="0" b="0"/>
                      <wp:wrapNone/>
                      <wp:docPr id="333" name="Frame33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17830" cy="175260"/>
                      <wp:effectExtent l="0" t="0" r="0" b="0"/>
                      <wp:wrapNone/>
                      <wp:docPr id="334" name="Frame334"/>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94945" cy="175260"/>
                      <wp:effectExtent l="0" t="0" r="0" b="0"/>
                      <wp:wrapNone/>
                      <wp:docPr id="336" name="Frame33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28955" cy="175260"/>
                      <wp:effectExtent l="0" t="0" r="0" b="0"/>
                      <wp:wrapNone/>
                      <wp:docPr id="337" name="Frame33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00685" cy="175260"/>
                      <wp:effectExtent l="0" t="0" r="0" b="0"/>
                      <wp:wrapNone/>
                      <wp:docPr id="340" name="Frame34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equivalents, and investments account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CCF decreased by $11.2 million during the three months ended March 31, 2026 due to vessel milestone payments of $16.3 million, offset by approximately $5.1 million of cash deposited into the CCF from interest income and the repurchase of assigned receivables.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xml:space="preserve"> The Company’s debt is described in Note 8 of Part I, Item 1 above. The Company utilizes a mix of fixed and variable debt for liquidity and to fund the Company’s operations. Total Debt as of March 31, 2026 and December 31, 2025 are as follows:</w:t>
      </w:r>
    </w:p>
    <w:p>
      <w:pPr>
        <w:pStyle w:val="TextBody"/>
        <w:bidi w:val="0"/>
        <w:spacing w:before="0" w:after="0"/>
        <w:ind w:left="0" w:right="0" w:hanging="0"/>
        <w:jc w:val="left"/>
        <w:rPr/>
      </w:pPr>
      <w:r>
        <w:rPr/>
        <w:t>​</w:t>
      </w:r>
    </w:p>
    <w:tbl>
      <w:tblPr>
        <w:tblW w:w="8760" w:type="dxa"/>
        <w:jc w:val="left"/>
        <w:tblInd w:w="0" w:type="dxa"/>
        <w:tblLayout w:type="fixed"/>
        <w:tblCellMar>
          <w:top w:w="0" w:type="dxa"/>
          <w:left w:w="0" w:type="dxa"/>
          <w:bottom w:w="0" w:type="dxa"/>
          <w:right w:w="0" w:type="dxa"/>
        </w:tblCellMar>
      </w:tblPr>
      <w:tblGrid>
        <w:gridCol w:w="5551"/>
        <w:gridCol w:w="109"/>
        <w:gridCol w:w="242"/>
        <w:gridCol w:w="658"/>
        <w:gridCol w:w="109"/>
        <w:gridCol w:w="307"/>
        <w:gridCol w:w="833"/>
        <w:gridCol w:w="109"/>
        <w:gridCol w:w="211"/>
        <w:gridCol w:w="631"/>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524885" cy="175260"/>
                      <wp:effectExtent l="0" t="0" r="0" b="0"/>
                      <wp:wrapNone/>
                      <wp:docPr id="341" name="Frame341"/>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53670" cy="175260"/>
                      <wp:effectExtent l="0" t="0" r="0" b="0"/>
                      <wp:wrapNone/>
                      <wp:docPr id="343" name="Frame34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17830" cy="175260"/>
                      <wp:effectExtent l="0" t="0" r="0" b="0"/>
                      <wp:wrapNone/>
                      <wp:docPr id="344" name="Frame344"/>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345"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94945" cy="175260"/>
                      <wp:effectExtent l="0" t="0" r="0" b="0"/>
                      <wp:wrapNone/>
                      <wp:docPr id="346" name="Frame34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28955" cy="175260"/>
                      <wp:effectExtent l="0" t="0" r="0" b="0"/>
                      <wp:wrapNone/>
                      <wp:docPr id="347" name="Frame34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00685" cy="175260"/>
                      <wp:effectExtent l="0" t="0" r="0" b="0"/>
                      <wp:wrapNone/>
                      <wp:docPr id="350" name="Frame35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r>
      <w:tr>
        <w:trPr/>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interest debt - Revolving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interest debt - Title XI debt and private placement term loans</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(excluding deferred loan fees)</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Debt decreased by $10.1 million during the three months ended March 31, 2026, compared to December 31, 2025, due to scheduled fixed interest debt repayments.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March 31, 2026, the Company had $544.3 million of remaining borrowing availability under the revolving credit facility. </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b/>
          <w:i/>
          <w:sz w:val="20"/>
        </w:rPr>
        <w:t>Capital Expenditures:</w:t>
      </w:r>
      <w:r>
        <w:rPr>
          <w:rFonts w:ascii="Times New Roman;Times;serif" w:hAnsi="Times New Roman;Times;serif"/>
          <w:sz w:val="20"/>
        </w:rPr>
        <w:t xml:space="preserve"> Except as described below, during the three months ended March 31, 2026, there were no material changes to the Company’s expected capital expenditures for the years ending December 31, 2026 and 2027 as described in Part II, Item 7 of the Company’s </w:t>
      </w:r>
      <w:hyperlink r:id="rId4">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2026, the Company paid $16.3 million in milestone payments under the vessel construction agreements, compared to $65.0 million for the three months ended March 31, 2025. The following represents the estimated timing of future milestone payments under the vessel construction agreements as of March 31,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94"/>
        <w:gridCol w:w="346"/>
        <w:gridCol w:w="263"/>
        <w:gridCol w:w="686"/>
        <w:gridCol w:w="346"/>
        <w:gridCol w:w="305"/>
        <w:gridCol w:w="799"/>
        <w:gridCol w:w="346"/>
        <w:gridCol w:w="196"/>
        <w:gridCol w:w="511"/>
        <w:gridCol w:w="346"/>
        <w:gridCol w:w="196"/>
        <w:gridCol w:w="421"/>
        <w:gridCol w:w="346"/>
        <w:gridCol w:w="196"/>
        <w:gridCol w:w="331"/>
        <w:gridCol w:w="346"/>
        <w:gridCol w:w="266"/>
        <w:gridCol w:w="470"/>
        <w:gridCol w:w="346"/>
        <w:gridCol w:w="196"/>
        <w:gridCol w:w="753"/>
      </w:tblGrid>
      <w:tr>
        <w:trPr/>
        <w:tc>
          <w:tcPr>
            <w:tcW w:w="2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93190" cy="175260"/>
                      <wp:effectExtent l="0" t="0" r="0" b="0"/>
                      <wp:wrapNone/>
                      <wp:docPr id="351" name="Frame351"/>
                      <a:graphic xmlns:a="http://schemas.openxmlformats.org/drawingml/2006/main">
                        <a:graphicData uri="http://schemas.microsoft.com/office/word/2010/wordprocessingShape">
                          <wps:wsp>
                            <wps:cNvSpPr txBox="1"/>
                            <wps:spPr>
                              <a:xfrm>
                                <a:off x="0" y="0"/>
                                <a:ext cx="139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67005" cy="175260"/>
                      <wp:effectExtent l="0" t="0" r="0" b="0"/>
                      <wp:wrapNone/>
                      <wp:docPr id="353" name="Frame353"/>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35610" cy="175260"/>
                      <wp:effectExtent l="0" t="0" r="0" b="0"/>
                      <wp:wrapNone/>
                      <wp:docPr id="354" name="Frame35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93675" cy="175260"/>
                      <wp:effectExtent l="0" t="0" r="0" b="0"/>
                      <wp:wrapNone/>
                      <wp:docPr id="356" name="Frame356"/>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07365" cy="175260"/>
                      <wp:effectExtent l="0" t="0" r="0" b="0"/>
                      <wp:wrapNone/>
                      <wp:docPr id="357" name="Frame357"/>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24460" cy="175260"/>
                      <wp:effectExtent l="0" t="0" r="0" b="0"/>
                      <wp:wrapNone/>
                      <wp:docPr id="359" name="Frame3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24485" cy="175260"/>
                      <wp:effectExtent l="0" t="0" r="0" b="0"/>
                      <wp:wrapNone/>
                      <wp:docPr id="360" name="Frame3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24460" cy="175260"/>
                      <wp:effectExtent l="0" t="0" r="0" b="0"/>
                      <wp:wrapNone/>
                      <wp:docPr id="362" name="Frame3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67335" cy="175260"/>
                      <wp:effectExtent l="0" t="0" r="0" b="0"/>
                      <wp:wrapNone/>
                      <wp:docPr id="363" name="Frame36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4460" cy="175260"/>
                      <wp:effectExtent l="0" t="0" r="0" b="0"/>
                      <wp:wrapNone/>
                      <wp:docPr id="365" name="Frame3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0185" cy="175260"/>
                      <wp:effectExtent l="0" t="0" r="0" b="0"/>
                      <wp:wrapNone/>
                      <wp:docPr id="366" name="Frame36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68910" cy="175260"/>
                      <wp:effectExtent l="0" t="0" r="0" b="0"/>
                      <wp:wrapNone/>
                      <wp:docPr id="368" name="Frame36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98450" cy="175260"/>
                      <wp:effectExtent l="0" t="0" r="0" b="0"/>
                      <wp:wrapNone/>
                      <wp:docPr id="369" name="Frame369"/>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24460" cy="175260"/>
                      <wp:effectExtent l="0" t="0" r="0" b="0"/>
                      <wp:wrapNone/>
                      <wp:docPr id="371" name="Frame3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78155" cy="175260"/>
                      <wp:effectExtent l="0" t="0" r="0" b="0"/>
                      <wp:wrapNone/>
                      <wp:docPr id="372" name="Frame372"/>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w:t>
            </w:r>
          </w:p>
        </w:tc>
        <w:tc>
          <w:tcPr>
            <w:tcW w:w="346" w:type="dxa"/>
            <w:tcBorders/>
            <w:vAlign w:val="center"/>
          </w:tcPr>
          <w:p>
            <w:pPr>
              <w:pStyle w:val="TableContents"/>
              <w:bidi w:val="0"/>
              <w:spacing w:before="0" w:after="0"/>
              <w:ind w:left="0" w:right="0" w:hanging="0"/>
              <w:jc w:val="left"/>
              <w:rPr/>
            </w:pPr>
            <w:r>
              <w:rPr/>
              <w:t>​</w:t>
            </w:r>
          </w:p>
        </w:tc>
        <w:tc>
          <w:tcPr>
            <w:tcW w:w="50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Future Milestone Payments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left"/>
              <w:rPr/>
            </w:pPr>
            <w:r>
              <w:rPr/>
              <w:t>​</w:t>
            </w:r>
          </w:p>
        </w:tc>
      </w:tr>
      <w:tr>
        <w:trPr/>
        <w:tc>
          <w:tcPr>
            <w:tcW w:w="21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Vessel Construction Obligations</w:t>
              <w:br/>
              <w:t>(in millions)</w:t>
            </w:r>
          </w:p>
        </w:tc>
        <w:tc>
          <w:tcPr>
            <w:tcW w:w="346" w:type="dxa"/>
            <w:tcBorders/>
            <w:vAlign w:val="center"/>
          </w:tcPr>
          <w:p>
            <w:pPr>
              <w:pStyle w:val="TableContents"/>
              <w:bidi w:val="0"/>
              <w:spacing w:before="0" w:after="0"/>
              <w:ind w:left="0" w:right="0" w:hanging="0"/>
              <w:jc w:val="left"/>
              <w:rPr/>
            </w:pPr>
            <w:r>
              <w:rPr/>
              <w:t>  ​ ​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 of</w:t>
              <w:br/>
              <w:t>March 31, 2026</w:t>
            </w:r>
          </w:p>
        </w:tc>
        <w:tc>
          <w:tcPr>
            <w:tcW w:w="346" w:type="dxa"/>
            <w:tcBorders/>
            <w:vAlign w:val="center"/>
          </w:tcPr>
          <w:p>
            <w:pPr>
              <w:pStyle w:val="TableContents"/>
              <w:bidi w:val="0"/>
              <w:spacing w:before="0" w:after="0"/>
              <w:ind w:left="0" w:right="0" w:hanging="0"/>
              <w:jc w:val="left"/>
              <w:rPr/>
            </w:pPr>
            <w:r>
              <w:rPr/>
              <w:t>  ​ ​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Remainder of 2026</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2027</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2028</w:t>
            </w:r>
          </w:p>
        </w:tc>
        <w:tc>
          <w:tcPr>
            <w:tcW w:w="346" w:type="dxa"/>
            <w:tcBorders/>
            <w:vAlign w:val="center"/>
          </w:tcPr>
          <w:p>
            <w:pPr>
              <w:pStyle w:val="TableContents"/>
              <w:bidi w:val="0"/>
              <w:spacing w:before="0" w:after="0"/>
              <w:ind w:left="0" w:right="0" w:hanging="0"/>
              <w:jc w:val="left"/>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2029</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Thereafter</w:t>
            </w:r>
          </w:p>
        </w:tc>
        <w:tc>
          <w:tcPr>
            <w:tcW w:w="346" w:type="dxa"/>
            <w:tcBorders/>
            <w:vAlign w:val="center"/>
          </w:tcPr>
          <w:p>
            <w:pPr>
              <w:pStyle w:val="TableContents"/>
              <w:bidi w:val="0"/>
              <w:spacing w:before="0" w:after="0"/>
              <w:ind w:left="0" w:right="0" w:hanging="0"/>
              <w:jc w:val="left"/>
              <w:rPr/>
            </w:pPr>
            <w:r>
              <w:rPr/>
              <w:t>  ​ ​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19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Three Aloha Class Containerships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443.1</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53"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1,006.0</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months ended March 31, 2026 and 2025, the Company repurchased approximately 0.4 million and 0.5 million shares for a total cost of $54.4 million and $69.2 million, respectively. The amount of shares repurchased by the Company during any period is dependent on the amount of available cash and cash equivalents, the Company’s stock price and other factors. The maximum number of remaining shares that may be repurchased under the Company’s share repurchase program was approximately 0.8 million shares at March 31, 2026. On April 23, 2026, the Company’s Board of Directors approved an additional 3.0 million shares of common stock to be added to the Company’s existing share repurchase program and extended the program to December 31, 2029.</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rFonts w:ascii="Times New Roman;Times;serif" w:hAnsi="Times New Roman;Times;serif"/>
          <w:b/>
          <w:i/>
          <w:sz w:val="20"/>
        </w:rPr>
        <w:t>Other Material Cash Requirements:</w:t>
      </w:r>
      <w:r>
        <w:rPr>
          <w:rFonts w:ascii="Times New Roman;Times;serif" w:hAnsi="Times New Roman;Times;serif"/>
          <w:sz w:val="20"/>
        </w:rPr>
        <w:t xml:space="preserve"> There were no other material changes during the quarter ended March 31, 2026 to the Company’s other cash requirements that are described in Part II, Item 7 of the Company’s </w:t>
      </w:r>
      <w:hyperlink r:id="rId5">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changes during this quarter to the Company’s critical accounting policies and estimates as discussed in Part II, Item 7 of the Company’s </w:t>
      </w:r>
      <w:hyperlink r:id="rId6">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xml:space="preserve"> The Company’s first quarter 2026 cash dividend of $0.36 per share was paid on March 5, 2026. On April 23, 2026, the Company’s Board of Directors declared a cash dividend of $0.36 per share payable on June 4, 2026 to shareholders of record on May 7,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New Accounting Pronouncements: </w:t>
      </w:r>
      <w:r>
        <w:rPr>
          <w:rFonts w:ascii="Times New Roman;Times;serif" w:hAnsi="Times New Roman;Times;serif"/>
          <w:sz w:val="20"/>
        </w:rPr>
        <w:t>See Note 2 of Part I, Item 1 above for information on new accounting pronouncements.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73" w:name="ITEM3QUANTITATIVEANDQUALITATIVEDISCLOSUR"/>
      <w:bookmarkStart w:id="1074" w:name="_c9b05f8f_c171_4519_8a81_5c1e695b3e96"/>
      <w:bookmarkEnd w:id="1073"/>
      <w:bookmarkEnd w:id="1074"/>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material changes to the Company’s market risk position from the information provided under Part II, Item 7A, “Quantitative and Qualitative Disclosures About Market Risk,” of its </w:t>
      </w:r>
      <w:hyperlink r:id="rId7">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75" w:name="ITEM4CONTROLSANDPROCEDURES_278454"/>
      <w:bookmarkStart w:id="1076" w:name="_10b5dfcb_d434_46bb_8236_2eee82582cd8"/>
      <w:bookmarkEnd w:id="1075"/>
      <w:bookmarkEnd w:id="1076"/>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2026, the Company’s disclosure controls and procedures are effective.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Changes in Internal Control Over Financial Reporting: </w:t>
      </w:r>
      <w:r>
        <w:rPr>
          <w:rFonts w:ascii="Times New Roman;Times;serif" w:hAnsi="Times New Roman;Times;serif"/>
          <w:sz w:val="20"/>
        </w:rPr>
        <w:t>There were no changes in the Company’s internal control over financial reporting (as defined in Rules 13a-15(f) and 15d-15(f) under the Exchange Act) that occurred during the three months ended March 31, 2026,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077" w:name="PARTIIOTHERINFORMATION_744928"/>
      <w:bookmarkStart w:id="1078" w:name="_567138b7_77c1_41f2_bd5e_b929fc414a3c"/>
      <w:bookmarkEnd w:id="1077"/>
      <w:bookmarkEnd w:id="1078"/>
      <w:r>
        <w:rPr>
          <w:rFonts w:ascii="Times New Roman;Times;serif" w:hAnsi="Times New Roman;Times;serif"/>
          <w:b/>
          <w:sz w:val="20"/>
        </w:rPr>
        <w:t>PART II. OTHER INFORMATION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bookmarkStart w:id="1079" w:name="ITEM1LEGALPROCEEDINGS_436162"/>
      <w:bookmarkEnd w:id="1079"/>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Environmental Matters:</w:t>
      </w:r>
      <w:r>
        <w:rPr>
          <w:rFonts w:ascii="Times New Roman;Times;serif" w:hAnsi="Times New Roman;Times;serif"/>
          <w:sz w:val="20"/>
        </w:rPr>
        <w:t xml:space="preserve"> The Company faces certain risks that could result in material expenditures related to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80" w:name="ITEM1ARISKFACTORS_897747"/>
      <w:bookmarkStart w:id="1081" w:name="_2cecc99a_b560_4f93_b85a_259fe219e1f7"/>
      <w:bookmarkEnd w:id="1080"/>
      <w:bookmarkEnd w:id="1081"/>
      <w:r>
        <w:rPr>
          <w:rFonts w:ascii="Times New Roman;Times;serif" w:hAnsi="Times New Roman;Times;serif"/>
          <w:b/>
          <w:sz w:val="20"/>
        </w:rPr>
        <w:t>ITEM 1A. RISK FACTORS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bookmarkStart w:id="1082" w:name="_Hlk117024577"/>
      <w:bookmarkEnd w:id="1082"/>
      <w:r>
        <w:rPr>
          <w:rFonts w:ascii="Times New Roman;Times;serif" w:hAnsi="Times New Roman;Times;serif"/>
          <w:sz w:val="20"/>
        </w:rPr>
        <w:t xml:space="preserve">There were no material changes to the Company’s risk factors previously described in Part I, Item 1A, “Risk Factors” of the Company’s </w:t>
      </w:r>
      <w:hyperlink r:id="rId8">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83" w:name="ITEM2UNREGISTEREDSALESOFEQUITYSECURITIES"/>
      <w:bookmarkStart w:id="1084" w:name="_76ba60fe_deb8_4596_b1e4_a4a6debf2cd3"/>
      <w:bookmarkEnd w:id="1083"/>
      <w:bookmarkEnd w:id="1084"/>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 Purchases of Equity Securities by the Issuer and Affiliated Purchases:</w:t>
      </w:r>
      <w:r>
        <w:rPr>
          <w:rFonts w:ascii="Times New Roman;Times;serif" w:hAnsi="Times New Roman;Times;serif"/>
          <w:sz w:val="20"/>
        </w:rPr>
        <w:t xml:space="preserve"> The following is the summary of Matson shares that were repurchased under the Company’s share repurchase program during the three months ended March 31, 2026:</w:t>
      </w:r>
    </w:p>
    <w:tbl>
      <w:tblPr>
        <w:tblW w:w="8717" w:type="dxa"/>
        <w:jc w:val="left"/>
        <w:tblInd w:w="0" w:type="dxa"/>
        <w:tblLayout w:type="fixed"/>
        <w:tblCellMar>
          <w:top w:w="0" w:type="dxa"/>
          <w:left w:w="0" w:type="dxa"/>
          <w:bottom w:w="0" w:type="dxa"/>
          <w:right w:w="0" w:type="dxa"/>
        </w:tblCellMar>
      </w:tblPr>
      <w:tblGrid>
        <w:gridCol w:w="1209"/>
        <w:gridCol w:w="696"/>
        <w:gridCol w:w="1321"/>
        <w:gridCol w:w="346"/>
        <w:gridCol w:w="285"/>
        <w:gridCol w:w="915"/>
        <w:gridCol w:w="346"/>
        <w:gridCol w:w="1561"/>
        <w:gridCol w:w="346"/>
        <w:gridCol w:w="1501"/>
        <w:gridCol w:w="191"/>
      </w:tblGrid>
      <w:tr>
        <w:trPr/>
        <w:tc>
          <w:tcPr>
            <w:tcW w:w="1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767715" cy="175260"/>
                      <wp:effectExtent l="0" t="0" r="0" b="0"/>
                      <wp:wrapNone/>
                      <wp:docPr id="373" name="Frame373"/>
                      <a:graphic xmlns:a="http://schemas.openxmlformats.org/drawingml/2006/main">
                        <a:graphicData uri="http://schemas.microsoft.com/office/word/2010/wordprocessingShape">
                          <wps:wsp>
                            <wps:cNvSpPr txBox="1"/>
                            <wps:spPr>
                              <a:xfrm>
                                <a:off x="0" y="0"/>
                                <a:ext cx="767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41960" cy="175260"/>
                      <wp:effectExtent l="0" t="0" r="0" b="0"/>
                      <wp:wrapNone/>
                      <wp:docPr id="374" name="Frame374"/>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838835" cy="175260"/>
                      <wp:effectExtent l="0" t="0" r="0" b="0"/>
                      <wp:wrapNone/>
                      <wp:docPr id="375" name="Frame375"/>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80975" cy="175260"/>
                      <wp:effectExtent l="0" t="0" r="0" b="0"/>
                      <wp:wrapNone/>
                      <wp:docPr id="377" name="Frame377"/>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81025" cy="175260"/>
                      <wp:effectExtent l="0" t="0" r="0" b="0"/>
                      <wp:wrapNone/>
                      <wp:docPr id="378" name="Frame378"/>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991235" cy="175260"/>
                      <wp:effectExtent l="0" t="0" r="0" b="0"/>
                      <wp:wrapNone/>
                      <wp:docPr id="380" name="Frame380"/>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953135" cy="175260"/>
                      <wp:effectExtent l="0" t="0" r="0" b="0"/>
                      <wp:wrapNone/>
                      <wp:docPr id="382" name="Frame382"/>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21285" cy="175260"/>
                      <wp:effectExtent l="0" t="0" r="0" b="0"/>
                      <wp:wrapNone/>
                      <wp:docPr id="383" name="Frame38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9"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left"/>
              <w:rPr/>
            </w:pPr>
            <w:r>
              <w:rPr/>
              <w:t>  ​ ​ ​</w:t>
            </w:r>
          </w:p>
        </w:tc>
        <w:tc>
          <w:tcPr>
            <w:tcW w:w="1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w:t>
            </w:r>
          </w:p>
        </w:tc>
        <w:tc>
          <w:tcPr>
            <w:tcW w:w="191" w:type="dxa"/>
            <w:tcBorders/>
            <w:vAlign w:val="center"/>
          </w:tcPr>
          <w:p>
            <w:pPr>
              <w:pStyle w:val="TableContents"/>
              <w:bidi w:val="0"/>
              <w:spacing w:before="0" w:after="0"/>
              <w:ind w:left="0" w:right="0" w:hanging="0"/>
              <w:jc w:val="left"/>
              <w:rPr/>
            </w:pPr>
            <w:r>
              <w:rPr/>
              <w:t> </w:t>
            </w:r>
          </w:p>
        </w:tc>
      </w:tr>
      <w:tr>
        <w:trPr/>
        <w:tc>
          <w:tcPr>
            <w:tcW w:w="1209"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w:t>
            </w:r>
          </w:p>
        </w:tc>
        <w:tc>
          <w:tcPr>
            <w:tcW w:w="191" w:type="dxa"/>
            <w:tcBorders/>
            <w:vAlign w:val="center"/>
          </w:tcPr>
          <w:p>
            <w:pPr>
              <w:pStyle w:val="TableContents"/>
              <w:bidi w:val="0"/>
              <w:spacing w:before="0" w:after="0"/>
              <w:ind w:left="0" w:right="0" w:hanging="0"/>
              <w:jc w:val="left"/>
              <w:rPr/>
            </w:pPr>
            <w:r>
              <w:rPr/>
              <w:t> </w:t>
            </w:r>
          </w:p>
        </w:tc>
      </w:tr>
      <w:tr>
        <w:trPr/>
        <w:tc>
          <w:tcPr>
            <w:tcW w:w="1209"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Be Purchased</w:t>
            </w:r>
          </w:p>
        </w:tc>
        <w:tc>
          <w:tcPr>
            <w:tcW w:w="191" w:type="dxa"/>
            <w:tcBorders/>
            <w:vAlign w:val="center"/>
          </w:tcPr>
          <w:p>
            <w:pPr>
              <w:pStyle w:val="TableContents"/>
              <w:bidi w:val="0"/>
              <w:spacing w:before="0" w:after="0"/>
              <w:ind w:left="0" w:right="0" w:hanging="0"/>
              <w:jc w:val="left"/>
              <w:rPr/>
            </w:pPr>
            <w:r>
              <w:rPr/>
              <w:t> </w:t>
            </w:r>
          </w:p>
        </w:tc>
      </w:tr>
      <w:tr>
        <w:trPr/>
        <w:tc>
          <w:tcPr>
            <w:tcW w:w="1209"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 or</w:t>
            </w:r>
          </w:p>
        </w:tc>
        <w:tc>
          <w:tcPr>
            <w:tcW w:w="191" w:type="dxa"/>
            <w:tcBorders/>
            <w:vAlign w:val="center"/>
          </w:tcPr>
          <w:p>
            <w:pPr>
              <w:pStyle w:val="TableContents"/>
              <w:bidi w:val="0"/>
              <w:spacing w:before="0" w:after="0"/>
              <w:ind w:left="0" w:right="0" w:hanging="0"/>
              <w:jc w:val="left"/>
              <w:rPr/>
            </w:pPr>
            <w:r>
              <w:rPr/>
              <w:t> </w:t>
            </w:r>
          </w:p>
        </w:tc>
      </w:tr>
      <w:tr>
        <w:trPr/>
        <w:tc>
          <w:tcPr>
            <w:tcW w:w="12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69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 (1) (2)</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191" w:type="dxa"/>
            <w:tcBorders/>
            <w:vAlign w:val="center"/>
          </w:tcPr>
          <w:p>
            <w:pPr>
              <w:pStyle w:val="TableContents"/>
              <w:bidi w:val="0"/>
              <w:spacing w:before="0" w:after="0"/>
              <w:ind w:left="0" w:right="0" w:hanging="0"/>
              <w:jc w:val="left"/>
              <w:rPr/>
            </w:pPr>
            <w:r>
              <w:rPr/>
              <w:t> </w:t>
            </w:r>
          </w:p>
        </w:tc>
      </w:tr>
      <w:tr>
        <w:trPr/>
        <w:tc>
          <w:tcPr>
            <w:tcW w:w="19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 31, 2026</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140.69</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998,135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 28, 2026</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98,500</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164.45</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98,500</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899,635</w:t>
            </w:r>
          </w:p>
        </w:tc>
        <w:tc>
          <w:tcPr>
            <w:tcW w:w="191" w:type="dxa"/>
            <w:tcBorders/>
            <w:vAlign w:val="center"/>
          </w:tcPr>
          <w:p>
            <w:pPr>
              <w:pStyle w:val="TableContents"/>
              <w:bidi w:val="0"/>
              <w:spacing w:before="0" w:after="0"/>
              <w:ind w:left="0" w:right="0" w:hanging="0"/>
              <w:jc w:val="left"/>
              <w:rPr/>
            </w:pPr>
            <w:r>
              <w:rPr/>
              <w:t>​</w:t>
            </w:r>
          </w:p>
        </w:tc>
      </w:tr>
      <w:tr>
        <w:trPr/>
        <w:tc>
          <w:tcPr>
            <w:tcW w:w="19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 31, 2026</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131,057</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155.62</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131,057</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768,578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96" w:type="dxa"/>
            <w:tcBorders/>
            <w:vAlign w:val="center"/>
          </w:tcPr>
          <w:p>
            <w:pPr>
              <w:pStyle w:val="TableContents"/>
              <w:bidi w:val="0"/>
              <w:spacing w:before="0" w:after="0"/>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354,557</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152.81</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354,557</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June 24, 2021, Matson’s Board of Directors approved a share repurchase program of up to 3.0 million shares of common stock, with subsequent approvals for the addition of 3.0 million shares on each of January 27, 2022, August 23, 2022, April 27, 2023, February 27, 2025 and April 23, 2026 for an aggregate total of 18.0 million shares of common stock. On April 23, 2026, the share repurchase program was extended to December 31, 2029. Shares will be repurchased in the open market from time to time, and may be made pursuant to a trading plan in accordance with Rule 10b5-1 of the Securities Exchange Act of 1934.</w:t>
            </w:r>
          </w:p>
        </w:tc>
      </w:tr>
    </w:tbl>
    <w:tbl>
      <w:tblPr>
        <w:tblW w:w="6737" w:type="dxa"/>
        <w:jc w:val="left"/>
        <w:tblInd w:w="0" w:type="dxa"/>
        <w:tblLayout w:type="fixed"/>
        <w:tblCellMar>
          <w:top w:w="0" w:type="dxa"/>
          <w:left w:w="0" w:type="dxa"/>
          <w:bottom w:w="0" w:type="dxa"/>
          <w:right w:w="0" w:type="dxa"/>
        </w:tblCellMar>
      </w:tblPr>
      <w:tblGrid>
        <w:gridCol w:w="331"/>
        <w:gridCol w:w="640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6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shares withheld for employee taxes upon vesting of stock-based awards.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85" w:name="ITEM3DEFAULTSUPONSENIORSECURITIES_766025"/>
      <w:bookmarkStart w:id="1086" w:name="_14258df5_a0d2_40ff_b4dc_3325c3c3778a"/>
      <w:bookmarkEnd w:id="1085"/>
      <w:bookmarkEnd w:id="1086"/>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87" w:name="ITEM4MINESAFETYDISCLOSURES_922547"/>
      <w:bookmarkStart w:id="1088" w:name="_1e584493_d9a2_4643_8b2d_ed88285e8b8b"/>
      <w:bookmarkEnd w:id="1087"/>
      <w:bookmarkEnd w:id="1088"/>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89" w:name="ITEM5OTHERINFORMATION_110834"/>
      <w:bookmarkStart w:id="1090" w:name="_981be80e_0963_455b_8386_ce568eeb26e4"/>
      <w:bookmarkEnd w:id="1089"/>
      <w:bookmarkEnd w:id="1090"/>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 Trading Plans:</w:t>
      </w:r>
      <w:r>
        <w:rPr>
          <w:rFonts w:ascii="Times New Roman;Times;serif" w:hAnsi="Times New Roman;Times;serif"/>
          <w:sz w:val="20"/>
        </w:rPr>
        <w:t xml:space="preserve"> During the quarter ended March 31, 2026, no director or Section 16 officer adopted or terminated any Rule 10b5-1 trading arrangements or non-Rule 10b5-1 trading arrangements except as described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9, 2026, Matthew J. Cox, Chairman and Chief Executive Officer, adopted a trading plan intended to satisfy the affirmative defense conditions of Rule 10b5-1(c) to sell up to 68,716 shares of Matson common stock through February 26, 2027, subject to certain pricing and other conditions.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91" w:name="ITEM6EXHIBITS_599668"/>
      <w:bookmarkStart w:id="1092" w:name="_b52b117d_c253_431e_bf05_96f2d4860285"/>
      <w:bookmarkEnd w:id="1091"/>
      <w:bookmarkEnd w:id="1092"/>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29"/>
        <w:gridCol w:w="9376"/>
      </w:tblGrid>
      <w:tr>
        <w:trPr/>
        <w:tc>
          <w:tcPr>
            <w:tcW w:w="829" w:type="dxa"/>
            <w:tcBorders/>
            <w:vAlign w:val="center"/>
          </w:tcPr>
          <w:p>
            <w:pPr>
              <w:pStyle w:val="TableContents"/>
              <w:pBdr/>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31.1</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pPr>
            <w:hyperlink w:anchor="matx-20260331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1934.</w:t>
              </w:r>
            </w:hyperlink>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31.2</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pPr>
            <w:hyperlink w:anchor="matx-20260331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Exchange Act of 1934.</w:t>
              </w:r>
            </w:hyperlink>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32</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pPr>
            <w:hyperlink w:anchor="matx-20260331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101.INS</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101.SCH</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101.CAL</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101.DEF</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101.LAB</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101.PRE</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29" w:type="dxa"/>
            <w:tcBorders/>
            <w:vAlign w:val="center"/>
          </w:tcPr>
          <w:p>
            <w:pPr>
              <w:pStyle w:val="TableContents"/>
              <w:pBdr/>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104</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included as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93" w:name="SIGNATURES_841218"/>
      <w:bookmarkStart w:id="1094" w:name="_11b41a49_c034_4d68_acde_c81856f7f21a"/>
      <w:bookmarkEnd w:id="1093"/>
      <w:bookmarkEnd w:id="1094"/>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187" w:type="dxa"/>
        <w:jc w:val="left"/>
        <w:tblInd w:w="0" w:type="dxa"/>
        <w:tblLayout w:type="fixed"/>
        <w:tblCellMar>
          <w:top w:w="0" w:type="dxa"/>
          <w:left w:w="0" w:type="dxa"/>
          <w:bottom w:w="0" w:type="dxa"/>
          <w:right w:w="0" w:type="dxa"/>
        </w:tblCellMar>
      </w:tblPr>
      <w:tblGrid>
        <w:gridCol w:w="1636"/>
        <w:gridCol w:w="2551"/>
      </w:tblGrid>
      <w:tr>
        <w:trPr/>
        <w:tc>
          <w:tcPr>
            <w:tcW w:w="163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MATSON, INC.</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6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May 5, 2026</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Joel M. Wine</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Joel M. Wine</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and</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6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May 5, 2026</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Kevin L. Stuck</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Kevin L. Stuck</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Vice President and Controller</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0"/>
        <w:ind w:left="0" w:right="0" w:hanging="0"/>
        <w:jc w:val="right"/>
        <w:rPr>
          <w:rFonts w:ascii="Times New Roman;Times;serif" w:hAnsi="Times New Roman;Times;serif"/>
          <w:b/>
          <w:sz w:val="20"/>
        </w:rPr>
      </w:pPr>
      <w:bookmarkStart w:id="1095" w:name="matx-20260331xex31d1.htm"/>
      <w:bookmarkStart w:id="1096" w:name="ksmatx20260331xex31d1"/>
      <w:bookmarkEnd w:id="1095"/>
      <w:bookmarkEnd w:id="1096"/>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Matthew J. Cox,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4747" w:type="dxa"/>
        <w:jc w:val="left"/>
        <w:tblInd w:w="0" w:type="dxa"/>
        <w:tblLayout w:type="fixed"/>
        <w:tblCellMar>
          <w:top w:w="0" w:type="dxa"/>
          <w:left w:w="0" w:type="dxa"/>
          <w:bottom w:w="0" w:type="dxa"/>
          <w:right w:w="0" w:type="dxa"/>
        </w:tblCellMar>
      </w:tblPr>
      <w:tblGrid>
        <w:gridCol w:w="1636"/>
        <w:gridCol w:w="109"/>
        <w:gridCol w:w="346"/>
        <w:gridCol w:w="2656"/>
      </w:tblGrid>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 Chairman and</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5, 2026</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97" w:name="matx-20260331xex31d2.htm"/>
      <w:bookmarkStart w:id="1098" w:name="ksmatx20260331xex31d2"/>
      <w:bookmarkEnd w:id="1097"/>
      <w:bookmarkEnd w:id="1098"/>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Joel M. Wine,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5797" w:type="dxa"/>
        <w:jc w:val="left"/>
        <w:tblInd w:w="0" w:type="dxa"/>
        <w:tblLayout w:type="fixed"/>
        <w:tblCellMar>
          <w:top w:w="0" w:type="dxa"/>
          <w:left w:w="0" w:type="dxa"/>
          <w:bottom w:w="0" w:type="dxa"/>
          <w:right w:w="0" w:type="dxa"/>
        </w:tblCellMar>
      </w:tblPr>
      <w:tblGrid>
        <w:gridCol w:w="1636"/>
        <w:gridCol w:w="109"/>
        <w:gridCol w:w="346"/>
        <w:gridCol w:w="3706"/>
      </w:tblGrid>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 Executive Vice President and</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5, 2026</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99" w:name="matx-20260331xex32.htm"/>
      <w:bookmarkStart w:id="1100" w:name="ksmatx20260331xex32"/>
      <w:bookmarkEnd w:id="1099"/>
      <w:bookmarkEnd w:id="1100"/>
      <w:r>
        <w:rPr>
          <w:rFonts w:ascii="Times New Roman;Times;serif" w:hAnsi="Times New Roman;Times;serif"/>
          <w:b/>
          <w:sz w:val="20"/>
        </w:rPr>
        <w:t>EXHIBIT 32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Section 1350</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Matson, Inc. (the “Company”) for the quarterly period ended March 31, 2026,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5305" w:type="dxa"/>
        <w:jc w:val="left"/>
        <w:tblInd w:w="0" w:type="dxa"/>
        <w:tblLayout w:type="fixed"/>
        <w:tblCellMar>
          <w:top w:w="0" w:type="dxa"/>
          <w:left w:w="0" w:type="dxa"/>
          <w:bottom w:w="0" w:type="dxa"/>
          <w:right w:w="0" w:type="dxa"/>
        </w:tblCellMar>
      </w:tblPr>
      <w:tblGrid>
        <w:gridCol w:w="646"/>
        <w:gridCol w:w="4396"/>
        <w:gridCol w:w="109"/>
        <w:gridCol w:w="154"/>
      </w:tblGrid>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5, 2026</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5, 2026</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3453/000110465926020944/matx-20251231x10k.htm" TargetMode="External"/><Relationship Id="rId3" Type="http://schemas.openxmlformats.org/officeDocument/2006/relationships/hyperlink" Target="https://www.sec.gov/ix?doc=/Archives/edgar/data/3453/000110465926020944/matx-20251231x10k.htm" TargetMode="External"/><Relationship Id="rId4" Type="http://schemas.openxmlformats.org/officeDocument/2006/relationships/hyperlink" Target="https://www.sec.gov/ix?doc=/Archives/edgar/data/3453/000110465926020944/matx-20251231x10k.htm" TargetMode="External"/><Relationship Id="rId5" Type="http://schemas.openxmlformats.org/officeDocument/2006/relationships/hyperlink" Target="https://www.sec.gov/ix?doc=/Archives/edgar/data/3453/000110465926020944/matx-20251231x10k.htm" TargetMode="External"/><Relationship Id="rId6" Type="http://schemas.openxmlformats.org/officeDocument/2006/relationships/hyperlink" Target="https://www.sec.gov/ix?doc=/Archives/edgar/data/3453/000110465926020944/matx-20251231x10k.htm" TargetMode="External"/><Relationship Id="rId7" Type="http://schemas.openxmlformats.org/officeDocument/2006/relationships/hyperlink" Target="https://www.sec.gov/ix?doc=/Archives/edgar/data/3453/000110465926020944/matx-20251231x10k.htm" TargetMode="External"/><Relationship Id="rId8" Type="http://schemas.openxmlformats.org/officeDocument/2006/relationships/hyperlink" Target="https://www.sec.gov/ix?doc=/Archives/edgar/data/3453/000110465926020944/matx-20251231x10k.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13975</Words>
  <Characters>77095</Characters>
  <CharactersWithSpaces>93201</CharactersWithSpaces>
  <Paragraphs>5426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