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240"/>
        <w:spacing w:after="0"/>
        <w:rPr>
          <w:sz w:val="20"/>
          <w:szCs w:val="20"/>
          <w:color w:val="auto"/>
        </w:rPr>
      </w:pPr>
      <w:r>
        <w:rPr>
          <w:rFonts w:ascii="Arial" w:cs="Arial" w:eastAsia="Arial" w:hAnsi="Arial"/>
          <w:sz w:val="21"/>
          <w:szCs w:val="21"/>
          <w:b w:val="1"/>
          <w:bCs w:val="1"/>
          <w:color w:val="auto"/>
        </w:rPr>
        <w:t>x QUARTERLY REPORT PURSUANT TO SECTION 13 OR 15(d) OF THE 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pacing w:after="0" w:line="227"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5320" w:type="dxa"/>
            <w:vAlign w:val="bottom"/>
          </w:tcPr>
          <w:p>
            <w:pPr>
              <w:ind w:left="1960"/>
              <w:spacing w:after="0"/>
              <w:rPr>
                <w:sz w:val="20"/>
                <w:szCs w:val="20"/>
                <w:color w:val="auto"/>
              </w:rPr>
            </w:pPr>
            <w:r>
              <w:rPr>
                <w:rFonts w:ascii="Arial" w:cs="Arial" w:eastAsia="Arial" w:hAnsi="Arial"/>
                <w:sz w:val="18"/>
                <w:szCs w:val="18"/>
                <w:b w:val="1"/>
                <w:bCs w:val="1"/>
                <w:color w:val="auto"/>
              </w:rPr>
              <w:t>For the transition period from</w:t>
            </w:r>
          </w:p>
        </w:tc>
        <w:tc>
          <w:tcPr>
            <w:tcW w:w="258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432"/>
        </w:trPr>
        <w:tc>
          <w:tcPr>
            <w:tcW w:w="790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566"/>
        </w:trPr>
        <w:tc>
          <w:tcPr>
            <w:tcW w:w="5320" w:type="dxa"/>
            <w:vAlign w:val="bottom"/>
          </w:tcPr>
          <w:p>
            <w:pPr>
              <w:jc w:val="center"/>
              <w:ind w:left="3203"/>
              <w:spacing w:after="0"/>
              <w:rPr>
                <w:sz w:val="20"/>
                <w:szCs w:val="20"/>
                <w:color w:val="auto"/>
              </w:rPr>
            </w:pPr>
            <w:r>
              <w:rPr>
                <w:rFonts w:ascii="Arial" w:cs="Arial" w:eastAsia="Arial" w:hAnsi="Arial"/>
                <w:sz w:val="32"/>
                <w:szCs w:val="32"/>
                <w:b w:val="1"/>
                <w:bCs w:val="1"/>
                <w:color w:val="auto"/>
                <w:w w:val="94"/>
              </w:rPr>
              <w:t>Matson, Inc.</w:t>
            </w:r>
          </w:p>
        </w:tc>
        <w:tc>
          <w:tcPr>
            <w:tcW w:w="2580" w:type="dxa"/>
            <w:vAlign w:val="bottom"/>
          </w:tcPr>
          <w:p>
            <w:pPr>
              <w:spacing w:after="0"/>
              <w:rPr>
                <w:sz w:val="24"/>
                <w:szCs w:val="24"/>
                <w:color w:val="auto"/>
              </w:rPr>
            </w:pPr>
          </w:p>
        </w:tc>
      </w:tr>
      <w:tr>
        <w:trPr>
          <w:trHeight w:val="230"/>
        </w:trPr>
        <w:tc>
          <w:tcPr>
            <w:tcW w:w="790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5320" w:type="dxa"/>
            <w:vAlign w:val="bottom"/>
          </w:tcPr>
          <w:p>
            <w:pPr>
              <w:jc w:val="center"/>
              <w:ind w:right="2423"/>
              <w:spacing w:after="0"/>
              <w:rPr>
                <w:sz w:val="20"/>
                <w:szCs w:val="20"/>
                <w:color w:val="auto"/>
              </w:rPr>
            </w:pPr>
            <w:r>
              <w:rPr>
                <w:rFonts w:ascii="Arial" w:cs="Arial" w:eastAsia="Arial" w:hAnsi="Arial"/>
                <w:sz w:val="18"/>
                <w:szCs w:val="18"/>
                <w:b w:val="1"/>
                <w:bCs w:val="1"/>
                <w:color w:val="auto"/>
                <w:w w:val="98"/>
              </w:rPr>
              <w:t>Hawaii</w:t>
            </w:r>
          </w:p>
        </w:tc>
        <w:tc>
          <w:tcPr>
            <w:tcW w:w="258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216"/>
        </w:trPr>
        <w:tc>
          <w:tcPr>
            <w:tcW w:w="5320" w:type="dxa"/>
            <w:vAlign w:val="bottom"/>
          </w:tcPr>
          <w:p>
            <w:pPr>
              <w:jc w:val="center"/>
              <w:ind w:right="2423"/>
              <w:spacing w:after="0"/>
              <w:rPr>
                <w:sz w:val="20"/>
                <w:szCs w:val="20"/>
                <w:color w:val="auto"/>
              </w:rPr>
            </w:pPr>
            <w:r>
              <w:rPr>
                <w:rFonts w:ascii="Arial" w:cs="Arial" w:eastAsia="Arial" w:hAnsi="Arial"/>
                <w:sz w:val="18"/>
                <w:szCs w:val="18"/>
                <w:color w:val="auto"/>
                <w:w w:val="92"/>
              </w:rPr>
              <w:t>(State or other jurisdiction of</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2"/>
              </w:rPr>
              <w:t>(I.R.S. Employer</w:t>
            </w:r>
          </w:p>
        </w:tc>
      </w:tr>
      <w:tr>
        <w:trPr>
          <w:trHeight w:val="230"/>
        </w:trPr>
        <w:tc>
          <w:tcPr>
            <w:tcW w:w="5320" w:type="dxa"/>
            <w:vAlign w:val="bottom"/>
          </w:tcPr>
          <w:p>
            <w:pPr>
              <w:jc w:val="center"/>
              <w:ind w:right="2423"/>
              <w:spacing w:after="0"/>
              <w:rPr>
                <w:sz w:val="20"/>
                <w:szCs w:val="20"/>
                <w:color w:val="auto"/>
              </w:rPr>
            </w:pPr>
            <w:r>
              <w:rPr>
                <w:rFonts w:ascii="Arial" w:cs="Arial" w:eastAsia="Arial" w:hAnsi="Arial"/>
                <w:sz w:val="18"/>
                <w:szCs w:val="18"/>
                <w:color w:val="auto"/>
                <w:w w:val="92"/>
              </w:rPr>
              <w:t>incorporation or organization)</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320" w:type="dxa"/>
            <w:vAlign w:val="bottom"/>
          </w:tcPr>
          <w:p>
            <w:pPr>
              <w:jc w:val="center"/>
              <w:ind w:right="2423"/>
              <w:spacing w:after="0"/>
              <w:rPr>
                <w:sz w:val="20"/>
                <w:szCs w:val="20"/>
                <w:color w:val="auto"/>
              </w:rPr>
            </w:pPr>
            <w:r>
              <w:rPr>
                <w:rFonts w:ascii="Arial" w:cs="Arial" w:eastAsia="Arial" w:hAnsi="Arial"/>
                <w:sz w:val="18"/>
                <w:szCs w:val="18"/>
                <w:b w:val="1"/>
                <w:bCs w:val="1"/>
                <w:color w:val="auto"/>
                <w:w w:val="91"/>
              </w:rPr>
              <w:t>1411 Sand Island Parkway</w:t>
            </w:r>
          </w:p>
        </w:tc>
        <w:tc>
          <w:tcPr>
            <w:tcW w:w="2580" w:type="dxa"/>
            <w:vAlign w:val="bottom"/>
          </w:tcPr>
          <w:p>
            <w:pPr>
              <w:spacing w:after="0"/>
              <w:rPr>
                <w:sz w:val="24"/>
                <w:szCs w:val="24"/>
                <w:color w:val="auto"/>
              </w:rPr>
            </w:pPr>
          </w:p>
        </w:tc>
      </w:tr>
      <w:tr>
        <w:trPr>
          <w:trHeight w:val="220"/>
        </w:trPr>
        <w:tc>
          <w:tcPr>
            <w:tcW w:w="5320" w:type="dxa"/>
            <w:vAlign w:val="bottom"/>
          </w:tcPr>
          <w:p>
            <w:pPr>
              <w:jc w:val="center"/>
              <w:ind w:right="2403"/>
              <w:spacing w:after="0"/>
              <w:rPr>
                <w:sz w:val="20"/>
                <w:szCs w:val="20"/>
                <w:color w:val="auto"/>
              </w:rPr>
            </w:pPr>
            <w:r>
              <w:rPr>
                <w:rFonts w:ascii="Arial" w:cs="Arial" w:eastAsia="Arial" w:hAnsi="Arial"/>
                <w:sz w:val="18"/>
                <w:szCs w:val="18"/>
                <w:b w:val="1"/>
                <w:bCs w:val="1"/>
                <w:color w:val="auto"/>
                <w:w w:val="96"/>
              </w:rPr>
              <w:t>Honolulu, HI</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96819</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0" w:orient="portrait"/>
          <w:cols w:equalWidth="0" w:num="1">
            <w:col w:w="11420"/>
          </w:cols>
          <w:pgMar w:left="240" w:top="544" w:right="239" w:bottom="0" w:gutter="0" w:footer="0" w:header="0"/>
        </w:sectPr>
      </w:pPr>
    </w:p>
    <w:p>
      <w:pPr>
        <w:spacing w:after="0" w:line="147"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900" w:orient="portrait"/>
          <w:cols w:equalWidth="0" w:num="2">
            <w:col w:w="7240" w:space="720"/>
            <w:col w:w="3460"/>
          </w:cols>
          <w:pgMar w:left="240" w:top="544"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900" w:orient="portrait"/>
          <w:cols w:equalWidth="0" w:num="2">
            <w:col w:w="6860" w:space="720"/>
            <w:col w:w="3840"/>
          </w:cols>
          <w:pgMar w:left="240" w:top="544"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Number of shares of common stock outstanding as of June 30, 2014: 42,995,204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4"/>
          <w:szCs w:val="24"/>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4"/>
              </w:rPr>
              <w:t>Three-Months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4"/>
              </w:rPr>
              <w:t>Six-Months Ended</w:t>
            </w:r>
          </w:p>
        </w:tc>
      </w:tr>
      <w:tr>
        <w:trPr>
          <w:trHeight w:val="171"/>
        </w:trPr>
        <w:tc>
          <w:tcPr>
            <w:tcW w:w="5000" w:type="dxa"/>
            <w:vAlign w:val="bottom"/>
          </w:tcPr>
          <w:p>
            <w:pPr>
              <w:spacing w:after="0"/>
              <w:rPr>
                <w:sz w:val="14"/>
                <w:szCs w:val="14"/>
                <w:color w:val="auto"/>
              </w:rPr>
            </w:pPr>
          </w:p>
        </w:tc>
        <w:tc>
          <w:tcPr>
            <w:tcW w:w="22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1"/>
              </w:rPr>
              <w:t>June 30</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1"/>
              </w:rPr>
              <w:t>June 30</w:t>
            </w: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12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04"/>
        </w:trPr>
        <w:tc>
          <w:tcPr>
            <w:tcW w:w="500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bl>
    <w:p>
      <w:pPr>
        <w:sectPr>
          <w:pgSz w:w="11900" w:h="16900" w:orient="portrait"/>
          <w:cols w:equalWidth="0" w:num="1">
            <w:col w:w="11420"/>
          </w:cols>
          <w:pgMar w:left="240" w:top="544"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68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310.0</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615.7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costs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Equity in (income) loss of terminal joint venture</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783.3</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35.7</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45.6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Other Comprehensive Income (Loss), Net of Income Taxes: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and prior service cost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340"/>
              <w:spacing w:after="0" w:line="201" w:lineRule="exact"/>
              <w:rPr>
                <w:sz w:val="20"/>
                <w:szCs w:val="20"/>
                <w:color w:val="auto"/>
              </w:rPr>
            </w:pPr>
            <w:r>
              <w:rPr>
                <w:rFonts w:ascii="Arial" w:cs="Arial" w:eastAsia="Arial" w:hAnsi="Arial"/>
                <w:sz w:val="18"/>
                <w:szCs w:val="18"/>
                <w:color w:val="auto"/>
                <w:w w:val="99"/>
              </w:rPr>
              <w:t>Amortization of prior service cost included in net periodic</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pension cost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net loss included in net periodic pension</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68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0.47</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 Earnings Per Share: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43.0</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196.7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Investment in terminal joint venture</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1,364.6</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Payroll and vacation benefits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Self-insured liabilities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Accrued and other liabilities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Pr>
          <w:p>
            <w:pPr>
              <w:spacing w:after="0" w:line="196" w:lineRule="exact"/>
              <w:rPr>
                <w:sz w:val="20"/>
                <w:szCs w:val="20"/>
                <w:color w:val="auto"/>
              </w:rPr>
            </w:pPr>
            <w:r>
              <w:rPr>
                <w:rFonts w:ascii="Arial" w:cs="Arial" w:eastAsia="Arial" w:hAnsi="Arial"/>
                <w:sz w:val="18"/>
                <w:szCs w:val="18"/>
                <w:color w:val="auto"/>
              </w:rPr>
              <w:t>Long-term Liabilities:</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330.1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benefit plans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Self-insured claims and other liabilities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35.4</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1,364.6</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Six-Months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Reconciling adjustments: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loss from terminal joint venture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Deferred dry-docking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into Capital Construction Fund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Withdrawals from Capital Construction Fund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for acquisitions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capital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79.0</w:t>
            </w:r>
          </w:p>
        </w:tc>
        <w:tc>
          <w:tcPr>
            <w:tcW w:w="2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109.2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114.5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paid</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Non-cash Information: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Accrued dividend</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-7634605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-7634605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60"/>
          </w:cols>
          <w:pgMar w:left="240" w:top="125"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60"/>
          </w:cols>
          <w:pgMar w:left="240" w:top="125" w:right="199" w:bottom="0" w:gutter="0" w:footer="0" w:header="0"/>
          <w:type w:val="continuous"/>
        </w:sectPr>
      </w:pPr>
    </w:p>
    <w:bookmarkStart w:id="3" w:name="page4"/>
    <w:bookmarkEnd w:id="3"/>
    <w:p>
      <w:pPr>
        <w:ind w:left="720" w:hanging="712"/>
        <w:spacing w:after="0"/>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THE BUSINESS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 (“MatNav”),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Matson, Inc. Founded in 1882, MatNav is an asset-based business that provides a vital lifeline of ocean freight transportation services to the island economies of Hawaii, Guam, Micronesia, and various islands in the South Pacific. MatNav also operates a premium, expedited service from China to Long Beach, California. In addition, a subsidiary of MatNav provides container stevedoring, container equipment maintenance and other terminal services for MatNav and other ocean carriers on the islands of Oahu, Hawaii, Maui and Kauai.</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a 35 percent ownership interest in SSA Terminals, LLC (“SSAT”) through a joint venture between Matson Ventures, Inc., a wholly-owned subsidiary of MatNav, and SSA Ventures, Inc. (“SSA”), a subsidiary of Carrix, Inc. (the “Terminal Joint Venture”). SSAT provides terminal and stevedoring services to various carriers at six terminal facilities on the Pacific Coast of the United States of America (“U.S.”), including to MatNav at several of those facilities. Matson records its share of income (loss) in the joint venture in operating expenses within the ocean transportation segment due to the nature of SSAT’s operations.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The Company’s logistics business is conducted through Matson Logistics, Inc. (“Matson Logistics” or “Logistics”), a wholly-owned subsidiary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(collectively “Highway”); and warehousing and distribution services.</w:t>
      </w:r>
    </w:p>
    <w:p>
      <w:pPr>
        <w:spacing w:after="0" w:line="167"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condensed consolidated financial statements are unaudited. Due to the nature of the Company’s operations, the results for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financial statements. The condensed consolidated financial statements should be read in conjunction with the consolidated financial statements and notes thereto included in the Company’s Annual Report filed on Form 10-K for the year ended December 31, 2013.</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Fiscal Period: </w:t>
      </w:r>
      <w:r>
        <w:rPr>
          <w:rFonts w:ascii="Arial" w:cs="Arial" w:eastAsia="Arial" w:hAnsi="Arial"/>
          <w:sz w:val="18"/>
          <w:szCs w:val="18"/>
          <w:color w:val="auto"/>
        </w:rPr>
        <w:t>The period end for Matson, Inc. is June 30. The period end for MatNav occurred on the last Friday in June, except for Matson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for which the period closed on June 30.</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8 of the Company’s Annual Report filed on Form 10-K for the year ended December 31, 2013.</w:t>
      </w:r>
    </w:p>
    <w:p>
      <w:pPr>
        <w:spacing w:after="0" w:line="166"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2014 and December 31, 2013, the Company’s 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4920" w:type="dxa"/>
            <w:vAlign w:val="bottom"/>
          </w:tcPr>
          <w:p>
            <w:pPr>
              <w:spacing w:after="0"/>
              <w:rPr>
                <w:sz w:val="14"/>
                <w:szCs w:val="14"/>
                <w:color w:val="auto"/>
              </w:rPr>
            </w:pPr>
          </w:p>
        </w:tc>
        <w:tc>
          <w:tcPr>
            <w:tcW w:w="356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Term Loans:</w:t>
            </w:r>
          </w:p>
        </w:tc>
        <w:tc>
          <w:tcPr>
            <w:tcW w:w="2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5.79%, payable through 2020</w:t>
            </w:r>
          </w:p>
        </w:tc>
        <w:tc>
          <w:tcPr>
            <w:tcW w:w="35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3.66%, payable through 2023</w:t>
            </w: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4.16%, payable through 2027</w:t>
            </w:r>
          </w:p>
        </w:tc>
        <w:tc>
          <w:tcPr>
            <w:tcW w:w="2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4.31%, payable through 2032</w:t>
            </w: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Title XI Bonds:</w:t>
            </w:r>
          </w:p>
        </w:tc>
        <w:tc>
          <w:tcPr>
            <w:tcW w:w="2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5.34%, payable through 2028</w:t>
            </w: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5.27%, payable through 2029</w:t>
            </w:r>
          </w:p>
        </w:tc>
        <w:tc>
          <w:tcPr>
            <w:tcW w:w="2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Term Notes:</w:t>
            </w: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4.35%, payable through 2044</w:t>
            </w:r>
          </w:p>
        </w:tc>
        <w:tc>
          <w:tcPr>
            <w:tcW w:w="2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10"/>
        </w:trPr>
        <w:tc>
          <w:tcPr>
            <w:tcW w:w="492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26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379.9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0"/>
        </w:trPr>
        <w:tc>
          <w:tcPr>
            <w:tcW w:w="492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26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362.8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January 2014, the Company issued $100 million of 30-year senior unsecured notes (the “Notes”). The Notes have a weighted average life of 14.5 years and bear interest at a rate of 4.35%, payable semi-annually. The proceeds are expected to be used for general corporate purposes. The Notes will begin to mature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sponsors qualified defined-benefit pension and post retirement plans (collectively, the “Plans”). The following table provides the components of net periodic benefit cost for the Plans for the six-month periods ended June 30, 2014 and 2013 (in millions):</w:t>
      </w:r>
    </w:p>
    <w:p>
      <w:pPr>
        <w:spacing w:after="0" w:line="150" w:lineRule="exact"/>
        <w:rPr>
          <w:sz w:val="20"/>
          <w:szCs w:val="20"/>
          <w:color w:val="auto"/>
        </w:rPr>
      </w:pPr>
    </w:p>
    <w:tbl>
      <w:tblPr>
        <w:tblLayout w:type="fixed"/>
        <w:tblInd w:w="4960" w:type="dxa"/>
        <w:tblCellMar>
          <w:top w:w="0" w:type="dxa"/>
          <w:left w:w="0" w:type="dxa"/>
          <w:bottom w:w="0" w:type="dxa"/>
          <w:right w:w="0" w:type="dxa"/>
        </w:tblCellMar>
      </w:tblPr>
      <w:tr>
        <w:trPr>
          <w:trHeight w:val="161"/>
        </w:trPr>
        <w:tc>
          <w:tcPr>
            <w:tcW w:w="3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Pension Benefits</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2"/>
              </w:rPr>
              <w:t>Post-retirement Benefits</w:t>
            </w:r>
          </w:p>
        </w:tc>
      </w:tr>
      <w:tr>
        <w:trPr>
          <w:trHeight w:val="171"/>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June 30</w:t>
            </w:r>
          </w:p>
        </w:tc>
        <w:tc>
          <w:tcPr>
            <w:tcW w:w="280" w:type="dxa"/>
            <w:vAlign w:val="bottom"/>
          </w:tcPr>
          <w:p>
            <w:pPr>
              <w:spacing w:after="0"/>
              <w:rPr>
                <w:sz w:val="14"/>
                <w:szCs w:val="1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June 30</w:t>
            </w:r>
          </w:p>
        </w:tc>
      </w:tr>
    </w:tbl>
    <w:p>
      <w:pPr>
        <w:sectPr>
          <w:pgSz w:w="11900" w:h="16838" w:orient="portrait"/>
          <w:cols w:equalWidth="0" w:num="1">
            <w:col w:w="11380"/>
          </w:cols>
          <w:pgMar w:left="240" w:top="729" w:right="279" w:bottom="0" w:gutter="0" w:footer="0" w:header="0"/>
        </w:sectPr>
      </w:pPr>
    </w:p>
    <w:bookmarkStart w:id="4" w:name="page5"/>
    <w:bookmarkEnd w:id="4"/>
    <w:p>
      <w:pPr>
        <w:spacing w:after="0" w:line="8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0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2014, the Company expects to pay total cash contributions to its defined benefit pension plans of approximately $6.5 million, of which only $1.7 million has been contributed as of June 30, 2014.</w:t>
      </w:r>
    </w:p>
    <w:p>
      <w:pPr>
        <w:spacing w:after="0" w:line="166"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the three and six-month periods ended June 30, 2014, the Company granted 26,227 and 349,993 time-based and performance-based shares to certain of its employees at a weighted-average grant date fair value of $24.82 and $23.59, respectively. The number of performance shares awarded represents the maximum that can be earned, and will ultimately depend on the Company’s performance.</w:t>
      </w:r>
    </w:p>
    <w:p>
      <w:pPr>
        <w:spacing w:after="0" w:line="18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Total stock-based compensation cost recognized in the condensed consolidated financial statements of operations as a component of selling, general and administrative costs was $1.9 million and $1.5 million for the three-month periods ended June 30, 2014 and 2013, and $3.7 million and $2.8 million for the six-month periods ended June 30, 2014 and 2013, respectively. Total unrecognized compensation cost related to unvested share-based compensation arrangements was $12.7 million at June 30, 2014, and is expected to be recognized over a weighted-average period of 2.0 years. Total unrecognized compensation cost may be adjusted for any unearned performance shares or forfeited shares.</w:t>
      </w:r>
    </w:p>
    <w:p>
      <w:pPr>
        <w:spacing w:after="0" w:line="16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Employee Matters: </w:t>
      </w:r>
      <w:r>
        <w:rPr>
          <w:rFonts w:ascii="Arial" w:cs="Arial" w:eastAsia="Arial" w:hAnsi="Arial"/>
          <w:sz w:val="16"/>
          <w:szCs w:val="16"/>
          <w:color w:val="auto"/>
        </w:rPr>
        <w:t>The Company and SSAT are members of the Pacific Maritime Association (“PMA”), which on behalf of its members, negotiates</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 bargaining agreements with the International Longshore and Warehouse Union (“ILWU”) on the U.S. Pacific Coast. The PMA/ILWU collective bargaining agreements, which cover substantially all U.S. Pacific Coast longshore labor, expired on July 1, 2014. The Company also has collective bargaining agreements with ILWU longshore labor in Hawaii and ILWU office clerical workers in Honolulu and Oakland, each of which expired on June 30, 2014. Although PMA’s and Matson’s collective bargaining agreements have expired, Matson and SSAT workers subject to these collective bargaining agreements are currently performing their work activities while contract negotiations continue. Matson expects that new agreements will be reached without significant disruption to its or SSAT’s operations; however, no assurance can be given that a disruption will not occur, and if a significant disruption were to occur, this would have a material impact on the Company’s financial position, results of operations, or cash flows.</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United States Environmental Protection Agency (Region IX). The Company continues to respond to governmental requests for information, and is engaging in dialogue with governmental agencies in order to reasonably resolve these matters.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July 31, 2014, the Company has resolved all material third-party claims that have been received. However, government agencies have not: (i) initiated any lawsuits; (ii) presented the Company with an accounting of their response costs; (iii) provided an assessment of natural resource damages; or (iv) imposed any penalties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w:t>
      </w:r>
    </w:p>
    <w:p>
      <w:pPr>
        <w:spacing w:after="0" w:line="18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Other Legal Matters: </w:t>
      </w:r>
      <w:r>
        <w:rPr>
          <w:rFonts w:ascii="Arial" w:cs="Arial" w:eastAsia="Arial" w:hAnsi="Arial"/>
          <w:sz w:val="16"/>
          <w:szCs w:val="16"/>
          <w:color w:val="auto"/>
        </w:rPr>
        <w:t>On June 10, 2013, the Company was served with a complaint filed in the United States District Court for the Central District of</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by an individual plaintiff as relator on behalf of the United States asserting claims against the Company and certain other ocean carriers and freight forwarders for violations of the False Claims Act. The case is entitled United States of America, ex rel. Mario Rizzo v. Horizon Lines, LLC et al. The qui tam complaint alleges that Matson and the other defendants submitted or created records supporting false claims for payment of fuel surcharges assessed on the shipment of military household goods for the Department of Defense. The federal government has declined to intervene in this qui tam suit. The individual plaintiff in the suit seeks damages and penalties on behalf of the federal government, and may be entitled to a portion of any recovery or settlement resulting from the suit. The plaintiff filed a Second Amended Complaint on August 23, 2013. The Company filed a motion to dismiss the complaint on September 16, 2013. On October 31, 2013, the court denied the Company’s motion. Discovery commenced and a jury trial was scheduled to begin on October 7, 2014. On February 14, 2014, Matson and the plaintiff engaged in non-binding mediation. On February 23, 2014, Matson’s Board of Directors approved a settlement of $9.0 million in full settlement of all claims, and $0.95 million for plaintiff’s legal expenses. On July 17, 2014, the settlement was approved by the United States Government, and the Company paid the settlement amount. On July 22, 2014, the case was dismissed with prejudice by the District Court. The amount of the settlement was included in accrued and other liabilities in the consolidated balance sheets at June 30, 2014 and December 31, 2013.</w:t>
      </w:r>
    </w:p>
    <w:p>
      <w:pPr>
        <w:spacing w:after="0" w:line="16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w:t>
      </w:r>
    </w:p>
    <w:p>
      <w:pPr>
        <w:sectPr>
          <w:pgSz w:w="11900" w:h="16921" w:orient="portrait"/>
          <w:cols w:equalWidth="0" w:num="1">
            <w:col w:w="11420"/>
          </w:cols>
          <w:pgMar w:left="240" w:top="118"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financial condition, results of operations, or cash flows.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number of shares used to compute basic and diluted earnings per share for the three and six-month periods ended June 30, 2014 and 2013, is as follows (in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Three-Months Ended June 30, 2014</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gridSpan w:val="7"/>
          </w:tcPr>
          <w:p>
            <w:pPr>
              <w:ind w:left="620"/>
              <w:spacing w:after="0"/>
              <w:rPr>
                <w:sz w:val="20"/>
                <w:szCs w:val="20"/>
                <w:color w:val="auto"/>
              </w:rPr>
            </w:pPr>
            <w:r>
              <w:rPr>
                <w:rFonts w:ascii="Arial" w:cs="Arial" w:eastAsia="Arial" w:hAnsi="Arial"/>
                <w:sz w:val="14"/>
                <w:szCs w:val="14"/>
                <w:b w:val="1"/>
                <w:bCs w:val="1"/>
                <w:color w:val="auto"/>
              </w:rPr>
              <w:t>Three-Months Ended June 30, 2013</w:t>
            </w: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Weighted</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201"/>
              <w:spacing w:after="0" w:line="119" w:lineRule="exact"/>
              <w:rPr>
                <w:sz w:val="20"/>
                <w:szCs w:val="20"/>
                <w:color w:val="auto"/>
              </w:rPr>
            </w:pPr>
            <w:r>
              <w:rPr>
                <w:rFonts w:ascii="Arial" w:cs="Arial" w:eastAsia="Arial" w:hAnsi="Arial"/>
                <w:sz w:val="13"/>
                <w:szCs w:val="13"/>
                <w:b w:val="1"/>
                <w:bCs w:val="1"/>
                <w:color w:val="auto"/>
              </w:rPr>
              <w:t>Per</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81"/>
              <w:spacing w:after="0" w:line="119" w:lineRule="exact"/>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820" w:type="dxa"/>
            <w:vAlign w:val="bottom"/>
            <w:vMerge w:val="restart"/>
          </w:tcPr>
          <w:p>
            <w:pPr>
              <w:jc w:val="center"/>
              <w:ind w:left="239"/>
              <w:spacing w:after="0"/>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Net</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20" w:type="dxa"/>
            <w:vAlign w:val="bottom"/>
          </w:tcPr>
          <w:p>
            <w:pPr>
              <w:jc w:val="center"/>
              <w:ind w:left="239"/>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20.1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Effect of dilutive restricted</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stock units and stock options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20.1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Six-Months Ended June 30, 2014</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left="581"/>
              <w:spacing w:after="0"/>
              <w:rPr>
                <w:sz w:val="20"/>
                <w:szCs w:val="20"/>
                <w:color w:val="auto"/>
              </w:rPr>
            </w:pPr>
            <w:r>
              <w:rPr>
                <w:rFonts w:ascii="Arial" w:cs="Arial" w:eastAsia="Arial" w:hAnsi="Arial"/>
                <w:sz w:val="14"/>
                <w:szCs w:val="14"/>
                <w:b w:val="1"/>
                <w:bCs w:val="1"/>
                <w:color w:val="auto"/>
                <w:w w:val="93"/>
              </w:rPr>
              <w:t>Six-Months Ended June 30, 2013</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Weighted</w:t>
            </w:r>
          </w:p>
        </w:tc>
        <w:tc>
          <w:tcPr>
            <w:tcW w:w="300" w:type="dxa"/>
            <w:vAlign w:val="bottom"/>
          </w:tcPr>
          <w:p>
            <w:pPr>
              <w:spacing w:after="0"/>
              <w:rPr>
                <w:sz w:val="10"/>
                <w:szCs w:val="10"/>
                <w:color w:val="auto"/>
              </w:rPr>
            </w:pPr>
          </w:p>
        </w:tc>
        <w:tc>
          <w:tcPr>
            <w:tcW w:w="860" w:type="dxa"/>
            <w:vAlign w:val="bottom"/>
          </w:tcPr>
          <w:p>
            <w:pPr>
              <w:jc w:val="center"/>
              <w:ind w:right="201"/>
              <w:spacing w:after="0" w:line="119" w:lineRule="exact"/>
              <w:rPr>
                <w:sz w:val="20"/>
                <w:szCs w:val="20"/>
                <w:color w:val="auto"/>
              </w:rPr>
            </w:pPr>
            <w:r>
              <w:rPr>
                <w:rFonts w:ascii="Arial" w:cs="Arial" w:eastAsia="Arial" w:hAnsi="Arial"/>
                <w:sz w:val="13"/>
                <w:szCs w:val="13"/>
                <w:b w:val="1"/>
                <w:bCs w:val="1"/>
                <w:color w:val="auto"/>
              </w:rPr>
              <w:t>Per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0"/>
                <w:szCs w:val="10"/>
                <w:color w:val="auto"/>
              </w:rPr>
            </w:pPr>
          </w:p>
        </w:tc>
        <w:tc>
          <w:tcPr>
            <w:tcW w:w="880" w:type="dxa"/>
            <w:vAlign w:val="bottom"/>
          </w:tcPr>
          <w:p>
            <w:pPr>
              <w:jc w:val="center"/>
              <w:ind w:right="181"/>
              <w:spacing w:after="0" w:line="119" w:lineRule="exact"/>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820" w:type="dxa"/>
            <w:vAlign w:val="bottom"/>
            <w:vMerge w:val="restart"/>
          </w:tcPr>
          <w:p>
            <w:pPr>
              <w:jc w:val="center"/>
              <w:ind w:left="239"/>
              <w:spacing w:after="0"/>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Net</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20" w:type="dxa"/>
            <w:vAlign w:val="bottom"/>
          </w:tcPr>
          <w:p>
            <w:pPr>
              <w:jc w:val="center"/>
              <w:ind w:left="239"/>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29.2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Effect of dilutive restricted</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stock units and stock options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29.2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Basic earnings per share (“EPS”) are determined by dividing net income by the weighted-average common shares outstanding during the period. The calculation of diluted earnings per share includes the dilutive effect of unexercised non-qualified stock options and non-vested restricted stock units.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computation of weighted average dilutive shares outstanding excludes non-qualified stock options to purchase shares of common stock because the options’ exercise prices were greater than the average market price of the Company’s common stock for the periods presented and, therefore, the effect would be anti-dilutive.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uses Level 1 inputs for the fair values of its cash equivalents and Level 2 inputs for its long-term debt. The fair values of cash and cash equivalents, receivables and short-term borrowings approximate their carrying values due to the short-term nature of the instruments. The fair value of the Company’s debt is calculated based upon interest rates available for debt with terms and maturities similar to the Company’s existing debt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and fair value of the Company’s financial instruments as of June 30, 2014 and December 31, 2013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 at June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40" w:type="dxa"/>
            <w:vAlign w:val="bottom"/>
            <w:gridSpan w:val="6"/>
            <w:vMerge w:val="restart"/>
          </w:tcPr>
          <w:p>
            <w:pPr>
              <w:jc w:val="right"/>
              <w:ind w:right="200"/>
              <w:spacing w:after="0"/>
              <w:rPr>
                <w:sz w:val="20"/>
                <w:szCs w:val="20"/>
                <w:color w:val="auto"/>
              </w:rPr>
            </w:pPr>
            <w:r>
              <w:rPr>
                <w:rFonts w:ascii="Arial" w:cs="Arial" w:eastAsia="Arial" w:hAnsi="Arial"/>
                <w:sz w:val="14"/>
                <w:szCs w:val="14"/>
                <w:b w:val="1"/>
                <w:bCs w:val="1"/>
                <w:color w:val="auto"/>
                <w:w w:val="93"/>
              </w:rPr>
              <w:t>Fair Value Measurements at June 30, 2014</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30, 2014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Quoted</w:t>
            </w:r>
          </w:p>
        </w:tc>
        <w:tc>
          <w:tcPr>
            <w:tcW w:w="16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2"/>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Value at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gridSpan w:val="7"/>
            <w:vMerge w:val="restart"/>
          </w:tcPr>
          <w:p>
            <w:pPr>
              <w:jc w:val="right"/>
              <w:ind w:right="40"/>
              <w:spacing w:after="0"/>
              <w:rPr>
                <w:sz w:val="20"/>
                <w:szCs w:val="20"/>
                <w:color w:val="auto"/>
              </w:rPr>
            </w:pPr>
            <w:r>
              <w:rPr>
                <w:rFonts w:ascii="Arial" w:cs="Arial" w:eastAsia="Arial" w:hAnsi="Arial"/>
                <w:sz w:val="14"/>
                <w:szCs w:val="14"/>
                <w:b w:val="1"/>
                <w:bCs w:val="1"/>
                <w:color w:val="auto"/>
                <w:w w:val="94"/>
              </w:rPr>
              <w:t>Fair Value Measurements at December 31, 2013</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Quoted</w:t>
            </w:r>
          </w:p>
        </w:tc>
        <w:tc>
          <w:tcPr>
            <w:tcW w:w="16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6" w:name="page7"/>
    <w:bookmarkEnd w:id="6"/>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consists of two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for the three and six-month periods ended June 30, 2014 and 2013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214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321.1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310.0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615.7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609.9</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18"/>
                <w:szCs w:val="18"/>
                <w:color w:val="auto"/>
              </w:rPr>
            </w:pPr>
          </w:p>
        </w:tc>
      </w:tr>
      <w:tr>
        <w:trPr>
          <w:trHeight w:val="250"/>
        </w:trPr>
        <w:tc>
          <w:tcPr>
            <w:tcW w:w="3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w:t>
            </w:r>
          </w:p>
        </w:tc>
        <w:tc>
          <w:tcPr>
            <w:tcW w:w="13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3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1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214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32.8</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0"/>
        </w:trPr>
        <w:tc>
          <w:tcPr>
            <w:tcW w:w="3700" w:type="dxa"/>
            <w:vAlign w:val="bottom"/>
          </w:tcPr>
          <w:p>
            <w:pPr>
              <w:ind w:left="540"/>
              <w:spacing w:after="0"/>
              <w:rPr>
                <w:sz w:val="20"/>
                <w:szCs w:val="20"/>
                <w:color w:val="auto"/>
              </w:rPr>
            </w:pPr>
            <w:r>
              <w:rPr>
                <w:rFonts w:ascii="Arial" w:cs="Arial" w:eastAsia="Arial" w:hAnsi="Arial"/>
                <w:sz w:val="18"/>
                <w:szCs w:val="18"/>
                <w:color w:val="auto"/>
              </w:rPr>
              <w:t>Total operating income</w:t>
            </w:r>
          </w:p>
        </w:tc>
        <w:tc>
          <w:tcPr>
            <w:tcW w:w="1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r>
      <w:tr>
        <w:trPr>
          <w:trHeight w:val="210"/>
        </w:trPr>
        <w:tc>
          <w:tcPr>
            <w:tcW w:w="37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00" w:type="dxa"/>
            <w:vAlign w:val="bottom"/>
          </w:tcPr>
          <w:p>
            <w:pPr>
              <w:spacing w:after="0"/>
              <w:rPr>
                <w:sz w:val="24"/>
                <w:szCs w:val="24"/>
                <w:color w:val="auto"/>
              </w:rPr>
            </w:pPr>
          </w:p>
        </w:tc>
        <w:tc>
          <w:tcPr>
            <w:tcW w:w="2140" w:type="dxa"/>
            <w:vAlign w:val="bottom"/>
            <w:gridSpan w:val="2"/>
          </w:tcPr>
          <w:p>
            <w:pPr>
              <w:jc w:val="right"/>
              <w:ind w:right="6"/>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condensed consolidated financial statements and related notes, and the other financial information appearing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and similar expressions, or future or conditional verbs such as “will,” “would,” “should,” “could,” “may” or similar expressions.</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factors that are described in Part I, Item 1A under the caption of “Risk Factors” of Matson’s Annual Report on Form 10-K for the year ended December 31, 2013, filed with the Securities Exchange Commission on February 28, 2014.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2013, and the Company’s reports filed on Forms 10-Q and 8-K, and other publicly available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In the second quarter 2014, market growth returned to the Hawaii trade; however, the Company experienced modest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losses in eastbound backhaul freight and Pacific Northwest originated commodity freight. For the second half 2014, the Company expects growth in the Hawaii trade to continue, with its Hawaii volume expected to be flat to slightly up compared to the second half of 2013. A competitor is expected to launch new containership capacity into the Hawaii trade late in 2014 and therefore is not expected to have any material impact on the Company’s volume for the remainder of the year. In the China trade, overcapacity is expected to continue, with vessel deliveries outpacing demand growth. However, the Company expects to maintain its volume and average freight rates with high vessel utilization levels, as its expedited service continues to realize a premium to market rates. In Guam, muted growth is expected and the Company envisions its volume to be modestly better than 2013, assuming no new competitors enter the market.</w:t>
      </w:r>
    </w:p>
    <w:p>
      <w:pPr>
        <w:sectPr>
          <w:pgSz w:w="11900" w:h="16838" w:orient="portrait"/>
          <w:cols w:equalWidth="0" w:num="1">
            <w:col w:w="11460"/>
          </w:cols>
          <w:pgMar w:left="240" w:top="580" w:right="199" w:bottom="121" w:gutter="0" w:footer="0" w:header="0"/>
        </w:sectPr>
      </w:pPr>
    </w:p>
    <w:bookmarkStart w:id="7" w:name="page8"/>
    <w:bookmarkEnd w:id="7"/>
    <w:p>
      <w:pPr>
        <w:spacing w:after="0" w:line="2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the second half 2014, the Company expects ocean transportation operating income to significantly increase from the level achieved in the second half of 2013, which was $51.4 million (exclusive of a $9.95 million litigation charge). For the full year 2014, ocean transportation operating income is expected to be near or slightly above the level achieved in 2013, which was $104.3 million (exclusive of the $9.95 million litigation charge). This outlook excludes any future impact from the September 2013 molasses incident.</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second half of 2014, the Company expects operating income to be near or slightly higher than comparable 2013 levels, and therefore expects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income to modestly exceed the full year 2013 level of $6.0 million. The Company expects continuing improvement in volume growth, expense control and warehouse operations.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2014 to increase over the 2013 amount by approximately $3.5 million due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financing transaction that closed on January 28, 2014.</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The Company expects the full year 2014 effective tax rate to be approximately 40 percent.</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Company expects maintenance capital expenditures for 2014 to be approximately $40.0 million. Additionally, while the Company does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any scheduled contract payments in 2014 related to its two vessels under construction, it does expect to make additional contributions to its Capital Construction Fund (“CCF”). These deposits could be significant and will have the effect of deferring a portion of the Company’s current cash tax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Three-month Periods ended June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6"/>
              </w:rPr>
              <w:t>Three-Months Ended June 30</w:t>
            </w:r>
          </w:p>
        </w:tc>
        <w:tc>
          <w:tcPr>
            <w:tcW w:w="1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8"/>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380.1</w:t>
            </w:r>
          </w:p>
        </w:tc>
        <w:tc>
          <w:tcPr>
            <w:tcW w:w="2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0.42</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0.47</w:t>
            </w:r>
          </w:p>
        </w:tc>
        <w:tc>
          <w:tcPr>
            <w:tcW w:w="280" w:type="dxa"/>
            <w:vAlign w:val="bottom"/>
            <w:vMerge w:val="continue"/>
          </w:tcPr>
          <w:p>
            <w:pPr>
              <w:spacing w:after="0"/>
              <w:rPr>
                <w:sz w:val="17"/>
                <w:szCs w:val="17"/>
                <w:color w:val="auto"/>
              </w:rPr>
            </w:pPr>
          </w:p>
        </w:tc>
        <w:tc>
          <w:tcPr>
            <w:tcW w:w="16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0.42</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0.47</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Consolidated operating revenue for the second quarter 2014 increased $19.8 million, or 4.8 percent, compared to 2013. This increase was due to $11.1 million and $8.7 million in higher revenue from ocean transportation and logistics services, respectively.</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Operating costs and expenses for the second quarter 2014 increased $20.6 million, or 5.4 percent, compared to 2013. The increase was due to a $12.6 million and $8.0 million increase in operating costs from ocean transportation and logistics segment, respectively. Changes in operating revenue and expense are described below in the Analysis of Operating Revenue and Income by Segment, as part of the discussion of trends in operating revenues and operating.</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expense increased $0.9 million to $4.5 million for the second quarter of 2014 compared to $3.6 million in 2013. The increase was due to increased borrowings in the second quarter 2014 compared to 2013.</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Income tax expense was $13.1 million or 42.0% of net income before income taxes for the second quarter of 2014, compared to $12.8 million or 38.9% of net income before income taxes in 2013. The increase in the income tax rate was due to certain non-recurring costs in the second quarter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Six-month Periods ended June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300" w:type="dxa"/>
            <w:vAlign w:val="bottom"/>
            <w:vMerge w:val="restart"/>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Six-Months Ended June 30</w:t>
            </w:r>
          </w:p>
        </w:tc>
        <w:tc>
          <w:tcPr>
            <w:tcW w:w="1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756.1</w:t>
            </w:r>
          </w:p>
        </w:tc>
        <w:tc>
          <w:tcPr>
            <w:tcW w:w="2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2"/>
            <w:vMerge w:val="continue"/>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0.50</w:t>
            </w:r>
          </w:p>
        </w:tc>
        <w:tc>
          <w:tcPr>
            <w:tcW w:w="1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0.68</w:t>
            </w:r>
          </w:p>
        </w:tc>
        <w:tc>
          <w:tcPr>
            <w:tcW w:w="280" w:type="dxa"/>
            <w:vAlign w:val="bottom"/>
            <w:vMerge w:val="continue"/>
          </w:tcPr>
          <w:p>
            <w:pPr>
              <w:spacing w:after="0"/>
              <w:rPr>
                <w:sz w:val="17"/>
                <w:szCs w:val="17"/>
                <w:color w:val="auto"/>
              </w:rPr>
            </w:pPr>
          </w:p>
        </w:tc>
        <w:tc>
          <w:tcPr>
            <w:tcW w:w="16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(26.5)%</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5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Consolidated operating revenue for the six-month period ended June 30, 2014 increased $17.6 million, or 2.2 percent, compared to 2013. This increase was due to $5.8 million and $11.8 million in higher revenue from ocean transportation and logistics services, respectively.</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Operating costs and expenses for the six-month period ended June 30, 2014 increased $27.2 million, or 3.6 percent, compared to 2013. The increase was due to a $16.4 million and $10.8 million increase in operating costs from ocean transportation and logistics segment, respectively. Changes in operating revenue and expense are described below in the Analysis of Operating Revenue and Income by Segment, as part of the discussion of trends in operating revenues and operating.</w:t>
      </w:r>
    </w:p>
    <w:p>
      <w:pPr>
        <w:sectPr>
          <w:pgSz w:w="11900" w:h="16858" w:orient="portrait"/>
          <w:cols w:equalWidth="0" w:num="1">
            <w:col w:w="11460"/>
          </w:cols>
          <w:pgMar w:left="240" w:top="125" w:right="199" w:bottom="0" w:gutter="0" w:footer="0" w:header="0"/>
        </w:sectPr>
      </w:pPr>
    </w:p>
    <w:bookmarkStart w:id="8" w:name="page9"/>
    <w:bookmarkEnd w:id="8"/>
    <w:p>
      <w:pPr>
        <w:ind w:right="80"/>
        <w:spacing w:after="0" w:line="277" w:lineRule="auto"/>
        <w:rPr>
          <w:sz w:val="20"/>
          <w:szCs w:val="20"/>
          <w:color w:val="auto"/>
        </w:rPr>
      </w:pPr>
      <w:r>
        <w:rPr>
          <w:rFonts w:ascii="Arial" w:cs="Arial" w:eastAsia="Arial" w:hAnsi="Arial"/>
          <w:sz w:val="18"/>
          <w:szCs w:val="18"/>
          <w:color w:val="auto"/>
        </w:rPr>
        <w:t>Interest expense increased $1.3 million to $8.6 million for the six-month period ended June 30, 2014 compared to $7.3 million in 2013. The increase was due to increased borrowings in the six-month period ended June 30, 2014 compared to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$15.5 million or 41.9% of net income before income taxes for the six-month period ended June 30, 2014, compared to $18.7 million or 39.0% of net income for 2013. The increase in the income tax rate was due to certain non-recurring costs that increased the tax rate in the six-month period ended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Three-month Periods ended June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Three-Months Ended June 30</w:t>
            </w: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36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275.7</w:t>
            </w:r>
          </w:p>
        </w:tc>
        <w:tc>
          <w:tcPr>
            <w:tcW w:w="2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8"/>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Volume (Units) (1)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35,700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Hawaii automobiles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23,200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China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Guam containers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6,100</w:t>
            </w:r>
          </w:p>
        </w:tc>
        <w:tc>
          <w:tcPr>
            <w:tcW w:w="2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Micronesia/South Pacific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80" w:hanging="328"/>
        <w:spacing w:after="0" w:line="264" w:lineRule="auto"/>
        <w:tabs>
          <w:tab w:leader="none" w:pos="6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Ocean transportation revenue increased $11.1 million or 3.6 percent during the second quarter 2014 compared with 2013. The increase was due primarily to higher freight yields across all major trade lanes and higher fuel surcharge revenue; partially offset by lower Hawaii container and automobile volume.</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second quarter 2014 compared with 2013, Hawaii container volume decreased 2.5 percent due primarily to lower eastbound freight; China volume increased modestly reflecting continued high utilization and demand for Matson’s premium expedited service; Guam volume increased modestly due to timing of shipments; and Micronesia/South Pacific volume increased 29.2 percent due to reconfiguration of the South Pacific service. Hawaii automobile volume decreased 15.5 percent primarily due to certain customer losses.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Ocean transportation operating income decreased $1.5 million, or 4.4 percent, during the second quarter 2014 compared with 2013. The decrease can be attributed primarily to increased vessel operating expenses associated with reserve vessel deployment for dry-dock and other relief activities, and increased terminal handling expenses. In addition, the Company incurred $1.2 million in legal and other expenses related to the molasses released into Honolulu Harbor in September 2013. Partially offsetting these decreases to operating income were higher freight yields across all major trade lanes and lower outside transportation costs.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Company’s SSAT terminal joint venture investment contributed $2.1 million during the second quarter 2014, compared to a $0.8 million loss in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attributable to increased lift volume and the timing of wharfage payments.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Six-month Periods ended June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Six-Months Ended June 30</w:t>
            </w:r>
          </w:p>
        </w:tc>
        <w:tc>
          <w:tcPr>
            <w:tcW w:w="1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380" w:type="dxa"/>
            <w:vAlign w:val="bottom"/>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557.1</w:t>
            </w:r>
          </w:p>
        </w:tc>
        <w:tc>
          <w:tcPr>
            <w:tcW w:w="2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Volume (Units) (1)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Hawaii automobiles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42,800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46,200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China containers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Guam containers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11,900</w:t>
            </w:r>
          </w:p>
        </w:tc>
        <w:tc>
          <w:tcPr>
            <w:tcW w:w="2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Micronesia/South Pacific Containers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80" w:hanging="328"/>
        <w:spacing w:after="0" w:line="264"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Ocean transportation revenue increased $5.8 million, or 1.0 percent, during the six-month period ended June 30, 2014 compared to 2013. The increase was due primarily to higher freight yields across all major trade lanes and increased volume in the South Pacific; partially offset by lower fuel surcharge revenue and lower Hawaii container and automobile volume.</w:t>
      </w:r>
    </w:p>
    <w:p>
      <w:pPr>
        <w:sectPr>
          <w:pgSz w:w="11900" w:h="16838" w:orient="portrait"/>
          <w:cols w:equalWidth="0" w:num="1">
            <w:col w:w="11420"/>
          </w:cols>
          <w:pgMar w:left="240" w:top="341" w:right="239" w:bottom="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During the six-month period ended June 30, 2014, Hawaii container volume decreased 2.7 percent primarily to lower eastbound freight; China volume was effectively flat; Guam volume increased modestly due to timing of shipments; and Micronesia/South Pacific volume increased 31.3 percent reflecting a full six-months of operations and service reconfiguration in the South Pacific. Hawaii automobile volume decreased 7.4 percent primarily due to certain customer losses.</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Ocean transportation operating income decreased $10.6 million, or 20.1 percent, during the six-month period ended June 30, 2014 compared with 2013. The decrease can be attributed primarily to the timing of fuel surcharge collections in the first quarter 2014 and increased vessel operating associated with reserve vessel deployment for dry-dock and other relief activities in the second quarter 2014, and increased terminal handling expenses. In addition, the Company incurred $2.2 million in legal and other expenses related to the molasses released into Honolulu Harbor in September 2013. Partially offsetting these decreases to operating income were higher freight yields across all major trade lanes and lower outside transportation costs.</w:t>
      </w:r>
    </w:p>
    <w:p>
      <w:pPr>
        <w:spacing w:after="0" w:line="15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Company’s SSAT terminal joint venture investment contributed $2.3 million during the six-month period ended June 30, 2014, compared to a $0.6 million loss in 2013. The increase was primarily attributable to increased lift volume and the timing of wharfage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Three-month Periods ended June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Three-Months Ended June 30</w:t>
            </w:r>
          </w:p>
        </w:tc>
        <w:tc>
          <w:tcPr>
            <w:tcW w:w="1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Highway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3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8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104.4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20"/>
                <w:szCs w:val="20"/>
                <w:color w:val="auto"/>
              </w:rPr>
            </w:pPr>
          </w:p>
        </w:tc>
        <w:tc>
          <w:tcPr>
            <w:tcW w:w="1360" w:type="dxa"/>
            <w:vAlign w:val="bottom"/>
            <w:gridSpan w:val="2"/>
          </w:tcPr>
          <w:p>
            <w:pPr>
              <w:jc w:val="right"/>
              <w:ind w:right="68"/>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Logistics revenue increased $8.7 million, or 8.2 percent, during the second quarter 2014 compared to 2013. This increase was primarily due to higher highway volume.</w:t>
      </w:r>
    </w:p>
    <w:p>
      <w:pPr>
        <w:spacing w:after="0" w:line="17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Logistics operating income increased by $0.7 million during the second quarter 2014 compared to 2013. The increase was primarily due to a favorable litigation settlement, warehouse operating improvements, and increased highway volume, partially offset by lower intermodal yield.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Six-month Periods ended June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vMerge w:val="restart"/>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Six-Months Ended June 30</w:t>
            </w:r>
          </w:p>
        </w:tc>
        <w:tc>
          <w:tcPr>
            <w:tcW w:w="1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Highway revenue</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79.2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0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199.0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Logistics revenue increased $11.8 million, or 5.9 percent, during the six-month period ended June 30, 2014 compared to 2013. This increase was primarily the result of higher highway and international intermodal volume; partially offset by lower domestic intermodal volume.</w:t>
      </w:r>
    </w:p>
    <w:p>
      <w:pPr>
        <w:spacing w:after="0" w:line="14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Logistics operating income increased by $1.0 million during the six-month period ended June 30, 2014 compared to 2013. The increase was primarily due to a favorable litigation settlement, warehouse operating improvements and increased highway volume, partially offset by lower intermodal yield.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Cash flows provided by operating activities are generally the Company’s primary source of liquidity. Additional sources of liquidity were provided by available cash and cash equivalent balances as well as borrowings on available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Cash flows provided by operating activities were $49.2 million for the six-month period ended June 30, 2014, compared with $79.5 million for 2013. The decrease in cash flows provided by operating activities was primarily due to an increase in accounts receivable, and prepaid and other assets, a decrease in net income, and accounts payable and accrued liabilities; offset by the benefit from the change in deferred income taxes, and an increase in other liabilities.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flows used in investing activities were $19.0 million for the six-month period ended June 30, 2014, compared with $16.5 million for 2013. The increase in cash flows used in investing activities was primarily due increased capital expenditures, offset by payments for acquisitions of $9.6 million in 2013. Capital expenditures were $20.2 million for the six-month period ended June 30, 2014, compared to $9.8 million for 2013, and primarily related to the ocean transportation segment.</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flows provided by financing activities were $79.0 million for the six-month period ended June 30, 2014, compared to cash flows used in financing activities of $43.8 million for 2013. The change was primarily due to increased proceeds from issuance of long-term debt net of repayments of $93.8 million during the six-month period ended June 30, 2014, offset by higher debt repayments during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Liquidity:</w:t>
      </w:r>
    </w:p>
    <w:p>
      <w:pPr>
        <w:sectPr>
          <w:pgSz w:w="11900" w:h="16838" w:orient="portrait"/>
          <w:cols w:equalWidth="0" w:num="1">
            <w:col w:w="11400"/>
          </w:cols>
          <w:pgMar w:left="240" w:top="125" w:right="259" w:bottom="5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Additional sources of liquidity totaled $420.4 million at June 30, 2014, consisting of cash and cash equivalents, and accounts receivables, an increase of</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$123.6 million compared to December 31, 2013. The increase was due primarily to a $109.2 million and $14.4 million increase in cash and cash equivalents, and accounts receivable, respectively. The Company had working capital of $256.5 million at June 30, 2014, compared to $148.3 million at December 31, 2013.</w:t>
      </w:r>
    </w:p>
    <w:p>
      <w:pPr>
        <w:spacing w:after="0" w:line="190" w:lineRule="exact"/>
        <w:rPr>
          <w:sz w:val="20"/>
          <w:szCs w:val="20"/>
          <w:color w:val="auto"/>
        </w:rPr>
      </w:pPr>
    </w:p>
    <w:p>
      <w:pPr>
        <w:ind w:firstLine="36"/>
        <w:spacing w:after="0" w:line="277" w:lineRule="auto"/>
        <w:rPr>
          <w:sz w:val="20"/>
          <w:szCs w:val="20"/>
          <w:color w:val="auto"/>
        </w:rPr>
      </w:pPr>
      <w:r>
        <w:rPr>
          <w:rFonts w:ascii="Arial" w:cs="Arial" w:eastAsia="Arial" w:hAnsi="Arial"/>
          <w:sz w:val="18"/>
          <w:szCs w:val="18"/>
          <w:color w:val="auto"/>
        </w:rPr>
        <w:t>Total debt was $379.9 million as of June 30, 2014, compared with $286.1 million at December 31, 2013. The increase in debt is primarily due to the issuance of $100 million of 30-year senior unsecured notes during the first quarter of 2014, offset by repayments of debt.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Except as described below, there were no material changes during this quarter to the Company’s contractual obligations and commitments that are described in Item 7 of the Company’s Annual Report filed on Form 10-K for the year ended December 31, 2013. The Company does not have any off-balance sheet arrangements.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and SSAT are members of the Pacific Maritime Association (“PMA”), which on behalf of its members, negotiates collective bargaining agreements with the International Longshore and Warehouse Union (“ILWU”) on the U.S. Pacific Coast. The PMA/ILWU collective bargaining agreements, that cover substantially all U.S. Pacific Coast longshore labor, expired on July 1, 2014. The Company also has collective bargaining agreements with ILWU longshore labor in Hawaii and ILWU office clerical workers in Honolulu and Oakland, each of which expired on June 30, 2014. Although PMA’s and Matson’s collective bargaining agreements have expired, Matson and SSAT workers subject to these collective bargaining agreements are currently performing their work activities while contract negotiations continue. Matson expects that new agreements will be reached without significant disruption to its or SSAT’s operations; however, no assurance can be given that a disruption will not occur, and if a significant disruption were to occur, this would have a material impact on the Company’s financial position, results of operations, or cash flows.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description of contingencies at June 30, 2014, is included in Note 6 to the condensed consolidated financial statements of Item 1 in this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policies as discussed in Item 7 of the Company’s Annual Report filed on Form 10-K for the year ended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third quarter dividend of $0.17 per share to shareholders was declared on June 26, 2014, to shareholders of record on August 7, 2014, and will be paid on September 4,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have been no material changes to the Company’s market risk position from the information provided under Part II, Item 7A, “Quantitative and Qualitative Disclosures About Market Risk,” of our 2013 Annual Report filed on Form 10-K for the year ended December 31, 2013, except for the inclusion of the $100 million 30-year senior unsecured notes issued in January 2014, in the table below.</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Company’s debt obligations at June 30, 2014, presenting principal cash flows and related interest rates by the expected fiscal year of repayment: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14"/>
          </w:tcPr>
          <w:p>
            <w:pPr>
              <w:jc w:val="right"/>
              <w:ind w:right="820"/>
              <w:spacing w:after="0"/>
              <w:rPr>
                <w:sz w:val="20"/>
                <w:szCs w:val="20"/>
                <w:color w:val="auto"/>
              </w:rPr>
            </w:pPr>
            <w:r>
              <w:rPr>
                <w:rFonts w:ascii="Arial" w:cs="Arial" w:eastAsia="Arial" w:hAnsi="Arial"/>
                <w:sz w:val="14"/>
                <w:szCs w:val="14"/>
                <w:b w:val="1"/>
                <w:bCs w:val="1"/>
                <w:color w:val="auto"/>
              </w:rPr>
              <w:t>Expected Fiscal Year Repayments as of June 30 (dollars in millions)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2"/>
                <w:szCs w:val="12"/>
                <w:color w:val="auto"/>
              </w:rPr>
            </w:pPr>
          </w:p>
        </w:tc>
        <w:tc>
          <w:tcPr>
            <w:tcW w:w="74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rate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Average interest rate</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Variable rate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Average interest rate</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2014, the Company’s disclosure controls and procedures are effective.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three-month period ended June 30, 2014 that have materially affected, or are reasonably likely to materially affect, the Company’s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380"/>
          </w:cols>
          <w:pgMar w:left="240" w:top="125" w:right="279" w:bottom="0" w:gutter="0" w:footer="0" w:header="0"/>
        </w:sectPr>
      </w:pPr>
    </w:p>
    <w:bookmarkStart w:id="11" w:name="page12"/>
    <w:bookmarkEnd w:id="11"/>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United States Environmental Protection Agency (Region IX). The Company continues to respond to governmental requests for information, and is engaging in dialogue with governmental agencies in order to reasonably resolve these matters.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July 31, 2014, the Company has resolved all material third-party claims that have been received. However, government agencies have not: (i) initiated any lawsuits; (ii) presented the Company with an accounting of their response costs; (iii) provided an assessment of natural resource damages; or (iv) imposed any penalties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w:t>
      </w:r>
    </w:p>
    <w:p>
      <w:pPr>
        <w:spacing w:after="0" w:line="18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Other Legal Matters: </w:t>
      </w:r>
      <w:r>
        <w:rPr>
          <w:rFonts w:ascii="Arial" w:cs="Arial" w:eastAsia="Arial" w:hAnsi="Arial"/>
          <w:sz w:val="16"/>
          <w:szCs w:val="16"/>
          <w:color w:val="auto"/>
        </w:rPr>
        <w:t>On June 10, 2013, the Company was served with a complaint filed in the United States District Court for the Central District of</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by an individual plaintiff as relator on behalf of the United States asserting claims against the Company and certain other ocean carriers and freight forwarders for violations of the False Claims Act. The case is entitled United States of America, ex rel. Mario Rizzo v. Horizon Lines, LLC et al. The qui tam complaint alleges that Matson and the other defendants submitted or created records supporting false claims for payment of fuel surcharges assessed on the shipment of military household goods for the Department of Defense. The federal government has declined to intervene in this qui tam suit. The individual plaintiff in the suit seeks damages and penalties on behalf of the federal government, and may be entitled to a portion of any recovery or settlement resulting from the suit. The plaintiff filed a Second Amended Complaint on August 23, 2013. The Company filed a motion to dismiss the complaint on September 16, 2013. On October 31, 2013, the court denied the Company’s motion. Discovery commenced and a jury trial was scheduled to begin on October 7, 2014. On February 14, 2014, Matson and the plaintiff engaged in non-binding mediation. On February 23, 2014, Matson’s Board of Directors approved a settlement of $9.0 million in full settlement of all claims, and $0.95 million for plaintiff’s legal expenses. On July 17, 2014, the settlement was approved by the United States Government and the Company paid the settlement amount. On July 22, 2014, the case was dismissed with prejudice by the District Court.</w:t>
      </w:r>
    </w:p>
    <w:p>
      <w:pPr>
        <w:spacing w:after="0" w:line="17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amends and restates the following risk factor that was previously disclosed in its Form 10-K filed with the SEC on February 28, 2014.</w:t>
      </w:r>
    </w:p>
    <w:p>
      <w:pPr>
        <w:spacing w:after="0" w:line="24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of June 30, 2014, the Company had approximately 1,043 regular active employees, of which 283 employees were covered by collective bargaining agreements with unions. Of these covered employees, approximately 250 are subject to the expired collective bargaining agreements with the ILWU. In addition, Matson’s active fleet also employs seagoing personnel in 204 billets. Each billet corresponds to a position on a ship that typically is filled by two or more employees because seagoing personnel rotate between active sea-duty and time ashore. Such employees are also subject to collective bargaining agreements. Furthermore, the Company relies on the services of third-parties including SSAT, who employ persons covered by collective bargaining agreements. The Company could be adversely affected by any actions taken by workers subject to collective bargaining agreements, or actions by their unions, such as slow-downs or strikes, which would cause disruptions to the Company’s business.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Matson and SSAT are members of the Pacific Maritime Association (“PMA”), which on behalf of its members, negotiates collective bargaining agreements with the International Longshore and Warehouse Union (“ILWU”) on the U.S. Pacific Coast. The PMA/ILWU collective bargaining agreements that cover substantially all U.S. Pacific Coast longshore labor, expired on July 1, 2014. Matson also has collective bargaining agreements with ILWU longshore labor in Hawaii and ILWU office clerical workers in Honolulu and Oakland, each of which expired on June 30, 2014. Although PMA’s and the Company’s collective bargaining agreements have expired, Matson and SSAT workers are currently performing their work activities while contract negotiations continue. The Company could be adversely affected by the outcome of these negotiations including, but not limited to, increases in labor costs and less favorable labor work practices. In addition, disruptions, strikes or lock-outs may occur as a result of the failure of the PMA (as it relates to the U.S. Pacific Coast) or the Company (as it relates to Hawaii or certain Pacific Coast office clerical workers) to successfully negotiate new collective bargaining agreements with the ILWU.</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Issuer Purchases of Equity Securities</w:t>
      </w:r>
    </w:p>
    <w:p>
      <w:pPr>
        <w:sectPr>
          <w:pgSz w:w="11900" w:h="16848" w:orient="portrait"/>
          <w:cols w:equalWidth="0" w:num="1">
            <w:col w:w="11420"/>
          </w:cols>
          <w:pgMar w:left="240" w:top="337" w:right="239" w:bottom="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Period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Total Number of</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Average Price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Paid per Share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Total Number of Shares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Purchased as Part of</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right="520" w:firstLine="49"/>
        <w:spacing w:after="0" w:line="268" w:lineRule="auto"/>
        <w:rPr>
          <w:sz w:val="20"/>
          <w:szCs w:val="20"/>
          <w:color w:val="auto"/>
        </w:rPr>
      </w:pPr>
      <w:r>
        <w:rPr>
          <w:rFonts w:ascii="Arial" w:cs="Arial" w:eastAsia="Arial" w:hAnsi="Arial"/>
          <w:sz w:val="13"/>
          <w:szCs w:val="13"/>
          <w:b w:val="1"/>
          <w:bCs w:val="1"/>
          <w:color w:val="auto"/>
        </w:rPr>
        <w:t>Maximum Number of Shares that May Yet Be</w:t>
      </w:r>
    </w:p>
    <w:p>
      <w:pPr>
        <w:spacing w:after="0" w:line="1" w:lineRule="exact"/>
        <w:rPr>
          <w:sz w:val="20"/>
          <w:szCs w:val="20"/>
          <w:color w:val="auto"/>
        </w:rPr>
      </w:pPr>
    </w:p>
    <w:p>
      <w:pPr>
        <w:sectPr>
          <w:pgSz w:w="11900" w:h="16848" w:orient="portrait"/>
          <w:cols w:equalWidth="0" w:num="5">
            <w:col w:w="2300" w:space="720"/>
            <w:col w:w="1560" w:space="720"/>
            <w:col w:w="1220" w:space="720"/>
            <w:col w:w="1500" w:space="720"/>
            <w:col w:w="1960"/>
          </w:cols>
          <w:pgMar w:left="240" w:top="337" w:right="239" w:bottom="0" w:gutter="0" w:footer="0" w:header="0"/>
          <w:type w:val="continuous"/>
        </w:sectPr>
      </w:pPr>
    </w:p>
    <w:p>
      <w:pPr>
        <w:ind w:left="3220"/>
        <w:spacing w:after="0"/>
        <w:rPr>
          <w:sz w:val="20"/>
          <w:szCs w:val="20"/>
          <w:color w:val="auto"/>
        </w:rPr>
      </w:pPr>
      <w:r>
        <w:rPr>
          <w:rFonts w:ascii="Arial" w:cs="Arial" w:eastAsia="Arial" w:hAnsi="Arial"/>
          <w:sz w:val="12"/>
          <w:szCs w:val="12"/>
          <w:b w:val="1"/>
          <w:bCs w:val="1"/>
          <w:color w:val="auto"/>
        </w:rPr>
        <w:t>Purchased</w:t>
      </w:r>
    </w:p>
    <w:p>
      <w:pPr>
        <w:sectPr>
          <w:pgSz w:w="11900" w:h="16848" w:orient="portrait"/>
          <w:cols w:equalWidth="0" w:num="1">
            <w:col w:w="11420"/>
          </w:cols>
          <w:pgMar w:left="240" w:top="337" w:right="23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Publicly Announced</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Purchased Under the</w:t>
            </w:r>
          </w:p>
        </w:tc>
      </w:tr>
      <w:tr>
        <w:trPr>
          <w:trHeight w:val="171"/>
        </w:trPr>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Plans or Programs</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Plans or Programs</w:t>
            </w:r>
          </w:p>
        </w:tc>
      </w:tr>
      <w:tr>
        <w:trPr>
          <w:trHeight w:val="210"/>
        </w:trPr>
        <w:tc>
          <w:tcPr>
            <w:tcW w:w="2260" w:type="dxa"/>
            <w:vAlign w:val="bottom"/>
            <w:tcBorders>
              <w:top w:val="single" w:sz="8" w:color="auto"/>
            </w:tcBorders>
            <w:gridSpan w:val="3"/>
            <w:shd w:val="clear" w:color="auto" w:fill="CCEEFF"/>
          </w:tcPr>
          <w:p>
            <w:pPr>
              <w:ind w:left="420"/>
              <w:spacing w:after="0"/>
              <w:rPr>
                <w:sz w:val="20"/>
                <w:szCs w:val="20"/>
                <w:color w:val="auto"/>
              </w:rPr>
            </w:pPr>
            <w:r>
              <w:rPr>
                <w:rFonts w:ascii="Arial" w:cs="Arial" w:eastAsia="Arial" w:hAnsi="Arial"/>
                <w:sz w:val="18"/>
                <w:szCs w:val="18"/>
                <w:color w:val="auto"/>
              </w:rPr>
              <w:t>April 1 — 30, 2014</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gridSpan w:val="5"/>
          </w:tcPr>
          <w:p>
            <w:pPr>
              <w:ind w:left="460"/>
              <w:spacing w:after="0"/>
              <w:rPr>
                <w:sz w:val="20"/>
                <w:szCs w:val="20"/>
                <w:color w:val="auto"/>
              </w:rPr>
            </w:pPr>
            <w:r>
              <w:rPr>
                <w:rFonts w:ascii="Arial" w:cs="Arial" w:eastAsia="Arial" w:hAnsi="Arial"/>
                <w:sz w:val="18"/>
                <w:szCs w:val="18"/>
                <w:color w:val="auto"/>
              </w:rPr>
              <w:t>May 1 — 31, 2014</w:t>
            </w:r>
          </w:p>
        </w:tc>
        <w:tc>
          <w:tcPr>
            <w:tcW w:w="24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June 1 — 30, 2014</w:t>
            </w:r>
          </w:p>
        </w:tc>
        <w:tc>
          <w:tcPr>
            <w:tcW w:w="24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392"/>
        </w:trPr>
        <w:tc>
          <w:tcPr>
            <w:tcW w:w="382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80" w:type="dxa"/>
            <w:vAlign w:val="bottom"/>
            <w:gridSpan w:val="12"/>
          </w:tcPr>
          <w:p>
            <w:pPr>
              <w:spacing w:after="0" w:line="20" w:lineRule="exact"/>
              <w:rPr>
                <w:sz w:val="1"/>
                <w:szCs w:val="1"/>
                <w:color w:val="auto"/>
              </w:rPr>
            </w:pPr>
          </w:p>
        </w:tc>
      </w:tr>
      <w:tr>
        <w:trPr>
          <w:trHeight w:val="438"/>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gridSpan w:val="13"/>
          </w:tcPr>
          <w:p>
            <w:pPr>
              <w:ind w:left="320"/>
              <w:spacing w:after="0"/>
              <w:rPr>
                <w:sz w:val="20"/>
                <w:szCs w:val="20"/>
                <w:color w:val="auto"/>
              </w:rPr>
            </w:pPr>
            <w:r>
              <w:rPr>
                <w:rFonts w:ascii="Arial" w:cs="Arial" w:eastAsia="Arial" w:hAnsi="Arial"/>
                <w:sz w:val="18"/>
                <w:szCs w:val="18"/>
                <w:color w:val="auto"/>
                <w:w w:val="91"/>
              </w:rPr>
              <w:t>Settlement Agreement dated July 17, 2014 by and among the United States of America, acting through the United States Department of</w:t>
            </w:r>
          </w:p>
        </w:tc>
      </w:tr>
      <w:tr>
        <w:trPr>
          <w:trHeight w:val="216"/>
        </w:trPr>
        <w:tc>
          <w:tcPr>
            <w:tcW w:w="1080" w:type="dxa"/>
            <w:vAlign w:val="bottom"/>
          </w:tcPr>
          <w:p>
            <w:pPr>
              <w:spacing w:after="0"/>
              <w:rPr>
                <w:sz w:val="18"/>
                <w:szCs w:val="18"/>
                <w:color w:val="auto"/>
              </w:rPr>
            </w:pPr>
          </w:p>
        </w:tc>
        <w:tc>
          <w:tcPr>
            <w:tcW w:w="10180" w:type="dxa"/>
            <w:vAlign w:val="bottom"/>
            <w:gridSpan w:val="13"/>
          </w:tcPr>
          <w:p>
            <w:pPr>
              <w:ind w:left="320"/>
              <w:spacing w:after="0"/>
              <w:rPr>
                <w:sz w:val="20"/>
                <w:szCs w:val="20"/>
                <w:color w:val="auto"/>
              </w:rPr>
            </w:pPr>
            <w:r>
              <w:rPr>
                <w:rFonts w:ascii="Arial" w:cs="Arial" w:eastAsia="Arial" w:hAnsi="Arial"/>
                <w:sz w:val="18"/>
                <w:szCs w:val="18"/>
                <w:color w:val="auto"/>
                <w:w w:val="91"/>
              </w:rPr>
              <w:t>Justice and on behalf of the United States Surface Deployment and Distribution Command, Matson Navigation Company, Inc. (together</w:t>
            </w:r>
          </w:p>
        </w:tc>
      </w:tr>
      <w:tr>
        <w:trPr>
          <w:trHeight w:val="216"/>
        </w:trPr>
        <w:tc>
          <w:tcPr>
            <w:tcW w:w="1080" w:type="dxa"/>
            <w:vAlign w:val="bottom"/>
          </w:tcPr>
          <w:p>
            <w:pPr>
              <w:spacing w:after="0"/>
              <w:rPr>
                <w:sz w:val="18"/>
                <w:szCs w:val="18"/>
                <w:color w:val="auto"/>
              </w:rPr>
            </w:pPr>
          </w:p>
        </w:tc>
        <w:tc>
          <w:tcPr>
            <w:tcW w:w="10180" w:type="dxa"/>
            <w:vAlign w:val="bottom"/>
            <w:gridSpan w:val="13"/>
          </w:tcPr>
          <w:p>
            <w:pPr>
              <w:ind w:left="320"/>
              <w:spacing w:after="0"/>
              <w:rPr>
                <w:sz w:val="20"/>
                <w:szCs w:val="20"/>
                <w:color w:val="auto"/>
              </w:rPr>
            </w:pPr>
            <w:r>
              <w:rPr>
                <w:rFonts w:ascii="Arial" w:cs="Arial" w:eastAsia="Arial" w:hAnsi="Arial"/>
                <w:sz w:val="18"/>
                <w:szCs w:val="18"/>
                <w:color w:val="auto"/>
                <w:w w:val="95"/>
              </w:rPr>
              <w:t>with Matson, Inc., and all affiliated entities) and Mario Rizzo (incorporated by reference to Exhibit 10.1 of Matson’s Form 8-K dated</w:t>
            </w:r>
          </w:p>
        </w:tc>
      </w:tr>
      <w:tr>
        <w:trPr>
          <w:trHeight w:val="230"/>
        </w:trPr>
        <w:tc>
          <w:tcPr>
            <w:tcW w:w="1080" w:type="dxa"/>
            <w:vAlign w:val="bottom"/>
          </w:tcPr>
          <w:p>
            <w:pPr>
              <w:spacing w:after="0"/>
              <w:rPr>
                <w:sz w:val="20"/>
                <w:szCs w:val="20"/>
                <w:color w:val="auto"/>
              </w:rPr>
            </w:pPr>
          </w:p>
        </w:tc>
        <w:tc>
          <w:tcPr>
            <w:tcW w:w="2740" w:type="dxa"/>
            <w:vAlign w:val="bottom"/>
            <w:gridSpan w:val="4"/>
          </w:tcPr>
          <w:p>
            <w:pPr>
              <w:ind w:left="320"/>
              <w:spacing w:after="0"/>
              <w:rPr>
                <w:sz w:val="20"/>
                <w:szCs w:val="20"/>
                <w:color w:val="auto"/>
              </w:rPr>
            </w:pPr>
            <w:r>
              <w:rPr>
                <w:rFonts w:ascii="Arial" w:cs="Arial" w:eastAsia="Arial" w:hAnsi="Arial"/>
                <w:sz w:val="18"/>
                <w:szCs w:val="18"/>
                <w:color w:val="auto"/>
              </w:rPr>
              <w:t>July 22, 2014).</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gridSpan w:val="13"/>
          </w:tcPr>
          <w:p>
            <w:pPr>
              <w:ind w:left="320"/>
              <w:spacing w:after="0"/>
              <w:rPr>
                <w:sz w:val="20"/>
                <w:szCs w:val="20"/>
                <w:color w:val="auto"/>
              </w:rPr>
            </w:pPr>
            <w:r>
              <w:rPr>
                <w:rFonts w:ascii="Arial" w:cs="Arial" w:eastAsia="Arial" w:hAnsi="Arial"/>
                <w:sz w:val="18"/>
                <w:szCs w:val="18"/>
                <w:color w:val="auto"/>
              </w:rPr>
              <w:t>Certification of Chief Executive Officer pursuant to Rule 13a-14(a) or 15d-14(a) of the Securities Exchange Act of 1934.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gridSpan w:val="13"/>
          </w:tcPr>
          <w:p>
            <w:pPr>
              <w:ind w:left="320"/>
              <w:spacing w:after="0"/>
              <w:rPr>
                <w:sz w:val="20"/>
                <w:szCs w:val="20"/>
                <w:color w:val="auto"/>
              </w:rPr>
            </w:pPr>
            <w:r>
              <w:rPr>
                <w:rFonts w:ascii="Arial" w:cs="Arial" w:eastAsia="Arial" w:hAnsi="Arial"/>
                <w:sz w:val="18"/>
                <w:szCs w:val="18"/>
                <w:color w:val="auto"/>
              </w:rPr>
              <w:t>Certification of Chief Financial Officer pursuant to Rule 13a-14(a) or 15d-14(a) of the Securities Exchange Act of 1934.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8140" w:type="dxa"/>
            <w:vAlign w:val="bottom"/>
            <w:gridSpan w:val="11"/>
          </w:tcPr>
          <w:p>
            <w:pPr>
              <w:ind w:left="320"/>
              <w:spacing w:after="0"/>
              <w:rPr>
                <w:sz w:val="20"/>
                <w:szCs w:val="20"/>
                <w:color w:val="auto"/>
              </w:rPr>
            </w:pPr>
            <w:r>
              <w:rPr>
                <w:rFonts w:ascii="Arial" w:cs="Arial" w:eastAsia="Arial" w:hAnsi="Arial"/>
                <w:sz w:val="18"/>
                <w:szCs w:val="18"/>
                <w:color w:val="auto"/>
                <w:w w:val="95"/>
              </w:rPr>
              <w:t>Certification of Chief Executive Officer and Chief Financial Officer pursuant to 18 U.S.C. Section 1350.</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2740" w:type="dxa"/>
            <w:vAlign w:val="bottom"/>
            <w:gridSpan w:val="4"/>
          </w:tcPr>
          <w:p>
            <w:pPr>
              <w:ind w:left="320"/>
              <w:spacing w:after="0"/>
              <w:rPr>
                <w:sz w:val="20"/>
                <w:szCs w:val="20"/>
                <w:color w:val="auto"/>
              </w:rPr>
            </w:pPr>
            <w:r>
              <w:rPr>
                <w:rFonts w:ascii="Arial" w:cs="Arial" w:eastAsia="Arial" w:hAnsi="Arial"/>
                <w:sz w:val="18"/>
                <w:szCs w:val="18"/>
                <w:color w:val="auto"/>
              </w:rPr>
              <w:t>XBRL Instance Document</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7"/>
          </w:tcPr>
          <w:p>
            <w:pPr>
              <w:ind w:left="320"/>
              <w:spacing w:after="0"/>
              <w:rPr>
                <w:sz w:val="20"/>
                <w:szCs w:val="20"/>
                <w:color w:val="auto"/>
              </w:rPr>
            </w:pPr>
            <w:r>
              <w:rPr>
                <w:rFonts w:ascii="Arial" w:cs="Arial" w:eastAsia="Arial" w:hAnsi="Arial"/>
                <w:sz w:val="18"/>
                <w:szCs w:val="18"/>
                <w:color w:val="auto"/>
              </w:rPr>
              <w:t>XBRL Taxonomy Extension Schema Document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7"/>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7"/>
          </w:tcPr>
          <w:p>
            <w:pPr>
              <w:ind w:left="320"/>
              <w:spacing w:after="0"/>
              <w:rPr>
                <w:sz w:val="20"/>
                <w:szCs w:val="20"/>
                <w:color w:val="auto"/>
              </w:rPr>
            </w:pPr>
            <w:r>
              <w:rPr>
                <w:rFonts w:ascii="Arial" w:cs="Arial" w:eastAsia="Arial" w:hAnsi="Arial"/>
                <w:sz w:val="18"/>
                <w:szCs w:val="18"/>
                <w:color w:val="auto"/>
              </w:rPr>
              <w:t>XBRL Taxonomy Extension Definition Linkbase Document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7"/>
          </w:tcPr>
          <w:p>
            <w:pPr>
              <w:ind w:left="320"/>
              <w:spacing w:after="0"/>
              <w:rPr>
                <w:sz w:val="20"/>
                <w:szCs w:val="20"/>
                <w:color w:val="auto"/>
              </w:rPr>
            </w:pPr>
            <w:r>
              <w:rPr>
                <w:rFonts w:ascii="Arial" w:cs="Arial" w:eastAsia="Arial" w:hAnsi="Arial"/>
                <w:sz w:val="18"/>
                <w:szCs w:val="18"/>
                <w:color w:val="auto"/>
              </w:rPr>
              <w:t>XBRL Taxonomy Extension Label Linkbase Document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7"/>
          </w:tcPr>
          <w:p>
            <w:pPr>
              <w:ind w:left="320"/>
              <w:spacing w:after="0"/>
              <w:rPr>
                <w:sz w:val="20"/>
                <w:szCs w:val="20"/>
                <w:color w:val="auto"/>
              </w:rPr>
            </w:pPr>
            <w:r>
              <w:rPr>
                <w:rFonts w:ascii="Arial" w:cs="Arial" w:eastAsia="Arial" w:hAnsi="Arial"/>
                <w:sz w:val="18"/>
                <w:szCs w:val="18"/>
                <w:color w:val="auto"/>
                <w:w w:val="97"/>
              </w:rPr>
              <w:t>XBRL Taxonomy Extension Presentation Linkbase Document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*XBRL (Extensible Business Reporting Language) information is furnished and not filed herewith, is not part of a registration statement or Prospectus for purposes of Section 11 or 12 of the Securities Act of 1933, is deemed not filed for purposes of Section 18 of the Securities Exchange Act of 1934, and otherwise is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r>
      <w:tr>
        <w:trPr>
          <w:trHeight w:val="224"/>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634"/>
        </w:trPr>
        <w:tc>
          <w:tcPr>
            <w:tcW w:w="5720" w:type="dxa"/>
            <w:vAlign w:val="bottom"/>
          </w:tcPr>
          <w:p>
            <w:pPr>
              <w:spacing w:after="0"/>
              <w:rPr>
                <w:sz w:val="20"/>
                <w:szCs w:val="20"/>
                <w:color w:val="auto"/>
              </w:rPr>
            </w:pPr>
            <w:r>
              <w:rPr>
                <w:rFonts w:ascii="Arial" w:cs="Arial" w:eastAsia="Arial" w:hAnsi="Arial"/>
                <w:sz w:val="18"/>
                <w:szCs w:val="18"/>
                <w:color w:val="auto"/>
              </w:rPr>
              <w:t>Date: July 31, 2014</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Joel M. Wine</w:t>
            </w: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4"/>
              </w:rPr>
              <w:t>Joel M. Wine</w:t>
            </w: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Senior Vice President and</w:t>
            </w: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648"/>
        </w:trPr>
        <w:tc>
          <w:tcPr>
            <w:tcW w:w="5720" w:type="dxa"/>
            <w:vAlign w:val="bottom"/>
          </w:tcPr>
          <w:p>
            <w:pPr>
              <w:spacing w:after="0"/>
              <w:rPr>
                <w:sz w:val="20"/>
                <w:szCs w:val="20"/>
                <w:color w:val="auto"/>
              </w:rPr>
            </w:pPr>
            <w:r>
              <w:rPr>
                <w:rFonts w:ascii="Arial" w:cs="Arial" w:eastAsia="Arial" w:hAnsi="Arial"/>
                <w:sz w:val="18"/>
                <w:szCs w:val="18"/>
                <w:color w:val="auto"/>
              </w:rPr>
              <w:t>Date: July 31, 2014</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Dale B. Hendler</w:t>
            </w: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Dale B. Hendler</w:t>
            </w: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Vice President and Controller,</w:t>
            </w: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r>
    </w:tbl>
    <w:p>
      <w:pPr>
        <w:spacing w:after="0" w:line="200" w:lineRule="exact"/>
        <w:rPr>
          <w:sz w:val="20"/>
          <w:szCs w:val="20"/>
          <w:color w:val="auto"/>
        </w:rPr>
      </w:pPr>
    </w:p>
    <w:p>
      <w:pPr>
        <w:sectPr>
          <w:pgSz w:w="11900" w:h="16838" w:orient="portrait"/>
          <w:cols w:equalWidth="0" w:num="1">
            <w:col w:w="11420"/>
          </w:cols>
          <w:pgMar w:left="240" w:top="104"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8"/>
        <w:spacing w:after="0" w:line="264" w:lineRule="auto"/>
        <w:tabs>
          <w:tab w:leader="none" w:pos="6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8"/>
        <w:spacing w:after="0" w:line="277" w:lineRule="auto"/>
        <w:tabs>
          <w:tab w:leader="none" w:pos="6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8"/>
        <w:spacing w:after="0" w:line="26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60" w:firstLine="8"/>
        <w:spacing w:after="0" w:line="308" w:lineRule="auto"/>
        <w:tabs>
          <w:tab w:leader="none" w:pos="64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Matthew J. Cox,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8"/>
        <w:spacing w:after="0" w:line="264" w:lineRule="auto"/>
        <w:tabs>
          <w:tab w:leader="none" w:pos="6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8"/>
        <w:spacing w:after="0" w:line="277" w:lineRule="auto"/>
        <w:tabs>
          <w:tab w:leader="none" w:pos="6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60" w:firstLine="8"/>
        <w:spacing w:after="0" w:line="308" w:lineRule="auto"/>
        <w:tabs>
          <w:tab w:leader="none" w:pos="64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6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80"/>
        <w:spacing w:after="0"/>
        <w:tabs>
          <w:tab w:leader="none" w:pos="6160" w:val="left"/>
        </w:tabs>
        <w:rPr>
          <w:sz w:val="20"/>
          <w:szCs w:val="20"/>
          <w:color w:val="auto"/>
        </w:rPr>
      </w:pPr>
      <w:r>
        <w:rPr>
          <w:rFonts w:ascii="Arial" w:cs="Arial" w:eastAsia="Arial" w:hAnsi="Arial"/>
          <w:sz w:val="18"/>
          <w:szCs w:val="18"/>
          <w:color w:val="auto"/>
        </w:rPr>
        <w:t>By</w:t>
        <w:tab/>
        <w:t>/s/ Joel M. Wine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Joel M. Wine, 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104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on Form 10-Q of Matson, Inc. (the “Company”) for the quarterly period ended June 30, 2014,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8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Matthew J. Cox</w:t>
            </w:r>
          </w:p>
        </w:tc>
        <w:tc>
          <w:tcPr>
            <w:tcW w:w="5740" w:type="dxa"/>
            <w:vAlign w:val="bottom"/>
          </w:tcPr>
          <w:p>
            <w:pPr>
              <w:spacing w:after="0"/>
              <w:rPr>
                <w:sz w:val="16"/>
                <w:szCs w:val="16"/>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57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ind w:left="160"/>
              <w:spacing w:after="0"/>
              <w:rPr>
                <w:sz w:val="20"/>
                <w:szCs w:val="20"/>
                <w:color w:val="auto"/>
              </w:rPr>
            </w:pPr>
            <w:r>
              <w:rPr>
                <w:rFonts w:ascii="Arial" w:cs="Arial" w:eastAsia="Arial" w:hAnsi="Arial"/>
                <w:sz w:val="18"/>
                <w:szCs w:val="18"/>
                <w:color w:val="auto"/>
              </w:rPr>
              <w:t>July 31, 2014</w:t>
            </w:r>
          </w:p>
        </w:tc>
        <w:tc>
          <w:tcPr>
            <w:tcW w:w="5740" w:type="dxa"/>
            <w:vAlign w:val="bottom"/>
          </w:tcPr>
          <w:p>
            <w:pPr>
              <w:spacing w:after="0"/>
              <w:rPr>
                <w:sz w:val="20"/>
                <w:szCs w:val="20"/>
                <w:color w:val="auto"/>
              </w:rPr>
            </w:pPr>
          </w:p>
        </w:tc>
      </w:tr>
      <w:tr>
        <w:trPr>
          <w:trHeight w:val="648"/>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5740" w:type="dxa"/>
            <w:vAlign w:val="bottom"/>
          </w:tcPr>
          <w:p>
            <w:pPr>
              <w:spacing w:after="0"/>
              <w:rPr>
                <w:sz w:val="24"/>
                <w:szCs w:val="24"/>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195" w:lineRule="exact"/>
              <w:rPr>
                <w:sz w:val="20"/>
                <w:szCs w:val="20"/>
                <w:color w:val="auto"/>
              </w:rPr>
            </w:pPr>
            <w:r>
              <w:rPr>
                <w:rFonts w:ascii="Arial" w:cs="Arial" w:eastAsia="Arial" w:hAnsi="Arial"/>
                <w:sz w:val="18"/>
                <w:szCs w:val="18"/>
                <w:color w:val="auto"/>
              </w:rPr>
              <w:t>Joel M. Wine</w:t>
            </w:r>
          </w:p>
        </w:tc>
        <w:tc>
          <w:tcPr>
            <w:tcW w:w="5740" w:type="dxa"/>
            <w:vAlign w:val="bottom"/>
          </w:tcPr>
          <w:p>
            <w:pPr>
              <w:spacing w:after="0"/>
              <w:rPr>
                <w:sz w:val="16"/>
                <w:szCs w:val="16"/>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57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ind w:left="160"/>
              <w:spacing w:after="0"/>
              <w:rPr>
                <w:sz w:val="20"/>
                <w:szCs w:val="20"/>
                <w:color w:val="auto"/>
              </w:rPr>
            </w:pPr>
            <w:r>
              <w:rPr>
                <w:rFonts w:ascii="Arial" w:cs="Arial" w:eastAsia="Arial" w:hAnsi="Arial"/>
                <w:sz w:val="18"/>
                <w:szCs w:val="18"/>
                <w:color w:val="auto"/>
              </w:rPr>
              <w:t>July 31, 2014</w:t>
            </w:r>
          </w:p>
        </w:tc>
        <w:tc>
          <w:tcPr>
            <w:tcW w:w="5740" w:type="dxa"/>
            <w:vAlign w:val="bottom"/>
          </w:tcPr>
          <w:p>
            <w:pPr>
              <w:spacing w:after="0"/>
              <w:rPr>
                <w:sz w:val="20"/>
                <w:szCs w:val="20"/>
                <w:color w:val="auto"/>
              </w:rPr>
            </w:pPr>
          </w:p>
        </w:tc>
      </w:tr>
      <w:tr>
        <w:trPr>
          <w:trHeight w:val="348"/>
        </w:trPr>
        <w:tc>
          <w:tcPr>
            <w:tcW w:w="66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2019-12-05T02:45:30Z</dcterms:created>
  <dcterms:modified xsi:type="dcterms:W3CDTF">2019-12-05T02:45:30Z</dcterms:modified>
</cp:coreProperties>
</file>