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126365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640" w:right="1220" w:hanging="325"/>
        <w:spacing w:after="0" w:line="256" w:lineRule="auto"/>
        <w:tabs>
          <w:tab w:leader="none" w:pos="8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640" w:right="1200" w:hanging="325"/>
        <w:spacing w:after="0" w:line="256" w:lineRule="auto"/>
        <w:tabs>
          <w:tab w:leader="none" w:pos="8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5020" w:type="dxa"/>
            <w:vAlign w:val="bottom"/>
          </w:tcPr>
          <w:p>
            <w:pPr>
              <w:ind w:left="1880"/>
              <w:spacing w:after="0"/>
              <w:rPr>
                <w:sz w:val="20"/>
                <w:szCs w:val="20"/>
                <w:color w:val="auto"/>
              </w:rPr>
            </w:pPr>
            <w:r>
              <w:rPr>
                <w:rFonts w:ascii="Arial" w:cs="Arial" w:eastAsia="Arial" w:hAnsi="Arial"/>
                <w:sz w:val="18"/>
                <w:szCs w:val="18"/>
                <w:b w:val="1"/>
                <w:bCs w:val="1"/>
                <w:color w:val="auto"/>
              </w:rPr>
              <w:t>For the transition period from</w:t>
            </w:r>
          </w:p>
        </w:tc>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365"/>
        </w:trPr>
        <w:tc>
          <w:tcPr>
            <w:tcW w:w="7280" w:type="dxa"/>
            <w:vAlign w:val="bottom"/>
            <w:gridSpan w:val="2"/>
          </w:tcPr>
          <w:p>
            <w:pPr>
              <w:jc w:val="center"/>
              <w:ind w:left="66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99"/>
        </w:trPr>
        <w:tc>
          <w:tcPr>
            <w:tcW w:w="5020" w:type="dxa"/>
            <w:vAlign w:val="bottom"/>
          </w:tcPr>
          <w:p>
            <w:pPr>
              <w:jc w:val="center"/>
              <w:ind w:left="2903"/>
              <w:spacing w:after="0"/>
              <w:rPr>
                <w:sz w:val="20"/>
                <w:szCs w:val="20"/>
                <w:color w:val="auto"/>
              </w:rPr>
            </w:pPr>
            <w:r>
              <w:rPr>
                <w:rFonts w:ascii="Arial" w:cs="Arial" w:eastAsia="Arial" w:hAnsi="Arial"/>
                <w:sz w:val="32"/>
                <w:szCs w:val="32"/>
                <w:b w:val="1"/>
                <w:bCs w:val="1"/>
                <w:color w:val="auto"/>
                <w:w w:val="94"/>
              </w:rPr>
              <w:t>Matson, Inc.</w:t>
            </w:r>
          </w:p>
        </w:tc>
        <w:tc>
          <w:tcPr>
            <w:tcW w:w="2260" w:type="dxa"/>
            <w:vAlign w:val="bottom"/>
          </w:tcPr>
          <w:p>
            <w:pPr>
              <w:spacing w:after="0"/>
              <w:rPr>
                <w:sz w:val="24"/>
                <w:szCs w:val="24"/>
                <w:color w:val="auto"/>
              </w:rPr>
            </w:pPr>
          </w:p>
        </w:tc>
      </w:tr>
      <w:tr>
        <w:trPr>
          <w:trHeight w:val="230"/>
        </w:trPr>
        <w:tc>
          <w:tcPr>
            <w:tcW w:w="7280" w:type="dxa"/>
            <w:vAlign w:val="bottom"/>
            <w:gridSpan w:val="2"/>
          </w:tcPr>
          <w:p>
            <w:pPr>
              <w:jc w:val="center"/>
              <w:ind w:left="66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23"/>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8"/>
              </w:rPr>
              <w:t>Hawaii</w:t>
            </w:r>
          </w:p>
        </w:tc>
        <w:tc>
          <w:tcPr>
            <w:tcW w:w="2260" w:type="dxa"/>
            <w:vAlign w:val="bottom"/>
          </w:tcPr>
          <w:p>
            <w:pPr>
              <w:jc w:val="right"/>
              <w:ind w:right="13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5020" w:type="dxa"/>
            <w:vAlign w:val="bottom"/>
          </w:tcPr>
          <w:p>
            <w:pPr>
              <w:jc w:val="center"/>
              <w:ind w:right="2083"/>
              <w:spacing w:after="0" w:line="189" w:lineRule="exact"/>
              <w:rPr>
                <w:sz w:val="20"/>
                <w:szCs w:val="20"/>
                <w:color w:val="auto"/>
              </w:rPr>
            </w:pPr>
            <w:r>
              <w:rPr>
                <w:rFonts w:ascii="Arial" w:cs="Arial" w:eastAsia="Arial" w:hAnsi="Arial"/>
                <w:sz w:val="18"/>
                <w:szCs w:val="18"/>
                <w:color w:val="auto"/>
                <w:w w:val="92"/>
              </w:rPr>
              <w:t>(State or other jurisdiction of</w:t>
            </w:r>
          </w:p>
        </w:tc>
        <w:tc>
          <w:tcPr>
            <w:tcW w:w="2260" w:type="dxa"/>
            <w:vAlign w:val="bottom"/>
          </w:tcPr>
          <w:p>
            <w:pPr>
              <w:jc w:val="center"/>
              <w:ind w:left="85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incorporation or organization)</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r>
        <w:trPr>
          <w:trHeight w:val="333"/>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1"/>
              </w:rPr>
              <w:t>1411 Sand Island Parkway</w:t>
            </w:r>
          </w:p>
        </w:tc>
        <w:tc>
          <w:tcPr>
            <w:tcW w:w="2260" w:type="dxa"/>
            <w:vAlign w:val="bottom"/>
          </w:tcPr>
          <w:p>
            <w:pPr>
              <w:spacing w:after="0"/>
              <w:rPr>
                <w:sz w:val="24"/>
                <w:szCs w:val="24"/>
                <w:color w:val="auto"/>
              </w:rPr>
            </w:pPr>
          </w:p>
        </w:tc>
      </w:tr>
      <w:tr>
        <w:trPr>
          <w:trHeight w:val="193"/>
        </w:trPr>
        <w:tc>
          <w:tcPr>
            <w:tcW w:w="5020" w:type="dxa"/>
            <w:vAlign w:val="bottom"/>
          </w:tcPr>
          <w:p>
            <w:pPr>
              <w:jc w:val="center"/>
              <w:ind w:right="210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6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jc w:val="center"/>
              <w:ind w:left="85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3"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10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560" w:type="dxa"/>
            <w:vAlign w:val="bottom"/>
          </w:tcPr>
          <w:p>
            <w:pPr>
              <w:jc w:val="center"/>
              <w:ind w:right="113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400" w:type="dxa"/>
            <w:vAlign w:val="bottom"/>
          </w:tcPr>
          <w:p>
            <w:pPr>
              <w:jc w:val="center"/>
              <w:ind w:left="1150"/>
              <w:spacing w:after="0" w:line="207" w:lineRule="exact"/>
              <w:rPr>
                <w:sz w:val="20"/>
                <w:szCs w:val="20"/>
                <w:color w:val="auto"/>
              </w:rPr>
            </w:pPr>
            <w:r>
              <w:rPr>
                <w:rFonts w:ascii="Arial" w:cs="Arial" w:eastAsia="Arial" w:hAnsi="Arial"/>
                <w:sz w:val="18"/>
                <w:szCs w:val="18"/>
                <w:color w:val="auto"/>
                <w:w w:val="92"/>
              </w:rPr>
              <w:t xml:space="preserve">Accelerated filer </w:t>
            </w:r>
            <w:r>
              <w:rPr>
                <w:rFonts w:ascii="MS PGothic" w:cs="MS PGothic" w:eastAsia="MS PGothic" w:hAnsi="MS PGothic"/>
                <w:sz w:val="18"/>
                <w:szCs w:val="18"/>
                <w:color w:val="auto"/>
                <w:w w:val="92"/>
              </w:rPr>
              <w:t>☐</w:t>
            </w:r>
          </w:p>
        </w:tc>
        <w:tc>
          <w:tcPr>
            <w:tcW w:w="0" w:type="dxa"/>
            <w:vAlign w:val="bottom"/>
          </w:tcPr>
          <w:p>
            <w:pPr>
              <w:spacing w:after="0"/>
              <w:rPr>
                <w:sz w:val="1"/>
                <w:szCs w:val="1"/>
                <w:color w:val="auto"/>
              </w:rPr>
            </w:pPr>
          </w:p>
        </w:tc>
      </w:tr>
      <w:tr>
        <w:trPr>
          <w:trHeight w:val="317"/>
        </w:trPr>
        <w:tc>
          <w:tcPr>
            <w:tcW w:w="4560" w:type="dxa"/>
            <w:vAlign w:val="bottom"/>
          </w:tcPr>
          <w:p>
            <w:pPr>
              <w:jc w:val="center"/>
              <w:ind w:right="111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3400" w:type="dxa"/>
            <w:vAlign w:val="bottom"/>
          </w:tcPr>
          <w:p>
            <w:pPr>
              <w:jc w:val="center"/>
              <w:ind w:left="113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30"/>
        </w:trPr>
        <w:tc>
          <w:tcPr>
            <w:tcW w:w="4560" w:type="dxa"/>
            <w:vAlign w:val="bottom"/>
          </w:tcPr>
          <w:p>
            <w:pPr>
              <w:jc w:val="center"/>
              <w:ind w:right="1110"/>
              <w:spacing w:after="0"/>
              <w:rPr>
                <w:sz w:val="20"/>
                <w:szCs w:val="20"/>
                <w:color w:val="auto"/>
              </w:rPr>
            </w:pPr>
            <w:r>
              <w:rPr>
                <w:rFonts w:ascii="Arial" w:cs="Arial" w:eastAsia="Arial" w:hAnsi="Arial"/>
                <w:sz w:val="18"/>
                <w:szCs w:val="18"/>
                <w:color w:val="auto"/>
                <w:w w:val="92"/>
              </w:rPr>
              <w:t>(Do not check if a smaller reporting company)</w:t>
            </w:r>
          </w:p>
        </w:tc>
        <w:tc>
          <w:tcPr>
            <w:tcW w:w="3400" w:type="dxa"/>
            <w:vAlign w:val="bottom"/>
            <w:vMerge w:val="restart"/>
          </w:tcPr>
          <w:p>
            <w:pPr>
              <w:jc w:val="center"/>
              <w:ind w:left="115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3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ind w:right="34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2" w:lineRule="exact"/>
        <w:rPr>
          <w:sz w:val="24"/>
          <w:szCs w:val="24"/>
          <w:color w:val="auto"/>
        </w:rPr>
      </w:pPr>
    </w:p>
    <w:p>
      <w:pPr>
        <w:ind w:right="114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June 30, 2017: </w:t>
      </w:r>
      <w:r>
        <w:rPr>
          <w:rFonts w:ascii="Arial" w:cs="Arial" w:eastAsia="Arial" w:hAnsi="Arial"/>
          <w:sz w:val="18"/>
          <w:szCs w:val="18"/>
          <w:b w:val="1"/>
          <w:bCs w:val="1"/>
          <w:color w:val="auto"/>
        </w:rPr>
        <w:t>43,125,640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163830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0"/>
          </w:cols>
          <w:pgMar w:left="760" w:top="233" w:right="75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80" w:type="dxa"/>
            <w:vAlign w:val="bottom"/>
            <w:gridSpan w:val="11"/>
          </w:tcPr>
          <w:p>
            <w:pPr>
              <w:jc w:val="center"/>
              <w:ind w:right="1840"/>
              <w:spacing w:after="0"/>
              <w:rPr>
                <w:sz w:val="20"/>
                <w:szCs w:val="20"/>
                <w:color w:val="auto"/>
              </w:rPr>
            </w:pPr>
            <w:r>
              <w:rPr>
                <w:rFonts w:ascii="Arial" w:cs="Arial" w:eastAsia="Arial" w:hAnsi="Arial"/>
                <w:sz w:val="18"/>
                <w:szCs w:val="18"/>
                <w:b w:val="1"/>
                <w:bCs w:val="1"/>
                <w:color w:val="auto"/>
                <w:w w:val="99"/>
              </w:rPr>
              <w:t>MATSON, INC. AND SUBSIDIARIES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20" w:type="dxa"/>
            <w:vAlign w:val="bottom"/>
          </w:tcPr>
          <w:p>
            <w:pPr>
              <w:spacing w:after="0"/>
              <w:rPr>
                <w:sz w:val="24"/>
                <w:szCs w:val="24"/>
                <w:color w:val="auto"/>
              </w:rPr>
            </w:pPr>
          </w:p>
        </w:tc>
        <w:tc>
          <w:tcPr>
            <w:tcW w:w="2840" w:type="dxa"/>
            <w:vAlign w:val="bottom"/>
            <w:gridSpan w:val="10"/>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I—FINANCIAL INFORMATION</w:t>
              </w:r>
            </w:hyperlink>
          </w:p>
        </w:tc>
        <w:tc>
          <w:tcPr>
            <w:tcW w:w="5040" w:type="dxa"/>
            <w:vAlign w:val="bottom"/>
            <w:gridSpan w:val="10"/>
            <w:vMerge w:val="restart"/>
          </w:tcPr>
          <w:p>
            <w:pPr>
              <w:spacing w:after="0"/>
              <w:rPr>
                <w:sz w:val="24"/>
                <w:szCs w:val="24"/>
                <w:color w:val="auto"/>
              </w:rPr>
            </w:pPr>
          </w:p>
        </w:tc>
        <w:tc>
          <w:tcPr>
            <w:tcW w:w="10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3"/>
                <w:szCs w:val="13"/>
                <w:color w:val="auto"/>
              </w:rPr>
            </w:pPr>
          </w:p>
        </w:tc>
        <w:tc>
          <w:tcPr>
            <w:tcW w:w="2840" w:type="dxa"/>
            <w:vAlign w:val="bottom"/>
            <w:tcBorders>
              <w:bottom w:val="single" w:sz="8" w:color="0000EE"/>
            </w:tcBorders>
            <w:gridSpan w:val="10"/>
            <w:vMerge w:val="continue"/>
          </w:tcPr>
          <w:p>
            <w:pPr>
              <w:spacing w:after="0"/>
              <w:rPr>
                <w:sz w:val="13"/>
                <w:szCs w:val="13"/>
                <w:color w:val="auto"/>
              </w:rPr>
            </w:pPr>
          </w:p>
        </w:tc>
        <w:tc>
          <w:tcPr>
            <w:tcW w:w="5040" w:type="dxa"/>
            <w:vAlign w:val="bottom"/>
            <w:gridSpan w:val="10"/>
            <w:vMerge w:val="continue"/>
          </w:tcPr>
          <w:p>
            <w:pPr>
              <w:spacing w:after="0"/>
              <w:rPr>
                <w:sz w:val="13"/>
                <w:szCs w:val="13"/>
                <w:color w:val="auto"/>
              </w:rPr>
            </w:pPr>
          </w:p>
        </w:tc>
        <w:tc>
          <w:tcPr>
            <w:tcW w:w="960" w:type="dxa"/>
            <w:vAlign w:val="bottom"/>
          </w:tcPr>
          <w:p>
            <w:pPr>
              <w:jc w:val="center"/>
              <w:ind w:left="51"/>
              <w:spacing w:after="0" w:line="142" w:lineRule="exact"/>
              <w:rPr>
                <w:sz w:val="20"/>
                <w:szCs w:val="20"/>
                <w:color w:val="auto"/>
              </w:rPr>
            </w:pPr>
            <w:r>
              <w:rPr>
                <w:rFonts w:ascii="Arial" w:cs="Arial" w:eastAsia="Arial" w:hAnsi="Arial"/>
                <w:sz w:val="16"/>
                <w:szCs w:val="16"/>
                <w:color w:val="auto"/>
              </w:rPr>
              <w:t>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0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96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and Comprehensive Income</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2520" w:type="dxa"/>
            <w:vAlign w:val="bottom"/>
            <w:tcBorders>
              <w:top w:val="single" w:sz="8" w:color="0000EE"/>
            </w:tcBorders>
            <w:gridSpan w:val="5"/>
          </w:tcPr>
          <w:p>
            <w:pPr>
              <w:spacing w:after="0"/>
              <w:rPr>
                <w:sz w:val="17"/>
                <w:szCs w:val="17"/>
                <w:color w:val="auto"/>
              </w:rPr>
            </w:pPr>
          </w:p>
        </w:tc>
        <w:tc>
          <w:tcPr>
            <w:tcW w:w="1580" w:type="dxa"/>
            <w:vAlign w:val="bottom"/>
            <w:gridSpan w:val="2"/>
          </w:tcPr>
          <w:p>
            <w:pPr>
              <w:spacing w:after="0"/>
              <w:rPr>
                <w:sz w:val="17"/>
                <w:szCs w:val="17"/>
                <w:color w:val="auto"/>
              </w:rPr>
            </w:pPr>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3320" w:type="dxa"/>
            <w:vAlign w:val="bottom"/>
            <w:gridSpan w:val="6"/>
          </w:tcPr>
          <w:p>
            <w:pPr>
              <w:spacing w:after="0"/>
              <w:rPr>
                <w:sz w:val="17"/>
                <w:szCs w:val="17"/>
                <w:color w:val="auto"/>
              </w:rPr>
            </w:pPr>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the Condensed Consolidated Financial Statements</w:t>
              </w:r>
            </w:hyperlink>
          </w:p>
        </w:tc>
        <w:tc>
          <w:tcPr>
            <w:tcW w:w="2780" w:type="dxa"/>
            <w:vAlign w:val="bottom"/>
            <w:gridSpan w:val="5"/>
          </w:tcPr>
          <w:p>
            <w:pPr>
              <w:spacing w:after="0"/>
              <w:rPr>
                <w:sz w:val="17"/>
                <w:szCs w:val="17"/>
                <w:color w:val="auto"/>
              </w:rPr>
            </w:pPr>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7040" w:type="dxa"/>
            <w:vAlign w:val="bottom"/>
            <w:gridSpan w:val="17"/>
          </w:tcPr>
          <w:p>
            <w:pPr>
              <w:spacing w:after="0" w:line="19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Management’s Discussion and Analysis of Financial Condition and Results of Operations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704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704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52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Part II—OTHER INFORMATION</w:t>
              </w:r>
            </w:hyperlink>
          </w:p>
        </w:tc>
        <w:tc>
          <w:tcPr>
            <w:tcW w:w="5360" w:type="dxa"/>
            <w:vAlign w:val="bottom"/>
            <w:gridSpan w:val="12"/>
          </w:tcPr>
          <w:p>
            <w:pPr>
              <w:spacing w:after="0"/>
              <w:rPr>
                <w:sz w:val="24"/>
                <w:szCs w:val="24"/>
                <w:color w:val="auto"/>
              </w:rPr>
            </w:pPr>
          </w:p>
        </w:tc>
        <w:tc>
          <w:tcPr>
            <w:tcW w:w="960" w:type="dxa"/>
            <w:vAlign w:val="bottom"/>
          </w:tcPr>
          <w:p>
            <w:pPr>
              <w:jc w:val="center"/>
              <w:ind w:left="51"/>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704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960" w:type="dxa"/>
            <w:vAlign w:val="bottom"/>
          </w:tcPr>
          <w:p>
            <w:pPr>
              <w:jc w:val="center"/>
              <w:ind w:left="51"/>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1A.</w:t>
              </w:r>
            </w:hyperlink>
          </w:p>
        </w:tc>
        <w:tc>
          <w:tcPr>
            <w:tcW w:w="200" w:type="dxa"/>
            <w:vAlign w:val="bottom"/>
          </w:tcPr>
          <w:p>
            <w:pPr>
              <w:spacing w:after="0"/>
              <w:rPr>
                <w:sz w:val="17"/>
                <w:szCs w:val="17"/>
                <w:color w:val="auto"/>
              </w:rPr>
            </w:pPr>
          </w:p>
        </w:tc>
        <w:tc>
          <w:tcPr>
            <w:tcW w:w="704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200" w:type="dxa"/>
            <w:vAlign w:val="bottom"/>
          </w:tcPr>
          <w:p>
            <w:pPr>
              <w:spacing w:after="0"/>
              <w:rPr>
                <w:sz w:val="17"/>
                <w:szCs w:val="17"/>
                <w:color w:val="auto"/>
              </w:rPr>
            </w:pPr>
          </w:p>
        </w:tc>
        <w:tc>
          <w:tcPr>
            <w:tcW w:w="704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704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72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704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28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704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72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704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80" w:type="dxa"/>
            <w:vAlign w:val="bottom"/>
            <w:gridSpan w:val="1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960" w:type="dxa"/>
            <w:vAlign w:val="bottom"/>
          </w:tcPr>
          <w:p>
            <w:pPr>
              <w:jc w:val="center"/>
              <w:ind w:left="51"/>
              <w:spacing w:after="0" w:line="196" w:lineRule="exact"/>
              <w:rPr>
                <w:sz w:val="20"/>
                <w:szCs w:val="20"/>
                <w:color w:val="auto"/>
              </w:rPr>
            </w:pPr>
            <w:r>
              <w:rPr>
                <w:rFonts w:ascii="Arial" w:cs="Arial" w:eastAsia="Arial" w:hAnsi="Arial"/>
                <w:sz w:val="18"/>
                <w:szCs w:val="18"/>
                <w:color w:val="auto"/>
                <w:w w:val="89"/>
              </w:rPr>
              <w:t>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6"/>
        </w:trPr>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20" w:top="125" w:right="129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440" w:right="1620"/>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762.7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(422.9)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(835.1)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(766.3)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Equity in income of related party Terminal Joint Venture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(466.6)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(431.6)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(924.6)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(851.2)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gain in prior service cost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w w:val="94"/>
              </w:rPr>
              <w:t>Amortization of prior service cost included in net periodic pension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net loss included in net periodic pension cost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adjustments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Other Comprehensive Income</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Earnings Per-Share: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Investment in related party Terminal Joint Venture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Capital Construction Fund - cash on deposit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assets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r>
              <w:rPr>
                <w:rFonts w:ascii="Arial" w:cs="Arial" w:eastAsia="Arial" w:hAnsi="Arial"/>
                <w:sz w:val="18"/>
                <w:szCs w:val="18"/>
                <w:u w:val="single" w:color="auto"/>
                <w:color w:val="auto"/>
              </w:rPr>
              <w:t>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Accruals and other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benefit plans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Uninsured claims and related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Multi-employer withdrawal liability</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9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1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20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31.0</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Reconciling adjustments:</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3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49.7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30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Equity in income of related party Terminal Joint Venture</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300"/>
              <w:spacing w:after="0"/>
              <w:rPr>
                <w:sz w:val="20"/>
                <w:szCs w:val="20"/>
                <w:color w:val="auto"/>
              </w:rPr>
            </w:pPr>
            <w:r>
              <w:rPr>
                <w:rFonts w:ascii="Arial" w:cs="Arial" w:eastAsia="Arial" w:hAnsi="Arial"/>
                <w:sz w:val="16"/>
                <w:szCs w:val="16"/>
                <w:color w:val="auto"/>
              </w:rPr>
              <w:t>Cash distribution received from Terminal Joint Venture</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200"/>
              <w:spacing w:after="0"/>
              <w:rPr>
                <w:sz w:val="20"/>
                <w:szCs w:val="20"/>
                <w:color w:val="auto"/>
              </w:rPr>
            </w:pPr>
            <w:r>
              <w:rPr>
                <w:rFonts w:ascii="Arial" w:cs="Arial" w:eastAsia="Arial" w:hAnsi="Arial"/>
                <w:sz w:val="16"/>
                <w:szCs w:val="16"/>
                <w:color w:val="auto"/>
              </w:rPr>
              <w:t>Changes in assets and liabilities: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300"/>
              <w:spacing w:after="0"/>
              <w:rPr>
                <w:sz w:val="20"/>
                <w:szCs w:val="20"/>
                <w:color w:val="auto"/>
              </w:rPr>
            </w:pPr>
            <w:r>
              <w:rPr>
                <w:rFonts w:ascii="Arial" w:cs="Arial" w:eastAsia="Arial" w:hAnsi="Arial"/>
                <w:sz w:val="16"/>
                <w:szCs w:val="16"/>
                <w:color w:val="auto"/>
              </w:rPr>
              <w:t>Deferred dry-docking payments</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(33.0)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Deferred dry-docking amortization</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30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Accounts payable, accruals and other liabilities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200"/>
              <w:spacing w:after="0"/>
              <w:rPr>
                <w:sz w:val="20"/>
                <w:szCs w:val="20"/>
                <w:color w:val="auto"/>
              </w:rPr>
            </w:pPr>
            <w:r>
              <w:rPr>
                <w:rFonts w:ascii="Arial" w:cs="Arial" w:eastAsia="Arial" w:hAnsi="Arial"/>
                <w:sz w:val="16"/>
                <w:szCs w:val="16"/>
                <w:color w:val="auto"/>
              </w:rPr>
              <w:t>Vessel construction expenditures</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(46.2)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capital expenditures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200"/>
              <w:spacing w:after="0"/>
              <w:rPr>
                <w:sz w:val="20"/>
                <w:szCs w:val="20"/>
                <w:color w:val="auto"/>
              </w:rPr>
            </w:pPr>
            <w:r>
              <w:rPr>
                <w:rFonts w:ascii="Arial" w:cs="Arial" w:eastAsia="Arial" w:hAnsi="Arial"/>
                <w:sz w:val="16"/>
                <w:szCs w:val="16"/>
                <w:color w:val="auto"/>
              </w:rPr>
              <w:t>Proceeds from (payments for) disposal of property and equipment</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Cash deposits into Capital Construction Fund</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200"/>
              <w:spacing w:after="0"/>
              <w:rPr>
                <w:sz w:val="20"/>
                <w:szCs w:val="20"/>
                <w:color w:val="auto"/>
              </w:rPr>
            </w:pPr>
            <w:r>
              <w:rPr>
                <w:rFonts w:ascii="Arial" w:cs="Arial" w:eastAsia="Arial" w:hAnsi="Arial"/>
                <w:sz w:val="16"/>
                <w:szCs w:val="16"/>
                <w:color w:val="auto"/>
              </w:rPr>
              <w:t>Cash withdrawals from Capital Construction Fund</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200"/>
              <w:spacing w:after="0"/>
              <w:rPr>
                <w:sz w:val="20"/>
                <w:szCs w:val="20"/>
                <w:color w:val="auto"/>
              </w:rPr>
            </w:pPr>
            <w:r>
              <w:rPr>
                <w:rFonts w:ascii="Arial" w:cs="Arial" w:eastAsia="Arial" w:hAnsi="Arial"/>
                <w:sz w:val="16"/>
                <w:szCs w:val="16"/>
                <w:color w:val="auto"/>
              </w:rPr>
              <w:t>Repayments of debt and capital leases</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revolving credit facility</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200"/>
              <w:spacing w:after="0"/>
              <w:rPr>
                <w:sz w:val="20"/>
                <w:szCs w:val="20"/>
                <w:color w:val="auto"/>
              </w:rPr>
            </w:pPr>
            <w:r>
              <w:rPr>
                <w:rFonts w:ascii="Arial" w:cs="Arial" w:eastAsia="Arial" w:hAnsi="Arial"/>
                <w:sz w:val="16"/>
                <w:szCs w:val="16"/>
                <w:color w:val="auto"/>
              </w:rPr>
              <w:t>Repayments of revolving credit facility</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(125.0)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Proceeds from issuance of capital stock</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200"/>
              <w:spacing w:after="0"/>
              <w:rPr>
                <w:sz w:val="20"/>
                <w:szCs w:val="20"/>
                <w:color w:val="auto"/>
              </w:rPr>
            </w:pPr>
            <w:r>
              <w:rPr>
                <w:rFonts w:ascii="Arial" w:cs="Arial" w:eastAsia="Arial" w:hAnsi="Arial"/>
                <w:sz w:val="16"/>
                <w:szCs w:val="16"/>
                <w:color w:val="auto"/>
              </w:rPr>
              <w:t>Dividends paid</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(16.5)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Repurchase of Matson common stock</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20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gridSpan w:val="3"/>
          </w:tcPr>
          <w:p>
            <w:pPr>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gridSpan w:val="2"/>
          </w:tcPr>
          <w:p>
            <w:pPr>
              <w:spacing w:after="0"/>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Beginning of the Period</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3"/>
          </w:tcPr>
          <w:p>
            <w:pPr>
              <w:spacing w:after="0"/>
              <w:rPr>
                <w:sz w:val="20"/>
                <w:szCs w:val="20"/>
                <w:color w:val="auto"/>
              </w:rPr>
            </w:pPr>
            <w:r>
              <w:rPr>
                <w:rFonts w:ascii="Arial" w:cs="Arial" w:eastAsia="Arial" w:hAnsi="Arial"/>
                <w:sz w:val="16"/>
                <w:szCs w:val="16"/>
                <w:color w:val="auto"/>
              </w:rPr>
              <w:t>Cash and Cash Equivalents, End of the Period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15.3</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gridSpan w:val="2"/>
          </w:tcPr>
          <w:p>
            <w:pPr>
              <w:spacing w:after="0"/>
              <w:rPr>
                <w:sz w:val="20"/>
                <w:szCs w:val="20"/>
                <w:color w:val="auto"/>
              </w:rPr>
            </w:pPr>
            <w:r>
              <w:rPr>
                <w:rFonts w:ascii="Arial" w:cs="Arial" w:eastAsia="Arial" w:hAnsi="Arial"/>
                <w:sz w:val="16"/>
                <w:szCs w:val="16"/>
                <w:color w:val="auto"/>
              </w:rPr>
              <w:t>Supplemental Cash Flow Information: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Interest paid, net of capitalized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tcPr>
          <w:p>
            <w:pPr>
              <w:ind w:left="200"/>
              <w:spacing w:after="0"/>
              <w:rPr>
                <w:sz w:val="20"/>
                <w:szCs w:val="20"/>
                <w:color w:val="auto"/>
              </w:rPr>
            </w:pPr>
            <w:r>
              <w:rPr>
                <w:rFonts w:ascii="Arial" w:cs="Arial" w:eastAsia="Arial" w:hAnsi="Arial"/>
                <w:sz w:val="16"/>
                <w:szCs w:val="16"/>
                <w:color w:val="auto"/>
              </w:rPr>
              <w:t>Income tax paid (refund)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00" w:type="dxa"/>
            <w:vAlign w:val="bottom"/>
            <w:gridSpan w:val="2"/>
          </w:tcPr>
          <w:p>
            <w:pPr>
              <w:spacing w:after="0"/>
              <w:rPr>
                <w:sz w:val="20"/>
                <w:szCs w:val="20"/>
                <w:color w:val="auto"/>
              </w:rPr>
            </w:pPr>
            <w:r>
              <w:rPr>
                <w:rFonts w:ascii="Arial" w:cs="Arial" w:eastAsia="Arial" w:hAnsi="Arial"/>
                <w:sz w:val="16"/>
                <w:szCs w:val="16"/>
                <w:color w:val="auto"/>
              </w:rPr>
              <w:t>Non-cash Information: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00" w:type="dxa"/>
            <w:vAlign w:val="bottom"/>
            <w:gridSpan w:val="2"/>
          </w:tcPr>
          <w:p>
            <w:pPr>
              <w:ind w:left="200"/>
              <w:spacing w:after="0"/>
              <w:rPr>
                <w:sz w:val="20"/>
                <w:szCs w:val="20"/>
                <w:color w:val="auto"/>
              </w:rPr>
            </w:pPr>
            <w:r>
              <w:rPr>
                <w:rFonts w:ascii="Arial" w:cs="Arial" w:eastAsia="Arial" w:hAnsi="Arial"/>
                <w:sz w:val="16"/>
                <w:szCs w:val="16"/>
                <w:color w:val="auto"/>
              </w:rPr>
              <w:t>Accrued dividend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580" w:hanging="577"/>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provides services to various islands in the South Pacific. In addition, subsidiaries of MatNav provide container stevedoring, container equipment maintenance and other terminal services for MatNav and other ocean carriers on the Hawaiian Islands of Oahu, Hawaii, Maui and Kauai, and in the Alaska locations of Anchorage, Kodiak and Dutch Harbor. Matson's fleet of 21 owned vessels and six chartered vessels includes containerships, combination container and roll-on/roll-off ships and custom-designed barges.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a subsidiary of Carrix, Inc. SSAT provides terminal and stevedoring services to various carriers at six terminal facilities on the U.S. West Coast, including to MatNav at three of those facilities (“Terminal Joint Venture”). Matson records its share of income in the Terminal Joint Venture in operating costs in the Condensed Consolidated Statements of Income and Comprehensive Income, and within the Ocean Transportation segment due to the nature of SSAT’s operations.</w:t>
      </w:r>
    </w:p>
    <w:p>
      <w:pPr>
        <w:spacing w:after="0" w:line="1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 services to its customers including: (i) multimodal transportation brokerage of domestic and international rail intermodal service, long-haul and regional highway trucking services, specialized hauling, flat-bed and project services, less-than-truckload services, and expedited freight services (collectively "Transportation Brokerage Services"); (ii) less-than-container load consolidation (“LCL”) and freight forwarding services (collectively “Freight Forwarding Services”); (iii) warehousing and distribution services; and (iv) supply chain management and other services.</w:t>
      </w:r>
    </w:p>
    <w:p>
      <w:pPr>
        <w:spacing w:after="0" w:line="178"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i w:val="1"/>
          <w:iCs w:val="1"/>
          <w:color w:val="auto"/>
        </w:rPr>
        <w:t xml:space="preserve">Recent Acquisition: </w:t>
      </w:r>
      <w:r>
        <w:rPr>
          <w:rFonts w:ascii="Arial" w:cs="Arial" w:eastAsia="Arial" w:hAnsi="Arial"/>
          <w:sz w:val="16"/>
          <w:szCs w:val="16"/>
          <w:color w:val="auto"/>
        </w:rPr>
        <w:t>On August 4, 2016, Matson Logistics completed its acquisition of Span Intermediate, LLC (“Span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Alaska”), a market leading provider of LCL consolidation and freight forwarding services to Alaska (the “Span Alaska Acquisition”) (see Note 9,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for additional information on the recent acquisition).</w:t>
      </w:r>
    </w:p>
    <w:p>
      <w:pPr>
        <w:spacing w:after="0" w:line="359" w:lineRule="exact"/>
        <w:rPr>
          <w:sz w:val="20"/>
          <w:szCs w:val="20"/>
          <w:color w:val="auto"/>
        </w:rPr>
      </w:pPr>
    </w:p>
    <w:p>
      <w:pPr>
        <w:ind w:left="580" w:hanging="577"/>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620"/>
        <w:spacing w:after="0" w:line="291"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Condensed Consolidated Financial Statements are unaudited, and include the accounts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Matson, Inc. and all wholly-owned subsidiaries, after elimination of significant intercompany amounts and</w:t>
      </w:r>
    </w:p>
    <w:p>
      <w:pPr>
        <w:ind w:right="20"/>
        <w:spacing w:after="0" w:line="270" w:lineRule="auto"/>
        <w:rPr>
          <w:sz w:val="20"/>
          <w:szCs w:val="20"/>
          <w:color w:val="auto"/>
        </w:rPr>
      </w:pPr>
      <w:r>
        <w:rPr>
          <w:rFonts w:ascii="Arial" w:cs="Arial" w:eastAsia="Arial" w:hAnsi="Arial"/>
          <w:sz w:val="17"/>
          <w:szCs w:val="17"/>
          <w:color w:val="auto"/>
        </w:rPr>
        <w:t>transactions.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 The Company accounts for its investment in the Terminal Joint Venture using the equity method of accounting. The Condensed Consolidated Financial Statements include the accounts and activities of Span Alaska from the acquisition date on August 4, 2016 (see Note 9).</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Due to the nature of the Company’s operations, including the acquisition of Span Alaska on August 4, 2016,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Consolidated Financial Statements and notes thereto included in the Company’s Annual Report on Form 10-K for the year ended December 31, 2016, filed with the Securities and Exchange Commission (“SEC”) on February 24, 2017.</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 xml:space="preserve">Fiscal Period: </w:t>
      </w:r>
      <w:r>
        <w:rPr>
          <w:rFonts w:ascii="Arial" w:cs="Arial" w:eastAsia="Arial" w:hAnsi="Arial"/>
          <w:sz w:val="16"/>
          <w:szCs w:val="16"/>
          <w:color w:val="auto"/>
        </w:rPr>
        <w:t>The period end for Matson, Inc. covered by this report is June 30, 2017. The period end for MatNav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subsidiaries covered by this report occurred on the last Friday in June, or June 30, 2017, for the second quarter 2017.</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included in Part II, Item 8 of the Company’s Annual Report on Form 10-K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Property and Equipment: </w:t>
      </w:r>
      <w:r>
        <w:rPr>
          <w:rFonts w:ascii="Arial" w:cs="Arial" w:eastAsia="Arial" w:hAnsi="Arial"/>
          <w:sz w:val="16"/>
          <w:szCs w:val="16"/>
          <w:color w:val="auto"/>
        </w:rPr>
        <w:t>Property and equipment at June 30, 2017 and December 31, 2016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Vessels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1,423.9</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construction in progress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Accumulated Deprecation</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Vessel construction in progress relates to progress payments paid by the Company for the construction of four new vessels to be used within the Hawaii service, and includes capitalized interest of $5.5 million and $2.9 million at June 30, 2017 and December 31,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Goodwill: </w:t>
      </w:r>
      <w:r>
        <w:rPr>
          <w:rFonts w:ascii="Arial" w:cs="Arial" w:eastAsia="Arial" w:hAnsi="Arial"/>
          <w:sz w:val="17"/>
          <w:szCs w:val="17"/>
          <w:color w:val="auto"/>
        </w:rPr>
        <w:t>Changes in goodwill for the three and six months ended June 30, 2017 and 2016 consisted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Ocean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4"/>
              </w:rPr>
              <w:t>Logistics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2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Goodwill</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Ocean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4"/>
              </w:rPr>
              <w:t>Logistics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Transportation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2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Additions</w:t>
            </w:r>
          </w:p>
        </w:tc>
        <w:tc>
          <w:tcPr>
            <w:tcW w:w="26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2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3360" w:type="dxa"/>
            <w:vAlign w:val="bottom"/>
          </w:tcPr>
          <w:p>
            <w:pPr>
              <w:spacing w:after="0"/>
              <w:rPr>
                <w:sz w:val="24"/>
                <w:szCs w:val="24"/>
                <w:color w:val="auto"/>
              </w:rPr>
            </w:pPr>
          </w:p>
        </w:tc>
        <w:tc>
          <w:tcPr>
            <w:tcW w:w="2620" w:type="dxa"/>
            <w:vAlign w:val="bottom"/>
          </w:tcPr>
          <w:p>
            <w:pPr>
              <w:jc w:val="right"/>
              <w:ind w:right="131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Intangible Assets, Net: </w:t>
      </w:r>
      <w:r>
        <w:rPr>
          <w:rFonts w:ascii="Arial" w:cs="Arial" w:eastAsia="Arial" w:hAnsi="Arial"/>
          <w:sz w:val="18"/>
          <w:szCs w:val="18"/>
          <w:color w:val="auto"/>
        </w:rPr>
        <w:t>Intangible assets at June 30, 2017 and December 31, 2016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Ocean Transportation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140.6</w:t>
            </w:r>
          </w:p>
        </w:tc>
        <w:tc>
          <w:tcPr>
            <w:tcW w:w="220" w:type="dxa"/>
            <w:vAlign w:val="bottom"/>
          </w:tcPr>
          <w:p>
            <w:pPr>
              <w:spacing w:after="0"/>
              <w:rPr>
                <w:sz w:val="18"/>
                <w:szCs w:val="18"/>
                <w:color w:val="auto"/>
              </w:rPr>
            </w:pPr>
          </w:p>
        </w:tc>
        <w:tc>
          <w:tcPr>
            <w:tcW w:w="220" w:type="dxa"/>
            <w:vAlign w:val="bottom"/>
            <w:gridSpan w:val="2"/>
          </w:tcPr>
          <w:p>
            <w:pPr>
              <w:jc w:val="right"/>
              <w:ind w:right="7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0"/>
        </w:trPr>
        <w:tc>
          <w:tcPr>
            <w:tcW w:w="6600" w:type="dxa"/>
            <w:vAlign w:val="bottom"/>
          </w:tcPr>
          <w:p>
            <w:pPr>
              <w:ind w:left="120"/>
              <w:spacing w:after="0"/>
              <w:rPr>
                <w:sz w:val="20"/>
                <w:szCs w:val="20"/>
                <w:color w:val="auto"/>
              </w:rPr>
            </w:pPr>
            <w:r>
              <w:rPr>
                <w:rFonts w:ascii="Arial" w:cs="Arial" w:eastAsia="Arial" w:hAnsi="Arial"/>
                <w:sz w:val="18"/>
                <w:szCs w:val="18"/>
                <w:color w:val="auto"/>
              </w:rPr>
              <w:t>Total Customer Relationships, net</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Trade name - Logistics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0" w:type="dxa"/>
            <w:vAlign w:val="bottom"/>
          </w:tcPr>
          <w:p>
            <w:pPr>
              <w:ind w:left="120"/>
              <w:spacing w:after="0"/>
              <w:rPr>
                <w:sz w:val="20"/>
                <w:szCs w:val="20"/>
                <w:color w:val="auto"/>
              </w:rPr>
            </w:pPr>
            <w:r>
              <w:rPr>
                <w:rFonts w:ascii="Arial" w:cs="Arial" w:eastAsia="Arial" w:hAnsi="Arial"/>
                <w:sz w:val="18"/>
                <w:szCs w:val="18"/>
                <w:color w:val="auto"/>
              </w:rPr>
              <w:t>Total Intangible Assets, net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Capital Construction Fund: </w:t>
      </w:r>
      <w:r>
        <w:rPr>
          <w:rFonts w:ascii="Arial" w:cs="Arial" w:eastAsia="Arial" w:hAnsi="Arial"/>
          <w:sz w:val="16"/>
          <w:szCs w:val="16"/>
          <w:color w:val="auto"/>
        </w:rPr>
        <w:t>The Company’s Capital Construction Fund (“CCF”) is described in Note 7 to the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included in Part II, Item 8 of the Company’s Annual Report on Form 10-K for the year ended December 31, 2016. As of June 30, 2017 and December 31, 2016, the following amounts related to the Company’s CCF:</w:t>
      </w:r>
    </w:p>
    <w:tbl>
      <w:tblPr>
        <w:tblLayout w:type="fixed"/>
        <w:tblInd w:w="0" w:type="dxa"/>
        <w:tblCellMar>
          <w:top w:w="0" w:type="dxa"/>
          <w:left w:w="0" w:type="dxa"/>
          <w:bottom w:w="0" w:type="dxa"/>
          <w:right w:w="0" w:type="dxa"/>
        </w:tblCellMar>
      </w:tblPr>
      <w:tr>
        <w:trPr>
          <w:trHeight w:val="140"/>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59"/>
              <w:spacing w:after="0" w:line="140" w:lineRule="exact"/>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2"/>
                <w:szCs w:val="12"/>
                <w:color w:val="auto"/>
              </w:rPr>
            </w:pPr>
          </w:p>
        </w:tc>
        <w:tc>
          <w:tcPr>
            <w:tcW w:w="1080" w:type="dxa"/>
            <w:vAlign w:val="bottom"/>
            <w:gridSpan w:val="3"/>
          </w:tcPr>
          <w:p>
            <w:pPr>
              <w:ind w:left="40"/>
              <w:spacing w:after="0" w:line="140"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Capital Construction Fund: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Cash on deposit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Assigned accounts receivables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on deposit in the CCF are held in a money market account and classified as long-term assets in the Company’s Condensed Consolidated Balance Sheets, as the Company intends to use qualified cash withdrawals to fund long-term investment in the construction of new vessels. During the three and six months ended June 30, 2017, the Company deposited $12.2 million into the CCF, and made qualifying cash withdrawals of $43.4 million from the CCF. The qualifying cash withdrawals were used to fund vessel construction progress payments. There were no deposits or qualifying cash withdrawals made by the Company during the three months ended March 31, 2017. Eligible accounts receivable that are assigned into the CCF are classified as part of accounts receivable in the Condensed Consolidated Financial Statements due to the nature of the assignment.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i w:val="1"/>
          <w:iCs w:val="1"/>
          <w:color w:val="auto"/>
        </w:rPr>
        <w:t xml:space="preserve">Accumulated Other Comprehensive Loss: </w:t>
      </w:r>
      <w:r>
        <w:rPr>
          <w:rFonts w:ascii="Arial" w:cs="Arial" w:eastAsia="Arial" w:hAnsi="Arial"/>
          <w:sz w:val="18"/>
          <w:szCs w:val="18"/>
          <w:color w:val="auto"/>
        </w:rPr>
        <w:t>Changes in accumulated other comprehensive loss by component, net of tax,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2017 and 2016 were as follows (in millions):</w:t>
      </w:r>
    </w:p>
    <w:tbl>
      <w:tblPr>
        <w:tblLayout w:type="fixed"/>
        <w:tblInd w:w="0" w:type="dxa"/>
        <w:tblCellMar>
          <w:top w:w="0" w:type="dxa"/>
          <w:left w:w="0" w:type="dxa"/>
          <w:bottom w:w="0" w:type="dxa"/>
          <w:right w:w="0" w:type="dxa"/>
        </w:tblCellMar>
      </w:tblPr>
      <w:tr>
        <w:trPr>
          <w:trHeight w:val="141"/>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8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85"/>
              </w:rPr>
              <w:t>Post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Pensions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Qualified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1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Retirement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3"/>
              <w:spacing w:after="0"/>
              <w:rPr>
                <w:sz w:val="20"/>
                <w:szCs w:val="20"/>
                <w:color w:val="auto"/>
              </w:rPr>
            </w:pPr>
            <w:r>
              <w:rPr>
                <w:rFonts w:ascii="Arial" w:cs="Arial" w:eastAsia="Arial" w:hAnsi="Arial"/>
                <w:sz w:val="14"/>
                <w:szCs w:val="14"/>
                <w:b w:val="1"/>
                <w:bCs w:val="1"/>
                <w:color w:val="auto"/>
                <w:w w:val="85"/>
              </w:rPr>
              <w:t>Plans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adjustments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Net gain in prior service costs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4"/>
        </w:trPr>
        <w:tc>
          <w:tcPr>
            <w:tcW w:w="39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vMerge w:val="restart"/>
          </w:tcPr>
          <w:p>
            <w:pPr>
              <w:jc w:val="center"/>
              <w:ind w:right="53"/>
              <w:spacing w:after="0"/>
              <w:rPr>
                <w:sz w:val="20"/>
                <w:szCs w:val="20"/>
                <w:color w:val="auto"/>
              </w:rPr>
            </w:pPr>
            <w:r>
              <w:rPr>
                <w:rFonts w:ascii="Arial" w:cs="Arial" w:eastAsia="Arial" w:hAnsi="Arial"/>
                <w:sz w:val="14"/>
                <w:szCs w:val="14"/>
                <w:b w:val="1"/>
                <w:bCs w:val="1"/>
                <w:color w:val="auto"/>
              </w:rPr>
              <w:t>Non-</w:t>
            </w: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gridSpan w:val="2"/>
          </w:tcPr>
          <w:p>
            <w:pPr>
              <w:jc w:val="center"/>
              <w:ind w:right="2"/>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85"/>
              </w:rPr>
              <w:t>Post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Pensions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Qualified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1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Retirement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3"/>
              <w:spacing w:after="0"/>
              <w:rPr>
                <w:sz w:val="20"/>
                <w:szCs w:val="20"/>
                <w:color w:val="auto"/>
              </w:rPr>
            </w:pPr>
            <w:r>
              <w:rPr>
                <w:rFonts w:ascii="Arial" w:cs="Arial" w:eastAsia="Arial" w:hAnsi="Arial"/>
                <w:sz w:val="14"/>
                <w:szCs w:val="14"/>
                <w:b w:val="1"/>
                <w:bCs w:val="1"/>
                <w:color w:val="auto"/>
                <w:w w:val="85"/>
              </w:rPr>
              <w:t>Plans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Net gain in prior service costs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i w:val="1"/>
          <w:iCs w:val="1"/>
          <w:color w:val="auto"/>
        </w:rPr>
        <w:t>Environmental Matters: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Ocean Transportation business has certain risks that could result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expenditures for 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amounts included within cash flows from operating activities of the Condensed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 of Cash Flow for the six months ended June 30, 2016, have been reclassified to conform to the current period presentation.</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New Accounting Pronouncements: </w:t>
      </w:r>
      <w:r>
        <w:rPr>
          <w:rFonts w:ascii="Arial" w:cs="Arial" w:eastAsia="Arial" w:hAnsi="Arial"/>
          <w:sz w:val="16"/>
          <w:szCs w:val="16"/>
          <w:i w:val="1"/>
          <w:iCs w:val="1"/>
          <w:color w:val="auto"/>
        </w:rPr>
        <w:t>Revenue from Contracts with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2014, the Financial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Standards Board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2014-09”). ASU 2014-09 establishes principles regarding the nature, timing, and uncertainty of revenue from contracts with customers. It removes inconsistencies in existing revenue requirements, provides a more robust framework for addressing revenue issues and improves comparability of revenue recognition practices across entities, industries, jurisdictions and capital markets. ASU 2014-09 will be effective for interim and annual reporting periods beginning after December 15, 2017.</w:t>
      </w:r>
    </w:p>
    <w:p>
      <w:pPr>
        <w:spacing w:after="0" w:line="165"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Company is in the process of evaluating the impact of adopting ASU 2014-09 on its Consolidated Financial Statements. The Company is currently reviewing customer contracts in each of its operating segments for all revenue generating services provided by the Company, and is assessing the impact of applying ASU 2014-09, and comparing this to the Company’s historical revenue recognition criteria. Based upon the preliminary review of customer contracts, the Company believes that the Company’s revenue recognition policies are consistent with the requirements of ASU 2014-</w:t>
      </w:r>
    </w:p>
    <w:p>
      <w:pPr>
        <w:spacing w:after="0" w:line="2" w:lineRule="exact"/>
        <w:rPr>
          <w:sz w:val="20"/>
          <w:szCs w:val="20"/>
          <w:color w:val="auto"/>
        </w:rPr>
      </w:pPr>
    </w:p>
    <w:p>
      <w:pPr>
        <w:ind w:right="500" w:firstLine="3"/>
        <w:spacing w:after="0" w:line="302" w:lineRule="auto"/>
        <w:tabs>
          <w:tab w:leader="none" w:pos="312" w:val="left"/>
        </w:tabs>
        <w:numPr>
          <w:ilvl w:val="0"/>
          <w:numId w:val="5"/>
        </w:numPr>
        <w:rPr>
          <w:rFonts w:ascii="Arial" w:cs="Arial" w:eastAsia="Arial" w:hAnsi="Arial"/>
          <w:sz w:val="16"/>
          <w:szCs w:val="16"/>
          <w:color w:val="auto"/>
        </w:rPr>
      </w:pPr>
      <w:r>
        <w:rPr>
          <w:rFonts w:ascii="Arial" w:cs="Arial" w:eastAsia="Arial" w:hAnsi="Arial"/>
          <w:sz w:val="16"/>
          <w:szCs w:val="16"/>
          <w:color w:val="auto"/>
        </w:rPr>
        <w:t>While the Company continues to assess all potential impacts of adopting ASU 2014-09, based upon information available to date, the Company does not expect the adoption of ASU 2014-09 to have a significant impact either on the timing or recognition of Ocean Transportation and Logistics revenues. The Company is also evaluating its accounting</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disclosures related to revenue recognition. The Company plans to adopt the requirements of the new standard by recording the impact of adoption as an adjustment to retained earnings at the beginning of the first quarter of 2018.</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which requires lessees to</w:t>
      </w:r>
      <w:r>
        <w:rPr>
          <w:rFonts w:ascii="Arial" w:cs="Arial" w:eastAsia="Arial" w:hAnsi="Arial"/>
          <w:sz w:val="18"/>
          <w:szCs w:val="18"/>
          <w:i w:val="1"/>
          <w:iCs w:val="1"/>
          <w:color w:val="auto"/>
        </w:rPr>
        <w:t xml:space="preserve"> </w:t>
      </w:r>
      <w:r>
        <w:rPr>
          <w:rFonts w:ascii="Arial" w:cs="Arial" w:eastAsia="Arial" w:hAnsi="Arial"/>
          <w:sz w:val="18"/>
          <w:szCs w:val="18"/>
          <w:color w:val="auto"/>
        </w:rPr>
        <w:t>record most leases in their balance sheets but recognize the expenses on their income statements in a manner similar to current practice. ASU 2016-02 states that a lessee would recognize a lease liability for the obligation to make lease payments, and a right-of-use asset for the underlying leased asset for the period of the lease term. ASU 2016-02 will be effective for interim and annual periods beginning after December 15, 2018 and early adoption is permitted. The Company is in the process of evaluating the impact of adopting ASU 2016-02.</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Net Periodic Pension Cost and Benefit Cost: </w:t>
      </w:r>
      <w:r>
        <w:rPr>
          <w:rFonts w:ascii="Arial" w:cs="Arial" w:eastAsia="Arial" w:hAnsi="Arial"/>
          <w:sz w:val="17"/>
          <w:szCs w:val="17"/>
          <w:color w:val="auto"/>
        </w:rPr>
        <w:t>In March 2017, the FASB issued ASU 2017-07. “</w:t>
      </w:r>
      <w:r>
        <w:rPr>
          <w:rFonts w:ascii="Arial" w:cs="Arial" w:eastAsia="Arial" w:hAnsi="Arial"/>
          <w:sz w:val="17"/>
          <w:szCs w:val="17"/>
          <w:i w:val="1"/>
          <w:iCs w:val="1"/>
          <w:color w:val="auto"/>
        </w:rPr>
        <w:t xml:space="preserve">Compensation – Retirement Benefits (Topic 715): Improving the Presentation of Net Periodic Pension Cost and Benefit Cost </w:t>
      </w:r>
      <w:r>
        <w:rPr>
          <w:rFonts w:ascii="Arial" w:cs="Arial" w:eastAsia="Arial" w:hAnsi="Arial"/>
          <w:sz w:val="17"/>
          <w:szCs w:val="17"/>
          <w:color w:val="auto"/>
        </w:rPr>
        <w:t>(“ASU 2017-07”). ASU</w:t>
      </w:r>
      <w:r>
        <w:rPr>
          <w:rFonts w:ascii="Arial" w:cs="Arial" w:eastAsia="Arial" w:hAnsi="Arial"/>
          <w:sz w:val="17"/>
          <w:szCs w:val="17"/>
          <w:i w:val="1"/>
          <w:iCs w:val="1"/>
          <w:color w:val="auto"/>
        </w:rPr>
        <w:t xml:space="preserve"> </w:t>
      </w:r>
      <w:r>
        <w:rPr>
          <w:rFonts w:ascii="Arial" w:cs="Arial" w:eastAsia="Arial" w:hAnsi="Arial"/>
          <w:sz w:val="17"/>
          <w:szCs w:val="17"/>
          <w:color w:val="auto"/>
        </w:rPr>
        <w:t>2017-07 requires employees that sponsor defined benefit pension and other post-retirement plans to present the service cost component of net benefit cost in the same income statement line item as other employee compensation costs arising from services rendered, and that only the service cost component will be eligible for capitalization. The other components of the net periodic benefit cost must be presented separately from the line item that includes the service cost component and outside of the income from operations subtotal. ASU 2017-07 is effective for interim and annual periods beginning after December 15, 2017. The Company does not expect the adoption of ASU 2017-07 to have a significant impact on the Company’s Consolidated Financial Statements.</w:t>
      </w:r>
    </w:p>
    <w:p>
      <w:pPr>
        <w:spacing w:after="0" w:line="178" w:lineRule="exact"/>
        <w:rPr>
          <w:sz w:val="20"/>
          <w:szCs w:val="20"/>
          <w:color w:val="auto"/>
        </w:rPr>
      </w:pPr>
    </w:p>
    <w:p>
      <w:pPr>
        <w:ind w:left="580" w:hanging="577"/>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right="160" w:firstLine="3"/>
        <w:spacing w:after="0" w:line="271" w:lineRule="auto"/>
        <w:tabs>
          <w:tab w:leader="none" w:pos="22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Ocean Transportation segment provides ocean transportation services to the Logistics segment. Accordingly, inter-segment revenue of $10.7 million and $1.9 million for the three months ended June 30, 2017 and 2016, respectively, and $19.4 million and $3.7 million for the six months ended June 30, 2017 and 2016, respectively, have been eliminated from Logistics segment operating revenue in the table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results for the three and six months ended June 30, 2017 and 2016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392.7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370.9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762.7</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737.0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119.8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Revenue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512.5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467.7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986.9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921.9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ind w:left="440"/>
              <w:spacing w:after="0"/>
              <w:rPr>
                <w:sz w:val="20"/>
                <w:szCs w:val="20"/>
                <w:color w:val="auto"/>
              </w:rPr>
            </w:pPr>
            <w:r>
              <w:rPr>
                <w:rFonts w:ascii="Arial" w:cs="Arial" w:eastAsia="Arial" w:hAnsi="Arial"/>
                <w:sz w:val="18"/>
                <w:szCs w:val="18"/>
                <w:color w:val="auto"/>
              </w:rPr>
              <w:t>Total Operating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gridSpan w:val="2"/>
          </w:tcPr>
          <w:p>
            <w:pPr>
              <w:ind w:left="4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(23.2)</w:t>
            </w:r>
          </w:p>
        </w:tc>
        <w:tc>
          <w:tcPr>
            <w:tcW w:w="0" w:type="dxa"/>
            <w:vAlign w:val="bottom"/>
          </w:tcPr>
          <w:p>
            <w:pPr>
              <w:spacing w:after="0"/>
              <w:rPr>
                <w:sz w:val="1"/>
                <w:szCs w:val="1"/>
                <w:color w:val="auto"/>
              </w:rPr>
            </w:pPr>
          </w:p>
        </w:tc>
      </w:tr>
      <w:tr>
        <w:trPr>
          <w:trHeight w:val="217"/>
        </w:trPr>
        <w:tc>
          <w:tcPr>
            <w:tcW w:w="5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left="4480" w:right="620" w:hanging="4477"/>
        <w:spacing w:after="0" w:line="778" w:lineRule="auto"/>
        <w:tabs>
          <w:tab w:leader="none" w:pos="318" w:val="left"/>
        </w:tabs>
        <w:numPr>
          <w:ilvl w:val="0"/>
          <w:numId w:val="8"/>
        </w:numPr>
        <w:rPr>
          <w:rFonts w:ascii="Arial" w:cs="Arial" w:eastAsia="Arial" w:hAnsi="Arial"/>
          <w:sz w:val="18"/>
          <w:szCs w:val="18"/>
          <w:color w:val="auto"/>
        </w:rPr>
      </w:pPr>
      <w:r>
        <w:rPr>
          <w:rFonts w:ascii="Arial" w:cs="Arial" w:eastAsia="Arial" w:hAnsi="Arial"/>
          <w:sz w:val="18"/>
          <w:szCs w:val="18"/>
          <w:color w:val="auto"/>
        </w:rPr>
        <w:t>Logistics operating results include Span Alaska operating results from the date of acquisition on August 4, 2016.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-224790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80" w:type="dxa"/>
            <w:vAlign w:val="bottom"/>
          </w:tcPr>
          <w:p>
            <w:pPr>
              <w:spacing w:after="0"/>
              <w:rPr>
                <w:sz w:val="20"/>
                <w:szCs w:val="20"/>
                <w:color w:val="auto"/>
              </w:rPr>
            </w:pPr>
            <w:r>
              <w:rPr>
                <w:rFonts w:ascii="Arial" w:cs="Arial" w:eastAsia="Arial" w:hAnsi="Arial"/>
                <w:sz w:val="18"/>
                <w:szCs w:val="18"/>
                <w:b w:val="1"/>
                <w:bCs w:val="1"/>
                <w:color w:val="auto"/>
              </w:rPr>
              <w:t>4.</w:t>
            </w:r>
          </w:p>
        </w:tc>
        <w:tc>
          <w:tcPr>
            <w:tcW w:w="6380" w:type="dxa"/>
            <w:vAlign w:val="bottom"/>
            <w:gridSpan w:val="2"/>
          </w:tcPr>
          <w:p>
            <w:pPr>
              <w:ind w:left="40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3"/>
          </w:tcPr>
          <w:p>
            <w:pPr>
              <w:spacing w:after="0"/>
              <w:rPr>
                <w:sz w:val="20"/>
                <w:szCs w:val="20"/>
                <w:color w:val="auto"/>
              </w:rPr>
            </w:pPr>
            <w:r>
              <w:rPr>
                <w:rFonts w:ascii="Arial" w:cs="Arial" w:eastAsia="Arial" w:hAnsi="Arial"/>
                <w:sz w:val="18"/>
                <w:szCs w:val="18"/>
                <w:color w:val="auto"/>
                <w:w w:val="91"/>
              </w:rPr>
              <w:t>At June 30, 2017 and December 31, 2016, the Company’s debt consisted of the following:</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gridSpan w:val="2"/>
          </w:tcPr>
          <w:p>
            <w:pPr>
              <w:ind w:left="40"/>
              <w:spacing w:after="0"/>
              <w:rPr>
                <w:sz w:val="20"/>
                <w:szCs w:val="20"/>
                <w:color w:val="auto"/>
              </w:rPr>
            </w:pPr>
            <w:r>
              <w:rPr>
                <w:rFonts w:ascii="Arial" w:cs="Arial" w:eastAsia="Arial" w:hAnsi="Arial"/>
                <w:sz w:val="18"/>
                <w:szCs w:val="18"/>
                <w:color w:val="auto"/>
              </w:rPr>
              <w:t>5.79 %, payable through 2020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c>
          <w:tcPr>
            <w:tcW w:w="42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3.66 %, payable through 2023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gridSpan w:val="2"/>
          </w:tcPr>
          <w:p>
            <w:pPr>
              <w:ind w:left="40"/>
              <w:spacing w:after="0"/>
              <w:rPr>
                <w:sz w:val="20"/>
                <w:szCs w:val="20"/>
                <w:color w:val="auto"/>
              </w:rPr>
            </w:pPr>
            <w:r>
              <w:rPr>
                <w:rFonts w:ascii="Arial" w:cs="Arial" w:eastAsia="Arial" w:hAnsi="Arial"/>
                <w:sz w:val="18"/>
                <w:szCs w:val="18"/>
                <w:color w:val="auto"/>
              </w:rPr>
              <w:t>4.16 %, payable through 2027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3.37 %, payable through 2027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gridSpan w:val="2"/>
          </w:tcPr>
          <w:p>
            <w:pPr>
              <w:ind w:left="40"/>
              <w:spacing w:after="0"/>
              <w:rPr>
                <w:sz w:val="20"/>
                <w:szCs w:val="20"/>
                <w:color w:val="auto"/>
              </w:rPr>
            </w:pPr>
            <w:r>
              <w:rPr>
                <w:rFonts w:ascii="Arial" w:cs="Arial" w:eastAsia="Arial" w:hAnsi="Arial"/>
                <w:sz w:val="18"/>
                <w:szCs w:val="18"/>
                <w:color w:val="auto"/>
              </w:rPr>
              <w:t>3.14 %, payable through 2031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4.31 %, payable through 2032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gridSpan w:val="2"/>
          </w:tcPr>
          <w:p>
            <w:pPr>
              <w:ind w:left="40"/>
              <w:spacing w:after="0"/>
              <w:rPr>
                <w:sz w:val="20"/>
                <w:szCs w:val="20"/>
                <w:color w:val="auto"/>
              </w:rPr>
            </w:pPr>
            <w:r>
              <w:rPr>
                <w:rFonts w:ascii="Arial" w:cs="Arial" w:eastAsia="Arial" w:hAnsi="Arial"/>
                <w:sz w:val="18"/>
                <w:szCs w:val="18"/>
                <w:color w:val="auto"/>
              </w:rPr>
              <w:t>4.35 %, payable through 2044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3.92 %, payable through 2045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3"/>
          </w:tcPr>
          <w:p>
            <w:pPr>
              <w:spacing w:after="0"/>
              <w:rPr>
                <w:sz w:val="20"/>
                <w:szCs w:val="20"/>
                <w:color w:val="auto"/>
              </w:rPr>
            </w:pPr>
            <w:r>
              <w:rPr>
                <w:rFonts w:ascii="Arial" w:cs="Arial" w:eastAsia="Arial" w:hAnsi="Arial"/>
                <w:sz w:val="18"/>
                <w:szCs w:val="18"/>
                <w:color w:val="auto"/>
              </w:rPr>
              <w:t>Title XI Bonds: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5.34 %, payable through 2028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80" w:type="dxa"/>
            <w:vAlign w:val="bottom"/>
            <w:gridSpan w:val="2"/>
          </w:tcPr>
          <w:p>
            <w:pPr>
              <w:ind w:left="40"/>
              <w:spacing w:after="0"/>
              <w:rPr>
                <w:sz w:val="20"/>
                <w:szCs w:val="20"/>
                <w:color w:val="auto"/>
              </w:rPr>
            </w:pPr>
            <w:r>
              <w:rPr>
                <w:rFonts w:ascii="Arial" w:cs="Arial" w:eastAsia="Arial" w:hAnsi="Arial"/>
                <w:sz w:val="18"/>
                <w:szCs w:val="18"/>
                <w:color w:val="auto"/>
              </w:rPr>
              <w:t>5.27 %, payable through 2029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Capital leases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Company’s debt is described in Note 8 to the Consolidated Financial Statements included in Part II, Item 8 of the Company’s Annual Report on Form 10-K for the year ended December 31, 2016, except as described below.</w:t>
      </w:r>
    </w:p>
    <w:p>
      <w:pPr>
        <w:spacing w:after="0" w:line="12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 xml:space="preserve">Revolving Credit Facility: </w:t>
      </w:r>
      <w:r>
        <w:rPr>
          <w:rFonts w:ascii="Arial" w:cs="Arial" w:eastAsia="Arial" w:hAnsi="Arial"/>
          <w:sz w:val="16"/>
          <w:szCs w:val="16"/>
          <w:color w:val="auto"/>
        </w:rPr>
        <w:t>On June 29, 2017 (the “Closing Date”), the Company entered into an amended and restated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that provides the Company with additional sources of liquidity for working capital, capital expenditures and investment opportunities, and amends and restates the Company’s previously amended and restated credit agreement (the “Credit Agreement” or the “revolving credit facility”). The Credit Agreement expires on June 29, 2022, and provides for committed aggregate borrowing of up to $650 million, with an uncommitted option to increase the aggregate borrowing by up to $250 million. The aggregate borrowing within the Credit Agreement includes a $100 million sublimit for the issuance of standby and commercial letters of credit, and a $50 million sublimit for swing line loans. The Company may prepay any amounts outstanding under the Credit Agreement without premium or penalty. All obligations of the Company under the Credit Agreement are guaranteed by Matson’s principal operating subsidiary MatNav and by certain other subsidiaries.</w:t>
      </w:r>
    </w:p>
    <w:p>
      <w:pPr>
        <w:spacing w:after="0" w:line="16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Depending on the Company’s consolidated net leverage ratio, borrowings under the Credit Agreement will bear interest at either LIBOR plus a margin of between 1.00 percent and 1.75 percent or the base rate plus a margin of between zero percent and 0.75 percent. Letters of credit are subject to fees based on the Company’s consolidated net leverage ratio at a rate of between 1.00 percent and 1.75 percent. The Company will also pay a commitment fee of between 0.15 percent and 0.30 percent depending on the Company’s consolidated net leverage ratio.</w:t>
      </w:r>
    </w:p>
    <w:p>
      <w:pPr>
        <w:spacing w:after="0" w:line="173"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i w:val="1"/>
          <w:iCs w:val="1"/>
          <w:color w:val="auto"/>
        </w:rPr>
        <w:t xml:space="preserve">Amendments to Existing Private Placement Term Loan Facilities and New Shelf Facilities (“Private Loan Facilities”): </w:t>
      </w:r>
      <w:r>
        <w:rPr>
          <w:rFonts w:ascii="Arial" w:cs="Arial" w:eastAsia="Arial" w:hAnsi="Arial"/>
          <w:sz w:val="16"/>
          <w:szCs w:val="16"/>
          <w:color w:val="auto"/>
        </w:rPr>
        <w:t>On</w:t>
      </w:r>
      <w:r>
        <w:rPr>
          <w:rFonts w:ascii="Arial" w:cs="Arial" w:eastAsia="Arial" w:hAnsi="Arial"/>
          <w:sz w:val="16"/>
          <w:szCs w:val="16"/>
          <w:i w:val="1"/>
          <w:iCs w:val="1"/>
          <w:color w:val="auto"/>
        </w:rPr>
        <w:t xml:space="preserve"> </w:t>
      </w:r>
      <w:r>
        <w:rPr>
          <w:rFonts w:ascii="Arial" w:cs="Arial" w:eastAsia="Arial" w:hAnsi="Arial"/>
          <w:sz w:val="16"/>
          <w:szCs w:val="16"/>
          <w:color w:val="auto"/>
        </w:rPr>
        <w:t>June 29, 2017, the Company and the holders of the Company’s term loans entered into amendments (collectively, the “2017 Amendments”) to each of the term loan agreements and amendments thereto, previously issued prior to the Closing</w:t>
      </w:r>
    </w:p>
    <w:p>
      <w:pPr>
        <w:ind w:right="300"/>
        <w:spacing w:after="0" w:line="277" w:lineRule="auto"/>
        <w:rPr>
          <w:sz w:val="20"/>
          <w:szCs w:val="20"/>
          <w:color w:val="auto"/>
        </w:rPr>
      </w:pPr>
      <w:r>
        <w:rPr>
          <w:rFonts w:ascii="Arial" w:cs="Arial" w:eastAsia="Arial" w:hAnsi="Arial"/>
          <w:sz w:val="17"/>
          <w:szCs w:val="17"/>
          <w:color w:val="auto"/>
        </w:rPr>
        <w:t>Date. The 2017 Amendments provide for amendments to certain covenants and other terms, including (at the Company’s option under certain circumstances) adjustments to the required consolidated leverage ratio, and, in connection with the exercise of such option, the payment of additional interest for certain pre-defined periods.</w:t>
      </w:r>
    </w:p>
    <w:p>
      <w:pPr>
        <w:spacing w:after="0" w:line="17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Debt Covenants</w:t>
      </w:r>
      <w:r>
        <w:rPr>
          <w:rFonts w:ascii="Arial" w:cs="Arial" w:eastAsia="Arial" w:hAnsi="Arial"/>
          <w:sz w:val="17"/>
          <w:szCs w:val="17"/>
          <w:color w:val="auto"/>
        </w:rPr>
        <w:t>: The Credit Agreement and Private Loan Facilities (collectively, the “Agreements”) contain affirmative,</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and financial covenants customary for financings of this type, including, among other things, limitations on certain other indebtedness, loans and investments, liens, mergers, asset sales, and transactions with affiliates as defined within the Agreements. The Agreements also contain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brief description of the principal covenants contained in the Agreements include, but are not limited to the following (as defined within the Agreements):</w:t>
      </w:r>
    </w:p>
    <w:p>
      <w:pPr>
        <w:spacing w:after="0" w:line="170" w:lineRule="exact"/>
        <w:rPr>
          <w:sz w:val="20"/>
          <w:szCs w:val="20"/>
          <w:color w:val="auto"/>
        </w:rPr>
      </w:pPr>
    </w:p>
    <w:p>
      <w:pPr>
        <w:ind w:left="320" w:right="20" w:hanging="317"/>
        <w:spacing w:after="0" w:line="258"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Consolidated Interest Coverage Ratio as of the end of any fiscal quarter is not permitted to be less than 3.50 to 1.0;</w:t>
      </w:r>
    </w:p>
    <w:p>
      <w:pPr>
        <w:spacing w:after="0" w:line="1" w:lineRule="exact"/>
        <w:rPr>
          <w:rFonts w:ascii="Arial" w:cs="Arial" w:eastAsia="Arial" w:hAnsi="Arial"/>
          <w:sz w:val="18"/>
          <w:szCs w:val="18"/>
          <w:color w:val="auto"/>
        </w:rPr>
      </w:pPr>
    </w:p>
    <w:p>
      <w:pPr>
        <w:ind w:left="320" w:hanging="317"/>
        <w:spacing w:after="0" w:line="250"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Maximum Consolidated Leverage Ratio as of the end of any fiscal quarter is not permitted to exceed 3.25 to 1.0, subject to the Company’s election of specific exceptions in which the Maximum Consolidated Leverage Ratio is not permitted to exceed 3.75 to 1.0 as described in the Agreements;</w:t>
      </w:r>
    </w:p>
    <w:p>
      <w:pPr>
        <w:spacing w:after="0" w:line="1" w:lineRule="exact"/>
        <w:rPr>
          <w:rFonts w:ascii="Arial" w:cs="Arial" w:eastAsia="Arial" w:hAnsi="Arial"/>
          <w:sz w:val="18"/>
          <w:szCs w:val="18"/>
          <w:color w:val="auto"/>
        </w:rPr>
      </w:pPr>
    </w:p>
    <w:p>
      <w:pPr>
        <w:ind w:left="320" w:right="180" w:hanging="317"/>
        <w:spacing w:after="0" w:line="254"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principal amount of Priority Debt: (i) is not permitted to exceed 20 percent of Consolidated Tangible Assets at any time (subject to a reduction to 17.5 percent upon the earlier of December 31, 2017, or upon the occurrence of certain events), and; (ii) the principal amount of Priority Debt that is not Title XI Priority Debt at any time is not permitted to exceed 10 percent of Consolidated Tangible Assets.</w:t>
      </w:r>
    </w:p>
    <w:p>
      <w:pPr>
        <w:spacing w:after="0" w:line="19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Classification of Borrowings: </w:t>
      </w:r>
      <w:r>
        <w:rPr>
          <w:rFonts w:ascii="Arial" w:cs="Arial" w:eastAsia="Arial" w:hAnsi="Arial"/>
          <w:sz w:val="16"/>
          <w:szCs w:val="16"/>
          <w:color w:val="auto"/>
        </w:rPr>
        <w:t>Borrowings under the revolving credit facility is classified as long-term debt in the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Balance Sheet, as principal payments are not required until the maturity date of June 29, 2022.</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June 30, 2017, the Company had $554.5 million of remaining availability under the revolving credit facility. The interest rate on borrowings under the revolving credit facility approximated 2.42 percent during the three months ended June 30, 2017.</w:t>
      </w:r>
    </w:p>
    <w:p>
      <w:pPr>
        <w:spacing w:after="0" w:line="393" w:lineRule="exact"/>
        <w:rPr>
          <w:sz w:val="20"/>
          <w:szCs w:val="20"/>
          <w:color w:val="auto"/>
        </w:rPr>
      </w:pPr>
    </w:p>
    <w:p>
      <w:pPr>
        <w:ind w:left="580" w:hanging="577"/>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uses Level 1 inputs for the fair values of its cash equivalents, and Level 2 inputs for its CCF – cash on deposit, and variable and fixed rate debt. The fair values of cash and cash equivalents, CCF – cash on deposit,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188"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June 30, 2017 and December 31, 2016 were as follows:</w:t>
      </w:r>
    </w:p>
    <w:tbl>
      <w:tblPr>
        <w:tblLayout w:type="fixed"/>
        <w:tblInd w:w="0" w:type="dxa"/>
        <w:tblCellMar>
          <w:top w:w="0" w:type="dxa"/>
          <w:left w:w="0" w:type="dxa"/>
          <w:bottom w:w="0" w:type="dxa"/>
          <w:right w:w="0" w:type="dxa"/>
        </w:tblCellMar>
      </w:tblPr>
      <w:tr>
        <w:trPr>
          <w:trHeight w:val="141"/>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2"/>
                <w:szCs w:val="12"/>
                <w:color w:val="auto"/>
              </w:rPr>
            </w:pPr>
          </w:p>
        </w:tc>
        <w:tc>
          <w:tcPr>
            <w:tcW w:w="920" w:type="dxa"/>
            <w:vAlign w:val="bottom"/>
          </w:tcPr>
          <w:p>
            <w:pPr>
              <w:jc w:val="center"/>
              <w:ind w:right="57"/>
              <w:spacing w:after="0" w:line="141" w:lineRule="exact"/>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2"/>
                <w:szCs w:val="12"/>
                <w:color w:val="auto"/>
              </w:rPr>
            </w:pPr>
          </w:p>
        </w:tc>
        <w:tc>
          <w:tcPr>
            <w:tcW w:w="9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9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Carrying Value</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92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2"/>
                <w:szCs w:val="12"/>
                <w:color w:val="auto"/>
              </w:rPr>
            </w:pPr>
          </w:p>
        </w:tc>
        <w:tc>
          <w:tcPr>
            <w:tcW w:w="9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0"/>
              </w:rPr>
              <w:t>June 30, 2017</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400" w:type="dxa"/>
            <w:vAlign w:val="bottom"/>
            <w:tcBorders>
              <w:top w:val="single" w:sz="8" w:color="auto"/>
              <w:bottom w:val="single" w:sz="8" w:color="auto"/>
            </w:tcBorders>
            <w:gridSpan w:val="6"/>
          </w:tcPr>
          <w:p>
            <w:pPr>
              <w:jc w:val="right"/>
              <w:ind w:right="16"/>
              <w:spacing w:after="0" w:line="142" w:lineRule="exact"/>
              <w:rPr>
                <w:sz w:val="20"/>
                <w:szCs w:val="20"/>
                <w:color w:val="auto"/>
              </w:rPr>
            </w:pPr>
            <w:r>
              <w:rPr>
                <w:rFonts w:ascii="Arial" w:cs="Arial" w:eastAsia="Arial" w:hAnsi="Arial"/>
                <w:sz w:val="14"/>
                <w:szCs w:val="14"/>
                <w:b w:val="1"/>
                <w:bCs w:val="1"/>
                <w:color w:val="auto"/>
              </w:rPr>
              <w:t>Fair Value Measurements at June 30, 2017</w:t>
            </w:r>
          </w:p>
        </w:tc>
        <w:tc>
          <w:tcPr>
            <w:tcW w:w="8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Variable rate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85.0</w:t>
            </w:r>
          </w:p>
        </w:tc>
        <w:tc>
          <w:tcPr>
            <w:tcW w:w="2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659.5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659.5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2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 2016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8"/>
          </w:tcPr>
          <w:p>
            <w:pPr>
              <w:ind w:left="560"/>
              <w:spacing w:after="0"/>
              <w:rPr>
                <w:sz w:val="20"/>
                <w:szCs w:val="20"/>
                <w:color w:val="auto"/>
              </w:rPr>
            </w:pPr>
            <w:r>
              <w:rPr>
                <w:rFonts w:ascii="Arial" w:cs="Arial" w:eastAsia="Arial" w:hAnsi="Arial"/>
                <w:sz w:val="14"/>
                <w:szCs w:val="14"/>
                <w:b w:val="1"/>
                <w:bCs w:val="1"/>
                <w:color w:val="auto"/>
              </w:rPr>
              <w:t>Fair Value Measurements at December 31, 2016</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CCF - cash on deposit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Fixed rate debt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685.2</w:t>
            </w:r>
          </w:p>
        </w:tc>
        <w:tc>
          <w:tcPr>
            <w:tcW w:w="30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685.2</w:t>
            </w:r>
          </w:p>
        </w:tc>
        <w:tc>
          <w:tcPr>
            <w:tcW w:w="260" w:type="dxa"/>
            <w:vAlign w:val="bottom"/>
          </w:tcPr>
          <w:p>
            <w:pPr>
              <w:spacing w:after="0"/>
              <w:rPr>
                <w:sz w:val="20"/>
                <w:szCs w:val="20"/>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580" w:hanging="577"/>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number of shares used to compute basic and diluted earnings per-share for the three and six months ended June 30, 2017 and 2016, was as follows:</w:t>
      </w:r>
    </w:p>
    <w:tbl>
      <w:tblPr>
        <w:tblLayout w:type="fixed"/>
        <w:tblInd w:w="0" w:type="dxa"/>
        <w:tblCellMar>
          <w:top w:w="0" w:type="dxa"/>
          <w:left w:w="0" w:type="dxa"/>
          <w:bottom w:w="0" w:type="dxa"/>
          <w:right w:w="0" w:type="dxa"/>
        </w:tblCellMar>
      </w:tblPr>
      <w:tr>
        <w:trPr>
          <w:trHeight w:val="141"/>
        </w:trPr>
        <w:tc>
          <w:tcPr>
            <w:tcW w:w="4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80" w:type="dxa"/>
            <w:vAlign w:val="bottom"/>
            <w:gridSpan w:val="11"/>
          </w:tcPr>
          <w:p>
            <w:pPr>
              <w:jc w:val="center"/>
              <w:ind w:right="80"/>
              <w:spacing w:after="0" w:line="141" w:lineRule="exact"/>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2"/>
                <w:szCs w:val="12"/>
                <w:color w:val="auto"/>
              </w:rPr>
            </w:pPr>
          </w:p>
        </w:tc>
        <w:tc>
          <w:tcPr>
            <w:tcW w:w="2200" w:type="dxa"/>
            <w:vAlign w:val="bottom"/>
            <w:gridSpan w:val="13"/>
            <w:vMerge w:val="restart"/>
          </w:tcPr>
          <w:p>
            <w:pPr>
              <w:jc w:val="center"/>
              <w:ind w:right="140"/>
              <w:spacing w:after="0"/>
              <w:rPr>
                <w:sz w:val="20"/>
                <w:szCs w:val="20"/>
                <w:color w:val="auto"/>
              </w:rPr>
            </w:pPr>
            <w:r>
              <w:rPr>
                <w:rFonts w:ascii="Arial" w:cs="Arial" w:eastAsia="Arial" w:hAnsi="Arial"/>
                <w:sz w:val="14"/>
                <w:szCs w:val="14"/>
                <w:b w:val="1"/>
                <w:bCs w:val="1"/>
                <w:color w:val="auto"/>
                <w:w w:val="93"/>
              </w:rPr>
              <w:t>Six Months Ended June 30, 2017</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Weighted-</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97"/>
              <w:spacing w:after="0" w:line="119" w:lineRule="exact"/>
              <w:rPr>
                <w:sz w:val="20"/>
                <w:szCs w:val="20"/>
                <w:color w:val="auto"/>
              </w:rPr>
            </w:pPr>
            <w:r>
              <w:rPr>
                <w:rFonts w:ascii="Arial" w:cs="Arial" w:eastAsia="Arial" w:hAnsi="Arial"/>
                <w:sz w:val="13"/>
                <w:szCs w:val="13"/>
                <w:b w:val="1"/>
                <w:bCs w:val="1"/>
                <w:color w:val="auto"/>
              </w:rPr>
              <w:t>Per</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Weighted-</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97"/>
              <w:spacing w:after="0" w:line="119" w:lineRule="exact"/>
              <w:rPr>
                <w:sz w:val="20"/>
                <w:szCs w:val="20"/>
                <w:color w:val="auto"/>
              </w:rPr>
            </w:pPr>
            <w:r>
              <w:rPr>
                <w:rFonts w:ascii="Arial" w:cs="Arial" w:eastAsia="Arial" w:hAnsi="Arial"/>
                <w:sz w:val="13"/>
                <w:szCs w:val="13"/>
                <w:b w:val="1"/>
                <w:bCs w:val="1"/>
                <w:color w:val="auto"/>
              </w:rPr>
              <w:t>Per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6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gridSpan w:val="6"/>
          </w:tcPr>
          <w:p>
            <w:pPr>
              <w:ind w:left="120"/>
              <w:spacing w:after="0" w:line="149" w:lineRule="exact"/>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share amounts)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5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6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71"/>
        </w:trPr>
        <w:tc>
          <w:tcPr>
            <w:tcW w:w="44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680" w:type="dxa"/>
            <w:vAlign w:val="bottom"/>
            <w:gridSpan w:val="4"/>
          </w:tcPr>
          <w:p>
            <w:pPr>
              <w:ind w:left="20"/>
              <w:spacing w:after="0"/>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720" w:type="dxa"/>
            <w:vAlign w:val="bottom"/>
            <w:gridSpan w:val="5"/>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$ 24.0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5"/>
              </w:rPr>
              <w:t>$ 31.0</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9"/>
              </w:rPr>
              <w:t>(0.01)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$ 24.0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5"/>
              </w:rPr>
              <w:t>$ 31.0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gridSpan w:val="12"/>
            <w:vMerge w:val="restart"/>
          </w:tcPr>
          <w:p>
            <w:pPr>
              <w:ind w:left="20"/>
              <w:spacing w:after="0"/>
              <w:rPr>
                <w:sz w:val="20"/>
                <w:szCs w:val="20"/>
                <w:color w:val="auto"/>
              </w:rPr>
            </w:pPr>
            <w:r>
              <w:rPr>
                <w:rFonts w:ascii="Arial" w:cs="Arial" w:eastAsia="Arial" w:hAnsi="Arial"/>
                <w:sz w:val="14"/>
                <w:szCs w:val="14"/>
                <w:b w:val="1"/>
                <w:bCs w:val="1"/>
                <w:color w:val="auto"/>
                <w:w w:val="97"/>
              </w:rPr>
              <w:t>Six Months Ended June 30, 2016</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5"/>
          </w:tcPr>
          <w:p>
            <w:pPr>
              <w:jc w:val="center"/>
              <w:ind w:left="19"/>
              <w:spacing w:after="0"/>
              <w:rPr>
                <w:sz w:val="20"/>
                <w:szCs w:val="20"/>
                <w:color w:val="auto"/>
              </w:rPr>
            </w:pPr>
            <w:r>
              <w:rPr>
                <w:rFonts w:ascii="Arial" w:cs="Arial" w:eastAsia="Arial" w:hAnsi="Arial"/>
                <w:sz w:val="14"/>
                <w:szCs w:val="14"/>
                <w:b w:val="1"/>
                <w:bCs w:val="1"/>
                <w:color w:val="auto"/>
                <w:w w:val="92"/>
              </w:rPr>
              <w:t>June 30, 2016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Weighted-</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5"/>
              </w:rPr>
              <w:t>Per</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2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share amounts)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44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$ 18.0</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$ 36.1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$ 18.0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$ 36.1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earnings per-share is determined by dividing net income by the weighted-average common shares outstanding during the period. The calculation of diluted earnings per-share includes the dilutive effect of unexercised non-qualified stock options and non-vested restricted stock units.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computation of weighted-average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 The number of such shares excluded was nominal.</w:t>
      </w:r>
    </w:p>
    <w:p>
      <w:pPr>
        <w:spacing w:after="0" w:line="399" w:lineRule="exact"/>
        <w:rPr>
          <w:sz w:val="20"/>
          <w:szCs w:val="20"/>
          <w:color w:val="auto"/>
        </w:rPr>
      </w:pPr>
    </w:p>
    <w:p>
      <w:pPr>
        <w:ind w:left="580" w:hanging="577"/>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the three and six months ended June 30, 2017, the Company granted approximately 40,200 and 296,000 in total of time-based restricted stock units and performance-based shares to certain of its employees at a weighted-average grant date fair value of $32.09 and $36.27, respectively.</w:t>
      </w:r>
    </w:p>
    <w:p>
      <w:pPr>
        <w:spacing w:after="0" w:line="18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Total share-based compensation cost recognized in the Condensed Consolidated Statements of Income and Comprehensive Income as a component of selling, general and administrative expenses was $2.3 million and $3.4 million for the three months ended June 30, 2017 and 2016, and $4.9 million and $6.2 million for the six months ended June 30, 2017 and 2016, respectively. Total unrecognized compensation cost related to unvested share-based compensation arrangements was $15.0 million at June 30, 2017, and is expected to be recognized over a weighted-average period of 1.6 years. Total unrecognized compensation cost may be adjusted for any unearned performance shares or forfeited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580" w:hanging="577"/>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PLANS</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sponsors qualified defined benefit pension and other post-retirement plans (collectively, the “Plans”). The following table provides the components of net periodic benefit cost (benefit) for the Plans for the six months ended June 30, 2017 and 2016:</w:t>
      </w:r>
    </w:p>
    <w:tbl>
      <w:tblPr>
        <w:tblLayout w:type="fixed"/>
        <w:tblInd w:w="0" w:type="dxa"/>
        <w:tblCellMar>
          <w:top w:w="0" w:type="dxa"/>
          <w:left w:w="0" w:type="dxa"/>
          <w:bottom w:w="0" w:type="dxa"/>
          <w:right w:w="0" w:type="dxa"/>
        </w:tblCellMar>
      </w:tblPr>
      <w:tr>
        <w:trPr>
          <w:trHeight w:val="140"/>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vMerge w:val="restart"/>
          </w:tcPr>
          <w:p>
            <w:pPr>
              <w:jc w:val="right"/>
              <w:ind w:right="293"/>
              <w:spacing w:after="0"/>
              <w:rPr>
                <w:sz w:val="20"/>
                <w:szCs w:val="20"/>
                <w:color w:val="auto"/>
              </w:rPr>
            </w:pPr>
            <w:r>
              <w:rPr>
                <w:rFonts w:ascii="Arial" w:cs="Arial" w:eastAsia="Arial" w:hAnsi="Arial"/>
                <w:sz w:val="14"/>
                <w:szCs w:val="14"/>
                <w:b w:val="1"/>
                <w:bCs w:val="1"/>
                <w:color w:val="auto"/>
              </w:rPr>
              <w:t>Pension Benefits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5"/>
          </w:tcPr>
          <w:p>
            <w:pPr>
              <w:jc w:val="center"/>
              <w:ind w:right="260"/>
              <w:spacing w:after="0" w:line="140" w:lineRule="exact"/>
              <w:rPr>
                <w:sz w:val="20"/>
                <w:szCs w:val="20"/>
                <w:color w:val="auto"/>
              </w:rPr>
            </w:pPr>
            <w:r>
              <w:rPr>
                <w:rFonts w:ascii="Arial" w:cs="Arial" w:eastAsia="Arial" w:hAnsi="Arial"/>
                <w:sz w:val="14"/>
                <w:szCs w:val="14"/>
                <w:b w:val="1"/>
                <w:bCs w:val="1"/>
                <w:color w:val="auto"/>
                <w:w w:val="94"/>
              </w:rPr>
              <w:t>Other Post-</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retirement Benefits</w:t>
            </w:r>
          </w:p>
        </w:tc>
        <w:tc>
          <w:tcPr>
            <w:tcW w:w="0" w:type="dxa"/>
            <w:vAlign w:val="bottom"/>
          </w:tcPr>
          <w:p>
            <w:pPr>
              <w:spacing w:after="0"/>
              <w:rPr>
                <w:sz w:val="1"/>
                <w:szCs w:val="1"/>
                <w:color w:val="auto"/>
              </w:rPr>
            </w:pPr>
          </w:p>
        </w:tc>
      </w:tr>
      <w:tr>
        <w:trPr>
          <w:trHeight w:val="17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six months ended June 30, 2017, the Company contributed $3.0 million to its defined benefit pension plans. No further contributions are expected for 2017.</w:t>
      </w:r>
    </w:p>
    <w:p>
      <w:pPr>
        <w:spacing w:after="0" w:line="383" w:lineRule="exact"/>
        <w:rPr>
          <w:sz w:val="20"/>
          <w:szCs w:val="20"/>
          <w:color w:val="auto"/>
        </w:rPr>
      </w:pPr>
    </w:p>
    <w:p>
      <w:pPr>
        <w:ind w:left="580" w:hanging="577"/>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Span Alaska Acquisition: </w:t>
      </w:r>
      <w:r>
        <w:rPr>
          <w:rFonts w:ascii="Arial" w:cs="Arial" w:eastAsia="Arial" w:hAnsi="Arial"/>
          <w:sz w:val="17"/>
          <w:szCs w:val="17"/>
          <w:color w:val="auto"/>
        </w:rPr>
        <w:t>On August 4, 2016 (the “Effective Date”), Matson Logistics completed the purchase of 100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percent of the membership interests of Span Alaska pursuant to the terms of the Membership Interest Purchase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Agreement. At the Effective Date, Span Alaska became a wholly-owned subsidiary of Matson Logistics. Span Alaska is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asset-light logistics company providing freight forwarding services primarily to the Alaska market. Span Alaska consolidates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freight in Auburn, Washington, for shipment to Alaska and distribution through a network of terminals in Anchorage,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Fairbanks, Wasilla, Kenai, Juneau and Kodiak. Span Alaska’s operations are recorded within the Logistics segment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Total consideration for the Span Alaska Acquisition was $198.9 million based on the fair value of membership interests of $117.0 million, and Span Alaska’s debt and accrued interest of $81.9 million. Immediately following the close of the Span Alaska Acquisition, the Company paid the assumed debt.</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Span Alaska Acquisition was accounted for as a business combination in accordance with Accounting Standards Codification (ASC) 805,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(“ASC 805”). The assets acquired and liabilities assumed in the Span Alaska Acquisition were recorded based on fair value estimates as of the Effective Date, with the remaining unallocated purchase price of $78.6 million recorded as goodwill. As of December 31, 2016, the purchase price accounting for the Span Alaska Acquisition was considered final.</w:t>
      </w:r>
    </w:p>
    <w:p>
      <w:pPr>
        <w:spacing w:after="0" w:line="188"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The Company's Condensed Consolidated Statements of Income and Comprehensive Income for the three and six months ended June 30, 2017 include operating revenue of $16.2 million and $28.8 million (after elimination of intercompany revenue of $8.3 million and $14.4 million), and operating income of $4.9 million and $5.9 million, from Span Alaska’s operations, respectively. One-time acquisition related costs incurred post December 31, 2016 were not material.</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 xml:space="preserve">Pro Forma Financial Information (Unaudited): </w:t>
      </w:r>
      <w:r>
        <w:rPr>
          <w:rFonts w:ascii="Arial" w:cs="Arial" w:eastAsia="Arial" w:hAnsi="Arial"/>
          <w:sz w:val="16"/>
          <w:szCs w:val="16"/>
          <w:color w:val="auto"/>
        </w:rPr>
        <w:t>The following unaudited pro forma financial information presents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combined operating results of the Company and Span Alaska, as if the Span Alaska Acquisition had been completed at the beginning of each period presented below. The unaudited pro forma financial information includes the accounting effects of the business combination, including the amortization of intangible assets, depreciation of property and equipment, and interest expense. Unaudited pro forma operating revenue is presented after elimination of intercompany revenue.</w:t>
      </w:r>
    </w:p>
    <w:p>
      <w:pPr>
        <w:spacing w:after="0" w:line="15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unaudited pro forma financial information is presented for informational purposes only and is not indicative of the result of operations that would have been achieved if the Span Alaska Acquisition had taken place at the beginning of the periods presented, nor should it be taken as an indication of our future consolidated results of operations.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4"/>
                <w:szCs w:val="14"/>
                <w:color w:val="auto"/>
              </w:rPr>
            </w:pPr>
          </w:p>
        </w:tc>
        <w:tc>
          <w:tcPr>
            <w:tcW w:w="1380" w:type="dxa"/>
            <w:vAlign w:val="bottom"/>
            <w:gridSpan w:val="5"/>
          </w:tcPr>
          <w:p>
            <w:pPr>
              <w:ind w:left="26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2"/>
                <w:szCs w:val="12"/>
                <w:color w:val="auto"/>
              </w:rPr>
            </w:pPr>
          </w:p>
        </w:tc>
        <w:tc>
          <w:tcPr>
            <w:tcW w:w="13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share amount)</w:t>
            </w: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06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 Forma Combined:</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Operating revenue</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512.5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483.0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986.9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949.5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after income tax expense</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Basic Earnings Per-Share:</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9"/>
              </w:rPr>
              <w:t>Weighted-Average Number of Shares Outstanding:</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060" w:type="dxa"/>
            <w:vAlign w:val="bottom"/>
          </w:tcPr>
          <w:p>
            <w:pPr>
              <w:spacing w:after="0"/>
              <w:rPr>
                <w:sz w:val="24"/>
                <w:szCs w:val="24"/>
                <w:color w:val="auto"/>
              </w:rPr>
            </w:pPr>
          </w:p>
        </w:tc>
        <w:tc>
          <w:tcPr>
            <w:tcW w:w="1620" w:type="dxa"/>
            <w:vAlign w:val="bottom"/>
          </w:tcPr>
          <w:p>
            <w:pPr>
              <w:jc w:val="right"/>
              <w:ind w:right="97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right="120"/>
        <w:spacing w:after="0" w:line="224" w:lineRule="exact"/>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Securities and Exchange Commission (“SEC”) filings, such as the Forms 10-K, 10-Q and 8-K, the Annual Report to Shareholders, press releases made by the Company, the Company’s Internet Websites (including Websites of its subsidiaries), and oral statements made by the officers of the Company.</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cautions that forward-looking statements are subject to numerous assumptions, risks and uncertainties, which change over time, including, but not limited to, the risk factors that are described in Part II, Item 1A, “Risk Factors” of this Quarterly Report, in Part I, Item 1A, “Risk Factors” of Matson’s Annual Report on Form 10-K for the year ended December 31, 2016, and in Part II, Item 1A, “Risk Factors” of the Company’s Quarterly Report on Form 10-Q for the quarterly period ended March 31, 2017. Forward-looking statements speak only as of the date they are made, and the Company assumes no duty to and does not undertake to update forward-looking statements. Actual results could differ materially from those anticipated in forward-looking statements and future results could differ materially from historical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on Form 10-K for the year ended December 31, 2016, the Company’s reports on Forms 10-Q and 8-K, and other publicly available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Ocean Transportation: </w:t>
      </w:r>
      <w:r>
        <w:rPr>
          <w:rFonts w:ascii="Arial" w:cs="Arial" w:eastAsia="Arial" w:hAnsi="Arial"/>
          <w:sz w:val="17"/>
          <w:szCs w:val="17"/>
          <w:color w:val="auto"/>
        </w:rPr>
        <w:t>The Hawaii economy experienced modest growth in the second quarter 2017; however,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container volume was lower due to the absence of volume gains associated with a competitor’s service reconfiguration and related issues in the second quarter of 2016, and lower construction related volumes. Given the timing of the expected transition of construction activity and the absence of a 53</w:t>
      </w:r>
      <w:r>
        <w:rPr>
          <w:rFonts w:ascii="Arial" w:cs="Arial" w:eastAsia="Arial" w:hAnsi="Arial"/>
          <w:sz w:val="8"/>
          <w:szCs w:val="8"/>
          <w:color w:val="auto"/>
        </w:rPr>
        <w:t>rd</w:t>
      </w:r>
      <w:r>
        <w:rPr>
          <w:rFonts w:ascii="Arial" w:cs="Arial" w:eastAsia="Arial" w:hAnsi="Arial"/>
          <w:sz w:val="17"/>
          <w:szCs w:val="17"/>
          <w:color w:val="auto"/>
        </w:rPr>
        <w:t xml:space="preserve"> week in 2017, the Company expects its full year 2017 Hawaii container volume to be modestly lower than the level achieved in 2016.</w:t>
      </w:r>
    </w:p>
    <w:p>
      <w:pPr>
        <w:spacing w:after="0" w:line="1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China, the Company’s container volume in the second quarter 2017 was 15.0 percent higher year-over-year due to stronger demand for Matson’s expedited service and an additional sailing. The Company continued to realize a sizeable rate premium in the second quarter 2017 and achieved average freight rates modestly higher than the second quarter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339"/>
        <w:spacing w:after="0" w:line="277" w:lineRule="auto"/>
        <w:rPr>
          <w:sz w:val="20"/>
          <w:szCs w:val="20"/>
          <w:color w:val="auto"/>
        </w:rPr>
      </w:pPr>
      <w:r>
        <w:rPr>
          <w:rFonts w:ascii="Arial" w:cs="Arial" w:eastAsia="Arial" w:hAnsi="Arial"/>
          <w:sz w:val="18"/>
          <w:szCs w:val="18"/>
          <w:color w:val="auto"/>
        </w:rPr>
        <w:t>2016. For the remainder of 2017, the Company expects continued strong demand for our highly differentiated expedited service amid a chronically over-supplied international container shipping market.</w:t>
      </w:r>
    </w:p>
    <w:p>
      <w:pPr>
        <w:spacing w:after="0" w:line="170" w:lineRule="exact"/>
        <w:rPr>
          <w:sz w:val="20"/>
          <w:szCs w:val="20"/>
          <w:color w:val="auto"/>
        </w:rPr>
      </w:pPr>
    </w:p>
    <w:p>
      <w:pPr>
        <w:ind w:right="79"/>
        <w:spacing w:after="0" w:line="259" w:lineRule="auto"/>
        <w:rPr>
          <w:sz w:val="20"/>
          <w:szCs w:val="20"/>
          <w:color w:val="auto"/>
        </w:rPr>
      </w:pPr>
      <w:r>
        <w:rPr>
          <w:rFonts w:ascii="Arial" w:cs="Arial" w:eastAsia="Arial" w:hAnsi="Arial"/>
          <w:sz w:val="18"/>
          <w:szCs w:val="18"/>
          <w:color w:val="auto"/>
        </w:rPr>
        <w:t>In Guam, as expected, the Company’s container volume in the second quarter 2017 was lower on a year-over-year basis, the result of competitive losses to a U.S. flagged containership service that increased its service frequency to weekly in December 2016. For the balance of 2017, the Company expects a continued heightened competitive environment and lower volume.</w:t>
      </w:r>
    </w:p>
    <w:p>
      <w:pPr>
        <w:spacing w:after="0" w:line="187" w:lineRule="exact"/>
        <w:rPr>
          <w:sz w:val="20"/>
          <w:szCs w:val="20"/>
          <w:color w:val="auto"/>
        </w:rPr>
      </w:pPr>
    </w:p>
    <w:p>
      <w:pPr>
        <w:ind w:right="99"/>
        <w:spacing w:after="0" w:line="302" w:lineRule="auto"/>
        <w:rPr>
          <w:sz w:val="20"/>
          <w:szCs w:val="20"/>
          <w:color w:val="auto"/>
        </w:rPr>
      </w:pPr>
      <w:r>
        <w:rPr>
          <w:rFonts w:ascii="Arial" w:cs="Arial" w:eastAsia="Arial" w:hAnsi="Arial"/>
          <w:sz w:val="16"/>
          <w:szCs w:val="16"/>
          <w:color w:val="auto"/>
        </w:rPr>
        <w:t>In Alaska, the Company’s container volume for the second quarter 2017 was 1.1 percent lower year-over-year, primarily the result of the continued energy sector related economic contraction, partially offset by improved seafood harvest. For the remainder of 2017, the Company continues to expect modestly lower volume based on declining northbound freight due to ongoing contraction of Alaska’s energy-based economy, partially offset by improved southbound seafood volume.</w:t>
      </w:r>
    </w:p>
    <w:p>
      <w:pPr>
        <w:spacing w:after="0" w:line="154" w:lineRule="exact"/>
        <w:rPr>
          <w:sz w:val="20"/>
          <w:szCs w:val="20"/>
          <w:color w:val="auto"/>
        </w:rPr>
      </w:pPr>
    </w:p>
    <w:p>
      <w:pPr>
        <w:ind w:right="139"/>
        <w:spacing w:after="0" w:line="264" w:lineRule="auto"/>
        <w:rPr>
          <w:sz w:val="20"/>
          <w:szCs w:val="20"/>
          <w:color w:val="auto"/>
        </w:rPr>
      </w:pPr>
      <w:r>
        <w:rPr>
          <w:rFonts w:ascii="Arial" w:cs="Arial" w:eastAsia="Arial" w:hAnsi="Arial"/>
          <w:sz w:val="18"/>
          <w:szCs w:val="18"/>
          <w:color w:val="auto"/>
        </w:rPr>
        <w:t>As a result, the Company expects Ocean Transportation operating income for the full year 2017 to be lower than the $141.3 million achieved in 2016. In the third quarter 2017, the Company expects Ocean Transportation operating income to be moderately higher than the $42.7 million achieved in the third quarter 2016.</w:t>
      </w:r>
    </w:p>
    <w:p>
      <w:pPr>
        <w:spacing w:after="0" w:line="181" w:lineRule="exact"/>
        <w:rPr>
          <w:sz w:val="20"/>
          <w:szCs w:val="20"/>
          <w:color w:val="auto"/>
        </w:rPr>
      </w:pPr>
    </w:p>
    <w:p>
      <w:pPr>
        <w:ind w:right="79"/>
        <w:spacing w:after="0" w:line="297" w:lineRule="auto"/>
        <w:rPr>
          <w:sz w:val="20"/>
          <w:szCs w:val="20"/>
          <w:color w:val="auto"/>
        </w:rPr>
      </w:pPr>
      <w:r>
        <w:rPr>
          <w:rFonts w:ascii="Arial" w:cs="Arial" w:eastAsia="Arial" w:hAnsi="Arial"/>
          <w:sz w:val="16"/>
          <w:szCs w:val="16"/>
          <w:i w:val="1"/>
          <w:iCs w:val="1"/>
          <w:color w:val="auto"/>
        </w:rPr>
        <w:t xml:space="preserve">Logistics: </w:t>
      </w:r>
      <w:r>
        <w:rPr>
          <w:rFonts w:ascii="Arial" w:cs="Arial" w:eastAsia="Arial" w:hAnsi="Arial"/>
          <w:sz w:val="16"/>
          <w:szCs w:val="16"/>
          <w:color w:val="auto"/>
        </w:rPr>
        <w:t>In the second quarter 2017, operating income for the Company’s Logistics segment included a full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freight forwarding operating results from its acquired Span Alaska business. For the full year 2017, the Company expects Logistics operating income to be approximately $20 million, up significantly from the 2016 level of $11.9 million, primarily due to the inclusion of Span Alaska’s freight forwarding business for a full year. In the third quarter 2017, the Company expects Logistics operating income to be approximately double the $3.5 million achieved in the third quarter 2016.</w:t>
      </w:r>
    </w:p>
    <w:p>
      <w:pPr>
        <w:spacing w:after="0" w:line="158" w:lineRule="exact"/>
        <w:rPr>
          <w:sz w:val="20"/>
          <w:szCs w:val="20"/>
          <w:color w:val="auto"/>
        </w:rPr>
      </w:pPr>
    </w:p>
    <w:p>
      <w:pPr>
        <w:ind w:right="79"/>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For the full year 2017, the Company expects depreciation and amortization expense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by approximately $15 million to $150 million, inclusive of dry-docking amortization of approximately $50 million, primarily due to the higher levels of maintenance capital and vessel dry-docking expenditures in 2016 and planned for the remainder of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The Company expects full year 2017 EBITDA to approximate the $288.6 million achieved in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interest expense for the full year 2017 to be approximately $25 million.</w:t>
      </w:r>
    </w:p>
    <w:p>
      <w:pPr>
        <w:spacing w:after="0" w:line="225" w:lineRule="exact"/>
        <w:rPr>
          <w:sz w:val="20"/>
          <w:szCs w:val="20"/>
          <w:color w:val="auto"/>
        </w:rPr>
      </w:pPr>
    </w:p>
    <w:p>
      <w:pPr>
        <w:ind w:right="99"/>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 the second quarter 2017, the Company’s effective tax rate was 39.4 percent. For the full year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expects its effective tax rate to be approximately 39 percent.</w:t>
      </w:r>
    </w:p>
    <w:p>
      <w:pPr>
        <w:spacing w:after="0" w:line="170" w:lineRule="exact"/>
        <w:rPr>
          <w:sz w:val="20"/>
          <w:szCs w:val="20"/>
          <w:color w:val="auto"/>
        </w:rPr>
      </w:pPr>
    </w:p>
    <w:p>
      <w:pPr>
        <w:ind w:right="239"/>
        <w:spacing w:after="0" w:line="257" w:lineRule="auto"/>
        <w:rPr>
          <w:sz w:val="20"/>
          <w:szCs w:val="20"/>
          <w:color w:val="auto"/>
        </w:rPr>
      </w:pPr>
      <w:r>
        <w:rPr>
          <w:rFonts w:ascii="Arial" w:cs="Arial" w:eastAsia="Arial" w:hAnsi="Arial"/>
          <w:sz w:val="18"/>
          <w:szCs w:val="18"/>
          <w:i w:val="1"/>
          <w:iCs w:val="1"/>
          <w:color w:val="auto"/>
        </w:rPr>
        <w:t xml:space="preserve">Capital and Vessel Dry-docking Expenditures: </w:t>
      </w:r>
      <w:r>
        <w:rPr>
          <w:rFonts w:ascii="Arial" w:cs="Arial" w:eastAsia="Arial" w:hAnsi="Arial"/>
          <w:sz w:val="18"/>
          <w:szCs w:val="18"/>
          <w:color w:val="auto"/>
        </w:rPr>
        <w:t>In the second quarter 2017, the Company made maintenance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 payments of $14.2 million, vessel construction expenditures of $44.9 million, and dry-docking payments of $17.9 million. For the full year 2017, the Company expects to make maintenance capital expenditure payments of approximately $50 million, vessel construction expenditures of approximately $242 million, and dry-docking payments of approximately $50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June 30,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9"/>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(466.6)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(431.6)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27.1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33.8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2"/>
              </w:rPr>
              <w:t>34.5 %</w:t>
            </w:r>
          </w:p>
        </w:tc>
        <w:tc>
          <w:tcPr>
            <w:tcW w:w="0" w:type="dxa"/>
            <w:vAlign w:val="bottom"/>
          </w:tcPr>
          <w:p>
            <w:pPr>
              <w:spacing w:after="0"/>
              <w:rPr>
                <w:sz w:val="1"/>
                <w:szCs w:val="1"/>
                <w:color w:val="auto"/>
              </w:rPr>
            </w:pPr>
          </w:p>
        </w:tc>
      </w:tr>
      <w:tr>
        <w:trPr>
          <w:trHeight w:val="230"/>
        </w:trPr>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33.3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3" w:lineRule="exact"/>
              <w:rPr>
                <w:sz w:val="20"/>
                <w:szCs w:val="20"/>
                <w:color w:val="auto"/>
              </w:rPr>
            </w:pPr>
            <w:r>
              <w:rPr>
                <w:rFonts w:ascii="Arial" w:cs="Arial" w:eastAsia="Arial" w:hAnsi="Arial"/>
                <w:sz w:val="18"/>
                <w:szCs w:val="18"/>
                <w:color w:val="auto"/>
              </w:rPr>
              <w:t>Basic earnings per-share</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0.56</w:t>
            </w:r>
          </w:p>
        </w:tc>
        <w:tc>
          <w:tcPr>
            <w:tcW w:w="1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0.42</w:t>
            </w:r>
          </w:p>
        </w:tc>
        <w:tc>
          <w:tcPr>
            <w:tcW w:w="1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0.14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Arial" w:cs="Arial" w:eastAsia="Arial" w:hAnsi="Arial"/>
                <w:sz w:val="18"/>
                <w:szCs w:val="18"/>
                <w:color w:val="auto"/>
                <w:w w:val="91"/>
              </w:rPr>
              <w:t>33.3</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31.0 %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Consolidated results of operations include the operating results of Span Alaska from the date of acquisition on August 4, 2016. Changes in operating revenue, and operating costs and expenses are further described below in the Analysis of Operating Revenue and Income by Segment below.</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decrease in interest expense during the three months ended June 30, 2017, compared to the three months ended June 30, 2016, was due to increased capitalized interest, largely offset by higher revolver and long-term borrowings.</w:t>
      </w:r>
    </w:p>
    <w:p>
      <w:pPr>
        <w:spacing w:after="0" w:line="147"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Income tax expense was $15.6 million or 39.4 percent of income before income taxes for the three months ended June 30, 2017, compared to $11.6 million or 39.2 percent of income before income taxes for the three months ended June 30,</w:t>
      </w:r>
    </w:p>
    <w:p>
      <w:pPr>
        <w:ind w:right="40"/>
        <w:spacing w:after="0" w:line="261" w:lineRule="auto"/>
        <w:rPr>
          <w:sz w:val="20"/>
          <w:szCs w:val="20"/>
          <w:color w:val="auto"/>
        </w:rPr>
      </w:pPr>
      <w:r>
        <w:rPr>
          <w:rFonts w:ascii="Arial" w:cs="Arial" w:eastAsia="Arial" w:hAnsi="Arial"/>
          <w:sz w:val="18"/>
          <w:szCs w:val="18"/>
          <w:color w:val="auto"/>
        </w:rPr>
        <w:t>2016. The increase in the effective income tax rate was primarily due to changes in non-deductible expenses during the three months ended June 30, 2017, compared to the three months ended June 30,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Six months ended June 30,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(924.6)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(851.2)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(73.4)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
        </w:trPr>
        <w:tc>
          <w:tcPr>
            <w:tcW w:w="5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(11.9)%</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
        </w:trPr>
        <w:tc>
          <w:tcPr>
            <w:tcW w:w="5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(16.2)%</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(19.4)%</w:t>
            </w:r>
          </w:p>
        </w:tc>
        <w:tc>
          <w:tcPr>
            <w:tcW w:w="0" w:type="dxa"/>
            <w:vAlign w:val="bottom"/>
          </w:tcPr>
          <w:p>
            <w:pPr>
              <w:spacing w:after="0"/>
              <w:rPr>
                <w:sz w:val="1"/>
                <w:szCs w:val="1"/>
                <w:color w:val="auto"/>
              </w:rPr>
            </w:pPr>
          </w:p>
        </w:tc>
      </w:tr>
      <w:tr>
        <w:trPr>
          <w:trHeight w:val="230"/>
        </w:trPr>
        <w:tc>
          <w:tcPr>
            <w:tcW w:w="5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(14.1)</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940" w:type="dxa"/>
            <w:vAlign w:val="bottom"/>
            <w:gridSpan w:val="2"/>
          </w:tcPr>
          <w:p>
            <w:pPr>
              <w:spacing w:after="0" w:line="203" w:lineRule="exact"/>
              <w:rPr>
                <w:sz w:val="20"/>
                <w:szCs w:val="20"/>
                <w:color w:val="auto"/>
              </w:rPr>
            </w:pPr>
            <w:r>
              <w:rPr>
                <w:rFonts w:ascii="Arial" w:cs="Arial" w:eastAsia="Arial" w:hAnsi="Arial"/>
                <w:sz w:val="18"/>
                <w:szCs w:val="18"/>
                <w:color w:val="auto"/>
              </w:rPr>
              <w:t>Basic earnings per-share</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0.72</w:t>
            </w:r>
          </w:p>
        </w:tc>
        <w:tc>
          <w:tcPr>
            <w:tcW w:w="1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0.83</w:t>
            </w:r>
          </w:p>
        </w:tc>
        <w:tc>
          <w:tcPr>
            <w:tcW w:w="16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w w:val="93"/>
              </w:rPr>
              <w:t>(0.11)</w:t>
            </w:r>
          </w:p>
        </w:tc>
        <w:tc>
          <w:tcPr>
            <w:tcW w:w="18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8"/>
              </w:rPr>
              <w:t>(13.3)%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(0.11)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Consolidated results of operations include the operating results of Span Alaska from the date of acquisition on August 4, 2016. Changes in operating revenue, and operating costs and expenses are further described below in the Analysis of Operating Revenue and Income by Segment below.</w:t>
      </w:r>
    </w:p>
    <w:p>
      <w:pPr>
        <w:spacing w:after="0" w:line="18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increase in interest expense during the six months ended June 30, 2017, compared to the six months ended June 30, 2016, was due to higher revolver and long-term borrowings, partially offset by capitalized interest.</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expense was $18.7 million or 37.6 percent of income before income taxes for the six months ended June 30, 2017, compared to $23.2 million or 39.1 percent of income before income taxes for the six months ended June 30, 2016. The decrease in the effective income tax rate was primarily due to the impact of share-based compensation that reduced income tax expense during the six months ended June 30, 2017, resulting from the adoption of a new accounting standard related to share-based compensation.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June 30,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w w:val="98"/>
              </w:rPr>
              <w:t>Three Months Ended June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(353.7)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9.9 %</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(4,700)</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16,900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Micronesia/South Pacific Containers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jc w:val="both"/>
        <w:ind w:left="320" w:right="60" w:hanging="317"/>
        <w:spacing w:after="0" w:line="264"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Ocean Transportation revenue increased $21.8 million, or 5.9 percent, during the three months ended June 30, 2017, compared with the three months ended June 30, 2016. This increase was primarily due to higher fuel surcharge revenue, higher average freight rates in China and Hawaii, and higher container volume in China, partially offset by lower volume in Hawaii and Guam.</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 year-over-year FEU basis, Hawaii container volume decreased by 2.8 percent due to the absence of competitive volume gains in the prior year and a modest market contraction; Alaska volume decreased by 1.1 percent attributable to the continued energy sector related economic contraction; China volume was 15.0 percent higher due to stronger demand for the Company’s expedited service and an additional sailing during the three months ended June 30, 2017; and Guam volume was 14.3 percent lower due to competitive losses.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Ocean Transportation operating income increased $5.1 million, or 15.0 percent, during the three months ended June 30, 2017, compared with the three months ended June 30, 2016. The increase was primarily due to higher average freight rates and container volume in China, favorable timing of fuel surcharge collections, higher contribution from SSAT, and higher freight rates in Hawaii. Partially offsetting these favorable year-over-year comparisons were higher terminal handling expenses, higher vessel dry-docking amortization expense, and lower container volume in Hawaii and Guam.</w:t>
      </w:r>
    </w:p>
    <w:p>
      <w:pPr>
        <w:spacing w:after="0" w:line="17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Company’s SSAT terminal joint venture investment contributed $6.9 million during the three months ended June 30, 2017, compared to a $3.0 million contribution during the three months ended June 30, 2016. The increase was primarily attributable to improved lift volume.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Six months ended June 30,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(709.2)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7.0 %</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(3,200)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30,300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38,500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(8,200)</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32,200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27,100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5,100</w:t>
            </w: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634"/>
        </w:trPr>
        <w:tc>
          <w:tcPr>
            <w:tcW w:w="5760" w:type="dxa"/>
            <w:vAlign w:val="bottom"/>
            <w:gridSpan w:val="2"/>
          </w:tcPr>
          <w:p>
            <w:pPr>
              <w:jc w:val="right"/>
              <w:ind w:right="105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29"/>
        </w:trPr>
        <w:tc>
          <w:tcPr>
            <w:tcW w:w="1280" w:type="dxa"/>
            <w:vAlign w:val="bottom"/>
            <w:tcBorders>
              <w:top w:val="single" w:sz="8" w:color="0563C1"/>
            </w:tcBorders>
          </w:tcPr>
          <w:p>
            <w:pPr>
              <w:spacing w:after="0"/>
              <w:rPr>
                <w:sz w:val="11"/>
                <w:szCs w:val="11"/>
                <w:color w:val="auto"/>
              </w:rPr>
            </w:pPr>
          </w:p>
        </w:tc>
        <w:tc>
          <w:tcPr>
            <w:tcW w:w="31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2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10,800</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4460" w:type="dxa"/>
            <w:vAlign w:val="bottom"/>
            <w:gridSpan w:val="2"/>
          </w:tcPr>
          <w:p>
            <w:pPr>
              <w:ind w:left="220"/>
              <w:spacing w:after="0"/>
              <w:rPr>
                <w:sz w:val="20"/>
                <w:szCs w:val="20"/>
                <w:color w:val="auto"/>
              </w:rPr>
            </w:pPr>
            <w:r>
              <w:rPr>
                <w:rFonts w:ascii="Arial" w:cs="Arial" w:eastAsia="Arial" w:hAnsi="Arial"/>
                <w:sz w:val="18"/>
                <w:szCs w:val="18"/>
                <w:color w:val="auto"/>
              </w:rPr>
              <w:t>Micronesia/South Pacific Containers</w:t>
            </w:r>
          </w:p>
        </w:tc>
        <w:tc>
          <w:tcPr>
            <w:tcW w:w="2280" w:type="dxa"/>
            <w:vAlign w:val="bottom"/>
          </w:tcPr>
          <w:p>
            <w:pPr>
              <w:jc w:val="right"/>
              <w:ind w:right="110"/>
              <w:spacing w:after="0"/>
              <w:rPr>
                <w:sz w:val="20"/>
                <w:szCs w:val="20"/>
                <w:color w:val="auto"/>
              </w:rPr>
            </w:pPr>
            <w:r>
              <w:rPr>
                <w:rFonts w:ascii="Arial" w:cs="Arial" w:eastAsia="Arial" w:hAnsi="Arial"/>
                <w:sz w:val="18"/>
                <w:szCs w:val="18"/>
                <w:color w:val="auto"/>
              </w:rPr>
              <w:t>4,600</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4,200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680" w:type="dxa"/>
            <w:vAlign w:val="bottom"/>
          </w:tcPr>
          <w:p>
            <w:pPr>
              <w:jc w:val="right"/>
              <w:spacing w:after="0"/>
              <w:rPr>
                <w:sz w:val="20"/>
                <w:szCs w:val="20"/>
                <w:color w:val="auto"/>
              </w:rPr>
            </w:pPr>
            <w:r>
              <w:rPr>
                <w:rFonts w:ascii="Arial" w:cs="Arial" w:eastAsia="Arial" w:hAnsi="Arial"/>
                <w:sz w:val="18"/>
                <w:szCs w:val="18"/>
                <w:color w:val="auto"/>
              </w:rPr>
              <w:t>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jc w:val="both"/>
        <w:ind w:left="320" w:right="60" w:hanging="317"/>
        <w:spacing w:after="0" w:line="264"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Ocean Transportation revenue increased $25.7 million, or 3.5 percent, during the six months ended June 30, 2017, compared with the six months ended June 30, 2016. This increase was primarily due to higher fuel surcharge revenue, higher container volume in China, and higher average freight rates in China and Hawaii, partially offset by lower volume in Hawaii, Guam and Alaska.</w:t>
      </w:r>
    </w:p>
    <w:p>
      <w:pPr>
        <w:spacing w:after="0" w:line="187"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On a year-over-year FEU basis, Hawaii container volume decreased by 4.1 percent primarily due to the absence of competitive volume gains in the prior year; Alaska volume decreased by 2.6 percent attributable to the continued energy sector related economic contraction; China volume was 18.8 percent higher due to stronger demand for the Company’s expedited service and additional sailings during the first half 2017; and Guam volume was 10.7 percent lower due to competitive losses.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Ocean Transportation operating income decreased $13.4 million, or 20.0 percent, during the six months ended June 30, 2017, compared with the six months ended June 30, 2016. The decrease was primarily due to higher terminal handling costs, higher vessel dry-docking amortization expense, and lower container volume in Hawaii and Guam. Partially offsetting these unfavorable year-over-year comparisons were higher container volume and average freight rates in China, and higher contribution from SSAT.</w:t>
      </w:r>
    </w:p>
    <w:p>
      <w:pPr>
        <w:spacing w:after="0" w:line="18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SSAT terminal joint venture investment contributed $11.8 million during the six months ended June 30, 2017, compared to a $5.6 million contribution in the six months ended June 30, 2016. The increase was primarily attributable to improved lift volume.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 months ended June 30,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w w:val="92"/>
              </w:rPr>
              <w:t>Three Months Ended June 30,</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right"/>
              <w:ind w:right="27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 (1)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costs and expenses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(94.6)</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213.6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(1) Logistics operating results include Span Alaska operating results from the date of acquisition on August 4, 2016.</w:t>
      </w:r>
    </w:p>
    <w:p>
      <w:pPr>
        <w:spacing w:after="0" w:line="23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Logistics revenue increased $23.0 million, or 23.8 percent, during the three months ended June 30, 2017, compared with the three months ended June 30, 2016. This increase was primarily due to the inclusion of freight forwarding revenue from the acquired Span Alaska business and higher fuel surcharge revenue in transportation brokerage services.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Logistics operating income increased $4.7 million during the three months ended June 30, 2017, compared with the three months ended June 30, 2016. The increase was primarily due to the inclusion of freight forwarding operating results attributable to the acquired Span Alaska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Six months ended June 30, 2017, compared with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 (1)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Operating costs and expenses (1)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(181.1)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(34.3)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jc w:val="center"/>
        <w:ind w:left="4440" w:right="620" w:hanging="4437"/>
        <w:spacing w:after="0" w:line="778"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Logistics operating results include Span Alaska operating results from the date of acquisition on August 4, 2016.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-224790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Logistics revenue increased $39.3 million, or 21.3 percent, during the six months ended June 30, 2017, compared to the six months ended June 30, 2016. This increase was primarily due to the inclusion of freight forwarding revenue from the acquired Span Alaska business, higher fuel surcharge revenue in transportation brokerage services, and higher intermodal volume.</w:t>
      </w:r>
    </w:p>
    <w:p>
      <w:pPr>
        <w:spacing w:after="0" w:line="18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Logistics operating income increased $5.0 million during the six months ended June 30, 2017, compared to the six months ended June 30, 2016. The increase was primarily due to the inclusion of freight forwarding operating results attributable to the acquired Span Alaska business and higher intermodal volume, partially offset by lower intermodal yield.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June 30, 2017, compared to December 31, 2016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follows:</w:t>
      </w:r>
    </w:p>
    <w:tbl>
      <w:tblPr>
        <w:tblLayout w:type="fixed"/>
        <w:tblInd w:w="0" w:type="dxa"/>
        <w:tblCellMar>
          <w:top w:w="0" w:type="dxa"/>
          <w:left w:w="0" w:type="dxa"/>
          <w:bottom w:w="0" w:type="dxa"/>
          <w:right w:w="0" w:type="dxa"/>
        </w:tblCellMar>
      </w:tblPr>
      <w:tr>
        <w:trPr>
          <w:trHeight w:val="14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57"/>
              <w:spacing w:after="0" w:line="141" w:lineRule="exact"/>
              <w:rPr>
                <w:sz w:val="20"/>
                <w:szCs w:val="20"/>
                <w:color w:val="auto"/>
              </w:rPr>
            </w:pPr>
            <w:r>
              <w:rPr>
                <w:rFonts w:ascii="Arial" w:cs="Arial" w:eastAsia="Arial" w:hAnsi="Arial"/>
                <w:sz w:val="14"/>
                <w:szCs w:val="14"/>
                <w:b w:val="1"/>
                <w:bCs w:val="1"/>
                <w:color w:val="auto"/>
                <w:w w:val="89"/>
              </w:rPr>
              <w:t>June 30,</w:t>
            </w:r>
          </w:p>
        </w:tc>
        <w:tc>
          <w:tcPr>
            <w:tcW w:w="1040" w:type="dxa"/>
            <w:vAlign w:val="bottom"/>
            <w:gridSpan w:val="3"/>
          </w:tcPr>
          <w:p>
            <w:pPr>
              <w:ind w:left="180"/>
              <w:spacing w:after="0" w:line="141"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Accounts receivable, net (1)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198.6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CCF - cash on deposit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520" w:hanging="317"/>
        <w:spacing w:after="0" w:line="342" w:lineRule="auto"/>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June 30, 2017 and December 31, 2016, $175.3 million and $174.7 million, respectively, of eligible accounts receivable were assigned to the CCF (see Note 2 of the Condensed Consolidated Financial Statements).</w:t>
      </w:r>
    </w:p>
    <w:p>
      <w:pPr>
        <w:spacing w:after="0" w:line="12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As of June 30, 2017, the Company had $554.5 million of availability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a maturity date of June 29, 2022. The Company’s revolving credit facility is described in Note 8 to the Consolidated Financial Statements included in Part II, Item 8 of the Company’s Annual Report on Form 10-K for the year ended December 31, 2016, and in Note 4 of this Quarterly Report.</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Changes in 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changes in the Company’s cash and cash equivalents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2017, compared to the six months ended June 30, 2016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 (2)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 (3)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r>
              <w:rPr>
                <w:rFonts w:ascii="Arial" w:cs="Arial" w:eastAsia="Arial" w:hAnsi="Arial"/>
                <w:sz w:val="18"/>
                <w:szCs w:val="18"/>
                <w:u w:val="single" w:color="auto"/>
                <w:color w:val="auto"/>
              </w:rPr>
              <w:t>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Changes in net cash provided by operating activities for the six months ended June 30, 2017, compared to the six months ended June 30, 2016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3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Non-cash deferred income taxes</w:t>
            </w: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non-cash related charges, net</w:t>
            </w: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Deferred dry-docking payments</w:t>
            </w: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 liabilities</w:t>
            </w: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39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tcPr>
          <w:p>
            <w:pPr>
              <w:spacing w:after="0"/>
              <w:rPr>
                <w:sz w:val="18"/>
                <w:szCs w:val="18"/>
                <w:color w:val="auto"/>
              </w:rPr>
            </w:pPr>
          </w:p>
        </w:tc>
      </w:tr>
      <w:tr>
        <w:trPr>
          <w:trHeight w:val="230"/>
        </w:trPr>
        <w:tc>
          <w:tcPr>
            <w:tcW w:w="3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4)</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851"/>
        </w:trPr>
        <w:tc>
          <w:tcPr>
            <w:tcW w:w="3920" w:type="dxa"/>
            <w:vAlign w:val="bottom"/>
          </w:tcPr>
          <w:p>
            <w:pPr>
              <w:spacing w:after="0"/>
              <w:rPr>
                <w:sz w:val="24"/>
                <w:szCs w:val="24"/>
                <w:color w:val="auto"/>
              </w:rPr>
            </w:pPr>
          </w:p>
        </w:tc>
        <w:tc>
          <w:tcPr>
            <w:tcW w:w="3900" w:type="dxa"/>
            <w:vAlign w:val="bottom"/>
          </w:tcPr>
          <w:p>
            <w:pPr>
              <w:jc w:val="right"/>
              <w:ind w:right="311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Increase in deferred dry-docking payments was due to an increased number of vessels in dry-docking during the six months ended June 30, 2017, compared to the six months ended June 30, 2016. Changes in accounts receivable were due to the addition of accounts receivables associated with the Span Alaska Acquisition, and due to the timing of billings and collections. Changes in prepaid expenses and other assets were due to the timing of prepaid expenses and other advanced vendor payments. Changes in accounts payable, accruals and other liabilities were due to the impact of liabilities associated with the Span Alaska and the acquisition of Horizon Lines, Inc. (“Horizon”), and the timing of payments associated with those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Changes in net cash used in investing activities for the six months ended June 30, 2017, compared to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were due to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 construction expenditures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Other 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(payments for) disposal of property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Cash deposits into the CCF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withdrawals from the CCF</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8"/>
                <w:szCs w:val="18"/>
                <w:color w:val="auto"/>
              </w:rPr>
            </w:pPr>
          </w:p>
        </w:tc>
      </w:tr>
      <w:tr>
        <w:trPr>
          <w:trHeight w:val="217"/>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Vessel construction expenditures capitalized were $46.2 million during the six months ended June 30, 2017, compared to</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$12.9 million during the six months ended June 30, 2016, and included progress payments and capitalized interest related to the construction of new vessels for the Hawaii service. Other capital expenditures decreased from $52.9 million during the six months ended June 30, 2016, to $37.1 million during the six months ended June 30, 2017. The decrease was primarily due to capital expenditures incurred during 2016 related to the installation of scrubbers on acquired Horizon vessels and other capital expenditures related to the Horizon acquisition. Withdrawals from the CCF were $43.4 million for the six months ended June 30, 2017, compared to $12.5 million for the six months ended June 30, 2016, and were related to the increased progress payments for new vessel construction paid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Change in net cash used in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Changes in net cash used in financing activities for the six months ended June 30, 2017, compared to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were due to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Repayments of debt and capital leases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Change in borrowings under revolving credit facility,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Matson common stock</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other payments, net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r>
      <w:tr>
        <w:trPr>
          <w:trHeight w:val="217"/>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Debt and capital lease repayments increased to $15.0 million during the six months ended June 30, 2017, compared to $11.1 million during the six months ended June 30, 2016, primarily due to the timing of term loan repayments. During the six months ended June 30, 2017, net borrowing under the Company’s revolving credit facility was $30.0 million compared to $44.0 million for the six months ended June 30, 2016. The decrease in net borrowings from the Company’s revolving credit facility is primarily due to lower capital expenditures during the six months ended June 30, 2017. During the six months ended June 30, 2017, the Company paid $1.3 million in repurchases of Matson common stock compared to $32.3 million during the six months ended June 30, 2016.</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The Company had working capital surplus of $5.9 million at June 30, 2017, compared to a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deficiency of $5.0 million at December 31,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were no material changes during this quarter to the Company’s contractual obligations, commitments, contingencies and off-balance sheet arrangements that are described in Part II, Item 7 of the Company’s Annual Report on Form 10-K for the year ended December 31, 2016, which is incorporated herein by reference, except as described in Note 4 of this Quarterly Report, and as described below.</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June 30, 2017, the estimated timing of the remaining contractual obligations for the construction of four new vessels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 (in millions)</w:t>
            </w: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6"/>
              </w:rPr>
              <w:t>Payment Due By Period</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360" w:type="dxa"/>
            <w:vAlign w:val="bottom"/>
            <w:gridSpan w:val="3"/>
            <w:vMerge w:val="continue"/>
          </w:tcPr>
          <w:p>
            <w:pPr>
              <w:spacing w:after="0"/>
              <w:rPr>
                <w:sz w:val="12"/>
                <w:szCs w:val="12"/>
                <w:color w:val="auto"/>
              </w:rPr>
            </w:pPr>
          </w:p>
        </w:tc>
        <w:tc>
          <w:tcPr>
            <w:tcW w:w="5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8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w w:val="92"/>
              </w:rPr>
              <w:t>2018-2019</w:t>
            </w:r>
          </w:p>
        </w:tc>
        <w:tc>
          <w:tcPr>
            <w:tcW w:w="180" w:type="dxa"/>
            <w:vAlign w:val="bottom"/>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2020-2021</w:t>
            </w:r>
          </w:p>
        </w:tc>
        <w:tc>
          <w:tcPr>
            <w:tcW w:w="100" w:type="dxa"/>
            <w:vAlign w:val="bottom"/>
          </w:tcPr>
          <w:p>
            <w:pPr>
              <w:spacing w:after="0"/>
              <w:rPr>
                <w:sz w:val="12"/>
                <w:szCs w:val="12"/>
                <w:color w:val="auto"/>
              </w:rPr>
            </w:pPr>
          </w:p>
        </w:tc>
        <w:tc>
          <w:tcPr>
            <w:tcW w:w="7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3"/>
              </w:rPr>
              <w:t>Thereafter</w:t>
            </w: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Construction of vessels (1)</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$198.5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$ 537.2</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25.4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$761.1</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200" w:hanging="317"/>
        <w:spacing w:after="0" w:line="264"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Construction of vessels represents remaining contractual obligations related to the two Aloha Class and two Kanaloa Class vessels to be used in the Hawaii service that are described in Part I, Item 1 “Business” of the Company’s Annual Report on Form 10-K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Company’s second quarter 2017 cash dividend of $0.19 per-share was paid on June 1, 2017 to shareholders of record as of May 11, 2017. On June 29, 2017, the Company’s Board of Directors declared a cash dividend of $0.20 per-share payable on September 7, 2017 to shareholders of record as of the close of business on August 3, 2017.</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Company’s market risk position from the information provided under</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June 30, 2017, the Company’s disclosure controls and procedures are effective.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Rules 13a-15(f) and 15d-15(f) under the Exchange Act) that occurred during the three months ended June 30, 2017,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business has certain risks that could result in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Except as described below, and in the risk factor that is described in Part II, Item 1A, “Risk Factors” of the Company’s Quarterly Report on Form 10-Q for the quarterly period ended March 31, 2017, there were no material changes to the Company’s risk factors that are described in Part I, Item 1A, “Risk Factors” of the Company’s Annual Report on Form 10-K for the year ended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face new or increased competition.</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may face new competition by established or start-up shipping operators that enter the Company’s markets. The entry of a new competitor or the addition of new vessels or capacity by existing competition on any of the Company’s routes could result in a significant increase in available shipping capacity that could have an adverse effect on volumes and rates. In July 2017, a shipyard announced that it had entered into a letter of intent with a U.S. shipping operating company for the construction and sale of up to four new containerships with planned deliveries in 2020 and 2021 to service the containership trade between the U.S. West Coast and Hawaii. The release states that the agreement remains subject to negotiation and satisfaction of certain conditions with a buyer that the shipyard declines to identify. In 2016, the Company’s major competitor in the Guam service upgraded its U.S. flagged feeder containership from a bi-weekly service to a weekly service connecting the U.S. West Coast to Guam and Saipan via transshipments over Yokohama, Japan and Busan, South Korea. As a result of these and other competitor actions, the Company could experience reduction in profitability.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Purchases of Equity Securities by the Issuer and Affiliated Purchases.</w:t>
      </w:r>
    </w:p>
    <w:p>
      <w:pPr>
        <w:spacing w:after="0" w:line="2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following is a summary of Matson shares that were repurchased under the Company’s share repurchase program during the three months ended June 30, 2017:</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Total Number of</w:t>
            </w: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 Purchased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6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Paid Per-</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160" w:type="dxa"/>
            <w:vAlign w:val="bottom"/>
          </w:tcPr>
          <w:p>
            <w:pPr>
              <w:spacing w:after="0"/>
              <w:rPr>
                <w:sz w:val="12"/>
                <w:szCs w:val="12"/>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1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April 1 – 30, 2017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1,837,638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May 1 – 31, 2017</w:t>
            </w:r>
          </w:p>
        </w:tc>
        <w:tc>
          <w:tcPr>
            <w:tcW w:w="1020" w:type="dxa"/>
            <w:vAlign w:val="bottom"/>
          </w:tcPr>
          <w:p>
            <w:pPr>
              <w:jc w:val="right"/>
              <w:spacing w:after="0"/>
              <w:rPr>
                <w:sz w:val="20"/>
                <w:szCs w:val="20"/>
                <w:color w:val="auto"/>
              </w:rPr>
            </w:pPr>
            <w:r>
              <w:rPr>
                <w:rFonts w:ascii="Arial" w:cs="Arial" w:eastAsia="Arial" w:hAnsi="Arial"/>
                <w:sz w:val="18"/>
                <w:szCs w:val="18"/>
                <w:color w:val="auto"/>
              </w:rPr>
              <w:t>2,450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31.89</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1,835,188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30, 2017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u w:val="single" w:color="auto"/>
                <w:color w:val="auto"/>
              </w:rPr>
              <w:t>92</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11</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15,500</w:t>
            </w:r>
          </w:p>
        </w:tc>
        <w:tc>
          <w:tcPr>
            <w:tcW w:w="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380" w:hanging="317"/>
        <w:spacing w:after="0" w:line="259"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November 4, 2015, the Company announced that Matson’s Board of Directors had approved a share repurchase program of up to 3.0 million shares of common stock through November 2, 2018. Shares will be repurchased in the open market from time to time, and may be made pursuant to a trading plan in accordance with Rule 10b5-1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8280" w:type="dxa"/>
            <w:vAlign w:val="bottom"/>
          </w:tcPr>
          <w:p>
            <w:pPr>
              <w:ind w:left="80"/>
              <w:spacing w:after="0"/>
              <w:rPr>
                <w:sz w:val="20"/>
                <w:szCs w:val="20"/>
                <w:color w:val="auto"/>
              </w:rPr>
            </w:pPr>
            <w:r>
              <w:rPr>
                <w:rFonts w:ascii="Arial" w:cs="Arial" w:eastAsia="Arial" w:hAnsi="Arial"/>
                <w:sz w:val="18"/>
                <w:szCs w:val="18"/>
                <w:color w:val="auto"/>
                <w:w w:val="94"/>
              </w:rPr>
              <w:t>Amended and Restated Credit Agreement among Matson, Inc., Bank of America, N.A. as the Agent, and the</w:t>
            </w:r>
          </w:p>
        </w:tc>
      </w:tr>
      <w:tr>
        <w:trPr>
          <w:trHeight w:val="203"/>
        </w:trPr>
        <w:tc>
          <w:tcPr>
            <w:tcW w:w="780" w:type="dxa"/>
            <w:vAlign w:val="bottom"/>
          </w:tcPr>
          <w:p>
            <w:pPr>
              <w:spacing w:after="0"/>
              <w:rPr>
                <w:sz w:val="17"/>
                <w:szCs w:val="17"/>
                <w:color w:val="auto"/>
              </w:rPr>
            </w:pPr>
          </w:p>
        </w:tc>
        <w:tc>
          <w:tcPr>
            <w:tcW w:w="8280" w:type="dxa"/>
            <w:vAlign w:val="bottom"/>
          </w:tcPr>
          <w:p>
            <w:pPr>
              <w:ind w:left="80"/>
              <w:spacing w:after="0" w:line="202" w:lineRule="exact"/>
              <w:rPr>
                <w:sz w:val="20"/>
                <w:szCs w:val="20"/>
                <w:color w:val="auto"/>
              </w:rPr>
            </w:pPr>
            <w:r>
              <w:rPr>
                <w:rFonts w:ascii="Arial" w:cs="Arial" w:eastAsia="Arial" w:hAnsi="Arial"/>
                <w:sz w:val="18"/>
                <w:szCs w:val="18"/>
                <w:color w:val="auto"/>
                <w:w w:val="90"/>
              </w:rPr>
              <w:t>lenders thereto, dated as of June 29, 2017 (incorporated by reference to Exhibit 10.1 of Matson’s Form 8-K dated</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June 29, 2017).</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8280" w:type="dxa"/>
            <w:vAlign w:val="bottom"/>
          </w:tcPr>
          <w:p>
            <w:pPr>
              <w:ind w:left="80"/>
              <w:spacing w:after="0"/>
              <w:rPr>
                <w:sz w:val="20"/>
                <w:szCs w:val="20"/>
                <w:color w:val="auto"/>
              </w:rPr>
            </w:pPr>
            <w:r>
              <w:rPr>
                <w:rFonts w:ascii="Arial" w:cs="Arial" w:eastAsia="Arial" w:hAnsi="Arial"/>
                <w:sz w:val="18"/>
                <w:szCs w:val="18"/>
                <w:color w:val="auto"/>
                <w:w w:val="93"/>
              </w:rPr>
              <w:t>Amendment to Note Purchase Agreement among Matson, Inc. and the purchasers named therein, dated as of</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June 29, 2017 (incorporated by reference to Exhibit 10.2 of Matson’s Form 8-K dated June 29, 2017).</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8280" w:type="dxa"/>
            <w:vAlign w:val="bottom"/>
          </w:tcPr>
          <w:p>
            <w:pPr>
              <w:ind w:left="80"/>
              <w:spacing w:after="0"/>
              <w:rPr>
                <w:sz w:val="20"/>
                <w:szCs w:val="20"/>
                <w:color w:val="auto"/>
              </w:rPr>
            </w:pPr>
            <w:r>
              <w:rPr>
                <w:rFonts w:ascii="Arial" w:cs="Arial" w:eastAsia="Arial" w:hAnsi="Arial"/>
                <w:sz w:val="18"/>
                <w:szCs w:val="18"/>
                <w:color w:val="auto"/>
                <w:w w:val="93"/>
              </w:rPr>
              <w:t>Amendment to Note Purchase Agreement among Matson, Inc. and the purchasers named therein, dated as of</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June 29, 2017 (incorporated by reference to Exhibit 10.3 of Matson’s Form 8-K dated June 29, 2017).</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8280" w:type="dxa"/>
            <w:vAlign w:val="bottom"/>
          </w:tcPr>
          <w:p>
            <w:pPr>
              <w:ind w:left="80"/>
              <w:spacing w:after="0"/>
              <w:rPr>
                <w:sz w:val="20"/>
                <w:szCs w:val="20"/>
                <w:color w:val="auto"/>
              </w:rPr>
            </w:pPr>
            <w:r>
              <w:rPr>
                <w:rFonts w:ascii="Arial" w:cs="Arial" w:eastAsia="Arial" w:hAnsi="Arial"/>
                <w:sz w:val="18"/>
                <w:szCs w:val="18"/>
                <w:color w:val="auto"/>
                <w:w w:val="91"/>
              </w:rPr>
              <w:t>Amendment to Third Amended and Restated Note Purchase Agreement among Matson, Inc. and the purchasers</w:t>
            </w:r>
          </w:p>
        </w:tc>
      </w:tr>
      <w:tr>
        <w:trPr>
          <w:trHeight w:val="203"/>
        </w:trPr>
        <w:tc>
          <w:tcPr>
            <w:tcW w:w="780" w:type="dxa"/>
            <w:vAlign w:val="bottom"/>
          </w:tcPr>
          <w:p>
            <w:pPr>
              <w:spacing w:after="0"/>
              <w:rPr>
                <w:sz w:val="17"/>
                <w:szCs w:val="17"/>
                <w:color w:val="auto"/>
              </w:rPr>
            </w:pPr>
          </w:p>
        </w:tc>
        <w:tc>
          <w:tcPr>
            <w:tcW w:w="8280" w:type="dxa"/>
            <w:vAlign w:val="bottom"/>
          </w:tcPr>
          <w:p>
            <w:pPr>
              <w:ind w:left="80"/>
              <w:spacing w:after="0" w:line="202" w:lineRule="exact"/>
              <w:rPr>
                <w:sz w:val="20"/>
                <w:szCs w:val="20"/>
                <w:color w:val="auto"/>
              </w:rPr>
            </w:pPr>
            <w:r>
              <w:rPr>
                <w:rFonts w:ascii="Arial" w:cs="Arial" w:eastAsia="Arial" w:hAnsi="Arial"/>
                <w:sz w:val="18"/>
                <w:szCs w:val="18"/>
                <w:color w:val="auto"/>
                <w:w w:val="91"/>
              </w:rPr>
              <w:t>named therein, dated as of June 29, 2017 (incorporated by reference to Exhibit 10.4 of Matson’s Form 8-K dated</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June 29, 2017).</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8280" w:type="dxa"/>
            <w:vAlign w:val="bottom"/>
          </w:tcPr>
          <w:p>
            <w:pPr>
              <w:ind w:left="80"/>
              <w:spacing w:after="0"/>
              <w:rPr>
                <w:sz w:val="20"/>
                <w:szCs w:val="20"/>
                <w:color w:val="auto"/>
              </w:rPr>
            </w:pPr>
            <w:r>
              <w:rPr>
                <w:rFonts w:ascii="Arial" w:cs="Arial" w:eastAsia="Arial" w:hAnsi="Arial"/>
                <w:sz w:val="18"/>
                <w:szCs w:val="18"/>
                <w:color w:val="auto"/>
                <w:w w:val="93"/>
              </w:rPr>
              <w:t>Amendment to Note Purchase Agreement among Matson, Inc. and the purchasers named therein, dated as of</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June 29, 2017 (incorporated by reference to Exhibit 10.5 of Matson’s Form 8-K dated June 29, 2017).</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8280" w:type="dxa"/>
            <w:vAlign w:val="bottom"/>
          </w:tcPr>
          <w:p>
            <w:pPr>
              <w:ind w:left="80"/>
              <w:spacing w:after="0"/>
              <w:rPr>
                <w:sz w:val="20"/>
                <w:szCs w:val="20"/>
                <w:color w:val="auto"/>
              </w:rPr>
            </w:pPr>
            <w:r>
              <w:rPr>
                <w:rFonts w:ascii="Arial" w:cs="Arial" w:eastAsia="Arial" w:hAnsi="Arial"/>
                <w:sz w:val="18"/>
                <w:szCs w:val="18"/>
                <w:color w:val="auto"/>
                <w:w w:val="93"/>
              </w:rPr>
              <w:t>Certification of Chief Executive Officer pursuant to Rule 13a-14(a) or 15d-14(a) of the Securities Exchange Act</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of 1934.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8280" w:type="dxa"/>
            <w:vAlign w:val="bottom"/>
          </w:tcPr>
          <w:p>
            <w:pPr>
              <w:ind w:left="80"/>
              <w:spacing w:after="0"/>
              <w:rPr>
                <w:sz w:val="20"/>
                <w:szCs w:val="20"/>
                <w:color w:val="auto"/>
              </w:rPr>
            </w:pPr>
            <w:r>
              <w:rPr>
                <w:rFonts w:ascii="Arial" w:cs="Arial" w:eastAsia="Arial" w:hAnsi="Arial"/>
                <w:sz w:val="18"/>
                <w:szCs w:val="18"/>
                <w:color w:val="auto"/>
                <w:w w:val="93"/>
              </w:rPr>
              <w:t>Certification of Chief Financial Officer pursuant to Rule 13a-14(a) or 15d-14(a) of the Securities Exchange Act</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of 1934.</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8280" w:type="dxa"/>
            <w:vAlign w:val="bottom"/>
          </w:tcPr>
          <w:p>
            <w:pPr>
              <w:ind w:left="80"/>
              <w:spacing w:after="0"/>
              <w:rPr>
                <w:sz w:val="20"/>
                <w:szCs w:val="20"/>
                <w:color w:val="auto"/>
              </w:rPr>
            </w:pPr>
            <w:r>
              <w:rPr>
                <w:rFonts w:ascii="Arial" w:cs="Arial" w:eastAsia="Arial" w:hAnsi="Arial"/>
                <w:sz w:val="18"/>
                <w:szCs w:val="18"/>
                <w:color w:val="auto"/>
              </w:rPr>
              <w:t>Certification of Chief Executive Officer and Chief Financial Officer pursuant to 18 U.S.C. Section 1350.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828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780" w:type="dxa"/>
            <w:vAlign w:val="bottom"/>
          </w:tcPr>
          <w:p>
            <w:pPr>
              <w:spacing w:after="0"/>
              <w:rPr>
                <w:sz w:val="24"/>
                <w:szCs w:val="24"/>
                <w:color w:val="auto"/>
              </w:rPr>
            </w:pPr>
          </w:p>
        </w:tc>
        <w:tc>
          <w:tcPr>
            <w:tcW w:w="8280" w:type="dxa"/>
            <w:vAlign w:val="bottom"/>
          </w:tcPr>
          <w:p>
            <w:pPr>
              <w:ind w:left="3660"/>
              <w:spacing w:after="0"/>
              <w:rPr>
                <w:sz w:val="20"/>
                <w:szCs w:val="20"/>
                <w:color w:val="auto"/>
              </w:rPr>
            </w:pPr>
            <w:r>
              <w:rPr>
                <w:rFonts w:ascii="Arial" w:cs="Arial" w:eastAsia="Arial" w:hAnsi="Arial"/>
                <w:sz w:val="18"/>
                <w:szCs w:val="18"/>
                <w:color w:val="auto"/>
              </w:rPr>
              <w:t>23</w:t>
            </w:r>
          </w:p>
        </w:tc>
      </w:tr>
      <w:tr>
        <w:trPr>
          <w:trHeight w:val="129"/>
        </w:trPr>
        <w:tc>
          <w:tcPr>
            <w:tcW w:w="780" w:type="dxa"/>
            <w:vAlign w:val="bottom"/>
            <w:tcBorders>
              <w:bottom w:val="single" w:sz="8" w:color="auto"/>
            </w:tcBorders>
          </w:tcPr>
          <w:p>
            <w:pPr>
              <w:spacing w:after="0"/>
              <w:rPr>
                <w:sz w:val="11"/>
                <w:szCs w:val="11"/>
                <w:color w:val="auto"/>
              </w:rPr>
            </w:pPr>
          </w:p>
        </w:tc>
        <w:tc>
          <w:tcPr>
            <w:tcW w:w="82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(Registrant)</w:t>
      </w:r>
    </w:p>
    <w:p>
      <w:pPr>
        <w:spacing w:after="0" w:line="386"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 August 1, 2017</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Joel M. Wine</w:t>
      </w:r>
    </w:p>
    <w:p>
      <w:pPr>
        <w:jc w:val="center"/>
        <w:ind w:left="4560"/>
        <w:spacing w:after="0" w:line="234" w:lineRule="auto"/>
        <w:rPr>
          <w:sz w:val="20"/>
          <w:szCs w:val="20"/>
          <w:color w:val="auto"/>
        </w:rPr>
      </w:pPr>
      <w:r>
        <w:rPr>
          <w:rFonts w:ascii="Arial" w:cs="Arial" w:eastAsia="Arial" w:hAnsi="Arial"/>
          <w:sz w:val="18"/>
          <w:szCs w:val="18"/>
          <w:color w:val="auto"/>
        </w:rPr>
        <w:t>Senior Vice President and</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Chief Financial Officer</w:t>
      </w:r>
    </w:p>
    <w:p>
      <w:pPr>
        <w:spacing w:after="0" w:line="38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Date: August 1, 2017</w:t>
      </w:r>
      <w:r>
        <w:rPr>
          <w:sz w:val="20"/>
          <w:szCs w:val="20"/>
          <w:color w:val="auto"/>
        </w:rPr>
        <w:tab/>
      </w:r>
      <w:r>
        <w:rPr>
          <w:rFonts w:ascii="Arial" w:cs="Arial" w:eastAsia="Arial" w:hAnsi="Arial"/>
          <w:sz w:val="16"/>
          <w:szCs w:val="16"/>
          <w:color w:val="auto"/>
        </w:rPr>
        <w:t>/s/ Dale B.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Dale B. Hendler</w:t>
      </w:r>
    </w:p>
    <w:p>
      <w:pPr>
        <w:jc w:val="center"/>
        <w:ind w:left="4560"/>
        <w:spacing w:after="0" w:line="234" w:lineRule="auto"/>
        <w:rPr>
          <w:sz w:val="20"/>
          <w:szCs w:val="20"/>
          <w:color w:val="auto"/>
        </w:rPr>
      </w:pPr>
      <w:r>
        <w:rPr>
          <w:rFonts w:ascii="Arial" w:cs="Arial" w:eastAsia="Arial" w:hAnsi="Arial"/>
          <w:sz w:val="18"/>
          <w:szCs w:val="18"/>
          <w:color w:val="auto"/>
        </w:rPr>
        <w:t>Vice President and Controller,</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781" w:hanging="781"/>
        <w:spacing w:after="0"/>
        <w:tabs>
          <w:tab w:leader="none" w:pos="7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61"/>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-635</wp:posOffset>
            </wp:positionV>
            <wp:extent cx="29584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5401"/>
        <w:spacing w:after="0" w:line="203" w:lineRule="auto"/>
        <w:rPr>
          <w:sz w:val="20"/>
          <w:szCs w:val="20"/>
          <w:color w:val="auto"/>
        </w:rPr>
      </w:pPr>
      <w:r>
        <w:rPr>
          <w:rFonts w:ascii="Arial" w:cs="Arial" w:eastAsia="Arial" w:hAnsi="Arial"/>
          <w:sz w:val="18"/>
          <w:szCs w:val="18"/>
          <w:color w:val="auto"/>
        </w:rPr>
        <w:t>Matthew J. Cox, Chairman and</w:t>
      </w:r>
    </w:p>
    <w:p>
      <w:pPr>
        <w:ind w:left="5401"/>
        <w:spacing w:after="0" w:line="204" w:lineRule="auto"/>
        <w:rPr>
          <w:sz w:val="20"/>
          <w:szCs w:val="20"/>
          <w:color w:val="auto"/>
        </w:rPr>
      </w:pPr>
      <w:r>
        <w:rPr>
          <w:rFonts w:ascii="Arial" w:cs="Arial" w:eastAsia="Arial" w:hAnsi="Arial"/>
          <w:sz w:val="18"/>
          <w:szCs w:val="18"/>
          <w:color w:val="auto"/>
        </w:rPr>
        <w:t>Chief Executive Officer</w:t>
      </w:r>
    </w:p>
    <w:p>
      <w:pPr>
        <w:ind w:left="1"/>
        <w:spacing w:after="0"/>
        <w:rPr>
          <w:sz w:val="20"/>
          <w:szCs w:val="20"/>
          <w:color w:val="auto"/>
        </w:rPr>
      </w:pPr>
      <w:r>
        <w:rPr>
          <w:rFonts w:ascii="Arial" w:cs="Arial" w:eastAsia="Arial" w:hAnsi="Arial"/>
          <w:sz w:val="18"/>
          <w:szCs w:val="18"/>
          <w:color w:val="auto"/>
        </w:rPr>
        <w:t>Date: August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781" w:hanging="781"/>
        <w:spacing w:after="0"/>
        <w:tabs>
          <w:tab w:leader="none" w:pos="7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41"/>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-635</wp:posOffset>
            </wp:positionV>
            <wp:extent cx="29502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5421"/>
        <w:spacing w:after="0" w:line="203" w:lineRule="auto"/>
        <w:rPr>
          <w:sz w:val="20"/>
          <w:szCs w:val="20"/>
          <w:color w:val="auto"/>
        </w:rPr>
      </w:pPr>
      <w:r>
        <w:rPr>
          <w:rFonts w:ascii="Arial" w:cs="Arial" w:eastAsia="Arial" w:hAnsi="Arial"/>
          <w:sz w:val="18"/>
          <w:szCs w:val="18"/>
          <w:color w:val="auto"/>
        </w:rPr>
        <w:t>Joel M. Wine, Senior Vice President and</w:t>
      </w:r>
    </w:p>
    <w:p>
      <w:pPr>
        <w:ind w:left="5421"/>
        <w:spacing w:after="0" w:line="204" w:lineRule="auto"/>
        <w:rPr>
          <w:sz w:val="20"/>
          <w:szCs w:val="20"/>
          <w:color w:val="auto"/>
        </w:rPr>
      </w:pPr>
      <w:r>
        <w:rPr>
          <w:rFonts w:ascii="Arial" w:cs="Arial" w:eastAsia="Arial" w:hAnsi="Arial"/>
          <w:sz w:val="18"/>
          <w:szCs w:val="18"/>
          <w:color w:val="auto"/>
        </w:rPr>
        <w:t>Chief Financial Officer</w:t>
      </w:r>
    </w:p>
    <w:p>
      <w:pPr>
        <w:ind w:left="1"/>
        <w:spacing w:after="0"/>
        <w:rPr>
          <w:sz w:val="20"/>
          <w:szCs w:val="20"/>
          <w:color w:val="auto"/>
        </w:rPr>
      </w:pPr>
      <w:r>
        <w:rPr>
          <w:rFonts w:ascii="Arial" w:cs="Arial" w:eastAsia="Arial" w:hAnsi="Arial"/>
          <w:sz w:val="18"/>
          <w:szCs w:val="18"/>
          <w:color w:val="auto"/>
        </w:rPr>
        <w:t>Date: August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8" w:name="page29"/>
    <w:bookmarkEnd w:id="28"/>
    <w:p>
      <w:pPr>
        <w:ind w:left="8080"/>
        <w:spacing w:after="0"/>
        <w:rPr>
          <w:sz w:val="20"/>
          <w:szCs w:val="20"/>
          <w:color w:val="auto"/>
        </w:rPr>
      </w:pPr>
      <w:r>
        <w:rPr>
          <w:rFonts w:ascii="Arial" w:cs="Arial" w:eastAsia="Arial" w:hAnsi="Arial"/>
          <w:sz w:val="18"/>
          <w:szCs w:val="18"/>
          <w:b w:val="1"/>
          <w:bCs w:val="1"/>
          <w:color w:val="auto"/>
        </w:rPr>
        <w:t>EXHIBIT 32</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w:t>
      </w:r>
    </w:p>
    <w:p>
      <w:pPr>
        <w:spacing w:after="0" w:line="160"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In connection with the Quarterly Report on Form 10-Q of Matson, Inc. (the “Company”) for the quarterly period ended June 30, 2017, as filed with the Securities and Exchange Commission on the date hereof (the “Report”), Matthew J. Cox, as Chairman and Chief Executive Officer of the Company, and Joel M. Wine, as Senior Vice President and Chief Financial Officer of the Company, each hereby certifies, pursuant to 18 U.S.C. Section 1350, that to their knowledge:</w:t>
      </w:r>
    </w:p>
    <w:p>
      <w:pPr>
        <w:spacing w:after="0" w:line="118" w:lineRule="exact"/>
        <w:rPr>
          <w:sz w:val="20"/>
          <w:szCs w:val="20"/>
          <w:color w:val="auto"/>
        </w:rPr>
      </w:pPr>
    </w:p>
    <w:p>
      <w:pPr>
        <w:ind w:left="860" w:hanging="857"/>
        <w:spacing w:after="0"/>
        <w:tabs>
          <w:tab w:leader="none" w:pos="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w:t>
      </w:r>
    </w:p>
    <w:p>
      <w:pPr>
        <w:spacing w:after="0"/>
        <w:rPr>
          <w:rFonts w:ascii="Arial" w:cs="Arial" w:eastAsia="Arial" w:hAnsi="Arial"/>
          <w:sz w:val="17"/>
          <w:szCs w:val="17"/>
          <w:color w:val="auto"/>
        </w:rPr>
      </w:pPr>
      <w:r>
        <w:rPr>
          <w:rFonts w:ascii="Arial" w:cs="Arial" w:eastAsia="Arial" w:hAnsi="Arial"/>
          <w:sz w:val="18"/>
          <w:szCs w:val="18"/>
          <w:color w:val="auto"/>
        </w:rPr>
        <w:t>1934; and</w:t>
      </w:r>
    </w:p>
    <w:p>
      <w:pPr>
        <w:spacing w:after="0" w:line="128" w:lineRule="exact"/>
        <w:rPr>
          <w:rFonts w:ascii="Arial" w:cs="Arial" w:eastAsia="Arial" w:hAnsi="Arial"/>
          <w:sz w:val="17"/>
          <w:szCs w:val="17"/>
          <w:color w:val="auto"/>
        </w:rPr>
      </w:pPr>
    </w:p>
    <w:p>
      <w:pPr>
        <w:ind w:right="500" w:firstLine="3"/>
        <w:spacing w:after="0" w:line="235" w:lineRule="auto"/>
        <w:tabs>
          <w:tab w:leader="none" w:pos="8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Chairman and Chief Executive Officer</w:t>
      </w:r>
    </w:p>
    <w:p>
      <w:pPr>
        <w:spacing w:after="0"/>
        <w:tabs>
          <w:tab w:leader="none" w:pos="600" w:val="left"/>
        </w:tabs>
        <w:rPr>
          <w:sz w:val="20"/>
          <w:szCs w:val="20"/>
          <w:color w:val="auto"/>
        </w:rPr>
      </w:pPr>
      <w:r>
        <w:rPr>
          <w:rFonts w:ascii="Arial" w:cs="Arial" w:eastAsia="Arial" w:hAnsi="Arial"/>
          <w:sz w:val="18"/>
          <w:szCs w:val="18"/>
          <w:color w:val="auto"/>
        </w:rPr>
        <w:t>Date:</w:t>
        <w:tab/>
        <w:t>August 1, 2017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tabs>
          <w:tab w:leader="none" w:pos="600" w:val="left"/>
        </w:tabs>
        <w:rPr>
          <w:sz w:val="20"/>
          <w:szCs w:val="20"/>
          <w:color w:val="auto"/>
        </w:rPr>
      </w:pPr>
      <w:r>
        <w:rPr>
          <w:rFonts w:ascii="Arial" w:cs="Arial" w:eastAsia="Arial" w:hAnsi="Arial"/>
          <w:sz w:val="18"/>
          <w:szCs w:val="18"/>
          <w:color w:val="auto"/>
        </w:rPr>
        <w:t>Date:</w:t>
        <w:tab/>
        <w:t>August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9"/>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5"/>
    </w:lvl>
  </w:abstractNum>
  <w:abstractNum w:abstractNumId="10">
    <w:nsid w:val="62BBD95A"/>
    <w:multiLevelType w:val="hybridMultilevel"/>
    <w:lvl w:ilvl="0">
      <w:lvlJc w:val="left"/>
      <w:lvlText w:val="%1."/>
      <w:numFmt w:val="decimal"/>
      <w:start w:val="6"/>
    </w:lvl>
  </w:abstractNum>
  <w:abstractNum w:abstractNumId="11">
    <w:nsid w:val="436C6125"/>
    <w:multiLevelType w:val="hybridMultilevel"/>
    <w:lvl w:ilvl="0">
      <w:lvlJc w:val="left"/>
      <w:lvlText w:val="%1."/>
      <w:numFmt w:val="decimal"/>
      <w:start w:val="7"/>
    </w:lvl>
  </w:abstractNum>
  <w:abstractNum w:abstractNumId="12">
    <w:nsid w:val="628C895D"/>
    <w:multiLevelType w:val="hybridMultilevel"/>
    <w:lvl w:ilvl="0">
      <w:lvlJc w:val="left"/>
      <w:lvlText w:val="%1."/>
      <w:numFmt w:val="decimal"/>
      <w:start w:val="8"/>
    </w:lvl>
  </w:abstractNum>
  <w:abstractNum w:abstractNumId="13">
    <w:nsid w:val="333AB105"/>
    <w:multiLevelType w:val="hybridMultilevel"/>
    <w:lvl w:ilvl="0">
      <w:lvlJc w:val="left"/>
      <w:lvlText w:val="%1."/>
      <w:numFmt w:val="decimal"/>
      <w:start w:val="9"/>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decimal"/>
      <w:start w:val="5"/>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decimal"/>
      <w:start w:val="5"/>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2019-12-29T04:59:35Z</dcterms:created>
  <dcterms:modified xsi:type="dcterms:W3CDTF">2019-12-29T04:59:35Z</dcterms:modified>
</cp:coreProperties>
</file>