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7" w:lineRule="exact"/>
        <w:rPr>
          <w:sz w:val="24"/>
          <w:szCs w:val="24"/>
          <w:color w:val="auto"/>
        </w:rPr>
      </w:pPr>
    </w:p>
    <w:p>
      <w:pPr>
        <w:ind w:left="620" w:right="1280" w:hanging="306"/>
        <w:spacing w:after="0" w:line="262" w:lineRule="auto"/>
        <w:tabs>
          <w:tab w:leader="none" w:pos="6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40" w:right="1260" w:hanging="326"/>
        <w:spacing w:after="0" w:line="262" w:lineRule="auto"/>
        <w:tabs>
          <w:tab w:leader="none" w:pos="6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8" w:lineRule="exact"/>
        <w:rPr>
          <w:sz w:val="24"/>
          <w:szCs w:val="24"/>
          <w:color w:val="auto"/>
        </w:rPr>
      </w:pPr>
    </w:p>
    <w:p>
      <w:pPr>
        <w:ind w:left="2960"/>
        <w:spacing w:after="0"/>
        <w:tabs>
          <w:tab w:leader="none" w:pos="62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001-34187</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Matson,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1" w:lineRule="exact"/>
        <w:rPr>
          <w:sz w:val="24"/>
          <w:szCs w:val="24"/>
          <w:color w:val="auto"/>
        </w:rPr>
      </w:pPr>
    </w:p>
    <w:tbl>
      <w:tblPr>
        <w:tblLayout w:type="fixed"/>
        <w:tblInd w:w="1140" w:type="dxa"/>
        <w:tblCellMar>
          <w:top w:w="0" w:type="dxa"/>
          <w:left w:w="0" w:type="dxa"/>
          <w:bottom w:w="0" w:type="dxa"/>
          <w:right w:w="0" w:type="dxa"/>
        </w:tblCellMar>
      </w:tblPr>
      <w:tr>
        <w:trPr>
          <w:trHeight w:val="207"/>
        </w:trPr>
        <w:tc>
          <w:tcPr>
            <w:tcW w:w="436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Hawaii</w:t>
            </w:r>
          </w:p>
        </w:tc>
        <w:tc>
          <w:tcPr>
            <w:tcW w:w="2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99-0032630</w:t>
            </w:r>
          </w:p>
        </w:tc>
      </w:tr>
      <w:tr>
        <w:trPr>
          <w:trHeight w:val="189"/>
        </w:trPr>
        <w:tc>
          <w:tcPr>
            <w:tcW w:w="4360" w:type="dxa"/>
            <w:vAlign w:val="bottom"/>
          </w:tcPr>
          <w:p>
            <w:pPr>
              <w:jc w:val="center"/>
              <w:ind w:right="145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820" w:type="dxa"/>
            <w:vAlign w:val="bottom"/>
          </w:tcPr>
          <w:p>
            <w:pPr>
              <w:jc w:val="center"/>
              <w:ind w:left="141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36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8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02"/>
        </w:trPr>
        <w:tc>
          <w:tcPr>
            <w:tcW w:w="436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1411 Sand Island Parkway</w:t>
            </w:r>
          </w:p>
        </w:tc>
        <w:tc>
          <w:tcPr>
            <w:tcW w:w="2820" w:type="dxa"/>
            <w:vAlign w:val="bottom"/>
          </w:tcPr>
          <w:p>
            <w:pPr>
              <w:spacing w:after="0"/>
              <w:rPr>
                <w:sz w:val="24"/>
                <w:szCs w:val="24"/>
                <w:color w:val="auto"/>
              </w:rPr>
            </w:pPr>
          </w:p>
        </w:tc>
      </w:tr>
      <w:tr>
        <w:trPr>
          <w:trHeight w:val="207"/>
        </w:trPr>
        <w:tc>
          <w:tcPr>
            <w:tcW w:w="436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Honolulu, HI</w:t>
            </w:r>
          </w:p>
        </w:tc>
        <w:tc>
          <w:tcPr>
            <w:tcW w:w="2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96819</w:t>
            </w:r>
          </w:p>
        </w:tc>
      </w:tr>
      <w:tr>
        <w:trPr>
          <w:trHeight w:val="234"/>
        </w:trPr>
        <w:tc>
          <w:tcPr>
            <w:tcW w:w="436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(808) 848-1211</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MATX</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57" w:lineRule="exact"/>
        <w:rPr>
          <w:sz w:val="24"/>
          <w:szCs w:val="24"/>
          <w:color w:val="auto"/>
        </w:rPr>
      </w:pPr>
    </w:p>
    <w:p>
      <w:pPr>
        <w:jc w:val="both"/>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9"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9"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1" w:right="819" w:bottom="1440" w:gutter="0" w:footer="0" w:header="0"/>
        </w:sectPr>
      </w:pPr>
    </w:p>
    <w:p>
      <w:pPr>
        <w:spacing w:after="0" w:line="68" w:lineRule="exact"/>
        <w:rPr>
          <w:sz w:val="24"/>
          <w:szCs w:val="24"/>
          <w:color w:val="auto"/>
        </w:rPr>
      </w:pPr>
    </w:p>
    <w:p>
      <w:pPr>
        <w:ind w:left="166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62" w:lineRule="exact"/>
        <w:rPr>
          <w:sz w:val="24"/>
          <w:szCs w:val="24"/>
          <w:color w:val="auto"/>
        </w:rPr>
      </w:pPr>
    </w:p>
    <w:p>
      <w:pPr>
        <w:sectPr>
          <w:pgSz w:w="11900" w:h="16838" w:orient="portrait"/>
          <w:cols w:equalWidth="0" w:num="2">
            <w:col w:w="6260" w:space="720"/>
            <w:col w:w="3260"/>
          </w:cols>
          <w:pgMar w:left="840" w:top="661" w:right="819" w:bottom="1440" w:gutter="0" w:footer="0" w:header="0"/>
          <w:type w:val="continuous"/>
        </w:sectPr>
      </w:pPr>
    </w:p>
    <w:p>
      <w:pPr>
        <w:ind w:left="1700"/>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sectPr>
          <w:pgSz w:w="11900" w:h="16838" w:orient="portrait"/>
          <w:cols w:equalWidth="0" w:num="2">
            <w:col w:w="5860" w:space="720"/>
            <w:col w:w="3660"/>
          </w:cols>
          <w:pgMar w:left="840" w:top="661" w:right="819" w:bottom="1440" w:gutter="0" w:footer="0" w:header="0"/>
          <w:type w:val="continuous"/>
        </w:sectPr>
      </w:pPr>
    </w:p>
    <w:p>
      <w:pPr>
        <w:ind w:left="658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ectPr>
          <w:pgSz w:w="11900" w:h="16838" w:orient="portrait"/>
          <w:cols w:equalWidth="0" w:num="1">
            <w:col w:w="10240"/>
          </w:cols>
          <w:pgMar w:left="840" w:top="661" w:right="819" w:bottom="1440" w:gutter="0" w:footer="0" w:header="0"/>
          <w:type w:val="continuous"/>
        </w:sectPr>
      </w:pPr>
    </w:p>
    <w:p>
      <w:pPr>
        <w:spacing w:after="0" w:line="63" w:lineRule="exact"/>
        <w:rPr>
          <w:sz w:val="24"/>
          <w:szCs w:val="24"/>
          <w:color w:val="auto"/>
        </w:rPr>
      </w:pPr>
    </w:p>
    <w:p>
      <w:pPr>
        <w:ind w:right="20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ind w:right="100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Number of shares of common stock outstanding as of September 30, 2024: 33,210,132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51435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94615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1" w:right="8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80" w:type="dxa"/>
            <w:vAlign w:val="bottom"/>
            <w:gridSpan w:val="12"/>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MATSON, INC. AND SUBSIDIARIES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9"/>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08"/>
        </w:trPr>
        <w:tc>
          <w:tcPr>
            <w:tcW w:w="240" w:type="dxa"/>
            <w:vAlign w:val="bottom"/>
            <w:vMerge w:val="restart"/>
          </w:tcPr>
          <w:p>
            <w:pPr>
              <w:spacing w:after="0"/>
              <w:rPr>
                <w:sz w:val="9"/>
                <w:szCs w:val="9"/>
                <w:color w:val="auto"/>
              </w:rPr>
            </w:pPr>
          </w:p>
        </w:tc>
        <w:tc>
          <w:tcPr>
            <w:tcW w:w="762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rPr>
              <w:t>Part I—FINANCIAL INFORMATION</w:t>
            </w: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40" w:type="dxa"/>
            <w:vAlign w:val="bottom"/>
            <w:vMerge w:val="continue"/>
          </w:tcPr>
          <w:p>
            <w:pPr>
              <w:spacing w:after="0"/>
              <w:rPr>
                <w:sz w:val="13"/>
                <w:szCs w:val="13"/>
                <w:color w:val="auto"/>
              </w:rPr>
            </w:pPr>
          </w:p>
        </w:tc>
        <w:tc>
          <w:tcPr>
            <w:tcW w:w="7620" w:type="dxa"/>
            <w:vAlign w:val="bottom"/>
            <w:gridSpan w:val="20"/>
            <w:vMerge w:val="continue"/>
          </w:tcPr>
          <w:p>
            <w:pPr>
              <w:spacing w:after="0"/>
              <w:rPr>
                <w:sz w:val="13"/>
                <w:szCs w:val="13"/>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68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Income and Comprehensive Income</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380" w:type="dxa"/>
            <w:vAlign w:val="bottom"/>
            <w:gridSpan w:val="2"/>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Condensed Consolidated Financial Statements</w:t>
            </w:r>
          </w:p>
        </w:tc>
        <w:tc>
          <w:tcPr>
            <w:tcW w:w="120" w:type="dxa"/>
            <w:vAlign w:val="bottom"/>
            <w:tcBorders>
              <w:top w:val="single" w:sz="8" w:color="0000EE"/>
            </w:tcBorders>
            <w:gridSpan w:val="3"/>
          </w:tcPr>
          <w:p>
            <w:pPr>
              <w:spacing w:after="0"/>
              <w:rPr>
                <w:sz w:val="17"/>
                <w:szCs w:val="17"/>
                <w:color w:val="auto"/>
              </w:rPr>
            </w:pPr>
          </w:p>
        </w:tc>
        <w:tc>
          <w:tcPr>
            <w:tcW w:w="2460" w:type="dxa"/>
            <w:vAlign w:val="bottom"/>
            <w:gridSpan w:val="3"/>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25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Part II—OTHER INFORMATION</w:t>
            </w:r>
          </w:p>
        </w:tc>
        <w:tc>
          <w:tcPr>
            <w:tcW w:w="5080" w:type="dxa"/>
            <w:vAlign w:val="bottom"/>
            <w:gridSpan w:val="12"/>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68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5940" w:type="dxa"/>
            <w:vAlign w:val="bottom"/>
            <w:gridSpan w:val="14"/>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08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54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80" w:type="dxa"/>
            <w:vAlign w:val="bottom"/>
            <w:gridSpan w:val="1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1445"/>
        </w:trPr>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225" w:lineRule="exact"/>
        <w:rPr>
          <w:sz w:val="20"/>
          <w:szCs w:val="20"/>
          <w:color w:val="auto"/>
        </w:rPr>
      </w:pPr>
    </w:p>
    <w:p>
      <w:pPr>
        <w:jc w:val="center"/>
        <w:ind w:left="1500" w:right="15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MATSON, INC. AND SUBSIDIARIES Condensed Consolidated Statements of Income and Comprehensive Income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640" w:type="dxa"/>
            <w:vAlign w:val="bottom"/>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64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Ocean Transportation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1,837.3</w:t>
            </w: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r>
      <w:tr>
        <w:trPr>
          <w:trHeight w:val="209"/>
        </w:trPr>
        <w:tc>
          <w:tcPr>
            <w:tcW w:w="5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Revenue</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2,305.7</w:t>
            </w:r>
          </w:p>
        </w:tc>
      </w:tr>
      <w:tr>
        <w:trPr>
          <w:trHeight w:val="210"/>
        </w:trPr>
        <w:tc>
          <w:tcPr>
            <w:tcW w:w="5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(624.1)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(1,913.4)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(1,826.3)</w:t>
            </w:r>
          </w:p>
        </w:tc>
      </w:tr>
      <w:tr>
        <w:trPr>
          <w:trHeight w:val="216"/>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(Loss) from SSAT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10"/>
        </w:trPr>
        <w:tc>
          <w:tcPr>
            <w:tcW w:w="5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(695.4)</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(2,127.7)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(2,038.2)</w:t>
            </w:r>
          </w:p>
        </w:tc>
      </w:tr>
      <w:tr>
        <w:trPr>
          <w:trHeight w:val="209"/>
        </w:trPr>
        <w:tc>
          <w:tcPr>
            <w:tcW w:w="5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50"/>
        </w:trPr>
        <w:tc>
          <w:tcPr>
            <w:tcW w:w="5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196"/>
        </w:trPr>
        <w:tc>
          <w:tcPr>
            <w:tcW w:w="5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16"/>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adjustments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54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Comprehensive Income (Loss), Net of Income Taxes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0"/>
        </w:trPr>
        <w:tc>
          <w:tcPr>
            <w:tcW w:w="5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r>
      <w:tr>
        <w:trPr>
          <w:trHeight w:val="196"/>
        </w:trPr>
        <w:tc>
          <w:tcPr>
            <w:tcW w:w="5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3"/>
                <w:szCs w:val="13"/>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198"/>
        </w:trPr>
        <w:tc>
          <w:tcPr>
            <w:tcW w:w="620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$9.0 million and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$9.9 million, respectively</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0" w:type="dxa"/>
            <w:vAlign w:val="bottom"/>
          </w:tcPr>
          <w:p>
            <w:pPr>
              <w:spacing w:after="0"/>
              <w:rPr>
                <w:sz w:val="1"/>
                <w:szCs w:val="1"/>
                <w:color w:val="auto"/>
              </w:rPr>
            </w:pPr>
          </w:p>
        </w:tc>
      </w:tr>
      <w:tr>
        <w:trPr>
          <w:trHeight w:val="20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 in SSAT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2,089.9</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dry-docking costs,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long-term assets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3,790.4</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3,692.3</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4,442.2</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0"/>
        </w:trPr>
        <w:tc>
          <w:tcPr>
            <w:tcW w:w="6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0" w:type="dxa"/>
            <w:vAlign w:val="bottom"/>
          </w:tcPr>
          <w:p>
            <w:pPr>
              <w:spacing w:after="0"/>
              <w:rPr>
                <w:sz w:val="1"/>
                <w:szCs w:val="1"/>
                <w:color w:val="auto"/>
              </w:rPr>
            </w:pPr>
          </w:p>
        </w:tc>
      </w:tr>
      <w:tr>
        <w:trPr>
          <w:trHeight w:val="20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 of deferred loan fees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10"/>
        </w:trPr>
        <w:tc>
          <w:tcPr>
            <w:tcW w:w="6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1,307.8</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0" w:type="dxa"/>
            <w:vAlign w:val="bottom"/>
          </w:tcPr>
          <w:p>
            <w:pPr>
              <w:spacing w:after="0"/>
              <w:rPr>
                <w:sz w:val="1"/>
                <w:szCs w:val="1"/>
                <w:color w:val="auto"/>
              </w:rPr>
            </w:pPr>
          </w:p>
        </w:tc>
      </w:tr>
      <w:tr>
        <w:trPr>
          <w:trHeight w:val="20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2,251.3</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2,400.7</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4,442.2</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3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56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2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Reconciling adjustments: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operating lease right of use assets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(Income) loss from SSAT</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(8.5)</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Distributions from SSAT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(31.7)</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dry-docking payments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(20.2)</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dry-docking amortization</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Accounts payable, accruals and other liabilities</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(104.0)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(109.9)</w:t>
            </w: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(13.4)</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Capitalized vessel construction expenditures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(39.8)</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(excluding vessel construction expenditures)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(144.9)</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(135.4)</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disposal of property and equipment, net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asset acquisitions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and interest deposited into the Capital Construction Fund</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(63.6)</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(120.8)</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Withdrawals from Capital Construction Fund</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debt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(33.5)</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Matson common stock</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(167.4)</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(108.2)</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Tax withholding related to net share settlements of restricted stock units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(17.0)</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(93.3)</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the Period</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the Period</w:t>
            </w: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End of the Period:</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2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Cash and Cash Equivalents, and Restricted Cash, End of the Period</w:t>
            </w: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paid, net of capitalized interest</w:t>
            </w:r>
          </w:p>
        </w:tc>
        <w:tc>
          <w:tcPr>
            <w:tcW w:w="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tax payments (refunds), net</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(85.1)</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Non-cash Information:</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included in accounts payable, accruals and other liabilities</w:t>
            </w:r>
          </w:p>
        </w:tc>
        <w:tc>
          <w:tcPr>
            <w:tcW w:w="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Non-cash payments for asset acquisitions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2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MATSON, INC. AND SUBSIDIARIES Condensed Consolidated Statements of Shareholders’ Equity </w:t>
      </w:r>
      <w:r>
        <w:rPr>
          <w:rFonts w:ascii="Times New Roman" w:cs="Times New Roman" w:eastAsia="Times New Roman" w:hAnsi="Times New Roman"/>
          <w:sz w:val="18"/>
          <w:szCs w:val="18"/>
          <w:color w:val="auto"/>
        </w:rPr>
        <w:t>(Unaudited)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5"/>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08"/>
        </w:trPr>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Stated</w:t>
            </w:r>
          </w:p>
        </w:tc>
        <w:tc>
          <w:tcPr>
            <w:tcW w:w="120" w:type="dxa"/>
            <w:vAlign w:val="bottom"/>
          </w:tcPr>
          <w:p>
            <w:pPr>
              <w:spacing w:after="0"/>
              <w:rPr>
                <w:sz w:val="9"/>
                <w:szCs w:val="9"/>
                <w:color w:val="auto"/>
              </w:rPr>
            </w:pPr>
          </w:p>
        </w:tc>
        <w:tc>
          <w:tcPr>
            <w:tcW w:w="74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Paid In</w:t>
            </w:r>
          </w:p>
        </w:tc>
        <w:tc>
          <w:tcPr>
            <w:tcW w:w="960" w:type="dxa"/>
            <w:vAlign w:val="bottom"/>
            <w:gridSpan w:val="3"/>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4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700" w:type="dxa"/>
            <w:vAlign w:val="bottom"/>
          </w:tcPr>
          <w:p>
            <w:pPr>
              <w:spacing w:after="0"/>
              <w:rPr>
                <w:sz w:val="9"/>
                <w:szCs w:val="9"/>
                <w:color w:val="auto"/>
              </w:rPr>
            </w:pPr>
          </w:p>
        </w:tc>
      </w:tr>
      <w:tr>
        <w:trPr>
          <w:trHeight w:val="15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$ 25.8</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$ 293.4</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$ 2,089.7</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$ 2,400.7</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(0.4)</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 interest in SSAT (See Note 4)</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Dividends ($0.32 per share)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(11.1)</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196"/>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2024</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280.2</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2,077.8</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2,373.8</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(0.4)</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(0.6)</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(0.4)</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(69.8)</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 ($0.32 per share and $0.34 per share)</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19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June 30, 2024</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2,098.8</w:t>
            </w:r>
          </w:p>
        </w:tc>
        <w:tc>
          <w:tcPr>
            <w:tcW w:w="1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2,398.5</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(0.1)</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(0.4)</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(0.3)</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(46.6)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19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September 30, 2024</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4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$ 24.9</w:t>
            </w: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$ 290.5</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$ 2,251.3</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$ 2,556.7</w:t>
            </w: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7"/>
        </w:trPr>
        <w:tc>
          <w:tcPr>
            <w:tcW w:w="4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55"/>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08"/>
        </w:trPr>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Stated</w:t>
            </w:r>
          </w:p>
        </w:tc>
        <w:tc>
          <w:tcPr>
            <w:tcW w:w="120" w:type="dxa"/>
            <w:vAlign w:val="bottom"/>
          </w:tcPr>
          <w:p>
            <w:pPr>
              <w:spacing w:after="0"/>
              <w:rPr>
                <w:sz w:val="9"/>
                <w:szCs w:val="9"/>
                <w:color w:val="auto"/>
              </w:rPr>
            </w:pPr>
          </w:p>
        </w:tc>
        <w:tc>
          <w:tcPr>
            <w:tcW w:w="74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Paid In</w:t>
            </w:r>
          </w:p>
        </w:tc>
        <w:tc>
          <w:tcPr>
            <w:tcW w:w="960" w:type="dxa"/>
            <w:vAlign w:val="bottom"/>
            <w:gridSpan w:val="3"/>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4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700" w:type="dxa"/>
            <w:vAlign w:val="bottom"/>
          </w:tcPr>
          <w:p>
            <w:pPr>
              <w:spacing w:after="0"/>
              <w:rPr>
                <w:sz w:val="9"/>
                <w:szCs w:val="9"/>
                <w:color w:val="auto"/>
              </w:rPr>
            </w:pPr>
          </w:p>
        </w:tc>
      </w:tr>
      <w:tr>
        <w:trPr>
          <w:trHeight w:val="15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$ 27.2</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$ 290.4</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$ 1,986.2</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$ 2,296.9</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(0.7)</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(38.9)</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 ($0.31 per share)</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19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March 31, 2023</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1,970.0</w:t>
            </w:r>
          </w:p>
        </w:tc>
        <w:tc>
          <w:tcPr>
            <w:tcW w:w="1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2,270.3</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(0.6)</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(0.6)</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(39.5)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Dividends ($0.31 per share and $0.32 per share)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(22.4)</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196"/>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 2023</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1,988.9</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2,290.0</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(0.2)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(0.4)</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(24.5)</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r>
      <w:tr>
        <w:trPr>
          <w:trHeight w:val="196"/>
        </w:trPr>
        <w:tc>
          <w:tcPr>
            <w:tcW w:w="4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 2023</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$ 26.2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$ 289.1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$ 2,084.3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$ 2,390.3</w:t>
            </w: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FINANICAL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40" w:hanging="590"/>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72"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Ocean Transportation: </w:t>
      </w:r>
      <w:r>
        <w:rPr>
          <w:rFonts w:ascii="Times New Roman" w:cs="Times New Roman" w:eastAsia="Times New Roman" w:hAnsi="Times New Roman"/>
          <w:sz w:val="18"/>
          <w:szCs w:val="18"/>
          <w:color w:val="auto"/>
        </w:rPr>
        <w:t>Matson’s Ocean Transportation business is conducted through Matson Navigation Company,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provides services to Okinawa, Japan and various islands in the South Pacific, and operates an international export service from Alaska to Asia. In addition, subsidiaries of MatNav provide stevedoring, refrigerated cargo services, inland transportation and other terminal services for MatNav on the Hawaiian islands of Oahu, Hawaii, Maui and Kauai, and for MatNav and an ocean carrier in Alaska.</w:t>
      </w:r>
    </w:p>
    <w:p>
      <w:pPr>
        <w:spacing w:after="0" w:line="18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eight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spacing w:after="0" w:line="183"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Logistics: </w:t>
      </w:r>
      <w:r>
        <w:rPr>
          <w:rFonts w:ascii="Times New Roman" w:cs="Times New Roman" w:eastAsia="Times New Roman" w:hAnsi="Times New Roman"/>
          <w:sz w:val="18"/>
          <w:szCs w:val="18"/>
          <w:color w:val="auto"/>
        </w:rPr>
        <w:t>Matson’s logistics business is conducted through Matson Logistics, Inc. (“Matson Logistics”), a wholly-owned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purchase order management, booking services, and non-vessel operating common carrier (“NVOCC”) freight forwarding services (collectively, “Supply Chain Management” services).</w:t>
      </w:r>
    </w:p>
    <w:p>
      <w:pPr>
        <w:spacing w:after="0" w:line="200" w:lineRule="exact"/>
        <w:rPr>
          <w:sz w:val="20"/>
          <w:szCs w:val="20"/>
          <w:color w:val="auto"/>
        </w:rPr>
      </w:pPr>
    </w:p>
    <w:p>
      <w:pPr>
        <w:spacing w:after="0" w:line="201" w:lineRule="exact"/>
        <w:rPr>
          <w:sz w:val="20"/>
          <w:szCs w:val="20"/>
          <w:color w:val="auto"/>
        </w:rPr>
      </w:pPr>
    </w:p>
    <w:p>
      <w:pPr>
        <w:ind w:left="640" w:hanging="590"/>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SIGNIFICANT ACCOUNTING POLICIES</w:t>
      </w:r>
    </w:p>
    <w:p>
      <w:pPr>
        <w:spacing w:after="0" w:line="225"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The Condensed Consolidated Financial Statements are unaudited, and include the accounts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3"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should be read in conjunction with the Consolidated Financial Statements and notes thereto included in the Company’s Annual Report on Form 10-K for the year ended December 31, 2023, filed with the Securities and Exchange Commission (“SEC”) on February 23,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Period: </w:t>
      </w:r>
      <w:r>
        <w:rPr>
          <w:rFonts w:ascii="Times New Roman" w:cs="Times New Roman" w:eastAsia="Times New Roman" w:hAnsi="Times New Roman"/>
          <w:sz w:val="18"/>
          <w:szCs w:val="18"/>
          <w:color w:val="auto"/>
        </w:rPr>
        <w:t>The period end for Matson covered by this report is September 30, 2024. The period end for MatNav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subsidiaries covered by this report is September 27, 2024.</w:t>
      </w:r>
    </w:p>
    <w:p>
      <w:pPr>
        <w:spacing w:after="0" w:line="155"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Accounting Policies: </w:t>
      </w:r>
      <w:r>
        <w:rPr>
          <w:rFonts w:ascii="Times New Roman" w:cs="Times New Roman" w:eastAsia="Times New Roman" w:hAnsi="Times New Roman"/>
          <w:sz w:val="18"/>
          <w:szCs w:val="18"/>
          <w:color w:val="auto"/>
        </w:rPr>
        <w:t>The Company’s significant accounting policies are described in Note 2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Financial Statements included in Part II, Item 8 of the Company’s Annual Report on Form 10-K for the year ended December 31, 2023.</w:t>
      </w:r>
    </w:p>
    <w:p>
      <w:pPr>
        <w:spacing w:after="0" w:line="171"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the interim Condensed Consolidated Financial Statements in conformity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and other receivables; legal contingencies; insurance reserves and other related liabilities; contingent acquisition related consideration; accrual estimates; pension and post-retirement estimates; multi-employer withdrawal liabilities; operating lease assets and liabilities; income (loss) from SSAT; and income taxes. Future results could be materially affected if actual results differ from these estimates and assumptions.</w:t>
      </w:r>
    </w:p>
    <w:p>
      <w:pPr>
        <w:spacing w:after="0" w:line="185" w:lineRule="exact"/>
        <w:rPr>
          <w:sz w:val="20"/>
          <w:szCs w:val="20"/>
          <w:color w:val="auto"/>
        </w:rPr>
      </w:pPr>
    </w:p>
    <w:p>
      <w:pPr>
        <w:ind w:left="60" w:right="2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Prepaid Expenses and Other Assets: </w:t>
      </w:r>
      <w:r>
        <w:rPr>
          <w:rFonts w:ascii="Times New Roman" w:cs="Times New Roman" w:eastAsia="Times New Roman" w:hAnsi="Times New Roman"/>
          <w:sz w:val="18"/>
          <w:szCs w:val="18"/>
          <w:color w:val="auto"/>
        </w:rPr>
        <w:t>Prepaid expenses and other assets consisted of the following at September 30,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December 31, 2023:</w:t>
      </w:r>
    </w:p>
    <w:tbl>
      <w:tblPr>
        <w:tblLayout w:type="fixed"/>
        <w:tblInd w:w="40" w:type="dxa"/>
        <w:tblCellMar>
          <w:top w:w="0" w:type="dxa"/>
          <w:left w:w="0" w:type="dxa"/>
          <w:bottom w:w="0" w:type="dxa"/>
          <w:right w:w="0" w:type="dxa"/>
        </w:tblCellMar>
      </w:tblPr>
      <w:tr>
        <w:trPr>
          <w:trHeight w:val="138"/>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Prepaid Expenses and Other Assets (in millions)</w:t>
            </w:r>
          </w:p>
        </w:tc>
        <w:tc>
          <w:tcPr>
            <w:tcW w:w="114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fuel</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insurance and insurance related receivables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operating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leases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receivables, net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 vessel construction obligations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Income tax receivables at December 31, 2023 include a federal income tax refund related to the Company’s 2021 federal tax return of $118.6 million and other income tax receivables. On April 19, 2024, the Company received the federal income tax refund of $118.6 million and interest of $10.2 million earned on the federal income tax refund.</w:t>
      </w:r>
    </w:p>
    <w:p>
      <w:pPr>
        <w:spacing w:after="0" w:line="172" w:lineRule="exact"/>
        <w:rPr>
          <w:sz w:val="20"/>
          <w:szCs w:val="20"/>
          <w:color w:val="auto"/>
        </w:rPr>
      </w:pPr>
    </w:p>
    <w:p>
      <w:pPr>
        <w:ind w:left="60" w:right="2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Recognition of Revenues and Expenses: </w:t>
      </w:r>
      <w:r>
        <w:rPr>
          <w:rFonts w:ascii="Times New Roman" w:cs="Times New Roman" w:eastAsia="Times New Roman" w:hAnsi="Times New Roman"/>
          <w:sz w:val="18"/>
          <w:szCs w:val="18"/>
          <w:color w:val="auto"/>
        </w:rPr>
        <w:t>Revenue in the Company’s Condensed Consolidated Financial Statements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presented net of elimination of intercompany transactions. The following is a description of the Company’s principal revenue generating activities by segment, and the Company’s revenue recognition policy for each activity for the periods presented:</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2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6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Ocean Transportation (in millions) (1)</w:t>
            </w: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Transportation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$ 2,027.9</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$ 1,799.6</w:t>
            </w:r>
          </w:p>
        </w:tc>
      </w:tr>
      <w:tr>
        <w:trPr>
          <w:trHeight w:val="216"/>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Terminal and other related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sales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5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Vessel management and related services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54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r>
              <w:rPr>
                <w:rFonts w:ascii="Times New Roman" w:cs="Times New Roman" w:eastAsia="Times New Roman" w:hAnsi="Times New Roman"/>
                <w:sz w:val="18"/>
                <w:szCs w:val="18"/>
                <w:u w:val="single" w:color="auto"/>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$ 2,067.6</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$ 1,837.3</w:t>
            </w: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58" w:lineRule="exact"/>
        <w:rPr>
          <w:sz w:val="20"/>
          <w:szCs w:val="20"/>
          <w:color w:val="auto"/>
        </w:rPr>
      </w:pPr>
    </w:p>
    <w:p>
      <w:pPr>
        <w:ind w:left="380" w:right="99" w:hanging="330"/>
        <w:spacing w:after="0" w:line="26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revenue transactions are primarily denominated in U.S. dollars except for less than 3 percent of Ocean Transportation services revenues and fuel sales revenue categories which are denominated in foreign currencies.</w:t>
      </w:r>
    </w:p>
    <w:p>
      <w:pPr>
        <w:spacing w:after="0" w:line="81" w:lineRule="exact"/>
        <w:rPr>
          <w:sz w:val="20"/>
          <w:szCs w:val="20"/>
          <w:color w:val="auto"/>
        </w:rPr>
      </w:pPr>
    </w:p>
    <w:p>
      <w:pPr>
        <w:ind w:left="380" w:right="119"/>
        <w:spacing w:after="0" w:line="261" w:lineRule="auto"/>
        <w:rPr>
          <w:sz w:val="20"/>
          <w:szCs w:val="20"/>
          <w:color w:val="auto"/>
        </w:rPr>
      </w:pPr>
      <w:r>
        <w:rPr>
          <w:rFonts w:ascii="Times New Roman" w:cs="Times New Roman" w:eastAsia="Times New Roman" w:hAnsi="Times New Roman"/>
          <w:sz w:val="18"/>
          <w:szCs w:val="18"/>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selling, general and administrative expenses, are charged to operating costs as incurred.</w:t>
      </w:r>
    </w:p>
    <w:p>
      <w:pPr>
        <w:ind w:left="380" w:right="179"/>
        <w:spacing w:after="0" w:line="250" w:lineRule="auto"/>
        <w:rPr>
          <w:sz w:val="20"/>
          <w:szCs w:val="20"/>
          <w:color w:val="auto"/>
        </w:rPr>
      </w:pPr>
      <w:r>
        <w:rPr>
          <w:rFonts w:ascii="Times New Roman" w:cs="Times New Roman" w:eastAsia="Times New Roman" w:hAnsi="Times New Roman"/>
          <w:sz w:val="18"/>
          <w:szCs w:val="18"/>
          <w:color w:val="auto"/>
        </w:rPr>
        <w:t>Terminal and other related services revenue is recognized as the services are performed. Related costs are recognized as incurred.</w:t>
      </w:r>
    </w:p>
    <w:p>
      <w:pPr>
        <w:ind w:left="380" w:right="319"/>
        <w:spacing w:after="0" w:line="260" w:lineRule="auto"/>
        <w:rPr>
          <w:sz w:val="20"/>
          <w:szCs w:val="20"/>
          <w:color w:val="auto"/>
        </w:rPr>
      </w:pPr>
      <w:r>
        <w:rPr>
          <w:rFonts w:ascii="Times New Roman" w:cs="Times New Roman" w:eastAsia="Times New Roman" w:hAnsi="Times New Roman"/>
          <w:sz w:val="18"/>
          <w:szCs w:val="18"/>
          <w:color w:val="auto"/>
        </w:rPr>
        <w:t>Fuel sales revenue and related costs are recognized when the Company has completed delivery of the product to the customer in accordance with the terms and conditions of the contract.</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 w:right="199"/>
        <w:spacing w:after="0" w:line="282" w:lineRule="auto"/>
        <w:rPr>
          <w:sz w:val="20"/>
          <w:szCs w:val="20"/>
          <w:color w:val="auto"/>
        </w:rPr>
      </w:pPr>
      <w:r>
        <w:rPr>
          <w:rFonts w:ascii="Times New Roman" w:cs="Times New Roman" w:eastAsia="Times New Roman" w:hAnsi="Times New Roman"/>
          <w:sz w:val="18"/>
          <w:szCs w:val="18"/>
          <w:color w:val="auto"/>
        </w:rPr>
        <w:t>Vessel management and related services revenue is recognized in proportion to the services completed. Related costs are recognized as incurred.</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2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Logistics (in millions) (1)</w:t>
            </w:r>
          </w:p>
        </w:tc>
        <w:tc>
          <w:tcPr>
            <w:tcW w:w="140" w:type="dxa"/>
            <w:vAlign w:val="bottom"/>
          </w:tcPr>
          <w:p>
            <w:pPr>
              <w:spacing w:after="0"/>
              <w:rPr>
                <w:sz w:val="15"/>
                <w:szCs w:val="15"/>
                <w:color w:val="auto"/>
              </w:rPr>
            </w:pPr>
          </w:p>
        </w:tc>
        <w:tc>
          <w:tcPr>
            <w:tcW w:w="16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52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Brokerage and Freight Forwarding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Warehousing and distribution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Supply Chain Management services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9"/>
        </w:trPr>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499" w:hanging="330"/>
        <w:spacing w:after="0" w:line="261" w:lineRule="auto"/>
        <w:tabs>
          <w:tab w:leader="none" w:pos="3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revenue transactions are primarily denominated in U.S. dollars except for less than 3 percent of transportation brokerage and freight forwarding services revenue and supply chain management services revenue categories which are denominated in foreign currencies.</w:t>
      </w:r>
    </w:p>
    <w:p>
      <w:pPr>
        <w:spacing w:after="0" w:line="81" w:lineRule="exact"/>
        <w:rPr>
          <w:sz w:val="20"/>
          <w:szCs w:val="20"/>
          <w:color w:val="auto"/>
        </w:rPr>
      </w:pPr>
    </w:p>
    <w:p>
      <w:pPr>
        <w:ind w:left="380" w:right="99"/>
        <w:spacing w:after="0" w:line="255" w:lineRule="auto"/>
        <w:rPr>
          <w:sz w:val="20"/>
          <w:szCs w:val="20"/>
          <w:color w:val="auto"/>
        </w:rPr>
      </w:pPr>
      <w:r>
        <w:rPr>
          <w:rFonts w:ascii="Times New Roman" w:cs="Times New Roman" w:eastAsia="Times New Roman" w:hAnsi="Times New Roman"/>
          <w:sz w:val="18"/>
          <w:szCs w:val="18"/>
          <w:color w:val="auto"/>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9" w:lineRule="exact"/>
        <w:rPr>
          <w:sz w:val="20"/>
          <w:szCs w:val="20"/>
          <w:color w:val="auto"/>
        </w:rPr>
      </w:pPr>
    </w:p>
    <w:p>
      <w:pPr>
        <w:ind w:left="380" w:right="99"/>
        <w:spacing w:after="0" w:line="250" w:lineRule="auto"/>
        <w:rPr>
          <w:sz w:val="20"/>
          <w:szCs w:val="20"/>
          <w:color w:val="auto"/>
        </w:rPr>
      </w:pPr>
      <w:r>
        <w:rPr>
          <w:rFonts w:ascii="Times New Roman" w:cs="Times New Roman" w:eastAsia="Times New Roman" w:hAnsi="Times New Roman"/>
          <w:sz w:val="18"/>
          <w:szCs w:val="18"/>
          <w:color w:val="auto"/>
        </w:rPr>
        <w:t>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Supply Chain Management services revenue, and related costs are recognized in proportion to the services performed.</w:t>
      </w:r>
    </w:p>
    <w:p>
      <w:pPr>
        <w:spacing w:after="0" w:line="207"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administrative expenses in the Condensed Consolidated Statements of Income and Comprehensive Income.</w:t>
      </w:r>
    </w:p>
    <w:p>
      <w:pPr>
        <w:spacing w:after="0" w:line="183"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Capitalized Interest: </w:t>
      </w:r>
      <w:r>
        <w:rPr>
          <w:rFonts w:ascii="Times New Roman" w:cs="Times New Roman" w:eastAsia="Times New Roman" w:hAnsi="Times New Roman"/>
          <w:sz w:val="18"/>
          <w:szCs w:val="18"/>
          <w:color w:val="auto"/>
        </w:rPr>
        <w:t>The Company capitalizes interest costs during the period as the qualified assets are being readied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intended use. The Company determined that the vessel construction costs are considered qualifying assets for the purposes of capitalizing interest on these assets. The amount of capitalized interest is calculated based on the amount of expenditures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Condensed Consolidated Balance Sheets (see Note 5). The Company capitalized $1.2 million and $0.8 million of interest related to the construction of new vessels for the three months ended September 30, 2024 and 2023, and $3.0 million and $1.7 million for the nine months ended September 30, 2024 and 2023, respectively.</w:t>
      </w:r>
    </w:p>
    <w:p>
      <w:pPr>
        <w:spacing w:after="0" w:line="188"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Company’s third quarter 2024 cash dividend of $0.34 per share was paid on September 5, 2024.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24, 2024, the Company’s Board of Directors declared a cash dividend of $0.34 per share payable on December 5, 2024 to shareholders of record on November 7, 2024.</w:t>
      </w:r>
    </w:p>
    <w:p>
      <w:pPr>
        <w:spacing w:after="0" w:line="171" w:lineRule="exact"/>
        <w:rPr>
          <w:sz w:val="20"/>
          <w:szCs w:val="20"/>
          <w:color w:val="auto"/>
        </w:rPr>
      </w:pPr>
    </w:p>
    <w:p>
      <w:pPr>
        <w:ind w:left="60" w:right="2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Repurchase of Shares: </w:t>
      </w:r>
      <w:r>
        <w:rPr>
          <w:rFonts w:ascii="Times New Roman" w:cs="Times New Roman" w:eastAsia="Times New Roman" w:hAnsi="Times New Roman"/>
          <w:sz w:val="18"/>
          <w:szCs w:val="18"/>
          <w:color w:val="auto"/>
        </w:rPr>
        <w:t>During the three and nine months ended September 30, 2024, the Company repurchased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0.4 million and 1.4 million shares for a total cost of $48.1 million and $169.2 million, respectively. As of September 30, 2024, the maximum number of remaining shares that may be repurchased under the Company’s share repurchase program was approximately 1.0 million shares.</w:t>
      </w:r>
    </w:p>
    <w:p>
      <w:pPr>
        <w:spacing w:after="0" w:line="109" w:lineRule="exact"/>
        <w:rPr>
          <w:sz w:val="20"/>
          <w:szCs w:val="20"/>
          <w:color w:val="auto"/>
        </w:rPr>
      </w:pPr>
    </w:p>
    <w:p>
      <w:pPr>
        <w:ind w:left="60" w:right="2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w:t>
      </w:r>
      <w:r>
        <w:rPr>
          <w:rFonts w:ascii="Times New Roman" w:cs="Times New Roman" w:eastAsia="Times New Roman" w:hAnsi="Times New Roman"/>
          <w:sz w:val="18"/>
          <w:szCs w:val="18"/>
          <w:color w:val="auto"/>
        </w:rPr>
        <w:t>In November 2023, the Financial Accounting Standards Board (“FASB”)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Standard Update (“ASU”) 2023-07, Segment Reporting (Topic 280): Improvements to Reportable Segment Disclosures (“ASU 2023-07”). ASU 2023-07 requires disclosure of incremental segment information on an annual and interim basis. The ASU is effective for fiscal years beginning after December 15, 2023, and interim periods within fiscal years beginning after December 15, 2024, and requires retrospective application to all prior periods presented in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financial statements. Early adoption is permitted. The Company is currently evaluating the effects of adopting ASU 2023-07 but does not expect it will have a material impact on the Company’s consolidated financial statements.</w:t>
      </w:r>
    </w:p>
    <w:p>
      <w:pPr>
        <w:spacing w:after="0" w:line="16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(“ASU 2023-09”). ASU 2023-09 requires disaggregated information about a reporting entity’s effective tax rate reconciliation as well as information on income taxes paid. ASU 2023-09 is effective for annual periods beginning after December 15, 2024, and interim periods within fiscal years beginning after December 15, 2025. The Company is currently evaluating the effects of adopting ASU 2023-09 but does not expect it to have a material impact on the Company’s consolidated financial statements.</w:t>
      </w:r>
    </w:p>
    <w:p>
      <w:pPr>
        <w:spacing w:after="0" w:line="264" w:lineRule="exact"/>
        <w:rPr>
          <w:sz w:val="20"/>
          <w:szCs w:val="20"/>
          <w:color w:val="auto"/>
        </w:rPr>
      </w:pPr>
    </w:p>
    <w:p>
      <w:pPr>
        <w:ind w:left="640" w:hanging="590"/>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REPORTABLE SEGMENTS</w:t>
      </w:r>
    </w:p>
    <w:p>
      <w:pPr>
        <w:spacing w:after="0" w:line="148"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80"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The Company consists of two reportable segments, Ocean Transportation and Logistics, which are further described in Note 1. 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w:t>
      </w:r>
    </w:p>
    <w:p>
      <w:pPr>
        <w:spacing w:after="0" w:line="187"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$72.8 million and $61.1 million for the three months ended September 30, 2024 and 2023, and $181.2 million and $155.6 million for the nine months ended September 30, 2024 and 2023, respectively, have been eliminated from operating revenues in the table below.</w:t>
      </w:r>
    </w:p>
    <w:p>
      <w:pPr>
        <w:spacing w:after="0" w:line="183"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Reportable segment financial information for the three and nine months ended September 30, 2024 and 2023 are as follows: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58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5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58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58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Ocean Transportation (1)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1,837.3</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 (2)</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Total Operating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2,531.5</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2,305.7</w:t>
            </w:r>
          </w:p>
        </w:tc>
        <w:tc>
          <w:tcPr>
            <w:tcW w:w="0" w:type="dxa"/>
            <w:vAlign w:val="bottom"/>
          </w:tcPr>
          <w:p>
            <w:pPr>
              <w:spacing w:after="0"/>
              <w:rPr>
                <w:sz w:val="1"/>
                <w:szCs w:val="1"/>
                <w:color w:val="auto"/>
              </w:rPr>
            </w:pPr>
          </w:p>
        </w:tc>
      </w:tr>
      <w:tr>
        <w:trPr>
          <w:trHeight w:val="197"/>
        </w:trPr>
        <w:tc>
          <w:tcPr>
            <w:tcW w:w="558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Ocean Transportation (3)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0"/>
        </w:trPr>
        <w:tc>
          <w:tcPr>
            <w:tcW w:w="5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Operating Income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5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5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Income before Taxes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09"/>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679" w:hanging="330"/>
        <w:spacing w:after="0" w:line="233"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operating revenue excludes inter-segment revenue of $26.7 million and $22.5 million for the three months ended September 30, 2024 and 2023, and $69.2 million and $57.6 million for the nine months ended September 30, 2024 and 2023, respectively.</w:t>
      </w:r>
    </w:p>
    <w:p>
      <w:pPr>
        <w:ind w:left="380" w:right="159" w:hanging="330"/>
        <w:spacing w:after="0" w:line="221"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operating revenue excludes inter-segment revenue of $46.1 million and $38.6 million for the three months ended September 30, 2024 and 2023, and $112.0 million and $98.0 million for the nine months ended September 30, 2024 and 2023, respectively.</w:t>
      </w:r>
    </w:p>
    <w:p>
      <w:pPr>
        <w:ind w:left="380" w:right="139" w:hanging="330"/>
        <w:spacing w:after="0" w:line="233"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segment information includes net income (loss) of $6.9 million and $1.3 million from the Company’s equity investment in SSAT for the three months ended September 30, 2024 and 2023, and $8.5 million and $(1.9) million for the nine months ended September 30, 2024 and 2023,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40" w:hanging="590"/>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SSAT</w:t>
      </w:r>
    </w:p>
    <w:p>
      <w:pPr>
        <w:spacing w:after="0" w:line="229" w:lineRule="exact"/>
        <w:rPr>
          <w:sz w:val="20"/>
          <w:szCs w:val="20"/>
          <w:color w:val="auto"/>
        </w:rPr>
      </w:pPr>
    </w:p>
    <w:p>
      <w:pPr>
        <w:ind w:left="60" w:right="599"/>
        <w:spacing w:after="0" w:line="289" w:lineRule="auto"/>
        <w:rPr>
          <w:sz w:val="20"/>
          <w:szCs w:val="20"/>
          <w:color w:val="auto"/>
        </w:rPr>
      </w:pPr>
      <w:r>
        <w:rPr>
          <w:rFonts w:ascii="Times New Roman" w:cs="Times New Roman" w:eastAsia="Times New Roman" w:hAnsi="Times New Roman"/>
          <w:sz w:val="17"/>
          <w:szCs w:val="17"/>
          <w:color w:val="auto"/>
        </w:rPr>
        <w:t>The Company’s investment in SSAT is described in Note 4 to the Consolidated Financial Statements included in the Company’s Annual Report on Form 10-K for the year ended December 31, 2023. Condensed income statement information for SSAT for the three and nine months ended September 30, 2024 and 2023 consisted of the following:</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5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5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(301.3)</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(269.4)</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(858.2)</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(754.2)</w:t>
            </w: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Net Profit (Loss) (1)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Company Share of SSAT’s Net Income (Loss) (2)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earnings and losses from equity method investment held by SSAT less earnings and losses allocated to non-controlling interests.</w:t>
      </w:r>
    </w:p>
    <w:p>
      <w:pPr>
        <w:spacing w:after="0" w:line="3" w:lineRule="exact"/>
        <w:rPr>
          <w:rFonts w:ascii="Times New Roman" w:cs="Times New Roman" w:eastAsia="Times New Roman" w:hAnsi="Times New Roman"/>
          <w:sz w:val="14"/>
          <w:szCs w:val="14"/>
          <w:color w:val="auto"/>
        </w:rPr>
      </w:pPr>
    </w:p>
    <w:p>
      <w:pPr>
        <w:ind w:left="380" w:right="399" w:hanging="330"/>
        <w:spacing w:after="0" w:line="239" w:lineRule="auto"/>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records its share of net income (loss) from SSAT in costs and expenses in the Condensed Consolidated Statement of Income and Comprehensive Income due to the nature of SSAT’s operations.</w:t>
      </w:r>
    </w:p>
    <w:p>
      <w:pPr>
        <w:spacing w:after="0" w:line="113"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Company’s investment in SSAT was $93.3 million and $85.5 million at September 30, 2024 and December 31, 2023, respectively.</w:t>
      </w:r>
    </w:p>
    <w:p>
      <w:pPr>
        <w:spacing w:after="0" w:line="16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On March 1, 2024, SSAT completed the sale of 25 percent of its equity interest in SSA Terminals (Seattle Terminals), LLC (“SSAT ST”) to a third-party company. After the completion of this transaction, SSAT retains a 50 percent controlling interest in SSAT ST, while the third-party company increased its non-controlling interest to 50 percent in SSAT ST. As a result of this transaction during the three months ended March 31, 2024, the Company recorded an increase in its investment in SSAT of approximately $13.2 million and increase in deferred income taxes of $3.1 million, and a corresponding increase in retained earnings of $10.1 million.</w:t>
      </w:r>
    </w:p>
    <w:p>
      <w:pPr>
        <w:spacing w:after="0" w:line="399" w:lineRule="exact"/>
        <w:rPr>
          <w:sz w:val="20"/>
          <w:szCs w:val="20"/>
          <w:color w:val="auto"/>
        </w:rPr>
      </w:pPr>
    </w:p>
    <w:p>
      <w:pPr>
        <w:ind w:left="640" w:hanging="590"/>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as of September 30, 2024 and December 31, 2023 consisted of the following:</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Vessels</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20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2,323.4</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Containers and equipment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Terminal facilities and other property</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vessel construction in progress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construction in progress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3,487.2</w:t>
            </w: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(1,467.6)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New vessel construction in progress at September 30, 2024 and December 31, 2023 includes milestone progress payments, capitalized interest and other costs related to the construction of three new Jones Act vessels.</w:t>
      </w:r>
    </w:p>
    <w:p>
      <w:pPr>
        <w:spacing w:after="0" w:line="374" w:lineRule="exact"/>
        <w:rPr>
          <w:sz w:val="20"/>
          <w:szCs w:val="20"/>
          <w:color w:val="auto"/>
        </w:rPr>
      </w:pPr>
    </w:p>
    <w:p>
      <w:pPr>
        <w:ind w:left="640" w:hanging="590"/>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Goodwill by segment as of September 30, 2024 and December 31, 2023 consisted of the following:</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Ocean</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86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as of September 30, 2024 and December 31, 2023 consisted of the following:</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Ocean Transportation</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8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Logistics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09"/>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Customer Relationships, net</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 – Logistics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 w:right="819"/>
        <w:spacing w:after="0" w:line="237" w:lineRule="auto"/>
        <w:rPr>
          <w:sz w:val="20"/>
          <w:szCs w:val="20"/>
          <w:color w:val="auto"/>
        </w:rPr>
      </w:pPr>
      <w:r>
        <w:rPr>
          <w:rFonts w:ascii="Times New Roman" w:cs="Times New Roman" w:eastAsia="Times New Roman" w:hAnsi="Times New Roman"/>
          <w:sz w:val="18"/>
          <w:szCs w:val="18"/>
          <w:color w:val="auto"/>
        </w:rPr>
        <w:t>On February 27, 2023, the Company completed an asset acquisition consisting of Logistics customer relationship intangible assets for $16.5 million, which are being amortized over seven years.</w:t>
      </w:r>
    </w:p>
    <w:p>
      <w:pPr>
        <w:spacing w:after="0" w:line="185"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general economic and market conditions and its impact on the performance of each of the Company’s reporting units. Based on the Company’s assessment of its market capitalization, future forecasts and the amount of excess of fair value over the carrying value of the reporting units in the 2023 annual impairment tests, the Company concluded that an impairment triggering event did not occur during the three months ended September 30, 2024.</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will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It is possible that future changes in such circumstances, including future changes in the assumptions and estimates used in assessing the fair value of the reporting unit, could require the Company to record a non-cash impairment charge.</w:t>
      </w:r>
    </w:p>
    <w:p>
      <w:pPr>
        <w:spacing w:after="0" w:line="395" w:lineRule="exact"/>
        <w:rPr>
          <w:sz w:val="20"/>
          <w:szCs w:val="20"/>
          <w:color w:val="auto"/>
        </w:rPr>
      </w:pPr>
    </w:p>
    <w:p>
      <w:pPr>
        <w:ind w:left="640" w:hanging="590"/>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CONSTRUCTION FUND</w:t>
      </w:r>
    </w:p>
    <w:p>
      <w:pPr>
        <w:spacing w:after="0" w:line="229"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The Capital Construction Fund (“CCF”) is described in Note 7 to the Consolidated Financial Statements included in Part II, Item 8 of the Company’s Annual Report on Form 10-K for the year ended December 31, 2023. A summary of the activities within the CCF cash and cash equivalents, and investments account for the nine months ended September 30, 2024 and 2023 consisted of the following:</w:t>
      </w:r>
    </w:p>
    <w:tbl>
      <w:tblPr>
        <w:tblLayout w:type="fixed"/>
        <w:tblInd w:w="40" w:type="dxa"/>
        <w:tblCellMar>
          <w:top w:w="0" w:type="dxa"/>
          <w:left w:w="0" w:type="dxa"/>
          <w:bottom w:w="0" w:type="dxa"/>
          <w:right w:w="0" w:type="dxa"/>
        </w:tblCellMar>
      </w:tblPr>
      <w:tr>
        <w:trPr>
          <w:trHeight w:val="140"/>
        </w:trPr>
        <w:tc>
          <w:tcPr>
            <w:tcW w:w="6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4"/>
          </w:tcPr>
          <w:p>
            <w:pPr>
              <w:jc w:val="right"/>
              <w:ind w:right="380"/>
              <w:spacing w:after="0" w:line="140"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6"/>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CCF Cash and Cash Equivalents:</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CCF cash balance at beginning of period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596.7</w:t>
            </w:r>
          </w:p>
        </w:tc>
        <w:tc>
          <w:tcPr>
            <w:tcW w:w="2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deposits into the CCF</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paid for purchase of U.S. Treasury debt securities and accrued interest</w:t>
            </w:r>
          </w:p>
        </w:tc>
        <w:tc>
          <w:tcPr>
            <w:tcW w:w="2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(449.8)</w:t>
            </w: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 deposited into the CCF</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Qualifying withdrawal payments out of the CCF</w:t>
            </w:r>
          </w:p>
        </w:tc>
        <w:tc>
          <w:tcPr>
            <w:tcW w:w="2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(35.8)</w:t>
            </w: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CCF cash balance at end of period</w:t>
            </w: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589.1</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Accrued interest earned on CCF Cash and Investments at end of period</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CCF cash and cash equivalents balance at end of period</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w:t>
            </w:r>
          </w:p>
        </w:tc>
        <w:tc>
          <w:tcPr>
            <w:tcW w:w="0" w:type="dxa"/>
            <w:vAlign w:val="bottom"/>
          </w:tcPr>
          <w:p>
            <w:pPr>
              <w:spacing w:after="0"/>
              <w:rPr>
                <w:sz w:val="1"/>
                <w:szCs w:val="1"/>
                <w:color w:val="auto"/>
              </w:rPr>
            </w:pPr>
          </w:p>
        </w:tc>
      </w:tr>
      <w:tr>
        <w:trPr>
          <w:trHeight w:val="19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CCF Investments: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CCF investments balance at beginning of period</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U.S. Treasury debt securities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Accretion of investments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CCF investments balance at end of period</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CCF cash and cash equivalents, and investments balance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CCF Cash and Cash Equivalents: </w:t>
      </w:r>
      <w:r>
        <w:rPr>
          <w:rFonts w:ascii="Times New Roman" w:cs="Times New Roman" w:eastAsia="Times New Roman" w:hAnsi="Times New Roman"/>
          <w:sz w:val="18"/>
          <w:szCs w:val="18"/>
          <w:color w:val="auto"/>
        </w:rPr>
        <w:t>Cash on deposit in the CCF account is invested in a short-term U.S. Treasury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obligations fund with daily liquidity. At September 30, 2024, these short-term securities held within this CCF cash</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account had a weighted average life of 68 days. Total CCF cash and cash equivalents was $178.7 million including accrued interest of $2.2 million as of September 30, 2024, and $599.4 million including accrued interest of $2.7 million as of December 31, 2023.</w:t>
      </w:r>
    </w:p>
    <w:p>
      <w:pPr>
        <w:spacing w:after="0" w:line="172"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CCF Investments: </w:t>
      </w:r>
      <w:r>
        <w:rPr>
          <w:rFonts w:ascii="Times New Roman" w:cs="Times New Roman" w:eastAsia="Times New Roman" w:hAnsi="Times New Roman"/>
          <w:sz w:val="18"/>
          <w:szCs w:val="18"/>
          <w:color w:val="auto"/>
        </w:rPr>
        <w:t>In February 2024, the Company purchased approximately $448.1 million of fixed-rate U.S. Treasuries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accrued interest of $1.7 million using CCF cash. The fixed-rate debt securities were purchased at a discount and have various maturity dates of up to 3 years. The cost of these investments accretes to face value on a straight-line basis until maturity. Such accretion is included in interest income in the Condensed Consolidated Statements of Income and Comprehensive Income. As of September 30, 2024, the Company had $456.7 million in held-to-maturity debt securities in the CCF investments account.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September 30, 2024, CCF investments maturities are as follows: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CCF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CCF cash and cash equivalents, and investments are classified as a long-term asset on the Company’s Condensed Consolidated Balance Sheets as the Company intends to use withdrawals to fund qualified milestone progress payments for the construction of three new Jones Act vessels.</w:t>
      </w:r>
    </w:p>
    <w:p>
      <w:pPr>
        <w:spacing w:after="0" w:line="172" w:lineRule="exact"/>
        <w:rPr>
          <w:sz w:val="20"/>
          <w:szCs w:val="20"/>
          <w:color w:val="auto"/>
        </w:rPr>
      </w:pPr>
    </w:p>
    <w:p>
      <w:pPr>
        <w:ind w:left="60" w:right="13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CCF Assigned Accounts Receivable: </w:t>
      </w:r>
      <w:r>
        <w:rPr>
          <w:rFonts w:ascii="Times New Roman" w:cs="Times New Roman" w:eastAsia="Times New Roman" w:hAnsi="Times New Roman"/>
          <w:sz w:val="18"/>
          <w:szCs w:val="18"/>
          <w:color w:val="auto"/>
        </w:rPr>
        <w:t>Activities within the CCF assigned accounts receivable account for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2024 and 2023 consisted of the following:</w:t>
      </w:r>
    </w:p>
    <w:tbl>
      <w:tblPr>
        <w:tblLayout w:type="fixed"/>
        <w:tblInd w:w="40" w:type="dxa"/>
        <w:tblCellMar>
          <w:top w:w="0" w:type="dxa"/>
          <w:left w:w="0" w:type="dxa"/>
          <w:bottom w:w="0" w:type="dxa"/>
          <w:right w:w="0" w:type="dxa"/>
        </w:tblCellMar>
      </w:tblPr>
      <w:tr>
        <w:trPr>
          <w:trHeight w:val="138"/>
        </w:trPr>
        <w:tc>
          <w:tcPr>
            <w:tcW w:w="6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4"/>
          </w:tcPr>
          <w:p>
            <w:pPr>
              <w:jc w:val="right"/>
              <w:ind w:right="374"/>
              <w:spacing w:after="0" w:line="138"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CCF assigned accounts receivable balance at beginning of period</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Assigned accounts receivable</w:t>
            </w:r>
          </w:p>
        </w:tc>
        <w:tc>
          <w:tcPr>
            <w:tcW w:w="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earned on assigned accounts receivable</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CCF assigned accounts receivable balance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eligible accounts receivable of $228.3 million and $218.1 million were assigned to the CCF, respectively. Due to the nature of the assignment of eligible accounts receivable into the CCF, such assigned amounts are classified as part of accounts receivable in the Condensed Consolidated Balance Sheets.</w:t>
      </w:r>
    </w:p>
    <w:p>
      <w:pPr>
        <w:spacing w:after="0" w:line="388" w:lineRule="exact"/>
        <w:rPr>
          <w:sz w:val="20"/>
          <w:szCs w:val="20"/>
          <w:color w:val="auto"/>
        </w:rPr>
      </w:pPr>
    </w:p>
    <w:p>
      <w:pPr>
        <w:ind w:left="640" w:hanging="590"/>
        <w:spacing w:after="0"/>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September 30, 2024 and December 31, 2023, the Company’s debt consisted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Term Loans: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3.37 %, payable through 2027</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3.14 %, payable through 2031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 XI Debt: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1.22 %, payable through 2043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1.35 %, payable through 2044</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Deferred loan fees</w:t>
            </w: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Long-term Debt, net of deferred loan fees</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Except as described below, the Company’s debt is described in Note 8 to the Consolidated Financial Statements included in the Company’s Annual Report on Form 10-K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Revolving Credit Facility: </w:t>
      </w:r>
      <w:r>
        <w:rPr>
          <w:rFonts w:ascii="Times New Roman" w:cs="Times New Roman" w:eastAsia="Times New Roman" w:hAnsi="Times New Roman"/>
          <w:sz w:val="18"/>
          <w:szCs w:val="18"/>
          <w:color w:val="auto"/>
        </w:rPr>
        <w:t>The Company’s revolving credit facility has committed available borrowing of up to</w:t>
      </w:r>
    </w:p>
    <w:p>
      <w:pPr>
        <w:spacing w:after="0" w:line="31" w:lineRule="exact"/>
        <w:rPr>
          <w:sz w:val="20"/>
          <w:szCs w:val="20"/>
          <w:color w:val="auto"/>
        </w:rPr>
      </w:pPr>
    </w:p>
    <w:p>
      <w:pPr>
        <w:ind w:left="60" w:right="219" w:firstLine="45"/>
        <w:spacing w:after="0" w:line="253" w:lineRule="auto"/>
        <w:rPr>
          <w:sz w:val="20"/>
          <w:szCs w:val="20"/>
          <w:color w:val="auto"/>
        </w:rPr>
      </w:pPr>
      <w:r>
        <w:rPr>
          <w:rFonts w:ascii="Times New Roman" w:cs="Times New Roman" w:eastAsia="Times New Roman" w:hAnsi="Times New Roman"/>
          <w:sz w:val="18"/>
          <w:szCs w:val="18"/>
          <w:color w:val="auto"/>
        </w:rPr>
        <w:t>$650 million and matures on March 31, 2026. As of September 30, 2024, the Company had $644.2 million of remaining borrowing availability under the revolving credit facility. The Company used $5.8 million of the revolving credit facility for letters of credit outstanding as of September 30, 2024. There were no outstanding borrowings under the revolving credit facility as of September 30, 2024 and December 31, 2023.</w:t>
      </w:r>
    </w:p>
    <w:p>
      <w:pPr>
        <w:spacing w:after="0" w:line="185" w:lineRule="exact"/>
        <w:rPr>
          <w:sz w:val="20"/>
          <w:szCs w:val="20"/>
          <w:color w:val="auto"/>
        </w:rPr>
      </w:pPr>
    </w:p>
    <w:p>
      <w:pPr>
        <w:ind w:left="60" w:right="8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Security and Guarantees: </w:t>
      </w:r>
      <w:r>
        <w:rPr>
          <w:rFonts w:ascii="Times New Roman" w:cs="Times New Roman" w:eastAsia="Times New Roman" w:hAnsi="Times New Roman"/>
          <w:sz w:val="18"/>
          <w:szCs w:val="18"/>
          <w:color w:val="auto"/>
        </w:rPr>
        <w:t>All of the debt of the Company and MatNav, including related guarantees,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was unsecured, except for the Title XI debt.</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Debt Maturities: </w:t>
      </w:r>
      <w:r>
        <w:rPr>
          <w:rFonts w:ascii="Times New Roman" w:cs="Times New Roman" w:eastAsia="Times New Roman" w:hAnsi="Times New Roman"/>
          <w:sz w:val="18"/>
          <w:szCs w:val="18"/>
          <w:color w:val="auto"/>
        </w:rPr>
        <w:t>As of September 30, 2024, debt maturities are as follows: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60" w:type="dxa"/>
            <w:vAlign w:val="bottom"/>
          </w:tcPr>
          <w:p>
            <w:pPr>
              <w:spacing w:after="0"/>
              <w:rPr>
                <w:sz w:val="13"/>
                <w:szCs w:val="13"/>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700" w:type="dxa"/>
            <w:vAlign w:val="bottom"/>
            <w:gridSpan w:val="2"/>
            <w:vMerge w:val="continue"/>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09"/>
        </w:trPr>
        <w:tc>
          <w:tcPr>
            <w:tcW w:w="7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40" w:hanging="590"/>
        <w:spacing w:after="0"/>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Company’s leases are described in Note 9 to the Consolidated Financial Statements included in Part II, Item 8 of the Company’s Annual Report on Form 10-K for the year ended December 31, 2023.</w:t>
      </w:r>
    </w:p>
    <w:p>
      <w:pPr>
        <w:spacing w:after="0" w:line="158"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Components of Lease Cost: </w:t>
      </w:r>
      <w:r>
        <w:rPr>
          <w:rFonts w:ascii="Times New Roman" w:cs="Times New Roman" w:eastAsia="Times New Roman" w:hAnsi="Times New Roman"/>
          <w:sz w:val="18"/>
          <w:szCs w:val="18"/>
          <w:color w:val="auto"/>
        </w:rPr>
        <w:t>Components of lease cost recorded in the Company’s Condensed Consolidated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and Comprehensive Income for the three and nine months ended September 30, 2024 and 2023 consisted of the following:</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7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5"/>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9"/>
        </w:trPr>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118.</w:t>
            </w:r>
            <w:r>
              <w:rPr>
                <w:rFonts w:ascii="Times New Roman" w:cs="Times New Roman" w:eastAsia="Times New Roman" w:hAnsi="Times New Roman"/>
                <w:sz w:val="18"/>
                <w:szCs w:val="18"/>
                <w:u w:val="single" w:color="auto"/>
                <w:color w:val="auto"/>
              </w:rPr>
              <w:t>8</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18"/>
                <w:szCs w:val="18"/>
                <w:u w:val="single" w:color="auto"/>
                <w:color w:val="auto"/>
              </w:rPr>
              <w:t>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1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Maturities of operating lease liabilities at September 30, 2024 are as follows: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518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1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09"/>
        </w:trPr>
        <w:tc>
          <w:tcPr>
            <w:tcW w:w="5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0"/>
        </w:trPr>
        <w:tc>
          <w:tcPr>
            <w:tcW w:w="5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Short-term portion</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net of tax, for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consisted of the following:</w:t>
      </w:r>
    </w:p>
    <w:tbl>
      <w:tblPr>
        <w:tblLayout w:type="fixed"/>
        <w:tblInd w:w="40" w:type="dxa"/>
        <w:tblCellMar>
          <w:top w:w="0" w:type="dxa"/>
          <w:left w:w="0" w:type="dxa"/>
          <w:bottom w:w="0" w:type="dxa"/>
          <w:right w:w="0" w:type="dxa"/>
        </w:tblCellMar>
      </w:tblPr>
      <w:tr>
        <w:trPr>
          <w:trHeight w:val="146"/>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1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10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net of tax, for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2023 consisted of the following:</w:t>
      </w:r>
    </w:p>
    <w:tbl>
      <w:tblPr>
        <w:tblLayout w:type="fixed"/>
        <w:tblInd w:w="40" w:type="dxa"/>
        <w:tblCellMar>
          <w:top w:w="0" w:type="dxa"/>
          <w:left w:w="0" w:type="dxa"/>
          <w:bottom w:w="0" w:type="dxa"/>
          <w:right w:w="0" w:type="dxa"/>
        </w:tblCellMar>
      </w:tblPr>
      <w:tr>
        <w:trPr>
          <w:trHeight w:val="146"/>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1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10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09"/>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720" w:hanging="670"/>
        <w:spacing w:after="0"/>
        <w:tabs>
          <w:tab w:leader="none" w:pos="7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61" w:lineRule="auto"/>
        <w:rPr>
          <w:sz w:val="20"/>
          <w:szCs w:val="20"/>
          <w:color w:val="auto"/>
        </w:rPr>
      </w:pPr>
      <w:r>
        <w:rPr>
          <w:rFonts w:ascii="Times New Roman" w:cs="Times New Roman" w:eastAsia="Times New Roman" w:hAnsi="Times New Roman"/>
          <w:sz w:val="18"/>
          <w:szCs w:val="18"/>
          <w:color w:val="auto"/>
        </w:rPr>
        <w:t>The carrying value and fair value of the Company’s financial instruments as of September 30, 2024 and December 31, 2023 are as follows:</w:t>
      </w:r>
    </w:p>
    <w:tbl>
      <w:tblPr>
        <w:tblLayout w:type="fixed"/>
        <w:tblInd w:w="40" w:type="dxa"/>
        <w:tblCellMar>
          <w:top w:w="0" w:type="dxa"/>
          <w:left w:w="0" w:type="dxa"/>
          <w:bottom w:w="0" w:type="dxa"/>
          <w:right w:w="0" w:type="dxa"/>
        </w:tblCellMar>
      </w:tblPr>
      <w:tr>
        <w:trPr>
          <w:trHeight w:val="137"/>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020" w:type="dxa"/>
            <w:vAlign w:val="bottom"/>
            <w:gridSpan w:val="2"/>
          </w:tcPr>
          <w:p>
            <w:pPr>
              <w:jc w:val="right"/>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0" w:type="dxa"/>
            <w:vAlign w:val="bottom"/>
            <w:gridSpan w:val="2"/>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vMerge w:val="restart"/>
          </w:tcPr>
          <w:p>
            <w:pPr>
              <w:spacing w:after="0"/>
              <w:rPr>
                <w:sz w:val="12"/>
                <w:szCs w:val="12"/>
                <w:color w:val="auto"/>
              </w:rPr>
            </w:pPr>
          </w:p>
        </w:tc>
        <w:tc>
          <w:tcPr>
            <w:tcW w:w="11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20" w:type="dxa"/>
            <w:vAlign w:val="bottom"/>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28"/>
        </w:trPr>
        <w:tc>
          <w:tcPr>
            <w:tcW w:w="3120" w:type="dxa"/>
            <w:vAlign w:val="bottom"/>
            <w:gridSpan w:val="2"/>
            <w:vMerge w:val="continue"/>
          </w:tcPr>
          <w:p>
            <w:pPr>
              <w:spacing w:after="0"/>
              <w:rPr>
                <w:sz w:val="11"/>
                <w:szCs w:val="11"/>
                <w:color w:val="auto"/>
              </w:rPr>
            </w:pPr>
          </w:p>
        </w:tc>
        <w:tc>
          <w:tcPr>
            <w:tcW w:w="12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0"/>
              </w:rPr>
              <w:t>Value Measurements</w:t>
            </w:r>
          </w:p>
        </w:tc>
        <w:tc>
          <w:tcPr>
            <w:tcW w:w="14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at September 30,</w:t>
            </w:r>
          </w:p>
        </w:tc>
        <w:tc>
          <w:tcPr>
            <w:tcW w:w="5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CCF - Cash and cash equivalent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CCF -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24"/>
                <w:szCs w:val="24"/>
                <w:color w:val="auto"/>
              </w:rPr>
            </w:pPr>
          </w:p>
        </w:tc>
        <w:tc>
          <w:tcPr>
            <w:tcW w:w="3740" w:type="dxa"/>
            <w:vAlign w:val="bottom"/>
            <w:gridSpan w:val="9"/>
          </w:tcPr>
          <w:p>
            <w:pPr>
              <w:ind w:left="60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CCF - Cash and cash equivalent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4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The Company uses Level 1 inputs for the fair values of its cash and cash equivalents, restricted cash, and CCF cash and cash equivalents and investments, and Level 2 inputs for fixed rate debt. The fair values of cash and cash equivalents, restricted cash, and cash and cash equivalents in the CCF approximate their carrying values due to the nature of the instruments. The fair value of investments in the CCF is calculated based upon quoted prices available in active market. The fair value of fixed rate debt is calculated based upon interest rates available for debt with terms and maturities similar to the Company’s existing debt arrangements.</w:t>
      </w:r>
    </w:p>
    <w:p>
      <w:pPr>
        <w:spacing w:after="0" w:line="237" w:lineRule="exact"/>
        <w:rPr>
          <w:sz w:val="20"/>
          <w:szCs w:val="20"/>
          <w:color w:val="auto"/>
        </w:rPr>
      </w:pPr>
    </w:p>
    <w:p>
      <w:pPr>
        <w:ind w:left="720" w:hanging="670"/>
        <w:spacing w:after="0"/>
        <w:tabs>
          <w:tab w:leader="none" w:pos="7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6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Basic earnings per share is determined by dividing net income by the weighted average common shares outstanding during the period. The calculation of diluted earnings per share includes the dilutive effect of non-vested restricted stock units. The computation of weighted average common shares outstanding excluded a nominal amount of anti-dilutive restricted stock units for each period ended September 30, 2024 and 2023.</w:t>
      </w:r>
    </w:p>
    <w:p>
      <w:pPr>
        <w:spacing w:after="0" w:line="112"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The computations for basic and diluted earnings per share for the three and nine months ended September 30, 2024 and 2023 are as follows:</w:t>
      </w:r>
    </w:p>
    <w:tbl>
      <w:tblPr>
        <w:tblLayout w:type="fixed"/>
        <w:tblInd w:w="4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1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2500" w:type="dxa"/>
            <w:vAlign w:val="bottom"/>
            <w:gridSpan w:val="1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r>
      <w:tr>
        <w:trPr>
          <w:trHeight w:val="125"/>
        </w:trPr>
        <w:tc>
          <w:tcPr>
            <w:tcW w:w="3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4"/>
          </w:tcPr>
          <w:p>
            <w:pPr>
              <w:jc w:val="center"/>
              <w:ind w:right="200"/>
              <w:spacing w:after="0" w:line="12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ind w:right="125"/>
              <w:spacing w:after="0" w:line="126" w:lineRule="exact"/>
              <w:rPr>
                <w:sz w:val="20"/>
                <w:szCs w:val="20"/>
                <w:color w:val="auto"/>
              </w:rPr>
            </w:pPr>
            <w:r>
              <w:rPr>
                <w:rFonts w:ascii="Times New Roman" w:cs="Times New Roman" w:eastAsia="Times New Roman" w:hAnsi="Times New Roman"/>
                <w:sz w:val="13"/>
                <w:szCs w:val="13"/>
                <w:b w:val="1"/>
                <w:bCs w:val="1"/>
                <w:color w:val="auto"/>
              </w:rPr>
              <w:t>Per</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4"/>
          </w:tcPr>
          <w:p>
            <w:pPr>
              <w:jc w:val="center"/>
              <w:ind w:right="180"/>
              <w:spacing w:after="0" w:line="12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ind w:right="145"/>
              <w:spacing w:after="0" w:line="126" w:lineRule="exact"/>
              <w:rPr>
                <w:sz w:val="20"/>
                <w:szCs w:val="20"/>
                <w:color w:val="auto"/>
              </w:rPr>
            </w:pPr>
            <w:r>
              <w:rPr>
                <w:rFonts w:ascii="Times New Roman" w:cs="Times New Roman" w:eastAsia="Times New Roman" w:hAnsi="Times New Roman"/>
                <w:sz w:val="13"/>
                <w:szCs w:val="13"/>
                <w:b w:val="1"/>
                <w:bCs w:val="1"/>
                <w:color w:val="auto"/>
              </w:rPr>
              <w:t>Per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8"/>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80" w:type="dxa"/>
            <w:vAlign w:val="bottom"/>
          </w:tcPr>
          <w:p>
            <w:pPr>
              <w:spacing w:after="0"/>
              <w:rPr>
                <w:sz w:val="12"/>
                <w:szCs w:val="12"/>
                <w:color w:val="auto"/>
              </w:rPr>
            </w:pPr>
          </w:p>
        </w:tc>
        <w:tc>
          <w:tcPr>
            <w:tcW w:w="76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84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w:t>
            </w:r>
          </w:p>
        </w:tc>
      </w:tr>
      <w:tr>
        <w:trPr>
          <w:trHeight w:val="149"/>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Net</w:t>
            </w:r>
          </w:p>
        </w:tc>
        <w:tc>
          <w:tcPr>
            <w:tcW w:w="7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Share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Net</w:t>
            </w:r>
          </w:p>
        </w:tc>
        <w:tc>
          <w:tcPr>
            <w:tcW w:w="76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2"/>
                <w:szCs w:val="12"/>
                <w:color w:val="auto"/>
              </w:rPr>
            </w:pPr>
          </w:p>
        </w:tc>
        <w:tc>
          <w:tcPr>
            <w:tcW w:w="72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Share</w:t>
            </w:r>
          </w:p>
        </w:tc>
      </w:tr>
      <w:tr>
        <w:trPr>
          <w:trHeight w:val="165"/>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7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76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76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72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96"/>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199.1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348.4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348.4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14"/>
          </w:tcPr>
          <w:p>
            <w:pPr>
              <w:spacing w:after="0"/>
              <w:rPr>
                <w:sz w:val="20"/>
                <w:szCs w:val="20"/>
                <w:color w:val="auto"/>
              </w:rPr>
            </w:pPr>
            <w:r>
              <w:rPr>
                <w:rFonts w:ascii="Times New Roman" w:cs="Times New Roman" w:eastAsia="Times New Roman" w:hAnsi="Times New Roman"/>
                <w:sz w:val="13"/>
                <w:szCs w:val="13"/>
                <w:b w:val="1"/>
                <w:bCs w:val="1"/>
                <w:color w:val="auto"/>
              </w:rPr>
              <w:t>Three Months Ended September 30, 2023</w:t>
            </w:r>
          </w:p>
        </w:tc>
        <w:tc>
          <w:tcPr>
            <w:tcW w:w="120" w:type="dxa"/>
            <w:vAlign w:val="bottom"/>
          </w:tcPr>
          <w:p>
            <w:pPr>
              <w:spacing w:after="0"/>
              <w:rPr>
                <w:sz w:val="24"/>
                <w:szCs w:val="24"/>
                <w:color w:val="auto"/>
              </w:rPr>
            </w:pPr>
          </w:p>
        </w:tc>
        <w:tc>
          <w:tcPr>
            <w:tcW w:w="2380" w:type="dxa"/>
            <w:vAlign w:val="bottom"/>
            <w:gridSpan w:val="1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2023</w:t>
            </w:r>
          </w:p>
        </w:tc>
      </w:tr>
      <w:tr>
        <w:trPr>
          <w:trHeight w:val="125"/>
        </w:trPr>
        <w:tc>
          <w:tcPr>
            <w:tcW w:w="3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3"/>
          </w:tcPr>
          <w:p>
            <w:pPr>
              <w:jc w:val="center"/>
              <w:ind w:right="80"/>
              <w:spacing w:after="0" w:line="12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ind w:right="80"/>
              <w:spacing w:after="0" w:line="126" w:lineRule="exact"/>
              <w:rPr>
                <w:sz w:val="20"/>
                <w:szCs w:val="20"/>
                <w:color w:val="auto"/>
              </w:rPr>
            </w:pPr>
            <w:r>
              <w:rPr>
                <w:rFonts w:ascii="Times New Roman" w:cs="Times New Roman" w:eastAsia="Times New Roman" w:hAnsi="Times New Roman"/>
                <w:sz w:val="13"/>
                <w:szCs w:val="13"/>
                <w:b w:val="1"/>
                <w:bCs w:val="1"/>
                <w:color w:val="auto"/>
              </w:rPr>
              <w:t>Per</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jc w:val="center"/>
              <w:ind w:right="60"/>
              <w:spacing w:after="0" w:line="12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ind w:right="60"/>
              <w:spacing w:after="0" w:line="126" w:lineRule="exact"/>
              <w:rPr>
                <w:sz w:val="20"/>
                <w:szCs w:val="20"/>
                <w:color w:val="auto"/>
              </w:rPr>
            </w:pPr>
            <w:r>
              <w:rPr>
                <w:rFonts w:ascii="Times New Roman" w:cs="Times New Roman" w:eastAsia="Times New Roman" w:hAnsi="Times New Roman"/>
                <w:sz w:val="13"/>
                <w:szCs w:val="13"/>
                <w:b w:val="1"/>
                <w:bCs w:val="1"/>
                <w:color w:val="auto"/>
              </w:rPr>
              <w:t>Per</w:t>
            </w:r>
          </w:p>
        </w:tc>
        <w:tc>
          <w:tcPr>
            <w:tcW w:w="20" w:type="dxa"/>
            <w:vAlign w:val="bottom"/>
          </w:tcPr>
          <w:p>
            <w:pPr>
              <w:spacing w:after="0"/>
              <w:rPr>
                <w:sz w:val="10"/>
                <w:szCs w:val="10"/>
                <w:color w:val="auto"/>
              </w:rPr>
            </w:pPr>
          </w:p>
        </w:tc>
      </w:tr>
      <w:tr>
        <w:trPr>
          <w:trHeight w:val="148"/>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w:t>
            </w:r>
          </w:p>
        </w:tc>
      </w:tr>
      <w:tr>
        <w:trPr>
          <w:trHeight w:val="149"/>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w:t>
            </w:r>
          </w:p>
        </w:tc>
        <w:tc>
          <w:tcPr>
            <w:tcW w:w="120" w:type="dxa"/>
            <w:vAlign w:val="bottom"/>
          </w:tcPr>
          <w:p>
            <w:pPr>
              <w:spacing w:after="0"/>
              <w:rPr>
                <w:sz w:val="12"/>
                <w:szCs w:val="12"/>
                <w:color w:val="auto"/>
              </w:rPr>
            </w:pP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Net</w:t>
            </w:r>
          </w:p>
        </w:tc>
        <w:tc>
          <w:tcPr>
            <w:tcW w:w="120" w:type="dxa"/>
            <w:vAlign w:val="bottom"/>
          </w:tcPr>
          <w:p>
            <w:pPr>
              <w:spacing w:after="0"/>
              <w:rPr>
                <w:sz w:val="12"/>
                <w:szCs w:val="12"/>
                <w:color w:val="auto"/>
              </w:rPr>
            </w:pP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w:t>
            </w:r>
          </w:p>
        </w:tc>
      </w:tr>
      <w:tr>
        <w:trPr>
          <w:trHeight w:val="165"/>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96"/>
        </w:trPr>
        <w:tc>
          <w:tcPr>
            <w:tcW w:w="3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119.9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35.6</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6.59</w:t>
            </w:r>
          </w:p>
        </w:tc>
        <w:tc>
          <w:tcPr>
            <w:tcW w:w="20" w:type="dxa"/>
            <w:vAlign w:val="bottom"/>
          </w:tcPr>
          <w:p>
            <w:pPr>
              <w:spacing w:after="0"/>
              <w:rPr>
                <w:sz w:val="17"/>
                <w:szCs w:val="17"/>
                <w:color w:val="auto"/>
              </w:rPr>
            </w:pPr>
          </w:p>
        </w:tc>
      </w:tr>
      <w:tr>
        <w:trPr>
          <w:trHeight w:val="20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0" w:type="dxa"/>
            <w:vAlign w:val="bottom"/>
          </w:tcPr>
          <w:p>
            <w:pPr>
              <w:spacing w:after="0"/>
              <w:rPr>
                <w:sz w:val="17"/>
                <w:szCs w:val="17"/>
                <w:color w:val="auto"/>
              </w:rPr>
            </w:pPr>
          </w:p>
        </w:tc>
      </w:tr>
      <w:tr>
        <w:trPr>
          <w:trHeight w:val="196"/>
        </w:trPr>
        <w:tc>
          <w:tcPr>
            <w:tcW w:w="3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6.56</w:t>
            </w:r>
          </w:p>
        </w:tc>
        <w:tc>
          <w:tcPr>
            <w:tcW w:w="20" w:type="dxa"/>
            <w:vAlign w:val="bottom"/>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720" w:hanging="670"/>
        <w:spacing w:after="0"/>
        <w:tabs>
          <w:tab w:leader="none" w:pos="7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48"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granted time-based restricted stock units and performance-based shares to certain of its employees totaling approximately 500 and 152,600 shares, respectively, with a combined weighted average grant date fair value of $129.25 and $122.17 per share,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Total share-based compensation cost recognized in the Condensed Consolidated Statements of Income and Comprehensive Income as a component of selling, general and administrative expenses was $7.1 million and $7.8 million for the three months ended September 30, 2024 and 2023 and $19.1 million and $17.6 million for the nine months ended September 30, 2024 and 2023, respectively. Total unrecognized compensation cost related to unvested share-based compensation arrangements was $28.1 million at September 30, 2024, and is expected to be recognized over a weighted average period of approximately 1.7 years. Total unrecognized compensation cost may be adjusted for any unearned performance shares or forfeited shares.</w:t>
      </w:r>
    </w:p>
    <w:p>
      <w:pPr>
        <w:spacing w:after="0" w:line="200" w:lineRule="exact"/>
        <w:rPr>
          <w:sz w:val="20"/>
          <w:szCs w:val="20"/>
          <w:color w:val="auto"/>
        </w:rPr>
      </w:pPr>
    </w:p>
    <w:p>
      <w:pPr>
        <w:spacing w:after="0" w:line="201" w:lineRule="exact"/>
        <w:rPr>
          <w:sz w:val="20"/>
          <w:szCs w:val="20"/>
          <w:color w:val="auto"/>
        </w:rPr>
      </w:pPr>
    </w:p>
    <w:p>
      <w:pPr>
        <w:ind w:left="720" w:hanging="670"/>
        <w:spacing w:after="0"/>
        <w:tabs>
          <w:tab w:leader="none" w:pos="7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POST-RETIREMENT PLANS</w:t>
      </w:r>
    </w:p>
    <w:p>
      <w:pPr>
        <w:spacing w:after="0" w:line="22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The Company’s pension and post-retirement plans are described in Note 11 to the Consolidated Financial Statements included in Part II, Item 8 of the Company’s Annual Report on Form 10-K for the year ended December 31, 2023. Components of net periodic benefit cost and other amounts recognized in Other Comprehensive Income (Loss) for the qualified pension plans and the post-retirement benefit plans for the three and nine months ended September 30, 2024 and 2023 consisted of the following:</w:t>
      </w:r>
    </w:p>
    <w:tbl>
      <w:tblPr>
        <w:tblLayout w:type="fixed"/>
        <w:tblInd w:w="40" w:type="dxa"/>
        <w:tblCellMar>
          <w:top w:w="0" w:type="dxa"/>
          <w:left w:w="0" w:type="dxa"/>
          <w:bottom w:w="0" w:type="dxa"/>
          <w:right w:w="0" w:type="dxa"/>
        </w:tblCellMar>
      </w:tblPr>
      <w:tr>
        <w:trPr>
          <w:trHeight w:val="140"/>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gridSpan w:val="8"/>
          </w:tcPr>
          <w:p>
            <w:pPr>
              <w:jc w:val="right"/>
              <w:ind w:right="780"/>
              <w:spacing w:after="0" w:line="141" w:lineRule="exact"/>
              <w:rPr>
                <w:sz w:val="20"/>
                <w:szCs w:val="20"/>
                <w:color w:val="auto"/>
              </w:rPr>
            </w:pPr>
            <w:r>
              <w:rPr>
                <w:rFonts w:ascii="Times New Roman" w:cs="Times New Roman" w:eastAsia="Times New Roman" w:hAnsi="Times New Roman"/>
                <w:sz w:val="14"/>
                <w:szCs w:val="14"/>
                <w:b w:val="1"/>
                <w:bCs w:val="1"/>
                <w:color w:val="auto"/>
              </w:rPr>
              <w:t>Pension Benefits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6"/>
          </w:tcPr>
          <w:p>
            <w:pPr>
              <w:jc w:val="right"/>
              <w:ind w:right="313"/>
              <w:spacing w:after="0" w:line="141" w:lineRule="exact"/>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73"/>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8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 (credit):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6"/>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73"/>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22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5"/>
                <w:szCs w:val="15"/>
                <w:color w:val="auto"/>
              </w:rPr>
            </w:pPr>
          </w:p>
        </w:tc>
        <w:tc>
          <w:tcPr>
            <w:tcW w:w="22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 (credit):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2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720" w:hanging="670"/>
        <w:spacing w:after="0"/>
        <w:tabs>
          <w:tab w:leader="none" w:pos="7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Matters: </w:t>
      </w:r>
      <w:r>
        <w:rPr>
          <w:rFonts w:ascii="Times New Roman" w:cs="Times New Roman" w:eastAsia="Times New Roman" w:hAnsi="Times New Roman"/>
          <w:sz w:val="18"/>
          <w:szCs w:val="18"/>
          <w:color w:val="auto"/>
        </w:rPr>
        <w:t>The Company’s Ocean Transportation business has certain risks that could result in expenditures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environmental remediation. The Company believes that based on all information available to it, the Company is currently in compliance, in all material respects, with applicable environmental laws and regulations.</w:t>
      </w:r>
    </w:p>
    <w:p>
      <w:pPr>
        <w:spacing w:after="0" w:line="90"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59" w:lineRule="exact"/>
        <w:rPr>
          <w:sz w:val="20"/>
          <w:szCs w:val="20"/>
          <w:color w:val="auto"/>
        </w:rPr>
      </w:pPr>
    </w:p>
    <w:p>
      <w:pPr>
        <w:ind w:left="60" w:right="179"/>
        <w:spacing w:after="0" w:line="312" w:lineRule="auto"/>
        <w:rPr>
          <w:sz w:val="20"/>
          <w:szCs w:val="20"/>
          <w:color w:val="auto"/>
        </w:rPr>
      </w:pPr>
      <w:r>
        <w:rPr>
          <w:rFonts w:ascii="Times New Roman" w:cs="Times New Roman" w:eastAsia="Times New Roman" w:hAnsi="Times New Roman"/>
          <w:sz w:val="17"/>
          <w:szCs w:val="17"/>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1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from time to time, may make or may have made certain forward-looking statements, whether orally or in writing, such as, among others, forecasts or projections of the Company’s future performance or statements of management’s plans and objectives. These statements are considered “forward-looking” statements as that term is defined in the Private Securities Litigation Reform Act of 1995. Such forward-looking statements may be contained in, among other things, SEC filings such as Forms 10-K, 10-Q and 8-K, the Company’s Annual Report to Shareholders, the Company’s Sustainability Report, press releases made by the Company, the Company’s Internet websites (including websites of its subsidiaries), and oral statements made by officers of the Company. Except for historical information contained in these written or oral communications, all other statements are forward-looking statements. These include, for example, all references to 2024 or future years, including such references included under “Third Quarter 2024 Discussion and Outlook for 2024,” as well as statements generally identified through the inclusion of words such as “anticipate,” “believe,” “can,” “commit,” “estimate,” “expect,” “goal,” “intend,” “may,” “plan,” “target,” “seek,” “should,” and “will,” or similar statements or variations of such terms and other similar expressions. New risks or uncertainties may emerge from time to time, risks that the Company currently does not consider to be material could become material, and it is not possible for the Company to predict all such risks, nor can it assess the impact of all such risks on the Company’s business or the extent to which any factor, or combination of factors, may cause actual results or outcomes, or the timing of results or outcomes, to differ materially from those contained in any forward-looking statements. Accordingly, forward-looking statements cannot be relied upon as a guarantee of future results or outcomes and involve a number of risks and uncertainties that could cause actual results or outcomes to differ materially from those projected in the statements, including but not limited to the factors that are described in Part I, Item 1A under the caption “Risk Factors” of the Company’s </w:t>
      </w:r>
      <w:hyperlink r:id="rId28">
        <w:r>
          <w:rPr>
            <w:rFonts w:ascii="Times New Roman" w:cs="Times New Roman" w:eastAsia="Times New Roman" w:hAnsi="Times New Roman"/>
            <w:sz w:val="18"/>
            <w:szCs w:val="18"/>
            <w:u w:val="single" w:color="auto"/>
            <w:color w:val="0000EE"/>
          </w:rPr>
          <w:t>Annual Report on Form 10-K for the year ended December 31, 2023</w:t>
        </w:r>
      </w:hyperlink>
      <w:r>
        <w:rPr>
          <w:rFonts w:ascii="Times New Roman" w:cs="Times New Roman" w:eastAsia="Times New Roman" w:hAnsi="Times New Roman"/>
          <w:sz w:val="18"/>
          <w:szCs w:val="18"/>
          <w:color w:val="auto"/>
        </w:rPr>
        <w:t>. Except as required by law, the Company undertakes no obligation to revise or update publicly forward-looking statements or any factors that may affect actual results, whether as a result of new information, future events, circumstances occurring after the date of this report, or otherwise.</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Condensed Consolidated Financial Statements from period to period, the primary factors that accounted for those changes, and how certain accounting principles, policies and estimates affected the Company’s Condensed Consolidated Financial Statements. The MD&amp;A is provided as a supplement to the Condensed Consolidated Financial Statements and notes herein, and should be read in conjunction with the Company’s </w:t>
      </w:r>
      <w:hyperlink r:id="rId28">
        <w:r>
          <w:rPr>
            <w:rFonts w:ascii="Times New Roman" w:cs="Times New Roman" w:eastAsia="Times New Roman" w:hAnsi="Times New Roman"/>
            <w:sz w:val="18"/>
            <w:szCs w:val="18"/>
            <w:u w:val="single" w:color="auto"/>
            <w:color w:val="0000EE"/>
          </w:rPr>
          <w:t>Annual Report on Form 10-K for the year ended December 31, 2023</w:t>
        </w:r>
      </w:hyperlink>
      <w:r>
        <w:rPr>
          <w:rFonts w:ascii="Times New Roman" w:cs="Times New Roman" w:eastAsia="Times New Roman" w:hAnsi="Times New Roman"/>
          <w:sz w:val="18"/>
          <w:szCs w:val="18"/>
          <w:color w:val="auto"/>
        </w:rPr>
        <w:t>, the Company’s reports on Forms 10-Q and 8-K, and other publicly available information.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THIRD QUARTER 2024 DISCUSSION AND OUTLOOK FOR 2024</w:t>
      </w:r>
    </w:p>
    <w:p>
      <w:pPr>
        <w:spacing w:after="0" w:line="227"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Ocean Transportation: </w:t>
      </w:r>
      <w:r>
        <w:rPr>
          <w:rFonts w:ascii="Times New Roman" w:cs="Times New Roman" w:eastAsia="Times New Roman" w:hAnsi="Times New Roman"/>
          <w:sz w:val="18"/>
          <w:szCs w:val="18"/>
          <w:color w:val="auto"/>
        </w:rPr>
        <w:t>The Company’s container volume in the Hawaii service in the third quarter 2024 was 2.2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year-over-year. The decrease was primarily due to lower general demand. Hawaii’s economy continues to grow slowly with stalled growth in statewide tourist arrivals due to declines in Maui tourism following last year’s wildfires and the sluggish pace of recovery in Japanese tourist arrivals which have been impacted by weakness in the yen to the U.S. dollar exchange rate. The Company expects volume for the full year 2024 to be modestly lower than the level achieved in 2023, primarily due to low-to-no growth in tourism, continued challenges in population growth and lower discretionary income as a result of higher inflation and interest rates.</w:t>
      </w:r>
    </w:p>
    <w:p>
      <w:pPr>
        <w:spacing w:after="0" w:line="185"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In China, the Company achieved significantly higher freight rates in the third quarter 2024 compared to the year ago period. The Company’s container volume in the third quarter 2024 also increased 2.6 percent year-over-year due to two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additional sailings. The elevated freight rates were primarily due to a traditional peak season with strong freight demand leading to significantly higher year-over-year freight rates for both the CLX and MAX services. A resilient U.S. economy and a stable consumer demand environment coupled with tighter supply chain conditions supported these elevated freight rates. In the near term, the Company expects its China service freight rates in the fourth quarter to remain elevated and to be significantly higher than the levels achieved in the year ago period as long as the underlying economic, supply chain, and geopolitical conditions persist. Regardless, the Company remains focused on continuing to deliver a differentiated value proposition as compared to air freight with CLX and MAX services as the two fastest and most reliable expedited ocean services in the Transpacific.</w:t>
      </w:r>
    </w:p>
    <w:p>
      <w:pPr>
        <w:spacing w:after="0" w:line="192"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In Guam, the Company’s container volume in the third quarter 2024 decreased 9.4 percent year-over-year. The decrease was primarily due to lower demand from retail and food and beverage segments. In the near term, the Company expects the Guam economy to remain stable with a low unemployment rate, but slow growth in tourism. For the full year 2024, the Company expects volume to be lower than the level achieved last year.</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Alaska, the Company’s container volume for the third quarter 2024 increased 1.4 percent year-over-year primarily due to higher retail-related demand. In the near term, the Company expects continued economic growth in Alaska supported by a low unemployment rate, jobs growth and lower levels of inflation. For the full year 2024, the Company expects volume to approximate the level achieved last year.</w:t>
      </w:r>
    </w:p>
    <w:p>
      <w:pPr>
        <w:spacing w:after="0" w:line="18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contribution in the third quarter 2024 from the Company’s SSAT joint venture investment was $6.9 million, or $5.6 million higher than the third quarter 2023. The increase was primarily due to higher lift volume. For 2024, the Company expects the contribution from SSAT to be higher than the levels achieved in 2023 due to an expected increase in lift volume.</w:t>
      </w:r>
    </w:p>
    <w:p>
      <w:pPr>
        <w:spacing w:after="0" w:line="180"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As a result of the outlook trends noted above, the Company expects fourth quarter 2024 operating income for Ocean Transportation to be meaningfully higher than the $66.4 million achieved in the fourth quarter 2023.</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Logistics: </w:t>
      </w:r>
      <w:r>
        <w:rPr>
          <w:rFonts w:ascii="Times New Roman" w:cs="Times New Roman" w:eastAsia="Times New Roman" w:hAnsi="Times New Roman"/>
          <w:sz w:val="18"/>
          <w:szCs w:val="18"/>
          <w:color w:val="auto"/>
        </w:rPr>
        <w:t>In the third quarter 2024, operating income for the Company’s Logistics segment was $15.4 million, or</w:t>
      </w:r>
    </w:p>
    <w:p>
      <w:pPr>
        <w:spacing w:after="0" w:line="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$1.5 million higher compared to the level achieved in the third quarter 2023. The increase was primarily due to higher contributions from supply chain management and transportation brokerage. The Company expects operating income in the fourth quarter of 2024 to be modestly higher than the level achieved last year.</w:t>
      </w:r>
    </w:p>
    <w:p>
      <w:pPr>
        <w:spacing w:after="0" w:line="184" w:lineRule="exact"/>
        <w:rPr>
          <w:sz w:val="20"/>
          <w:szCs w:val="20"/>
          <w:color w:val="auto"/>
        </w:rPr>
      </w:pPr>
    </w:p>
    <w:p>
      <w:pPr>
        <w:ind w:left="60" w:right="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Operating Income: </w:t>
      </w:r>
      <w:r>
        <w:rPr>
          <w:rFonts w:ascii="Times New Roman" w:cs="Times New Roman" w:eastAsia="Times New Roman" w:hAnsi="Times New Roman"/>
          <w:sz w:val="18"/>
          <w:szCs w:val="18"/>
          <w:color w:val="auto"/>
        </w:rPr>
        <w:t>The Company expects Matson’s fourth quarter 2024 consolidated operating income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meaningfully higher than the $75.3 million achieved in the fourth quarter 2023.</w:t>
      </w:r>
    </w:p>
    <w:p>
      <w:pPr>
        <w:spacing w:after="0" w:line="158"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For full year 2024, the Company expects depreciation and amortization expense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$180 million, inclusive of dry-docking amortization of approximately $27 million.</w:t>
      </w:r>
    </w:p>
    <w:p>
      <w:pPr>
        <w:spacing w:after="0" w:line="158" w:lineRule="exact"/>
        <w:rPr>
          <w:sz w:val="20"/>
          <w:szCs w:val="20"/>
          <w:color w:val="auto"/>
        </w:rPr>
      </w:pPr>
    </w:p>
    <w:p>
      <w:pPr>
        <w:ind w:left="60" w:right="3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The Company expects interest income for the full year 2024 to be approximately $47 million.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the receipt on April 19, 2024 of $10.2 million in interest income earned on the federal tax refund related to the Company’s 2021 federal tax return.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The Company expects interest expense for the full year 2024 to be approximately $8 million.</w:t>
      </w:r>
    </w:p>
    <w:p>
      <w:pPr>
        <w:spacing w:after="0" w:line="225" w:lineRule="exact"/>
        <w:rPr>
          <w:sz w:val="20"/>
          <w:szCs w:val="20"/>
          <w:color w:val="auto"/>
        </w:rPr>
      </w:pPr>
    </w:p>
    <w:p>
      <w:pPr>
        <w:jc w:val="both"/>
        <w:ind w:left="60" w:right="1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The Company expects full year 2024 other income (expense) to be approximately $7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which is attributable to the amortization of certain components of net periodic benefit costs or gains related to the Company’s pension and post-retirement plans.</w:t>
      </w:r>
    </w:p>
    <w:p>
      <w:pPr>
        <w:spacing w:after="0" w:line="173" w:lineRule="exact"/>
        <w:rPr>
          <w:sz w:val="20"/>
          <w:szCs w:val="20"/>
          <w:color w:val="auto"/>
        </w:rPr>
      </w:pPr>
    </w:p>
    <w:p>
      <w:pPr>
        <w:ind w:left="60" w:right="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the third quarter 2024, the Company’s effective tax rate was 21.2 percent. For the fourth quarter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expects its effective tax rate to be approximately 22.0 percent.</w:t>
      </w:r>
    </w:p>
    <w:p>
      <w:pPr>
        <w:spacing w:after="0" w:line="158"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 and Vessel Dry-docking Expenditures: </w:t>
      </w:r>
      <w:r>
        <w:rPr>
          <w:rFonts w:ascii="Times New Roman" w:cs="Times New Roman" w:eastAsia="Times New Roman" w:hAnsi="Times New Roman"/>
          <w:sz w:val="18"/>
          <w:szCs w:val="18"/>
          <w:color w:val="auto"/>
        </w:rPr>
        <w:t>In the third quarter 2024, the Company made capital expenditure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vessel construction expenditures of $58.0 million, capitalized vessel construction expenditures of $1.6 million, and dry-docking payments of $2.9 million. For the full year 2024, the Company expects to make other capital expenditure payments, including maintenance capital expenditures, of approximately $110 to $120 million, new vessel construction expenditures (including capitalized interest and owner’s items) of approximately $77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expenditures for LNG installations and reengining on existing vessels of approximately $85 to $90 million, and dry-docking payments of approximately $35 million.</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 Three months ended September 30, 2024 compared with 2023:</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9"/>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4"/>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(719.7)</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(695.4)</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09"/>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0" w:type="dxa"/>
            <w:vAlign w:val="bottom"/>
          </w:tcPr>
          <w:p>
            <w:pPr>
              <w:spacing w:after="0"/>
              <w:rPr>
                <w:sz w:val="1"/>
                <w:szCs w:val="1"/>
                <w:color w:val="auto"/>
              </w:rPr>
            </w:pPr>
          </w:p>
        </w:tc>
      </w:tr>
      <w:tr>
        <w:trPr>
          <w:trHeight w:val="209"/>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432"/>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w:t>
            </w:r>
          </w:p>
        </w:tc>
        <w:tc>
          <w:tcPr>
            <w:tcW w:w="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164.5 %</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7"/>
        </w:trPr>
        <w:tc>
          <w:tcPr>
            <w:tcW w:w="5640" w:type="dxa"/>
            <w:vAlign w:val="bottom"/>
            <w:gridSpan w:val="2"/>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5.98</w:t>
            </w:r>
          </w:p>
        </w:tc>
        <w:tc>
          <w:tcPr>
            <w:tcW w:w="18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3.42</w:t>
            </w:r>
          </w:p>
        </w:tc>
        <w:tc>
          <w:tcPr>
            <w:tcW w:w="18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2.56</w:t>
            </w:r>
          </w:p>
        </w:tc>
        <w:tc>
          <w:tcPr>
            <w:tcW w:w="1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74.9</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Changes in operating revenue, and operating costs and expenses are further described below in the Analysis of Operating Revenue and Income by Segment.</w:t>
      </w:r>
    </w:p>
    <w:p>
      <w:pPr>
        <w:spacing w:after="0" w:line="162" w:lineRule="exact"/>
        <w:rPr>
          <w:sz w:val="20"/>
          <w:szCs w:val="20"/>
          <w:color w:val="auto"/>
        </w:rPr>
      </w:pPr>
    </w:p>
    <w:p>
      <w:pPr>
        <w:jc w:val="both"/>
        <w:ind w:left="60" w:right="539"/>
        <w:spacing w:after="0" w:line="266" w:lineRule="auto"/>
        <w:rPr>
          <w:sz w:val="20"/>
          <w:szCs w:val="20"/>
          <w:color w:val="auto"/>
        </w:rPr>
      </w:pPr>
      <w:r>
        <w:rPr>
          <w:rFonts w:ascii="Times New Roman" w:cs="Times New Roman" w:eastAsia="Times New Roman" w:hAnsi="Times New Roman"/>
          <w:sz w:val="18"/>
          <w:szCs w:val="18"/>
          <w:color w:val="auto"/>
        </w:rPr>
        <w:t>The increase in interest income for the three months ended September 30, 2024, compared to the three months ended September 30, 2023, was due to increased amounts of cash and cash equivalent, and CCF funds that were invested in interest bearing accounts during the three months ended September 30, 2024.</w:t>
      </w:r>
    </w:p>
    <w:p>
      <w:pPr>
        <w:spacing w:after="0" w:line="1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for the three months ended September 30, 2024, compared to the three months ended September 30, 2023, was due to lower outstanding debt during the period, and a higher offset of capitalized interest related to the construction of new vessels.</w:t>
      </w:r>
    </w:p>
    <w:p>
      <w:pPr>
        <w:spacing w:after="0" w:line="1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Other income (expense) relates to the amortization of certain components of net periodic benefit costs or gains related to the Company’s pension and post-retirement plans.</w:t>
      </w:r>
    </w:p>
    <w:p>
      <w:pPr>
        <w:spacing w:after="0" w:line="162"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Income tax expense was $53.7 million, or 21.2 percent of income before taxes, for the three months ended September 30, 2024, compared to $20.3 million, or 14.5 percent of income before taxes, for the three months ended September 30, 2023. The effective tax rate for the three months ended September 30, 2023 benefited from a 7.8 percent deduction primarily related to foreign-derived intangible income (“FDII”) under Section 250 of the Internal Revenue Code that lowered the effective tax rate as a result of the return-to-provision process. The effective tax rate for the three months ended September 30, 2024 benefited from a 0.6 percent deduction related to return-to-provision true-ups primarily due to FDII that lowered the effective tax rate.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 Nine months ended September 30, 2024 compared with 2023:</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200" w:type="dxa"/>
            <w:vAlign w:val="bottom"/>
            <w:vMerge w:val="restart"/>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2,531.5</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2,305.7</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225.8</w:t>
            </w:r>
          </w:p>
        </w:tc>
        <w:tc>
          <w:tcPr>
            <w:tcW w:w="2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1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(2,127.7)</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(2,038.2)</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136.3</w:t>
            </w:r>
          </w:p>
        </w:tc>
        <w:tc>
          <w:tcPr>
            <w:tcW w:w="2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0" w:type="dxa"/>
            <w:vAlign w:val="bottom"/>
          </w:tcPr>
          <w:p>
            <w:pPr>
              <w:spacing w:after="0"/>
              <w:rPr>
                <w:sz w:val="1"/>
                <w:szCs w:val="1"/>
                <w:color w:val="auto"/>
              </w:rPr>
            </w:pPr>
          </w:p>
        </w:tc>
      </w:tr>
      <w:tr>
        <w:trPr>
          <w:trHeight w:val="21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(37.8)%</w:t>
            </w:r>
          </w:p>
        </w:tc>
        <w:tc>
          <w:tcPr>
            <w:tcW w:w="0" w:type="dxa"/>
            <w:vAlign w:val="bottom"/>
          </w:tcPr>
          <w:p>
            <w:pPr>
              <w:spacing w:after="0"/>
              <w:rPr>
                <w:sz w:val="1"/>
                <w:szCs w:val="1"/>
                <w:color w:val="auto"/>
              </w:rPr>
            </w:pPr>
          </w:p>
        </w:tc>
      </w:tr>
      <w:tr>
        <w:trPr>
          <w:trHeight w:val="21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152.5</w:t>
            </w:r>
          </w:p>
        </w:tc>
        <w:tc>
          <w:tcPr>
            <w:tcW w:w="2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0" w:type="dxa"/>
            <w:vAlign w:val="bottom"/>
          </w:tcPr>
          <w:p>
            <w:pPr>
              <w:spacing w:after="0"/>
              <w:rPr>
                <w:sz w:val="1"/>
                <w:szCs w:val="1"/>
                <w:color w:val="auto"/>
              </w:rPr>
            </w:pPr>
          </w:p>
        </w:tc>
      </w:tr>
      <w:tr>
        <w:trPr>
          <w:trHeight w:val="21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r>
              <w:rPr>
                <w:rFonts w:ascii="Times New Roman" w:cs="Times New Roman" w:eastAsia="Times New Roman" w:hAnsi="Times New Roman"/>
                <w:sz w:val="18"/>
                <w:szCs w:val="18"/>
                <w:u w:val="single" w:color="auto"/>
                <w:color w:val="auto"/>
              </w:rPr>
              <w:t>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113.7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7"/>
        </w:trPr>
        <w:tc>
          <w:tcPr>
            <w:tcW w:w="5520" w:type="dxa"/>
            <w:vAlign w:val="bottom"/>
            <w:gridSpan w:val="2"/>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2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6.59</w:t>
            </w:r>
          </w:p>
        </w:tc>
        <w:tc>
          <w:tcPr>
            <w:tcW w:w="2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3.69</w:t>
            </w:r>
          </w:p>
        </w:tc>
        <w:tc>
          <w:tcPr>
            <w:tcW w:w="200" w:type="dxa"/>
            <w:vAlign w:val="bottom"/>
            <w:vMerge w:val="continue"/>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Changes in operating revenue, and operating costs and expenses are further described below in the Analysis of Operating Revenue and Income by Segment.</w:t>
      </w:r>
    </w:p>
    <w:p>
      <w:pPr>
        <w:spacing w:after="0" w:line="162"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The increase in interest income for the nine months ended September 30, 2024, compared to the nine months ended September 30, 2023, was due to interest of $10.2 million earned on a federal income tax refund received during the nine months ended September 30, 2024. The increase in interest income was also due to increased amounts of cash and cash equivalents, and CCF funds that are invested in interest bearing accounts during the nine months ended September 30, 2024, compared to the same prior year period.</w:t>
      </w:r>
    </w:p>
    <w:p>
      <w:pPr>
        <w:spacing w:after="0" w:line="183"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for the nine months ended September 30, 2024, compared to the nine months ended September 30, 2023, was due to lower outstanding debt during the period, and a higher offset of capitalized interest related to the construction of new vessels.</w:t>
      </w:r>
    </w:p>
    <w:p>
      <w:pPr>
        <w:spacing w:after="0" w:line="1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Other income (expense) relates to the amortization of certain components of net periodic benefit costs or gains related to the Company’s pension and post-retirement plans.</w:t>
      </w:r>
    </w:p>
    <w:p>
      <w:pPr>
        <w:spacing w:after="0" w:line="162"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Income tax expense was $92.8 million, or 21.0 percent of income before taxes, for the nine months ended September 30, 2024, compared to $54.0 million, or 18.7 percent of income before taxes, for the nine months ended September 30, 2023. The effective tax rate for the nine months ended September 30, 2023 benefited from a 3.8 percent deduction primarily related to FDII that lowered the effective tax rate as a result of the return-to-provision process. The effective tax rate for the nine months ended September 30, 2024 benefited from a 0.8 percent deduction related to return-to-provision true-ups primarily due to FDII that lowered the effective tax rate.</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OPERATING REVENUE AND INCOME BY SEGMENT</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Ocean Transportation Operating Results – Three months ended September 30, 2024 compared with 2023:</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5"/>
                <w:szCs w:val="15"/>
                <w:color w:val="auto"/>
              </w:rPr>
            </w:pPr>
          </w:p>
        </w:tc>
        <w:tc>
          <w:tcPr>
            <w:tcW w:w="3060" w:type="dxa"/>
            <w:vAlign w:val="bottom"/>
            <w:gridSpan w:val="10"/>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574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Transportation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(571.8)</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(551.2)</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Volume (Forty-foot equivalent units (FEU), except for automobiles) (1)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Hawaii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Hawaii automobiles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Alaska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5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China containers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Guam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4"/>
        </w:trPr>
        <w:tc>
          <w:tcPr>
            <w:tcW w:w="5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Other containers (2)</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97"/>
        </w:trPr>
        <w:tc>
          <w:tcPr>
            <w:tcW w:w="224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893" w:gutter="0" w:footer="0" w:header="0"/>
        </w:sect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893"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279" w:hanging="330"/>
        <w:spacing w:after="0" w:line="233" w:lineRule="auto"/>
        <w:tabs>
          <w:tab w:leader="none" w:pos="3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 volume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containers from services in various islands in Micronesia and the South Pacific, and Okinawa, Japan.</w:t>
      </w:r>
    </w:p>
    <w:p>
      <w:pPr>
        <w:spacing w:after="0" w:line="124"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Ocean Transportation revenue increased $129.3 million, or 19.3 percent, during the three months ended September 30, 2024, compared with the three months ended September 30, 2023. The increase was primarily due to significantly higher freight rates in China, higher freight rates in the domestic tradelanes and higher volume in China.</w:t>
      </w:r>
    </w:p>
    <w:p>
      <w:pPr>
        <w:spacing w:after="0" w:line="108"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On a year-over-year FEU basis, Hawaii container volume decreased 2.2 percent primarily due to lower general demand; Alaska volume increased 1.4 percent primarily due to higher retail-related demand; China volume was 2.6 percent higher due to two additional sailings; Guam volume decreased 9.4 percent primarily due to lower demand from retail and food and beverage segments; and Other containers volume increased 9.3 percent.</w:t>
      </w:r>
    </w:p>
    <w:p>
      <w:pPr>
        <w:spacing w:after="0" w:line="112" w:lineRule="exact"/>
        <w:rPr>
          <w:sz w:val="20"/>
          <w:szCs w:val="20"/>
          <w:color w:val="auto"/>
        </w:rPr>
      </w:pPr>
    </w:p>
    <w:p>
      <w:pPr>
        <w:ind w:left="60" w:right="479"/>
        <w:spacing w:after="0" w:line="261" w:lineRule="auto"/>
        <w:rPr>
          <w:sz w:val="20"/>
          <w:szCs w:val="20"/>
          <w:color w:val="auto"/>
        </w:rPr>
      </w:pPr>
      <w:r>
        <w:rPr>
          <w:rFonts w:ascii="Times New Roman" w:cs="Times New Roman" w:eastAsia="Times New Roman" w:hAnsi="Times New Roman"/>
          <w:sz w:val="18"/>
          <w:szCs w:val="18"/>
          <w:color w:val="auto"/>
        </w:rPr>
        <w:t>Ocean Transportation operating income increased $108.7 million, or 92.0 percent, during the three months ended September 30, 2024, compared with the three months ended September 30, 2023. The increase was primarily due to significantly higher freight rates in China and higher freight rates in the domestic tradelanes, partially offset by higher vessel operating costs.</w:t>
      </w:r>
    </w:p>
    <w:p>
      <w:pPr>
        <w:spacing w:after="0" w:line="112"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Company’s SSAT terminal joint venture investment contributed $6.9 million during the three months ended September 30, 2024, compared to a contribution of $1.3 million during the three months ended September 30, 2023. The increase was primarily driven by higher lift volume.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Ocean Transportation Operating Results – Nine months ended September 30, 2024 compared with 2023:</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Transportation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(1,704.1)</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(1,608.9)</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17.6 %</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Volume (Forty-foot equivalent units (FEU), except for automobiles) (1)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Hawaii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Hawaii automobiles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Alaska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6"/>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 containers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Guam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4"/>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containers (2)</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5" w:lineRule="exact"/>
        <w:rPr>
          <w:sz w:val="20"/>
          <w:szCs w:val="20"/>
          <w:color w:val="auto"/>
        </w:rPr>
      </w:pPr>
    </w:p>
    <w:p>
      <w:pPr>
        <w:ind w:left="380" w:right="279" w:hanging="330"/>
        <w:spacing w:after="0" w:line="233"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 volume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containers from services in various islands in Micronesia and the South Pacific, and Okinawa, Japan.</w:t>
      </w:r>
    </w:p>
    <w:p>
      <w:pPr>
        <w:spacing w:after="0" w:line="192"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Ocean Transportation revenue increased $230.3 million, or 12.5 percent, during the nine months ended September 30, 2024, compared with the nine months ended September 30, 2023. The increase was primarily due to significantly higher freight rates in China and higher freight rates in the domestic tradelanes, partially offset by lower volume in Hawaii.</w:t>
      </w:r>
    </w:p>
    <w:p>
      <w:pPr>
        <w:spacing w:after="0" w:line="108" w:lineRule="exact"/>
        <w:rPr>
          <w:sz w:val="20"/>
          <w:szCs w:val="20"/>
          <w:color w:val="auto"/>
        </w:rPr>
      </w:pPr>
    </w:p>
    <w:p>
      <w:pPr>
        <w:jc w:val="both"/>
        <w:ind w:left="60" w:right="299"/>
        <w:spacing w:after="0" w:line="261" w:lineRule="auto"/>
        <w:rPr>
          <w:sz w:val="20"/>
          <w:szCs w:val="20"/>
          <w:color w:val="auto"/>
        </w:rPr>
      </w:pPr>
      <w:r>
        <w:rPr>
          <w:rFonts w:ascii="Times New Roman" w:cs="Times New Roman" w:eastAsia="Times New Roman" w:hAnsi="Times New Roman"/>
          <w:sz w:val="18"/>
          <w:szCs w:val="18"/>
          <w:color w:val="auto"/>
        </w:rPr>
        <w:t>On a year-over-year FEU basis, Hawaii container volume decreased 2.5 percent primarily due to lower general demand; Alaska volume increased 0.5 percent; China volume increased 0.9 percent primarily due to one additional sailing; Guam volume decreased 5.3 percent primarily due to lower general demand and one less sailing; and Other containers volume decreased 0.8 percent.</w:t>
      </w:r>
    </w:p>
    <w:p>
      <w:pPr>
        <w:spacing w:after="0" w:line="112" w:lineRule="exact"/>
        <w:rPr>
          <w:sz w:val="20"/>
          <w:szCs w:val="20"/>
          <w:color w:val="auto"/>
        </w:rPr>
      </w:pPr>
    </w:p>
    <w:p>
      <w:pPr>
        <w:ind w:left="60" w:right="479"/>
        <w:spacing w:after="0" w:line="261" w:lineRule="auto"/>
        <w:rPr>
          <w:sz w:val="20"/>
          <w:szCs w:val="20"/>
          <w:color w:val="auto"/>
        </w:rPr>
      </w:pPr>
      <w:r>
        <w:rPr>
          <w:rFonts w:ascii="Times New Roman" w:cs="Times New Roman" w:eastAsia="Times New Roman" w:hAnsi="Times New Roman"/>
          <w:sz w:val="18"/>
          <w:szCs w:val="18"/>
          <w:color w:val="auto"/>
        </w:rPr>
        <w:t>Ocean Transportation operating income increased $135.1 million, or 59.2 percent, during the nine months ended September 30, 2024, compared with the nine months ended September 30, 2023. The increase was primarily due to significantly higher freight rates in China and higher freight rates in the domestic tradelanes, partially offset by higher vessel operating costs.</w:t>
      </w:r>
    </w:p>
    <w:p>
      <w:pPr>
        <w:spacing w:after="0" w:line="112"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Company’s SSAT terminal joint venture investment contributed $8.5 million during the nine months ended September 30, 2024, compared to a loss of $1.9 million during the nine months ended September 30, 2023. The increase was primarily driven by higher lift volume.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Logistics Operating Results – Three months ended September 30, 2024 compared with 2023:</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2880" w:type="dxa"/>
            <w:vAlign w:val="bottom"/>
            <w:gridSpan w:val="10"/>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590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Logistics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(144.2)</w:t>
            </w:r>
          </w:p>
        </w:tc>
        <w:tc>
          <w:tcPr>
            <w:tcW w:w="1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Logistics revenue increased $5.2 million, or 3.3 percent, during the three months ended September 30, 2024, compared with the three months ended September 30, 2023. The increase was primarily due to higher revenue in freight forwarding, supply chain management, and transportation brokerage.</w:t>
      </w:r>
    </w:p>
    <w:p>
      <w:pPr>
        <w:spacing w:after="0" w:line="1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Logistics operating income increased $1.5 million, or 10.8 percent, during the three months ended September 30, 2024, compared with the three months ended September 30, 2023. The increase was primarily due to higher contributions from supply chain management and transportation brokerage.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Logistics Operating Results – Nine months ended September 30, 2024 compared with 2023:</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vMerge w:val="restart"/>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9"/>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Logistics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(423.6)</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(429.3)</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(1.3)%</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Logistics revenue decreased $4.5 million, or 1.0 percent, during the nine months ended September 30, 2024, compared with the nine months ended September 30, 2023. The decrease was primarily due to lower revenue in transportation brokerage.</w:t>
      </w:r>
    </w:p>
    <w:p>
      <w:pPr>
        <w:spacing w:after="0" w:line="1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Logistics operating income increased $1.2 million, or 3.1 percent, during the nine months ended September 30, 2024, compared with the nine months ended September 30, 2023. The increase was primarily due to a higher contribution from supply chain management.</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Sources of liquidity available to the Company as of September 30, 2024 compared to December 31, 2023 were as follows:</w:t>
      </w:r>
    </w:p>
    <w:p>
      <w:pPr>
        <w:spacing w:after="0" w:line="221"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Restricted Cash, Accounts Receivable and CCF: </w:t>
      </w:r>
      <w:r>
        <w:rPr>
          <w:rFonts w:ascii="Times New Roman" w:cs="Times New Roman" w:eastAsia="Times New Roman" w:hAnsi="Times New Roman"/>
          <w:sz w:val="18"/>
          <w:szCs w:val="18"/>
          <w:color w:val="auto"/>
        </w:rPr>
        <w:t>Cash and cash equivalents, restricted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receivable and CCF as of September 30, 2024 compared to December 31, 2023 were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1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CCF - cash and cash equivalents, and investments account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5" w:lineRule="exact"/>
        <w:rPr>
          <w:sz w:val="20"/>
          <w:szCs w:val="20"/>
          <w:color w:val="auto"/>
        </w:rPr>
      </w:pPr>
    </w:p>
    <w:p>
      <w:pPr>
        <w:ind w:left="380" w:right="359" w:hanging="330"/>
        <w:spacing w:after="0" w:line="261"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2024 and December 31, 2023, $228.3 million and $218.1 million of eligible accounts receivable were assigned to the CCF, respectively.</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Changes in the Company’s cash and cash equivalents, and restricted cash for the nine months ended September 30, 2024, compared to the nine months ended September 30, 2023, were as follows: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242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36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 (1)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 (2)</w:t>
            </w: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(208.8)</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(270.7)</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 (3)</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(247.9)</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(221.7)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136.4</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the period</w:t>
            </w: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end of the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272.7</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160.4</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240" w:type="dxa"/>
            <w:vAlign w:val="bottom"/>
            <w:tcBorders>
              <w:bottom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(1) Changes in net cash provided by operating activities:</w:t>
      </w:r>
    </w:p>
    <w:p>
      <w:pPr>
        <w:spacing w:after="0" w:line="214"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Changes in net cash provided by operating activities for the nine months ended September 30, 2024, compared to the nine months ended September 30, 2023, were due to the following:</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depreciation and amortization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non-cash related changes,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and distribution from SSAT,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amortization of operating lease right of use assets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dry-docking payments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deferred dry-docking amortization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r>
              <w:rPr>
                <w:rFonts w:ascii="Times New Roman" w:cs="Times New Roman" w:eastAsia="Times New Roman" w:hAnsi="Times New Roman"/>
                <w:sz w:val="18"/>
                <w:szCs w:val="18"/>
                <w:u w:val="single" w:color="auto"/>
                <w:color w:val="auto"/>
              </w:rPr>
              <w:t>0</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income was $348.4 million for the nine months ended September 30, 2024, compared to $234.7 million for the nine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months ended September 30, 2023. Income from SSAT was $8.5 million for the nine months ended September 30, 2024,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compared to a loss of $1.9 million for the nine months ended September 30, 2023. The increase in income from SSAT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due to higher lift volume during the nine months ended September 30, 2024, compared to the same prior year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period. The Company received $14.0 million of cash distributions from SSAT during the nine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compared to no cash distributions received from SSAT during the nine months ended September 30,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2023. Cash distributions from SSAT are dependent on the level of cash available for distribution after SSAT’s operational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capital needs. Changes in accounts receivable were primarily due to the timing of collections associated with those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receivables. Changes in prepaid expenses and other assets were primarily due to a decrease in prepaid income taxes as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received the 2021 federal income tax refund of $118.6 million during the nine months ended September 30,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Changes in accounts payable, accruals and other liabilities were due to the timing of payments associated with those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liabilities. Changes in operating lease liabilities were primarily due to new operating lease additions and renewals, offset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operating lease payments and terminations during the nine months ended September 30, 2024, compared to the same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year period. Deferred dry-docking payments for the nine months ended September 30, 2024 were $20.2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compared to $17.3 million for the nine months ended September 30, 2023. Changes in deferred dry-docking is primarily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due to the timing of payments associated with dry-docking related expenditures.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 Changes in net cash used in investing activities:</w:t>
      </w:r>
    </w:p>
    <w:p>
      <w:pPr>
        <w:spacing w:after="0" w:line="227"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Changes in net cash used in investing activities for the nine months ended September 30, 2024, compared to the nine months ended September 30, 2023, were due to the following:</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deposits and interest into the CCF</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Withdrawals from CCF</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for asset acquisitions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vessel construction expenditures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(excluding vessel construction expenditures)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disposal of property and equipment, net, and other</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8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The Company deposited $50.0 million of cash deposits into the CCF and made $35.8 million of qualifying withdrawal payments out of the CCF during the nine months ended September 30, 2024. The Company deposited $100.0 million of cash deposits into the CCF and made $49.9 million of qualifying withdrawal payments out of the CCF during the nine months ended September 30, 2023. The Company received $24.0 million of interest and discount accretion in the CCF during the nine months ended September 30, 2024, compared to $20.8 million of interest received during the nine months ended September 30, 2023. Cash and cash equivalents, and investments in the CCF are intended to fund milestone payments for the construction of three new Jones Act vessels. During the nine months ended September 30, 2024, the Company paid $0.7 million related to asset acquisitions, compared to $12.4 million of payments made during the nine months ended September 30, 2023. Capitalized vessel construction expenditures (including capitalized interest) were $39.8 million for the nine months ended September 30, 2024, compared to $52.1 million for the nine months ended September 30, 2023. Capitalized vessel construction expenditures relate to milestone payments and capitalized interest for the construction of three new Jones Act vessels. Maintenance and other capital expenditures payments were</w:t>
      </w:r>
    </w:p>
    <w:p>
      <w:pPr>
        <w:spacing w:after="0" w:line="2"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$144.9 million for the nine months ended September 30, 2024, compared to $135.4 million for the nine months ended September 30, 2023. Maintenance and other capital expenditures primarily relate to vessel related expenditures, the acquisition of containers, chassis and other equipment, and expenditures on other capital related projects. The increase in maintenance and other capital expenditure for the nine months ended September 30, 2024, compared to the same prior year period primarily related to the timing of when vessel maintenance activities are performed and when other capital related projects are incurred.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 Changes in net cash used in financing activities:</w:t>
      </w:r>
    </w:p>
    <w:p>
      <w:pPr>
        <w:spacing w:after="0" w:line="227"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Changes in net cash used in financing activities for the nine months ended September 30, 2024, compared to the nine months ended September 30, 2023, were due to the following:</w:t>
      </w:r>
    </w:p>
    <w:p>
      <w:pPr>
        <w:sectPr>
          <w:pgSz w:w="11900" w:h="16838" w:orient="portrait"/>
          <w:cols w:equalWidth="0" w:num="1">
            <w:col w:w="9019"/>
          </w:cols>
          <w:pgMar w:left="1440" w:top="513" w:right="1440" w:bottom="1440" w:gutter="0" w:footer="0" w:header="0"/>
        </w:sectPr>
      </w:pP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Repurchase of Matson common stock</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Repayments of fixed interest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right="2176"/>
        <w:spacing w:after="0" w:line="255" w:lineRule="auto"/>
        <w:rPr>
          <w:sz w:val="20"/>
          <w:szCs w:val="20"/>
          <w:color w:val="auto"/>
        </w:rPr>
      </w:pPr>
      <w:r>
        <w:rPr>
          <w:rFonts w:ascii="Times New Roman" w:cs="Times New Roman" w:eastAsia="Times New Roman" w:hAnsi="Times New Roman"/>
          <w:sz w:val="18"/>
          <w:szCs w:val="18"/>
          <w:color w:val="auto"/>
        </w:rPr>
        <w:t>Withholding tax related to net share settlements of restricted stock units 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-4445</wp:posOffset>
            </wp:positionV>
            <wp:extent cx="564896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184"/>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7"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(59.2)</w:t>
      </w:r>
    </w:p>
    <w:p>
      <w:pPr>
        <w:spacing w:after="0" w:line="18" w:lineRule="exact"/>
        <w:rPr>
          <w:rFonts w:ascii="Times New Roman" w:cs="Times New Roman" w:eastAsia="Times New Roman" w:hAnsi="Times New Roman"/>
          <w:sz w:val="17"/>
          <w:szCs w:val="17"/>
          <w:color w:val="auto"/>
        </w:rPr>
      </w:pPr>
    </w:p>
    <w:p>
      <w:pPr>
        <w:ind w:left="48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37.2</w:t>
      </w:r>
    </w:p>
    <w:p>
      <w:pPr>
        <w:spacing w:after="0" w:line="9" w:lineRule="exact"/>
        <w:rPr>
          <w:rFonts w:ascii="Times New Roman" w:cs="Times New Roman" w:eastAsia="Times New Roman" w:hAnsi="Times New Roman"/>
          <w:sz w:val="17"/>
          <w:szCs w:val="17"/>
          <w:color w:val="auto"/>
        </w:rPr>
      </w:pPr>
    </w:p>
    <w:p>
      <w:pPr>
        <w:ind w:left="50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w:t>
      </w:r>
    </w:p>
    <w:p>
      <w:pPr>
        <w:spacing w:after="0" w:line="20" w:lineRule="exact"/>
        <w:rPr>
          <w:rFonts w:ascii="Times New Roman" w:cs="Times New Roman" w:eastAsia="Times New Roman" w:hAnsi="Times New Roman"/>
          <w:sz w:val="17"/>
          <w:szCs w:val="17"/>
          <w:color w:val="auto"/>
        </w:rPr>
      </w:pPr>
    </w:p>
    <w:p>
      <w:pPr>
        <w:ind w:left="56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0.3</w:t>
      </w:r>
    </w:p>
    <w:p>
      <w:pPr>
        <w:spacing w:after="0" w:line="9"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403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7376" w:space="720"/>
            <w:col w:w="923"/>
          </w:cols>
          <w:pgMar w:left="1440" w:top="513" w:right="1440" w:bottom="1440" w:gutter="0" w:footer="0" w:header="0"/>
          <w:type w:val="continuous"/>
        </w:sect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paid $167.4 million to repurchase Matson common stock, compared to $108.2 million during the nine months ended September 30, 2023. During the nine months ended September 30, 2024, the Company paid $30.0 million in scheduled fixed interest debt payments, compared to $26.4 million of prepaid Title XI debt and $40.8 million in scheduled fixed interest debt payments during the nine months ended September 30, 2023. During the nine months ended September 30, 2024, the Company paid $17.0 million in withholding taxes related to vested restricted stock units, compared to $12.5 million during the nine months ended September 30, 2023. The increase in withholding tax was primarily due to the increase of the Company’s stock price as of the vesting date of the restricted stock units. During the nine months ended September 30, 2024, the Company paid $33.5 million in dividends, compared to $33.8 million during the nine months ended September 30, 2023. The decrease in dividend payments was due to the reduction in common stock outstanding, offset by an increase in dividends declared per share of common stock by the Company.</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 Construction Fund: </w:t>
      </w:r>
      <w:r>
        <w:rPr>
          <w:rFonts w:ascii="Times New Roman" w:cs="Times New Roman" w:eastAsia="Times New Roman" w:hAnsi="Times New Roman"/>
          <w:sz w:val="17"/>
          <w:szCs w:val="17"/>
          <w:color w:val="auto"/>
        </w:rPr>
        <w:t>The Company’s CCF is described in Note 7 of Part I, Item 1 above. CCF cash and cash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equivalents, investments and assigned accounts receivables as of September 30, 2024 and December 31, 2023 is as follows: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 and investments account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2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Assigned accounts receivables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CCF cash and cash equivalents, and investments account are intended to fund milestone payments for the construction of three new Jones Act vessels.</w:t>
      </w:r>
    </w:p>
    <w:p>
      <w:pPr>
        <w:spacing w:after="0" w:line="158"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w:t>
      </w:r>
      <w:r>
        <w:rPr>
          <w:rFonts w:ascii="Times New Roman" w:cs="Times New Roman" w:eastAsia="Times New Roman" w:hAnsi="Times New Roman"/>
          <w:sz w:val="18"/>
          <w:szCs w:val="18"/>
          <w:color w:val="auto"/>
        </w:rPr>
        <w:t>The Company’s debt is described in Note 8 of Part I, Item 1 above. The Company utilizes a mix of fixed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variable debt for liquidity and to fund the Company’s operations. Total Debt as of September 30, 2024 and December 31, 2023 is as follows: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interest debt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interest debt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Total Debt decreased by $30.0 million during the nine months ended September 30, 2024, compared to December 31, 2023, due to scheduled fixed interest debt repayments.</w:t>
      </w:r>
    </w:p>
    <w:p>
      <w:pPr>
        <w:spacing w:after="0" w:line="162"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$644.2 million of remaining borrowing availability under the revolving credit facility, with a maturity date of March 31, 2026.</w:t>
      </w:r>
    </w:p>
    <w:p>
      <w:pPr>
        <w:spacing w:after="0" w:line="158"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Company had a working capital surplus of $74.1 million at September 30, 2024, compared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capital surplus of $40.0 million at December 31, 2023. Working capital is primarily impacted by the amount of net cash provided by operating activities, the amount of capital expenditures, the timing of collections associated with accounts receivable, prepaid expenses and other assets, and by the amount and timing of payments associated with accounts payable, accruals, income taxes and other liabilities. The increase in the Company’s working capital at September 30, 2024, compared to December 31, 2023 is primarily due to higher cash provided by operating activities during the nine months ended September 30, 2024.</w:t>
      </w:r>
    </w:p>
    <w:p>
      <w:pPr>
        <w:spacing w:after="0" w:line="183" w:lineRule="exact"/>
        <w:rPr>
          <w:sz w:val="20"/>
          <w:szCs w:val="20"/>
          <w:color w:val="auto"/>
        </w:rPr>
      </w:pPr>
    </w:p>
    <w:p>
      <w:pPr>
        <w:ind w:left="60" w:right="9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 Expenditures: </w:t>
      </w:r>
      <w:r>
        <w:rPr>
          <w:rFonts w:ascii="Times New Roman" w:cs="Times New Roman" w:eastAsia="Times New Roman" w:hAnsi="Times New Roman"/>
          <w:sz w:val="18"/>
          <w:szCs w:val="18"/>
          <w:color w:val="auto"/>
        </w:rPr>
        <w:t>Except as described below, during the nine months ended September 30, 2024, there were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material changes to the Company’s expected capital expenditures for the years ending December 31, 2024, 2025 and 2026 that are described in Part II, Item 7 of the Company’s </w:t>
      </w:r>
      <w:hyperlink r:id="rId28">
        <w:r>
          <w:rPr>
            <w:rFonts w:ascii="Times New Roman" w:cs="Times New Roman" w:eastAsia="Times New Roman" w:hAnsi="Times New Roman"/>
            <w:sz w:val="18"/>
            <w:szCs w:val="18"/>
            <w:u w:val="single" w:color="auto"/>
            <w:color w:val="0000EE"/>
          </w:rPr>
          <w:t>Annual Report on Form 10-K for the year ended December 31, 2023</w:t>
        </w:r>
      </w:hyperlink>
      <w:r>
        <w:rPr>
          <w:rFonts w:ascii="Times New Roman" w:cs="Times New Roman" w:eastAsia="Times New Roman" w:hAnsi="Times New Roman"/>
          <w:sz w:val="18"/>
          <w:szCs w:val="18"/>
          <w:color w:val="auto"/>
        </w:rPr>
        <w:t>, and the Company’s Quarterly Report on Form 10-Q for the quarter ended June 30, 2024.</w:t>
      </w:r>
    </w:p>
    <w:p>
      <w:pPr>
        <w:spacing w:after="0" w:line="180" w:lineRule="exact"/>
        <w:rPr>
          <w:sz w:val="20"/>
          <w:szCs w:val="20"/>
          <w:color w:val="auto"/>
        </w:rPr>
      </w:pPr>
    </w:p>
    <w:p>
      <w:pPr>
        <w:ind w:left="60" w:right="199"/>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During the nine months ended September 30, 2024, the Company paid $35.8 million in milestone payments under the vessel construction agreements. The following represents the estimated timing of future milestone payments under the </w:t>
      </w:r>
      <w:hyperlink r:id="rId28">
        <w:r>
          <w:rPr>
            <w:rFonts w:ascii="Times New Roman" w:cs="Times New Roman" w:eastAsia="Times New Roman" w:hAnsi="Times New Roman"/>
            <w:sz w:val="18"/>
            <w:szCs w:val="18"/>
            <w:color w:val="auto"/>
          </w:rPr>
          <w:t xml:space="preserve">vessel construction agreements as of September 30, 2024, as described in Part II, Item 7 of the Company’s </w:t>
        </w:r>
        <w:r>
          <w:rPr>
            <w:rFonts w:ascii="Times New Roman" w:cs="Times New Roman" w:eastAsia="Times New Roman" w:hAnsi="Times New Roman"/>
            <w:sz w:val="18"/>
            <w:szCs w:val="18"/>
            <w:u w:val="single" w:color="auto"/>
            <w:color w:val="0000EE"/>
          </w:rPr>
          <w:t>Annual Report</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on Form 10-K for the year ended December 31, 2023</w:t>
        </w:r>
        <w:r>
          <w:rPr>
            <w:rFonts w:ascii="Times New Roman" w:cs="Times New Roman" w:eastAsia="Times New Roman" w:hAnsi="Times New Roman"/>
            <w:sz w:val="18"/>
            <w:szCs w:val="18"/>
            <w:color w:val="000000"/>
          </w:rPr>
          <w:t>:</w:t>
        </w:r>
      </w:hyperlink>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Paid</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8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Future Milestone Payments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08"/>
        </w:trPr>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ind w:right="94"/>
              <w:spacing w:after="0" w:line="109" w:lineRule="exact"/>
              <w:rPr>
                <w:sz w:val="20"/>
                <w:szCs w:val="20"/>
                <w:color w:val="auto"/>
              </w:rPr>
            </w:pPr>
            <w:r>
              <w:rPr>
                <w:rFonts w:ascii="Times New Roman" w:cs="Times New Roman" w:eastAsia="Times New Roman" w:hAnsi="Times New Roman"/>
                <w:sz w:val="12"/>
                <w:szCs w:val="12"/>
                <w:b w:val="1"/>
                <w:bCs w:val="1"/>
                <w:color w:val="auto"/>
              </w:rPr>
              <w:t>As of</w:t>
            </w:r>
          </w:p>
        </w:tc>
        <w:tc>
          <w:tcPr>
            <w:tcW w:w="1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5"/>
        </w:trPr>
        <w:tc>
          <w:tcPr>
            <w:tcW w:w="26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Vessel Construction Obligations</w:t>
            </w:r>
          </w:p>
        </w:tc>
        <w:tc>
          <w:tcPr>
            <w:tcW w:w="9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7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Remainder</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80" w:type="dxa"/>
            <w:vAlign w:val="bottom"/>
          </w:tcPr>
          <w:p>
            <w:pPr>
              <w:spacing w:after="0"/>
              <w:rPr>
                <w:sz w:val="13"/>
                <w:szCs w:val="13"/>
                <w:color w:val="auto"/>
              </w:rPr>
            </w:pPr>
          </w:p>
        </w:tc>
        <w:tc>
          <w:tcPr>
            <w:tcW w:w="60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of 2024</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2025</w:t>
            </w: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2026</w:t>
            </w:r>
          </w:p>
        </w:tc>
        <w:tc>
          <w:tcPr>
            <w:tcW w:w="140" w:type="dxa"/>
            <w:vAlign w:val="bottom"/>
          </w:tcPr>
          <w:p>
            <w:pPr>
              <w:spacing w:after="0"/>
              <w:rPr>
                <w:sz w:val="13"/>
                <w:szCs w:val="13"/>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2027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2028</w:t>
            </w:r>
          </w:p>
        </w:tc>
        <w:tc>
          <w:tcPr>
            <w:tcW w:w="140" w:type="dxa"/>
            <w:vAlign w:val="bottom"/>
          </w:tcPr>
          <w:p>
            <w:pPr>
              <w:spacing w:after="0"/>
              <w:rPr>
                <w:sz w:val="13"/>
                <w:szCs w:val="13"/>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Three Aloha Class Containerships</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35.8</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368.6</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322.8</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$ 132.0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$ 1,000.6</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intends to use the CCF cash and cash equivalents, and investments account to fund future milestone progress payments.</w:t>
      </w:r>
    </w:p>
    <w:p>
      <w:pPr>
        <w:spacing w:after="0" w:line="158" w:lineRule="exact"/>
        <w:rPr>
          <w:sz w:val="20"/>
          <w:szCs w:val="20"/>
          <w:color w:val="auto"/>
        </w:rPr>
      </w:pPr>
    </w:p>
    <w:p>
      <w:pPr>
        <w:ind w:left="60" w:right="3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Repurchase of Shares: </w:t>
      </w:r>
      <w:r>
        <w:rPr>
          <w:rFonts w:ascii="Times New Roman" w:cs="Times New Roman" w:eastAsia="Times New Roman" w:hAnsi="Times New Roman"/>
          <w:sz w:val="18"/>
          <w:szCs w:val="18"/>
          <w:color w:val="auto"/>
        </w:rPr>
        <w:t>During the three and nine months ended September 30, 2024, the Company repurchased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0.4 million and 1.4 million shares for a total cost of $48.1 million and $169.2 million, respectively. The maximum number of remaining shares that may be purchased under the Company’s share repurchase program was approximately 1.0 million shares at September 30, 2024.</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199"/>
        <w:spacing w:after="0" w:line="26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b w:val="1"/>
          <w:bCs w:val="1"/>
          <w:i w:val="1"/>
          <w:iCs w:val="1"/>
          <w:color w:val="auto"/>
        </w:rPr>
        <w:t xml:space="preserve">Other Material Cash Requirements: </w:t>
      </w:r>
      <w:r>
        <w:rPr>
          <w:rFonts w:ascii="Times New Roman" w:cs="Times New Roman" w:eastAsia="Times New Roman" w:hAnsi="Times New Roman"/>
          <w:sz w:val="18"/>
          <w:szCs w:val="18"/>
          <w:color w:val="auto"/>
        </w:rPr>
        <w:t>There were no other material changes during the quarter ended September 30, 2024</w:t>
      </w:r>
      <w:r>
        <w:rPr>
          <w:rFonts w:ascii="Times New Roman" w:cs="Times New Roman" w:eastAsia="Times New Roman" w:hAnsi="Times New Roman"/>
          <w:sz w:val="18"/>
          <w:szCs w:val="18"/>
          <w:b w:val="1"/>
          <w:bCs w:val="1"/>
          <w:i w:val="1"/>
          <w:iCs w:val="1"/>
          <w:color w:val="auto"/>
        </w:rPr>
        <w:t xml:space="preserve"> </w:t>
      </w:r>
      <w:hyperlink r:id="rId28">
        <w:r>
          <w:rPr>
            <w:rFonts w:ascii="Times New Roman" w:cs="Times New Roman" w:eastAsia="Times New Roman" w:hAnsi="Times New Roman"/>
            <w:sz w:val="18"/>
            <w:szCs w:val="18"/>
            <w:color w:val="auto"/>
          </w:rPr>
          <w:t xml:space="preserve">to the Company’s other cash requirements that are described in Part II, Item 7 of the Company’s </w:t>
        </w:r>
        <w:r>
          <w:rPr>
            <w:rFonts w:ascii="Times New Roman" w:cs="Times New Roman" w:eastAsia="Times New Roman" w:hAnsi="Times New Roman"/>
            <w:sz w:val="18"/>
            <w:szCs w:val="18"/>
            <w:u w:val="single" w:color="auto"/>
            <w:color w:val="0000EE"/>
          </w:rPr>
          <w:t>Annual Report on Form</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10-K for the year ended December 31, 2023</w:t>
        </w:r>
        <w:r>
          <w:rPr>
            <w:rFonts w:ascii="Times New Roman" w:cs="Times New Roman" w:eastAsia="Times New Roman" w:hAnsi="Times New Roman"/>
            <w:sz w:val="18"/>
            <w:szCs w:val="18"/>
            <w:color w:val="000000"/>
          </w:rPr>
          <w:t>.</w:t>
        </w:r>
      </w:hyperlink>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1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changes during this quarter to the Company’s critical accounting policies and estimates as discussed in Part II, Item 7 of the Company’s </w:t>
      </w:r>
      <w:hyperlink r:id="rId28">
        <w:r>
          <w:rPr>
            <w:rFonts w:ascii="Times New Roman" w:cs="Times New Roman" w:eastAsia="Times New Roman" w:hAnsi="Times New Roman"/>
            <w:sz w:val="18"/>
            <w:szCs w:val="18"/>
            <w:u w:val="single" w:color="auto"/>
            <w:color w:val="0000EE"/>
          </w:rPr>
          <w:t>Annual Report on Form 10-K for the year ended December 31, 2023</w:t>
        </w:r>
      </w:hyperlink>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Company’s third quarter 2024 cash dividend of $0.34 per share was paid on September 5, 2024. On October 24, 2024, the Company’s Board of Directors declared a cash dividend of $0.34 per share payable on December 5, 2024 to shareholders of record on November 7,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have been no material changes to the Company’s market risk position from the information provided under</w:t>
      </w:r>
    </w:p>
    <w:p>
      <w:pPr>
        <w:spacing w:after="0" w:line="27" w:lineRule="exact"/>
        <w:rPr>
          <w:sz w:val="20"/>
          <w:szCs w:val="20"/>
          <w:color w:val="auto"/>
        </w:rPr>
      </w:pPr>
    </w:p>
    <w:p>
      <w:pPr>
        <w:ind w:left="60" w:right="59"/>
        <w:spacing w:after="0" w:line="260" w:lineRule="auto"/>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auto"/>
          </w:rPr>
          <w:t xml:space="preserve">Part II, Item 7A, “Quantitative and Qualitative Disclosures About Market Risk,” of its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year ended December 31, 2023</w:t>
        </w:r>
        <w:r>
          <w:rPr>
            <w:rFonts w:ascii="Times New Roman" w:cs="Times New Roman" w:eastAsia="Times New Roman" w:hAnsi="Times New Roman"/>
            <w:sz w:val="18"/>
            <w:szCs w:val="18"/>
            <w:color w:val="000000"/>
          </w:rPr>
          <w:t>.</w:t>
        </w:r>
      </w:hyperlink>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7"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The Company’s management, with the participation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September 30, 2024, the Company’s disclosure controls and procedures are effective.</w:t>
      </w:r>
    </w:p>
    <w:p>
      <w:pPr>
        <w:spacing w:after="0" w:line="182"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the Company’s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defined in Rules 13a-15(f) and 15d-15(f) under the Exchange Act) that occurred during the three months ended September 30, 2024, that have materially affected, or are reasonably likely to materially affect, the Company’s internal control over financial reporting.</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27" w:lineRule="exact"/>
        <w:rPr>
          <w:sz w:val="20"/>
          <w:szCs w:val="20"/>
          <w:color w:val="auto"/>
        </w:rPr>
      </w:pPr>
    </w:p>
    <w:p>
      <w:pPr>
        <w:ind w:left="60" w:right="1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The Company’s Ocean Transportation business has certain risks that could result in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environmental remediation. The Company believes that based on all information available to it, the Company is currently in compliance, in all material respects, with applicable environmental laws and regulations.</w:t>
      </w:r>
    </w:p>
    <w:p>
      <w:pPr>
        <w:spacing w:after="0" w:line="175"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In accordance with SEC rules, with respect to administrative or judicial proceedings involving the environment, the Company has determined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spacing w:after="0" w:line="181"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ind w:left="60" w:right="3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were no material changes to the Company’s risk factors previously described in Part I, Item 1A, “Risk Factors” of the Company’s </w:t>
      </w:r>
      <w:hyperlink r:id="rId28">
        <w:r>
          <w:rPr>
            <w:rFonts w:ascii="Times New Roman" w:cs="Times New Roman" w:eastAsia="Times New Roman" w:hAnsi="Times New Roman"/>
            <w:sz w:val="18"/>
            <w:szCs w:val="18"/>
            <w:u w:val="single" w:color="auto"/>
            <w:color w:val="0000EE"/>
          </w:rPr>
          <w:t>Annual Report on Form 10-K for the year ended December 31, 2023</w:t>
        </w:r>
      </w:hyperlink>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7" w:lineRule="exact"/>
        <w:rPr>
          <w:sz w:val="20"/>
          <w:szCs w:val="20"/>
          <w:color w:val="auto"/>
        </w:rPr>
      </w:pPr>
    </w:p>
    <w:p>
      <w:pPr>
        <w:jc w:val="both"/>
        <w:ind w:left="60" w:right="139" w:hanging="10"/>
        <w:spacing w:after="0" w:line="277" w:lineRule="auto"/>
        <w:tabs>
          <w:tab w:leader="none" w:pos="305" w:val="left"/>
        </w:tabs>
        <w:numPr>
          <w:ilvl w:val="0"/>
          <w:numId w:val="3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Purchases of Equity Securities by the Issuer and Affiliated Purchases: </w:t>
      </w:r>
      <w:r>
        <w:rPr>
          <w:rFonts w:ascii="Times New Roman" w:cs="Times New Roman" w:eastAsia="Times New Roman" w:hAnsi="Times New Roman"/>
          <w:sz w:val="17"/>
          <w:szCs w:val="17"/>
          <w:color w:val="auto"/>
        </w:rPr>
        <w:t>The following is the summary of Matson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were repurchased under the Company’s share repurchase program during the three months ended September 30, 2024:</w:t>
      </w:r>
    </w:p>
    <w:tbl>
      <w:tblPr>
        <w:tblLayout w:type="fixed"/>
        <w:tblInd w:w="4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3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3960" w:type="dxa"/>
            <w:vAlign w:val="bottom"/>
            <w:gridSpan w:val="3"/>
            <w:vMerge w:val="continue"/>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 (2)</w:t>
            </w:r>
          </w:p>
        </w:tc>
        <w:tc>
          <w:tcPr>
            <w:tcW w:w="14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09"/>
        </w:trPr>
        <w:tc>
          <w:tcPr>
            <w:tcW w:w="3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31, 2024</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1,182,077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1 – 31,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75,500</w:t>
            </w:r>
          </w:p>
        </w:tc>
        <w:tc>
          <w:tcPr>
            <w:tcW w:w="1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131.79</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1,106,577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30, 2024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366,000</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r>
              <w:rPr>
                <w:rFonts w:ascii="Times New Roman" w:cs="Times New Roman" w:eastAsia="Times New Roman" w:hAnsi="Times New Roman"/>
                <w:sz w:val="18"/>
                <w:szCs w:val="18"/>
                <w:u w:val="single" w:color="auto"/>
                <w:color w:val="auto"/>
              </w:rPr>
              <w:t>22</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366,000</w:t>
            </w: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159" w:hanging="330"/>
        <w:spacing w:after="0" w:line="227"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24, 2021, Matson’s Board of Directors approved a share repurchase program of up to 3.0 million shares of common stock, with subsequent approvals for the addition of 3.0 million shares on each of January 27, 2022, August 23, 2022 and April 27, 2023, for an aggregate total of 12.0 million shares of common stock. The share repurchase program expires on December 31, 2025. Shares will be repurchased in the open market from time to time, and may be made pursuant to a trading plan in accordance with Rule 10b5-1 of the Security Exchange Act of 1934.</w:t>
      </w:r>
    </w:p>
    <w:p>
      <w:pPr>
        <w:ind w:left="380" w:hanging="330"/>
        <w:spacing w:after="0"/>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shares withheld for employee taxes upon vesting of stock-based awards.</w:t>
      </w: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7" w:lineRule="exact"/>
        <w:rPr>
          <w:sz w:val="20"/>
          <w:szCs w:val="20"/>
          <w:color w:val="auto"/>
        </w:rPr>
      </w:pPr>
    </w:p>
    <w:p>
      <w:pPr>
        <w:jc w:val="both"/>
        <w:ind w:left="60" w:right="239" w:hanging="10"/>
        <w:spacing w:after="0" w:line="267" w:lineRule="auto"/>
        <w:tabs>
          <w:tab w:leader="none" w:pos="3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Trading Plans: </w:t>
      </w:r>
      <w:r>
        <w:rPr>
          <w:rFonts w:ascii="Times New Roman" w:cs="Times New Roman" w:eastAsia="Times New Roman" w:hAnsi="Times New Roman"/>
          <w:sz w:val="18"/>
          <w:szCs w:val="18"/>
          <w:color w:val="auto"/>
        </w:rPr>
        <w:t>During the quarter ended September 30, 2024, no director or Section 16 officer adopted or terminated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Rule 10b5-1 trading arrangements or non-Rule 10b5-1 trading arrangements except as previously reported in Part II, Item 9B of the Company’s </w:t>
      </w:r>
      <w:hyperlink r:id="rId28">
        <w:r>
          <w:rPr>
            <w:rFonts w:ascii="Times New Roman" w:cs="Times New Roman" w:eastAsia="Times New Roman" w:hAnsi="Times New Roman"/>
            <w:sz w:val="18"/>
            <w:szCs w:val="18"/>
            <w:u w:val="single" w:color="auto"/>
            <w:color w:val="0000EE"/>
          </w:rPr>
          <w:t>Annual Report on Form 10-K for the year ended December 31, 2023</w:t>
        </w:r>
      </w:hyperlink>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7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or 15d-14(a) of the Securities Exchange</w:t>
            </w:r>
          </w:p>
        </w:tc>
      </w:tr>
      <w:tr>
        <w:trPr>
          <w:trHeight w:val="237"/>
        </w:trPr>
        <w:tc>
          <w:tcPr>
            <w:tcW w:w="1060" w:type="dxa"/>
            <w:vAlign w:val="bottom"/>
          </w:tcPr>
          <w:p>
            <w:pPr>
              <w:spacing w:after="0"/>
              <w:rPr>
                <w:sz w:val="20"/>
                <w:szCs w:val="20"/>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Act of 1934.</w:t>
            </w:r>
          </w:p>
        </w:tc>
      </w:tr>
      <w:tr>
        <w:trPr>
          <w:trHeight w:val="20"/>
        </w:trPr>
        <w:tc>
          <w:tcPr>
            <w:tcW w:w="10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13a-14(a) or 15d-14(a) of the Securities Exchange</w:t>
            </w:r>
          </w:p>
        </w:tc>
      </w:tr>
      <w:tr>
        <w:trPr>
          <w:trHeight w:val="237"/>
        </w:trPr>
        <w:tc>
          <w:tcPr>
            <w:tcW w:w="1060" w:type="dxa"/>
            <w:vAlign w:val="bottom"/>
          </w:tcPr>
          <w:p>
            <w:pPr>
              <w:spacing w:after="0"/>
              <w:rPr>
                <w:sz w:val="20"/>
                <w:szCs w:val="20"/>
                <w:color w:val="auto"/>
              </w:rPr>
            </w:pPr>
          </w:p>
        </w:tc>
        <w:tc>
          <w:tcPr>
            <w:tcW w:w="77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Act of 1934.</w:t>
            </w:r>
          </w:p>
        </w:tc>
        <w:tc>
          <w:tcPr>
            <w:tcW w:w="6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4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Section 1350.</w:t>
            </w:r>
          </w:p>
        </w:tc>
      </w:tr>
      <w:tr>
        <w:trPr>
          <w:trHeight w:val="5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5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240" w:type="dxa"/>
            <w:vAlign w:val="bottom"/>
            <w:gridSpan w:val="2"/>
          </w:tcPr>
          <w:p>
            <w:pPr>
              <w:spacing w:after="0"/>
              <w:rPr>
                <w:sz w:val="24"/>
                <w:szCs w:val="24"/>
                <w:color w:val="auto"/>
              </w:rPr>
            </w:pPr>
          </w:p>
        </w:tc>
      </w:tr>
      <w:tr>
        <w:trPr>
          <w:trHeight w:val="257"/>
        </w:trPr>
        <w:tc>
          <w:tcPr>
            <w:tcW w:w="1060" w:type="dxa"/>
            <w:vAlign w:val="bottom"/>
          </w:tcPr>
          <w:p>
            <w:pPr>
              <w:spacing w:after="0"/>
              <w:rPr>
                <w:sz w:val="22"/>
                <w:szCs w:val="22"/>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included as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1" w:lineRule="exact"/>
        <w:rPr>
          <w:sz w:val="20"/>
          <w:szCs w:val="20"/>
          <w:color w:val="auto"/>
        </w:rPr>
      </w:pPr>
    </w:p>
    <w:p>
      <w:pPr>
        <w:ind w:left="680" w:hanging="630"/>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680" w:hanging="630"/>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26035</wp:posOffset>
            </wp:positionV>
            <wp:extent cx="2820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12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7"/>
          <w:szCs w:val="17"/>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26035</wp:posOffset>
            </wp:positionV>
            <wp:extent cx="28200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Joel M. Wine</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9" w:lineRule="exact"/>
        <w:rPr>
          <w:sz w:val="20"/>
          <w:szCs w:val="20"/>
          <w:color w:val="auto"/>
        </w:rPr>
      </w:pPr>
    </w:p>
    <w:p>
      <w:pPr>
        <w:ind w:left="60"/>
        <w:spacing w:after="0"/>
        <w:tabs>
          <w:tab w:leader="none" w:pos="606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7"/>
          <w:szCs w:val="17"/>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26035</wp:posOffset>
            </wp:positionV>
            <wp:extent cx="28200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Kevin L. Stuck</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88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Cox, certify that:</w:t>
      </w:r>
    </w:p>
    <w:p>
      <w:pPr>
        <w:spacing w:after="0" w:line="225"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Matson, Inc.;</w:t>
      </w:r>
    </w:p>
    <w:p>
      <w:pPr>
        <w:spacing w:after="0" w:line="225" w:lineRule="exact"/>
        <w:rPr>
          <w:rFonts w:ascii="Times New Roman" w:cs="Times New Roman" w:eastAsia="Times New Roman" w:hAnsi="Times New Roman"/>
          <w:sz w:val="18"/>
          <w:szCs w:val="18"/>
          <w:color w:val="auto"/>
        </w:rPr>
      </w:pPr>
    </w:p>
    <w:p>
      <w:pPr>
        <w:ind w:right="420" w:firstLine="8"/>
        <w:spacing w:after="0" w:line="266" w:lineRule="auto"/>
        <w:tabs>
          <w:tab w:leader="none" w:pos="6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right="100" w:firstLine="8"/>
        <w:spacing w:after="0" w:line="266" w:lineRule="auto"/>
        <w:tabs>
          <w:tab w:leader="none" w:pos="6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58" w:lineRule="auto"/>
        <w:tabs>
          <w:tab w:leader="none" w:pos="6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sz w:val="20"/>
          <w:szCs w:val="20"/>
          <w:color w:val="auto"/>
        </w:rPr>
      </w:pPr>
    </w:p>
    <w:p>
      <w:pPr>
        <w:ind w:right="100" w:firstLine="8"/>
        <w:spacing w:after="0" w:line="266" w:lineRule="auto"/>
        <w:tabs>
          <w:tab w:leader="none" w:pos="6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0" w:firstLine="8"/>
        <w:spacing w:after="0" w:line="258" w:lineRule="auto"/>
        <w:tabs>
          <w:tab w:leader="none" w:pos="6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ind w:right="280" w:firstLine="8"/>
        <w:spacing w:after="0" w:line="266" w:lineRule="auto"/>
        <w:tabs>
          <w:tab w:leader="none" w:pos="6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w:t>
      </w:r>
    </w:p>
    <w:p>
      <w:pPr>
        <w:spacing w:after="0" w:line="15" w:lineRule="exact"/>
        <w:rPr>
          <w:rFonts w:ascii="Times New Roman" w:cs="Times New Roman" w:eastAsia="Times New Roman" w:hAnsi="Times New Roman"/>
          <w:sz w:val="18"/>
          <w:szCs w:val="18"/>
          <w:color w:val="auto"/>
        </w:rPr>
      </w:pPr>
    </w:p>
    <w:p>
      <w:pPr>
        <w:ind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240" w:firstLine="8"/>
        <w:spacing w:after="0" w:line="266" w:lineRule="auto"/>
        <w:tabs>
          <w:tab w:leader="none" w:pos="6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96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Matthew J. Cox, Chairman and</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1" w:name="page32"/>
    <w:bookmarkEnd w:id="31"/>
    <w:p>
      <w:pPr>
        <w:ind w:left="88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or 15d-14(a) of the Securities Exchange Act of 1934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M. Wine, certify that:</w:t>
      </w:r>
    </w:p>
    <w:p>
      <w:pPr>
        <w:spacing w:after="0" w:line="225"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Matson, Inc.;</w:t>
      </w:r>
    </w:p>
    <w:p>
      <w:pPr>
        <w:spacing w:after="0" w:line="225" w:lineRule="exact"/>
        <w:rPr>
          <w:rFonts w:ascii="Times New Roman" w:cs="Times New Roman" w:eastAsia="Times New Roman" w:hAnsi="Times New Roman"/>
          <w:sz w:val="18"/>
          <w:szCs w:val="18"/>
          <w:color w:val="auto"/>
        </w:rPr>
      </w:pPr>
    </w:p>
    <w:p>
      <w:pPr>
        <w:ind w:right="420" w:firstLine="8"/>
        <w:spacing w:after="0" w:line="266" w:lineRule="auto"/>
        <w:tabs>
          <w:tab w:leader="none" w:pos="6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right="100" w:firstLine="8"/>
        <w:spacing w:after="0" w:line="266" w:lineRule="auto"/>
        <w:tabs>
          <w:tab w:leader="none" w:pos="6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58" w:lineRule="auto"/>
        <w:tabs>
          <w:tab w:leader="none" w:pos="6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sz w:val="20"/>
          <w:szCs w:val="20"/>
          <w:color w:val="auto"/>
        </w:rPr>
      </w:pPr>
    </w:p>
    <w:p>
      <w:pPr>
        <w:ind w:right="100" w:firstLine="8"/>
        <w:spacing w:after="0" w:line="266"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0" w:firstLine="8"/>
        <w:spacing w:after="0" w:line="258"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ind w:right="280" w:firstLine="8"/>
        <w:spacing w:after="0" w:line="266"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w:t>
      </w:r>
    </w:p>
    <w:p>
      <w:pPr>
        <w:spacing w:after="0" w:line="15" w:lineRule="exact"/>
        <w:rPr>
          <w:rFonts w:ascii="Times New Roman" w:cs="Times New Roman" w:eastAsia="Times New Roman" w:hAnsi="Times New Roman"/>
          <w:sz w:val="18"/>
          <w:szCs w:val="18"/>
          <w:color w:val="auto"/>
        </w:rPr>
      </w:pPr>
    </w:p>
    <w:p>
      <w:pPr>
        <w:ind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240" w:firstLine="8"/>
        <w:spacing w:after="0" w:line="266"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96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17145</wp:posOffset>
            </wp:positionV>
            <wp:extent cx="29146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Joel M. Wine, Executive Vice President and</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2" w:name="page33"/>
    <w:bookmarkEnd w:id="32"/>
    <w:p>
      <w:pPr>
        <w:ind w:left="796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w:t>
      </w:r>
    </w:p>
    <w:p>
      <w:pPr>
        <w:spacing w:after="0" w:line="216" w:lineRule="exact"/>
        <w:rPr>
          <w:sz w:val="20"/>
          <w:szCs w:val="20"/>
          <w:color w:val="auto"/>
        </w:rPr>
      </w:pPr>
    </w:p>
    <w:p>
      <w:pPr>
        <w:ind w:left="60" w:right="199"/>
        <w:spacing w:after="0" w:line="281" w:lineRule="auto"/>
        <w:rPr>
          <w:sz w:val="20"/>
          <w:szCs w:val="20"/>
          <w:color w:val="auto"/>
        </w:rPr>
      </w:pPr>
      <w:r>
        <w:rPr>
          <w:rFonts w:ascii="Times New Roman" w:cs="Times New Roman" w:eastAsia="Times New Roman" w:hAnsi="Times New Roman"/>
          <w:sz w:val="17"/>
          <w:szCs w:val="17"/>
          <w:color w:val="auto"/>
        </w:rPr>
        <w:t>In connection with the Quarterly Report on Form 10-Q of Matson, Inc. (the “Company”) for the quarterly period ended September 30, 2024,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spacing w:after="0" w:line="164" w:lineRule="exact"/>
        <w:rPr>
          <w:sz w:val="20"/>
          <w:szCs w:val="20"/>
          <w:color w:val="auto"/>
        </w:rPr>
      </w:pPr>
    </w:p>
    <w:p>
      <w:pPr>
        <w:ind w:left="60" w:right="519" w:hanging="10"/>
        <w:spacing w:after="0" w:line="282" w:lineRule="auto"/>
        <w:tabs>
          <w:tab w:leader="none" w:pos="70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8" w:lineRule="exact"/>
        <w:rPr>
          <w:rFonts w:ascii="Times New Roman" w:cs="Times New Roman" w:eastAsia="Times New Roman" w:hAnsi="Times New Roman"/>
          <w:sz w:val="18"/>
          <w:szCs w:val="18"/>
          <w:color w:val="auto"/>
        </w:rPr>
      </w:pPr>
    </w:p>
    <w:p>
      <w:pPr>
        <w:ind w:left="60" w:right="99" w:hanging="10"/>
        <w:spacing w:after="0" w:line="282" w:lineRule="auto"/>
        <w:tabs>
          <w:tab w:leader="none" w:pos="70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9832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Matthew J. Cox</w:t>
      </w:r>
    </w:p>
    <w:p>
      <w:pPr>
        <w:spacing w:after="0" w:line="23"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9"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31, 2024</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9832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Joel M. Wine</w:t>
      </w:r>
    </w:p>
    <w:p>
      <w:pPr>
        <w:spacing w:after="0" w:line="23"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 Officer</w:t>
      </w:r>
    </w:p>
    <w:p>
      <w:pPr>
        <w:spacing w:after="0" w:line="9"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 "/>
      <w:numFmt w:val="bullet"/>
      <w:start w:val="1"/>
    </w:lvl>
  </w:abstractNum>
  <w:abstractNum w:abstractNumId="6">
    <w:nsid w:val="79838CB2"/>
    <w:multiLevelType w:val="hybridMultilevel"/>
    <w:lvl w:ilvl="0">
      <w:lvlJc w:val="left"/>
      <w:lvlText w:val=" "/>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 "/>
      <w:numFmt w:val="bullet"/>
      <w:start w:val="1"/>
    </w:lvl>
  </w:abstractNum>
  <w:abstractNum w:abstractNumId="9">
    <w:nsid w:val="189A769B"/>
    <w:multiLevelType w:val="hybridMultilevel"/>
    <w:lvl w:ilvl="0">
      <w:lvlJc w:val="left"/>
      <w:lvlText w:val="%1."/>
      <w:numFmt w:val="decimal"/>
      <w:start w:val="3"/>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4"/>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5"/>
    </w:lvl>
  </w:abstractNum>
  <w:abstractNum w:abstractNumId="14">
    <w:nsid w:val="2901D82"/>
    <w:multiLevelType w:val="hybridMultilevel"/>
    <w:lvl w:ilvl="0">
      <w:lvlJc w:val="left"/>
      <w:lvlText w:val="%1."/>
      <w:numFmt w:val="decimal"/>
      <w:start w:val="6"/>
    </w:lvl>
  </w:abstractNum>
  <w:abstractNum w:abstractNumId="15">
    <w:nsid w:val="3A95F874"/>
    <w:multiLevelType w:val="hybridMultilevel"/>
    <w:lvl w:ilvl="0">
      <w:lvlJc w:val="left"/>
      <w:lvlText w:val="%1."/>
      <w:numFmt w:val="decimal"/>
      <w:start w:val="7"/>
    </w:lvl>
  </w:abstractNum>
  <w:abstractNum w:abstractNumId="16">
    <w:nsid w:val="8138641"/>
    <w:multiLevelType w:val="hybridMultilevel"/>
    <w:lvl w:ilvl="0">
      <w:lvlJc w:val="left"/>
      <w:lvlText w:val="%1."/>
      <w:numFmt w:val="decimal"/>
      <w:start w:val="8"/>
    </w:lvl>
  </w:abstractNum>
  <w:abstractNum w:abstractNumId="17">
    <w:nsid w:val="1E7FF521"/>
    <w:multiLevelType w:val="hybridMultilevel"/>
    <w:lvl w:ilvl="0">
      <w:lvlJc w:val="left"/>
      <w:lvlText w:val="%1."/>
      <w:numFmt w:val="decimal"/>
      <w:start w:val="9"/>
    </w:lvl>
  </w:abstractNum>
  <w:abstractNum w:abstractNumId="18">
    <w:nsid w:val="7C3DBD3D"/>
    <w:multiLevelType w:val="hybridMultilevel"/>
    <w:lvl w:ilvl="0">
      <w:lvlJc w:val="left"/>
      <w:lvlText w:val="%1."/>
      <w:numFmt w:val="decimal"/>
      <w:start w:val="10"/>
    </w:lvl>
  </w:abstractNum>
  <w:abstractNum w:abstractNumId="19">
    <w:nsid w:val="737B8DDC"/>
    <w:multiLevelType w:val="hybridMultilevel"/>
    <w:lvl w:ilvl="0">
      <w:lvlJc w:val="left"/>
      <w:lvlText w:val="%1."/>
      <w:numFmt w:val="decimal"/>
      <w:start w:val="11"/>
    </w:lvl>
  </w:abstractNum>
  <w:abstractNum w:abstractNumId="20">
    <w:nsid w:val="6CEAF087"/>
    <w:multiLevelType w:val="hybridMultilevel"/>
    <w:lvl w:ilvl="0">
      <w:lvlJc w:val="left"/>
      <w:lvlText w:val="%1."/>
      <w:numFmt w:val="decimal"/>
      <w:start w:val="12"/>
    </w:lvl>
  </w:abstractNum>
  <w:abstractNum w:abstractNumId="21">
    <w:nsid w:val="22221A70"/>
    <w:multiLevelType w:val="hybridMultilevel"/>
    <w:lvl w:ilvl="0">
      <w:lvlJc w:val="left"/>
      <w:lvlText w:val="%1."/>
      <w:numFmt w:val="decimal"/>
      <w:start w:val="13"/>
    </w:lvl>
  </w:abstractNum>
  <w:abstractNum w:abstractNumId="22">
    <w:nsid w:val="4516DDE9"/>
    <w:multiLevelType w:val="hybridMultilevel"/>
    <w:lvl w:ilvl="0">
      <w:lvlJc w:val="left"/>
      <w:lvlText w:val="%1."/>
      <w:numFmt w:val="decimal"/>
      <w:start w:val="14"/>
    </w:lvl>
  </w:abstractNum>
  <w:abstractNum w:abstractNumId="23">
    <w:nsid w:val="3006C83E"/>
    <w:multiLevelType w:val="hybridMultilevel"/>
    <w:lvl w:ilvl="0">
      <w:lvlJc w:val="left"/>
      <w:lvlText w:val="%1."/>
      <w:numFmt w:val="decimal"/>
      <w:start w:val="15"/>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lowerLetter"/>
      <w:start w:val="3"/>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lowerLetter"/>
      <w:start w:val="3"/>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decimal"/>
      <w:start w:val="5"/>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lowerLetter"/>
      <w:start w:val="1"/>
    </w:lvl>
  </w:abstractNum>
  <w:abstractNum w:abstractNumId="40">
    <w:nsid w:val="70A64E2A"/>
    <w:multiLevelType w:val="hybridMultilevel"/>
    <w:lvl w:ilvl="0">
      <w:lvlJc w:val="left"/>
      <w:lvlText w:val="%1."/>
      <w:numFmt w:val="decimal"/>
      <w:start w:val="5"/>
    </w:lvl>
  </w:abstractNum>
  <w:abstractNum w:abstractNumId="41">
    <w:nsid w:val="6A2342EC"/>
    <w:multiLevelType w:val="hybridMultilevel"/>
    <w:lvl w:ilvl="0">
      <w:lvlJc w:val="left"/>
      <w:lvlText w:val="(%1)"/>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28" Type="http://schemas.openxmlformats.org/officeDocument/2006/relationships/hyperlink" Target="https://www.sec.gov/ix?doc=/Archives/edgar/data/3453/000155837024001570/matx-2023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2024-10-31T05:23:56Z</dcterms:created>
  <dcterms:modified xsi:type="dcterms:W3CDTF">2024-10-31T05:23:56Z</dcterms:modified>
</cp:coreProperties>
</file>