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01"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0140"/>
          </w:cols>
          <w:pgMar w:left="840" w:top="661" w:right="919" w:bottom="1440" w:gutter="0" w:footer="0" w:header="0"/>
        </w:sectPr>
      </w:pPr>
    </w:p>
    <w:p>
      <w:pPr>
        <w:spacing w:after="0" w:line="9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69" w:lineRule="exact"/>
        <w:rPr>
          <w:sz w:val="24"/>
          <w:szCs w:val="24"/>
          <w:color w:val="auto"/>
        </w:rPr>
      </w:pPr>
    </w:p>
    <w:p>
      <w:pPr>
        <w:sectPr>
          <w:pgSz w:w="11900" w:h="16838" w:orient="portrait"/>
          <w:cols w:equalWidth="0" w:num="2">
            <w:col w:w="5520" w:space="580"/>
            <w:col w:w="4040"/>
          </w:cols>
          <w:pgMar w:left="840" w:top="661" w:right="91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001-34187</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Matson, Inc.</w:t>
      </w: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0140"/>
          </w:cols>
          <w:pgMar w:left="840" w:top="661" w:right="919" w:bottom="1440" w:gutter="0" w:footer="0" w:header="0"/>
          <w:type w:val="continuous"/>
        </w:sectPr>
      </w:pPr>
    </w:p>
    <w:p>
      <w:pPr>
        <w:spacing w:after="0" w:line="11"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Hawaii</w:t>
      </w:r>
    </w:p>
    <w:p>
      <w:pPr>
        <w:ind w:left="1660"/>
        <w:spacing w:after="0" w:line="227" w:lineRule="auto"/>
        <w:rPr>
          <w:sz w:val="20"/>
          <w:szCs w:val="20"/>
          <w:color w:val="auto"/>
        </w:rPr>
      </w:pPr>
      <w:r>
        <w:rPr>
          <w:rFonts w:ascii="Times New Roman" w:cs="Times New Roman" w:eastAsia="Times New Roman" w:hAnsi="Times New Roman"/>
          <w:sz w:val="14"/>
          <w:szCs w:val="14"/>
          <w:color w:val="auto"/>
        </w:rPr>
        <w:t>(State or other jurisdiction of</w:t>
      </w:r>
    </w:p>
    <w:p>
      <w:pPr>
        <w:spacing w:after="0" w:line="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99-0032630</w:t>
      </w:r>
    </w:p>
    <w:p>
      <w:pPr>
        <w:jc w:val="center"/>
        <w:ind w:right="1900"/>
        <w:spacing w:after="0" w:line="227" w:lineRule="auto"/>
        <w:rPr>
          <w:sz w:val="20"/>
          <w:szCs w:val="20"/>
          <w:color w:val="auto"/>
        </w:rPr>
      </w:pPr>
      <w:r>
        <w:rPr>
          <w:rFonts w:ascii="Times New Roman" w:cs="Times New Roman" w:eastAsia="Times New Roman" w:hAnsi="Times New Roman"/>
          <w:sz w:val="14"/>
          <w:szCs w:val="14"/>
          <w:color w:val="auto"/>
        </w:rPr>
        <w:t>(I.R.S. Employer</w:t>
      </w:r>
    </w:p>
    <w:p>
      <w:pPr>
        <w:spacing w:after="0" w:line="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37" w:lineRule="exact"/>
        <w:rPr>
          <w:sz w:val="24"/>
          <w:szCs w:val="24"/>
          <w:color w:val="auto"/>
        </w:rPr>
      </w:pPr>
    </w:p>
    <w:p>
      <w:pPr>
        <w:sectPr>
          <w:pgSz w:w="11900" w:h="16838" w:orient="portrait"/>
          <w:cols w:equalWidth="0" w:num="2">
            <w:col w:w="6460" w:space="720"/>
            <w:col w:w="2960"/>
          </w:cols>
          <w:pgMar w:left="840" w:top="661" w:right="91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1411 Sand Island Parkway</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Honolulu, HI 96819</w:t>
      </w:r>
    </w:p>
    <w:p>
      <w:pPr>
        <w:jc w:val="center"/>
        <w:ind w:right="-9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(808) 848-1211</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82" w:lineRule="exact"/>
        <w:rPr>
          <w:sz w:val="24"/>
          <w:szCs w:val="24"/>
          <w:color w:val="auto"/>
        </w:rPr>
      </w:pPr>
    </w:p>
    <w:tbl>
      <w:tblPr>
        <w:tblLayout w:type="fixed"/>
        <w:tblInd w:w="820" w:type="dxa"/>
        <w:tblCellMar>
          <w:top w:w="0" w:type="dxa"/>
          <w:left w:w="0" w:type="dxa"/>
          <w:bottom w:w="0" w:type="dxa"/>
          <w:right w:w="0" w:type="dxa"/>
        </w:tblCellMar>
      </w:tblPr>
      <w:tr>
        <w:trPr>
          <w:trHeight w:val="162"/>
        </w:trPr>
        <w:tc>
          <w:tcPr>
            <w:tcW w:w="286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Trading Symbol(s)</w:t>
            </w:r>
          </w:p>
        </w:tc>
        <w:tc>
          <w:tcPr>
            <w:tcW w:w="330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286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Common Stock, without par value</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6"/>
              </w:rPr>
              <w:t>MATX</w:t>
            </w:r>
          </w:p>
        </w:tc>
        <w:tc>
          <w:tcPr>
            <w:tcW w:w="33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-215900</wp:posOffset>
            </wp:positionV>
            <wp:extent cx="649795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14630"/>
                    </a:xfrm>
                    <a:prstGeom prst="rect">
                      <a:avLst/>
                    </a:prstGeom>
                    <a:noFill/>
                  </pic:spPr>
                </pic:pic>
              </a:graphicData>
            </a:graphic>
          </wp:anchor>
        </w:drawing>
      </w:r>
    </w:p>
    <w:p>
      <w:pPr>
        <w:spacing w:after="0" w:line="3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93" w:lineRule="exact"/>
        <w:rPr>
          <w:sz w:val="24"/>
          <w:szCs w:val="24"/>
          <w:color w:val="auto"/>
        </w:rPr>
      </w:pPr>
    </w:p>
    <w:p>
      <w:pPr>
        <w:ind w:right="2360"/>
        <w:spacing w:after="0" w:line="24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1"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5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0"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10" w:lineRule="exact"/>
        <w:rPr>
          <w:sz w:val="24"/>
          <w:szCs w:val="24"/>
          <w:color w:val="auto"/>
        </w:rPr>
      </w:pPr>
    </w:p>
    <w:p>
      <w:pPr>
        <w:ind w:left="214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3" w:lineRule="exact"/>
        <w:rPr>
          <w:sz w:val="24"/>
          <w:szCs w:val="24"/>
          <w:color w:val="auto"/>
        </w:rPr>
      </w:pPr>
    </w:p>
    <w:p>
      <w:pPr>
        <w:sectPr>
          <w:pgSz w:w="11900" w:h="16838" w:orient="portrait"/>
          <w:cols w:equalWidth="0" w:num="2">
            <w:col w:w="6400" w:space="720"/>
            <w:col w:w="3020"/>
          </w:cols>
          <w:pgMar w:left="840" w:top="661" w:right="919" w:bottom="1440" w:gutter="0" w:footer="0" w:header="0"/>
          <w:type w:val="continuous"/>
        </w:sectPr>
      </w:pPr>
    </w:p>
    <w:p>
      <w:pPr>
        <w:spacing w:after="0" w:line="19" w:lineRule="exact"/>
        <w:rPr>
          <w:sz w:val="24"/>
          <w:szCs w:val="24"/>
          <w:color w:val="auto"/>
        </w:rPr>
      </w:pPr>
    </w:p>
    <w:p>
      <w:pPr>
        <w:ind w:left="218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39" w:lineRule="exact"/>
        <w:rPr>
          <w:sz w:val="24"/>
          <w:szCs w:val="24"/>
          <w:color w:val="auto"/>
        </w:rPr>
      </w:pPr>
    </w:p>
    <w:p>
      <w:pPr>
        <w:sectPr>
          <w:pgSz w:w="11900" w:h="16838" w:orient="portrait"/>
          <w:cols w:equalWidth="0" w:num="2">
            <w:col w:w="6100" w:space="720"/>
            <w:col w:w="3320"/>
          </w:cols>
          <w:pgMar w:left="840" w:top="661" w:right="919" w:bottom="1440" w:gutter="0" w:footer="0" w:header="0"/>
          <w:type w:val="continuous"/>
        </w:sect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highlight w:val="black"/>
        </w:rPr>
        <w:t>☒</w:t>
      </w:r>
    </w:p>
    <w:p>
      <w:pPr>
        <w:spacing w:after="0" w:line="47"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highlight w:val="black"/>
        </w:rPr>
        <w:t>☒</w:t>
      </w:r>
    </w:p>
    <w:p>
      <w:pPr>
        <w:spacing w:after="0" w:line="8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4"/>
          <w:szCs w:val="14"/>
          <w:color w:val="auto"/>
        </w:rPr>
        <w:t xml:space="preserve">Aggregate market value of Common Stock held by non-affiliates at June 30, 2024: </w:t>
      </w:r>
      <w:r>
        <w:rPr>
          <w:rFonts w:ascii="Times New Roman" w:cs="Times New Roman" w:eastAsia="Times New Roman" w:hAnsi="Times New Roman"/>
          <w:sz w:val="14"/>
          <w:szCs w:val="14"/>
          <w:b w:val="1"/>
          <w:bCs w:val="1"/>
          <w:color w:val="auto"/>
        </w:rPr>
        <w:t>$4,307,855,048</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Number of shares of Common Stock outstanding at February 14, 2025: </w:t>
      </w:r>
      <w:r>
        <w:rPr>
          <w:rFonts w:ascii="Times New Roman" w:cs="Times New Roman" w:eastAsia="Times New Roman" w:hAnsi="Times New Roman"/>
          <w:sz w:val="14"/>
          <w:szCs w:val="14"/>
          <w:b w:val="1"/>
          <w:bCs w:val="1"/>
          <w:color w:val="auto"/>
        </w:rPr>
        <w:t>32,863,714</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following document is incorporated by reference in Part III of the Annual Report on Form 10-K to the extent described therein: Proxy statement for the annual meeting of shareholders of Matson, Inc. to be held on April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598170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32385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83820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3820" w:type="dxa"/>
            <w:vAlign w:val="bottom"/>
            <w:gridSpan w:val="14"/>
            <w:vMerge w:val="restart"/>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3820" w:type="dxa"/>
            <w:vAlign w:val="bottom"/>
            <w:gridSpan w:val="14"/>
            <w:vMerge w:val="continue"/>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3"/>
          </w:tcPr>
          <w:p>
            <w:pPr>
              <w:spacing w:after="0"/>
              <w:rPr>
                <w:sz w:val="24"/>
                <w:szCs w:val="24"/>
                <w:color w:val="auto"/>
              </w:rPr>
            </w:pPr>
          </w:p>
        </w:tc>
        <w:tc>
          <w:tcPr>
            <w:tcW w:w="3240" w:type="dxa"/>
            <w:vAlign w:val="bottom"/>
            <w:gridSpan w:val="11"/>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2"/>
          </w:tcPr>
          <w:p>
            <w:pPr>
              <w:ind w:left="40"/>
              <w:spacing w:after="0" w:line="196" w:lineRule="exact"/>
              <w:rPr>
                <w:sz w:val="20"/>
                <w:szCs w:val="20"/>
                <w:color w:val="auto"/>
              </w:rPr>
            </w:pPr>
            <w:r>
              <w:rPr>
                <w:rFonts w:ascii="Times New Roman" w:cs="Times New Roman" w:eastAsia="Times New Roman" w:hAnsi="Times New Roman"/>
                <w:sz w:val="18"/>
                <w:szCs w:val="18"/>
                <w:color w:val="0000EE"/>
              </w:rPr>
              <w:t>A. Company Overview</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B. Business Description</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(1) Ocean Transportation Segment</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0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(2) Logistics Segment</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 Employees and Labor Relations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2"/>
          </w:tcPr>
          <w:p>
            <w:pPr>
              <w:ind w:left="40"/>
              <w:spacing w:after="0" w:line="196" w:lineRule="exact"/>
              <w:rPr>
                <w:sz w:val="20"/>
                <w:szCs w:val="20"/>
                <w:color w:val="auto"/>
              </w:rPr>
            </w:pPr>
            <w:r>
              <w:rPr>
                <w:rFonts w:ascii="Times New Roman" w:cs="Times New Roman" w:eastAsia="Times New Roman" w:hAnsi="Times New Roman"/>
                <w:sz w:val="18"/>
                <w:szCs w:val="18"/>
                <w:color w:val="0000EE"/>
              </w:rPr>
              <w:t>D. Available Information</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00" w:type="dxa"/>
            <w:vAlign w:val="bottom"/>
            <w:tcBorders>
              <w:top w:val="single" w:sz="8" w:color="0000EE"/>
            </w:tcBorders>
            <w:gridSpan w:val="6"/>
          </w:tcPr>
          <w:p>
            <w:pPr>
              <w:spacing w:after="0"/>
              <w:rPr>
                <w:sz w:val="17"/>
                <w:szCs w:val="17"/>
                <w:color w:val="auto"/>
              </w:rPr>
            </w:pPr>
          </w:p>
        </w:tc>
        <w:tc>
          <w:tcPr>
            <w:tcW w:w="5420" w:type="dxa"/>
            <w:vAlign w:val="bottom"/>
            <w:gridSpan w:val="28"/>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4980" w:type="dxa"/>
            <w:vAlign w:val="bottom"/>
            <w:gridSpan w:val="24"/>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1C.</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5960" w:type="dxa"/>
            <w:vAlign w:val="bottom"/>
            <w:gridSpan w:val="3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5"/>
          </w:tcPr>
          <w:p>
            <w:pPr>
              <w:jc w:val="center"/>
              <w:ind w:right="320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of Equity Securities</w:t>
            </w:r>
          </w:p>
        </w:tc>
        <w:tc>
          <w:tcPr>
            <w:tcW w:w="5140" w:type="dxa"/>
            <w:vAlign w:val="bottom"/>
            <w:tcBorders>
              <w:top w:val="single" w:sz="8" w:color="0000EE"/>
            </w:tcBorders>
            <w:gridSpan w:val="30"/>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Removed and Reserved</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680" w:type="dxa"/>
            <w:vAlign w:val="bottom"/>
            <w:gridSpan w:val="6"/>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220" w:type="dxa"/>
            <w:vAlign w:val="bottom"/>
            <w:gridSpan w:val="26"/>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Conclusion Regarding Effectiveness of Disclosure Controls and Procedures</w:t>
            </w:r>
          </w:p>
        </w:tc>
        <w:tc>
          <w:tcPr>
            <w:tcW w:w="1580" w:type="dxa"/>
            <w:vAlign w:val="bottom"/>
            <w:gridSpan w:val="4"/>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Internal Control over Financial Reporting</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040" w:type="dxa"/>
            <w:vAlign w:val="bottom"/>
            <w:gridSpan w:val="19"/>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1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1000" w:type="dxa"/>
            <w:vAlign w:val="bottom"/>
            <w:tcBorders>
              <w:top w:val="single" w:sz="8" w:color="0000EE"/>
            </w:tcBorders>
            <w:gridSpan w:val="3"/>
          </w:tcPr>
          <w:p>
            <w:pPr>
              <w:spacing w:after="0"/>
              <w:rPr>
                <w:sz w:val="24"/>
                <w:szCs w:val="24"/>
                <w:color w:val="auto"/>
              </w:rPr>
            </w:pPr>
          </w:p>
        </w:tc>
        <w:tc>
          <w:tcPr>
            <w:tcW w:w="214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1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2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2"/>
          </w:tcPr>
          <w:p>
            <w:pPr>
              <w:ind w:left="40"/>
              <w:spacing w:after="0" w:line="196" w:lineRule="exact"/>
              <w:rPr>
                <w:sz w:val="20"/>
                <w:szCs w:val="20"/>
                <w:color w:val="auto"/>
              </w:rPr>
            </w:pPr>
            <w:r>
              <w:rPr>
                <w:rFonts w:ascii="Times New Roman" w:cs="Times New Roman" w:eastAsia="Times New Roman" w:hAnsi="Times New Roman"/>
                <w:sz w:val="18"/>
                <w:szCs w:val="18"/>
                <w:color w:val="0000EE"/>
              </w:rPr>
              <w:t>A. Directors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B. Information About Our Executive Officers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 Corporate Governance</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2"/>
          </w:tcPr>
          <w:p>
            <w:pPr>
              <w:ind w:left="40"/>
              <w:spacing w:after="0" w:line="196" w:lineRule="exact"/>
              <w:rPr>
                <w:sz w:val="20"/>
                <w:szCs w:val="20"/>
                <w:color w:val="auto"/>
              </w:rPr>
            </w:pPr>
            <w:r>
              <w:rPr>
                <w:rFonts w:ascii="Times New Roman" w:cs="Times New Roman" w:eastAsia="Times New Roman" w:hAnsi="Times New Roman"/>
                <w:sz w:val="18"/>
                <w:szCs w:val="18"/>
                <w:color w:val="0000EE"/>
              </w:rPr>
              <w:t>D. Code of Ethics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E. Insider Trading Policy</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18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Matters</w:t>
            </w:r>
          </w:p>
        </w:tc>
        <w:tc>
          <w:tcPr>
            <w:tcW w:w="4260" w:type="dxa"/>
            <w:vAlign w:val="bottom"/>
            <w:tcBorders>
              <w:top w:val="single" w:sz="8" w:color="0000EE"/>
            </w:tcBorders>
            <w:gridSpan w:val="27"/>
          </w:tcPr>
          <w:p>
            <w:pPr>
              <w:spacing w:after="0"/>
              <w:rPr>
                <w:sz w:val="17"/>
                <w:szCs w:val="17"/>
                <w:color w:val="auto"/>
              </w:rPr>
            </w:pPr>
          </w:p>
        </w:tc>
        <w:tc>
          <w:tcPr>
            <w:tcW w:w="1260" w:type="dxa"/>
            <w:vAlign w:val="bottom"/>
            <w:gridSpan w:val="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18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580" w:type="dxa"/>
            <w:vAlign w:val="bottom"/>
            <w:gridSpan w:val="4"/>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196"/>
        </w:trPr>
        <w:tc>
          <w:tcPr>
            <w:tcW w:w="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2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16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1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3840" w:type="dxa"/>
            <w:vAlign w:val="bottom"/>
            <w:gridSpan w:val="15"/>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42"/>
          </w:tcPr>
          <w:p>
            <w:pPr>
              <w:ind w:left="40"/>
              <w:spacing w:after="0" w:line="196" w:lineRule="exact"/>
              <w:rPr>
                <w:sz w:val="20"/>
                <w:szCs w:val="20"/>
                <w:color w:val="auto"/>
              </w:rPr>
            </w:pPr>
            <w:r>
              <w:rPr>
                <w:rFonts w:ascii="Times New Roman" w:cs="Times New Roman" w:eastAsia="Times New Roman" w:hAnsi="Times New Roman"/>
                <w:sz w:val="18"/>
                <w:szCs w:val="18"/>
                <w:color w:val="0000EE"/>
              </w:rPr>
              <w:t>A. Financial Statements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B. Financial Statement Schedules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6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C. Exhibits Required by Item 601 of Regulation S-K</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0" w:type="dxa"/>
            <w:vAlign w:val="bottom"/>
          </w:tcPr>
          <w:p>
            <w:pPr>
              <w:spacing w:after="0"/>
              <w:rPr>
                <w:sz w:val="1"/>
                <w:szCs w:val="1"/>
                <w:color w:val="auto"/>
              </w:rPr>
            </w:pPr>
          </w:p>
        </w:tc>
      </w:tr>
      <w:tr>
        <w:trPr>
          <w:trHeight w:val="412"/>
        </w:trPr>
        <w:tc>
          <w:tcPr>
            <w:tcW w:w="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9"/>
              </w:rPr>
              <w:t>Item 16.</w:t>
            </w:r>
          </w:p>
        </w:tc>
        <w:tc>
          <w:tcPr>
            <w:tcW w:w="1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Form 10-K Summary</w:t>
            </w:r>
          </w:p>
        </w:tc>
        <w:tc>
          <w:tcPr>
            <w:tcW w:w="2040" w:type="dxa"/>
            <w:vAlign w:val="bottom"/>
            <w:tcBorders>
              <w:top w:val="single" w:sz="8" w:color="0000EE"/>
            </w:tcBorders>
            <w:gridSpan w:val="17"/>
          </w:tcPr>
          <w:p>
            <w:pPr>
              <w:spacing w:after="0"/>
              <w:rPr>
                <w:sz w:val="24"/>
                <w:szCs w:val="24"/>
                <w:color w:val="auto"/>
              </w:rPr>
            </w:pPr>
          </w:p>
        </w:tc>
        <w:tc>
          <w:tcPr>
            <w:tcW w:w="3440" w:type="dxa"/>
            <w:vAlign w:val="bottom"/>
            <w:gridSpan w:val="12"/>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MATSON,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for the Fiscal Year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Ended December 31, 2024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74"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on the Hawaiian islands of Oahu, Hawaii, Maui and Kauai, and in Alaska.</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has a 35 percent ownership interest in SSA Terminals, LLC (“SSAT”), a joint venture between Matson</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Ventures, Inc., a wholly-owned subsidiary of MatNav, and SSA Ventures, Inc., a subsidiary of Carrix, Inc.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Mission and Vision: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mission is to move freight better than anyone. Our vision is to create value for our shareholders by:</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Being our customers’ first choice,</w:t>
      </w:r>
    </w:p>
    <w:p>
      <w:pPr>
        <w:spacing w:after="0" w:line="47" w:lineRule="exact"/>
        <w:rPr>
          <w:sz w:val="20"/>
          <w:szCs w:val="20"/>
          <w:color w:val="auto"/>
        </w:rPr>
      </w:pPr>
    </w:p>
    <w:p>
      <w:pPr>
        <w:ind w:left="380" w:right="3459"/>
        <w:spacing w:after="0" w:line="250" w:lineRule="auto"/>
        <w:rPr>
          <w:sz w:val="20"/>
          <w:szCs w:val="20"/>
          <w:color w:val="auto"/>
        </w:rPr>
      </w:pPr>
      <w:r>
        <w:rPr>
          <w:rFonts w:ascii="Times New Roman" w:cs="Times New Roman" w:eastAsia="Times New Roman" w:hAnsi="Times New Roman"/>
          <w:sz w:val="18"/>
          <w:szCs w:val="18"/>
          <w:color w:val="auto"/>
        </w:rPr>
        <w:t>Leveraging our core strengths to drive growth and increase profitability, Improving the communities in which we work and live,</w:t>
      </w:r>
    </w:p>
    <w:p>
      <w:pPr>
        <w:ind w:left="380" w:right="4979"/>
        <w:spacing w:after="0" w:line="258" w:lineRule="auto"/>
        <w:rPr>
          <w:sz w:val="20"/>
          <w:szCs w:val="20"/>
          <w:color w:val="auto"/>
        </w:rPr>
      </w:pPr>
      <w:r>
        <w:rPr>
          <w:rFonts w:ascii="Times New Roman" w:cs="Times New Roman" w:eastAsia="Times New Roman" w:hAnsi="Times New Roman"/>
          <w:sz w:val="18"/>
          <w:szCs w:val="18"/>
          <w:color w:val="auto"/>
        </w:rPr>
        <w:t>Being an environmental leader in our industry, and Being a great place to 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w:t>
      </w:r>
    </w:p>
    <w:p>
      <w:pPr>
        <w:spacing w:after="0" w:line="225" w:lineRule="exact"/>
        <w:rPr>
          <w:sz w:val="20"/>
          <w:szCs w:val="20"/>
          <w:color w:val="auto"/>
        </w:rPr>
      </w:pPr>
    </w:p>
    <w:p>
      <w:pPr>
        <w:ind w:left="1340" w:hanging="642"/>
        <w:spacing w:after="0"/>
        <w:tabs>
          <w:tab w:leader="none" w:pos="1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OCEAN TRANSPORTATION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Matson’s Ocean Transportation segment provides the following services:</w:t>
      </w:r>
    </w:p>
    <w:p>
      <w:pPr>
        <w:spacing w:after="0" w:line="22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Hawaii Service: </w:t>
      </w:r>
      <w:r>
        <w:rPr>
          <w:rFonts w:ascii="Times New Roman" w:cs="Times New Roman" w:eastAsia="Times New Roman" w:hAnsi="Times New Roman"/>
          <w:sz w:val="18"/>
          <w:szCs w:val="18"/>
          <w:color w:val="auto"/>
        </w:rPr>
        <w:t>Matson’s Hawaii service provides ocean carriage (lift-on/lift-off, roll-on/roll-off and conventional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between the ports of Long Beach and Oakland, California; Tacoma, Washington; and Honolulu, Hawaii. Matson also operates a network of inter-island barges that provide connecting services from its hub at Honolulu to other major Hawaii ports on the islands of Hawaii, Maui and Kauai. Matson is the largest carrier of ocean cargo between the U.S. West Coast and Hawaii.</w:t>
      </w:r>
    </w:p>
    <w:p>
      <w:pPr>
        <w:spacing w:after="0" w:line="185"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Westbound cargo carried by Matson to Hawaii includes dry containers of mixed commodities, refrigerated commodities, food, beverages, retail merchandise, building materials, automobiles and household goods. Matson’s eastbound cargo from Hawaii includes automobiles, household goods, dry containers of mixed commodities and livestock. The majority of Matson’s Hawaii service revenue is derived from the westbound carriage of containerized freight.</w:t>
      </w:r>
    </w:p>
    <w:p>
      <w:pPr>
        <w:spacing w:after="0" w:line="17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China Service: </w:t>
      </w:r>
      <w:r>
        <w:rPr>
          <w:rFonts w:ascii="Times New Roman" w:cs="Times New Roman" w:eastAsia="Times New Roman" w:hAnsi="Times New Roman"/>
          <w:sz w:val="18"/>
          <w:szCs w:val="18"/>
          <w:color w:val="auto"/>
        </w:rPr>
        <w:t>Matson’s expedited China-Long Beach Express (“CLX”) service is part of an integrated service that carries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cargo from Long Beach, California to Honolulu, Hawaii, Guam, and Okinawa, Japan. The vessels then continue on to Ningbo and Shanghai, China, where they are loaded with cargo to be discharged primarily in Long Beach, California at a Matson-exclusive terminal operated by SSAT. These vessels also carry cargo destined for Hawaii which originated in Guam, Micronesia, Okinawa, China and other Asian countries.</w:t>
      </w:r>
    </w:p>
    <w:p>
      <w:pPr>
        <w:spacing w:after="0" w:line="185"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Matson operates a second expedited service to the U.S. West Coast with the Matson Asia Express (“MAX”) service. The MAX service primarily uses chartered vessels and operates weekly from Ningbo and Shanghai, China where they are loaded with cargo to be discharged primarily at Long Beach, California, calling at an SSAT-operated terminal.</w:t>
      </w:r>
    </w:p>
    <w:p>
      <w:pPr>
        <w:spacing w:after="0" w:line="1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Both services also carry transshipment cargo originating in many locations throughout Asia, including Vietnam and Southern China to the U.S. via Shanghai, China.</w:t>
      </w:r>
    </w:p>
    <w:p>
      <w:pPr>
        <w:spacing w:after="0" w:line="162"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Eastbound cargo from China to Long Beach, California consists mainly of e-commerce related goods, garments, consumer electronics, footwear and other merchandise.</w:t>
      </w:r>
    </w:p>
    <w:p>
      <w:pPr>
        <w:spacing w:after="0" w:line="160"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Guam Service: </w:t>
      </w:r>
      <w:r>
        <w:rPr>
          <w:rFonts w:ascii="Times New Roman" w:cs="Times New Roman" w:eastAsia="Times New Roman" w:hAnsi="Times New Roman"/>
          <w:sz w:val="18"/>
          <w:szCs w:val="18"/>
          <w:color w:val="auto"/>
        </w:rPr>
        <w:t>Matson’s Guam service provides weekly carriage between the U.S. West Coast and Guam, as part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CLX service. Matson also provides weekly U.S. flag barge service connecting Guam to the Commonwealth of the Northern Mariana Islands. Cargo destined to Guam mainly includes dry containers of mixed commodities, refrigerated containers of food, beverages, retail merchandise, building materials and household goods.</w:t>
      </w:r>
    </w:p>
    <w:p>
      <w:pPr>
        <w:spacing w:after="0" w:line="180"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Japan Service: </w:t>
      </w:r>
      <w:r>
        <w:rPr>
          <w:rFonts w:ascii="Times New Roman" w:cs="Times New Roman" w:eastAsia="Times New Roman" w:hAnsi="Times New Roman"/>
          <w:sz w:val="18"/>
          <w:szCs w:val="18"/>
          <w:color w:val="auto"/>
        </w:rPr>
        <w:t>Matson’s Japan service provides weekly carriage between the U.S. West Coast and the port of Naha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Okinawa, Japan, as part of its CLX service. This service mainly carries freight supporting the U.S. government including general sustenance cargo in both dry and refrigerated containers and household goods.</w:t>
      </w:r>
    </w:p>
    <w:p>
      <w:pPr>
        <w:spacing w:after="0" w:line="173"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Micronesia Service: </w:t>
      </w:r>
      <w:r>
        <w:rPr>
          <w:rFonts w:ascii="Times New Roman" w:cs="Times New Roman" w:eastAsia="Times New Roman" w:hAnsi="Times New Roman"/>
          <w:sz w:val="18"/>
          <w:szCs w:val="18"/>
          <w:color w:val="auto"/>
        </w:rPr>
        <w:t>Matson’s Micronesia service provides carriage between the U.S. West Coast and the islands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Kwajalein, Ebeye and Majuro in the Republic of the Marshall Islands, the islands of Yap, Pohnpei, Chuuk and Kosrae in the Federated States of Micronesia, and the Republic of Palau. Cargo destined for these locations is transshipped through Guam and consists mainly of general sustenance cargo, building materials, hardware and retail merchandise. The service to Kwajalein is provided by a U.S. flag vessel or barge.</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Alaska Service: </w:t>
      </w:r>
      <w:r>
        <w:rPr>
          <w:rFonts w:ascii="Times New Roman" w:cs="Times New Roman" w:eastAsia="Times New Roman" w:hAnsi="Times New Roman"/>
          <w:sz w:val="18"/>
          <w:szCs w:val="18"/>
          <w:color w:val="auto"/>
        </w:rPr>
        <w:t>Matson’s Alaska service provides ocean carriage between the port of Tacoma, Washington, and the 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Anchorage, Kodiak and Dutch Harbor, Alaska. Matson also provides a barge service between Dutch Harbor and Akutan in Alaska, and transportation services to other locations in Alaska including the Kenai Peninsula, Fairbanks and the North Slope.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Northbound cargo to Alaska consists mainly of dry containers of mixed commodities, refrigerated commodities, food, beverages, retail merchandise, household goods and automobiles. Southbound cargo from Alaska primarily consists of seafood, household goods and automobiles.</w:t>
      </w:r>
    </w:p>
    <w:p>
      <w:pPr>
        <w:spacing w:after="0" w:line="1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Matson’s Alaska-Asia Express (“AAX”) service provides carriage of seafood primarily from Kodiak and Dutch Harbor, Alaska to many locations in Asia via Matson’s transshipment ports of Shanghai and Ningbo, China. The AAX service utilizes MAX vessels on their westbound return voyages to China.</w:t>
      </w:r>
    </w:p>
    <w:p>
      <w:pPr>
        <w:spacing w:after="0" w:line="174"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South Pacific Service: </w:t>
      </w:r>
      <w:r>
        <w:rPr>
          <w:rFonts w:ascii="Times New Roman" w:cs="Times New Roman" w:eastAsia="Times New Roman" w:hAnsi="Times New Roman"/>
          <w:sz w:val="18"/>
          <w:szCs w:val="18"/>
          <w:color w:val="auto"/>
        </w:rPr>
        <w:t>Matson’s New Zealand Express (“NZX”) service provides carriage of general sustenance cargo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Auckland, New Zealand and select islands in the South Pacific, including Fiji (Suva and Lautoka), Samoa (Apia), American Samoa (Pago Pago), the Cook Islands (Rarotonga and Aitutaki), Tonga (Nukualofa and Vava’u), and Niue. Additionally, Matson provides slot charter arrangements for the transportation of cargo from major ports on the east coast of Australia to ports in the South Pacific islands. The NZX service also delivers and sells domestic bulk fuel to a variety of these islands.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Terminal and Other Related Services:</w:t>
      </w:r>
    </w:p>
    <w:p>
      <w:pPr>
        <w:spacing w:after="0" w:line="22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Matson provides stevedoring, refrigerated cargo services, inland transportation, container equipment maintenance and other terminal services (collectively, “terminal services”) at terminals located on the Hawaiian islands of Oahu, Hawaii, Maui and Kauai; and in the Alaska terminal locations of Anchorage, Kodiak and Dutch Harbor.</w:t>
      </w:r>
    </w:p>
    <w:p>
      <w:pPr>
        <w:spacing w:after="0" w:line="1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SSAT currently provides terminal and stevedoring services to various carriers at eight terminal facilities on the U.S. West Coast, including three facilities dedicated for MatNav’s use, in Long Beach and Oakland, California and in Tacoma, Washington.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utilizes the services of other third-party terminal operators at the other ports where its vessels are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Vessel Information: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Vessels:</w:t>
      </w:r>
    </w:p>
    <w:p>
      <w:pPr>
        <w:spacing w:after="0" w:line="22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Matson’s fleet includes both owned and chartered vessels and barges. Matson’s owned fleet represents an investment of approximately $2.5 billion. The majority of Matson’s owned fleet is made up of U.S. flagged and Jones Act qualified vessels that operate in Matson’s Hawaii, China, Guam, Japan, Micronesia and Alaska services. Details of Matson’s active and reserve fleet as of December 31, 2024 are as follows:</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Usable Cargo Capacity</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Containers (1)</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Vehicles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Design</w:t>
            </w:r>
          </w:p>
        </w:tc>
        <w:tc>
          <w:tcPr>
            <w:tcW w:w="9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Charter</w:t>
            </w:r>
          </w:p>
        </w:tc>
        <w:tc>
          <w:tcPr>
            <w:tcW w:w="0" w:type="dxa"/>
            <w:vAlign w:val="bottom"/>
          </w:tcPr>
          <w:p>
            <w:pPr>
              <w:spacing w:after="0"/>
              <w:rPr>
                <w:sz w:val="1"/>
                <w:szCs w:val="1"/>
                <w:color w:val="auto"/>
              </w:rPr>
            </w:pPr>
          </w:p>
        </w:tc>
      </w:tr>
      <w:tr>
        <w:trPr>
          <w:trHeight w:val="117"/>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Vessel</w:t>
            </w:r>
          </w:p>
        </w:tc>
        <w:tc>
          <w:tcPr>
            <w:tcW w:w="140" w:type="dxa"/>
            <w:vAlign w:val="bottom"/>
          </w:tcPr>
          <w:p>
            <w:pPr>
              <w:spacing w:after="0"/>
              <w:rPr>
                <w:sz w:val="10"/>
                <w:szCs w:val="10"/>
                <w:color w:val="auto"/>
              </w:rPr>
            </w:pPr>
          </w:p>
        </w:tc>
        <w:tc>
          <w:tcPr>
            <w:tcW w:w="3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0"/>
                <w:szCs w:val="10"/>
                <w:color w:val="auto"/>
              </w:rPr>
            </w:pPr>
          </w:p>
        </w:tc>
        <w:tc>
          <w:tcPr>
            <w:tcW w:w="5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Official</w:t>
            </w:r>
          </w:p>
        </w:tc>
        <w:tc>
          <w:tcPr>
            <w:tcW w:w="140" w:type="dxa"/>
            <w:vAlign w:val="bottom"/>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TEUs</w:t>
            </w:r>
          </w:p>
        </w:tc>
        <w:tc>
          <w:tcPr>
            <w:tcW w:w="560" w:type="dxa"/>
            <w:vAlign w:val="bottom"/>
            <w:tcBorders>
              <w:top w:val="single" w:sz="8" w:color="auto"/>
            </w:tcBorders>
            <w:gridSpan w:val="2"/>
          </w:tcPr>
          <w:p>
            <w:pPr>
              <w:jc w:val="center"/>
              <w:ind w:left="68"/>
              <w:spacing w:after="0" w:line="118" w:lineRule="exact"/>
              <w:rPr>
                <w:sz w:val="20"/>
                <w:szCs w:val="20"/>
                <w:color w:val="auto"/>
              </w:rPr>
            </w:pPr>
            <w:r>
              <w:rPr>
                <w:rFonts w:ascii="Times New Roman" w:cs="Times New Roman" w:eastAsia="Times New Roman" w:hAnsi="Times New Roman"/>
                <w:sz w:val="13"/>
                <w:szCs w:val="13"/>
                <w:b w:val="1"/>
                <w:bCs w:val="1"/>
                <w:color w:val="auto"/>
              </w:rPr>
              <w:t>Reefer</w:t>
            </w:r>
          </w:p>
        </w:tc>
        <w:tc>
          <w:tcPr>
            <w:tcW w:w="160" w:type="dxa"/>
            <w:vAlign w:val="bottom"/>
          </w:tcPr>
          <w:p>
            <w:pPr>
              <w:spacing w:after="0"/>
              <w:rPr>
                <w:sz w:val="10"/>
                <w:szCs w:val="10"/>
                <w:color w:val="auto"/>
              </w:rPr>
            </w:pPr>
          </w:p>
        </w:tc>
        <w:tc>
          <w:tcPr>
            <w:tcW w:w="5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Autos</w:t>
            </w:r>
          </w:p>
        </w:tc>
        <w:tc>
          <w:tcPr>
            <w:tcW w:w="160" w:type="dxa"/>
            <w:vAlign w:val="bottom"/>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160" w:type="dxa"/>
            <w:vAlign w:val="bottom"/>
          </w:tcPr>
          <w:p>
            <w:pPr>
              <w:spacing w:after="0"/>
              <w:rPr>
                <w:sz w:val="10"/>
                <w:szCs w:val="10"/>
                <w:color w:val="auto"/>
              </w:rPr>
            </w:pPr>
          </w:p>
        </w:tc>
        <w:tc>
          <w:tcPr>
            <w:tcW w:w="8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Speed</w:t>
            </w:r>
          </w:p>
        </w:tc>
        <w:tc>
          <w:tcPr>
            <w:tcW w:w="9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Deadweight</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3"/>
        </w:trPr>
        <w:tc>
          <w:tcPr>
            <w:tcW w:w="2460" w:type="dxa"/>
            <w:vAlign w:val="bottom"/>
            <w:gridSpan w:val="3"/>
            <w:vMerge w:val="continue"/>
          </w:tcPr>
          <w:p>
            <w:pPr>
              <w:spacing w:after="0"/>
              <w:rPr>
                <w:sz w:val="15"/>
                <w:szCs w:val="15"/>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Slots</w:t>
            </w:r>
          </w:p>
        </w:tc>
        <w:tc>
          <w:tcPr>
            <w:tcW w:w="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(Knots) (2)</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(Long Tons)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Vessels-Owned:</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DANIEL K. INOUYE (4)(8)</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1274136</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KAIMANA HILA (4)(8)</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1274135</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0”</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MANOA (4)(7)</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651627</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MAHIMAHI (4)(7)</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653424</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LURLINE (4)</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1274143</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869’ 5”</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MATSONIA (4)</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1274123</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869’ 5”</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MANULANI (4)(7)</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2005</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1168529</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712’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MAUNAWILI (4)(7)</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1153166</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711’ 9”</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MANUKAI (4)(7)(8)</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2003</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1141163</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711’ 9”</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R.J. PFEIFFER (4)(7)</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1992</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979814</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713’ 6”</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MOKIHANA (4)</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1983</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655397</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860’ 2”</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MAUNALEI (4)(7)</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1181627</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1,992</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681’ 1”</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KODIAK (4)(7)</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1987</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910308</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ANCHORAGE (4)(7)</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1987</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910306</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TACOMA (4)(7)</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1987</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910307</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710’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KAMOKUIKI (5)</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9232979</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433’ 9”</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OLOMANA (6)</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9184225</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7”</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IMUA (6)</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9184237</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6”</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LILOA II (6)</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9184249</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90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388’ 6”</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PAPA MAU (6)</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1999</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9141704</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60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381’ 5”</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Vessels-Chartered: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MAGNOLIA (6)</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2006</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9302578</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5,060</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964’ 9”</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2027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WAIKIKI (6)</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2008</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9349801</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4,946</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902’ 0”</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September 2028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LANAI (6)</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9334143</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855’ 2”</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August 2027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MAUI (6)</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2007</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9340764</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854’ 8”</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OAHU (6)</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2008</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9352406</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4,245</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853’ 0”</w:t>
            </w:r>
          </w:p>
        </w:tc>
        <w:tc>
          <w:tcPr>
            <w:tcW w:w="84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November 2027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MATSON KAUAI (6)</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2008</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9353278</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4,218</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881’ 11”</w:t>
            </w:r>
          </w:p>
        </w:tc>
        <w:tc>
          <w:tcPr>
            <w:tcW w:w="84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August 2027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Barges-Owned: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MAUNA LOA (4)</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1247426</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560" w:type="dxa"/>
            <w:vAlign w:val="bottom"/>
            <w:gridSpan w:val="2"/>
            <w:shd w:val="clear" w:color="auto" w:fill="CCEE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78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362’ 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HALEAKALA (4)</w:t>
            </w: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6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1324310</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56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w w:val="99"/>
              </w:rPr>
              <w:t>72</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362’ 6”</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ISLANDER (5)</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1348946</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180’ 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Barges-Chartered: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ILIULIUK BAY (4)</w:t>
            </w: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66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1249384</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250’ 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2025</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79" w:hanging="330"/>
        <w:spacing w:after="0" w:line="233"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Container numbers are based upon vessel construction specifications. Twenty-foot Equivalent Units (“TEU”) is a standard measure of cargo volume correlated to a standard 20-foot dry cargo container. Actual loadable containers may vary from these amounts.</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speed of the vessel may vary from the Vessel Design Speed.</w:t>
      </w:r>
    </w:p>
    <w:p>
      <w:pPr>
        <w:ind w:left="380" w:right="239"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Charter expiration dates represent the approximate month the vessel can be returned to its owner. Some vessel charter agreements include options for the Company to further extend the charter period.</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flagged and Jones Act qualified vessel or barge.</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flagged vessel or barge.</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Foreign-flagged vessel.</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installed with exhaust gas cleaning systems (commonly referred to as “scrubbers”).</w:t>
      </w: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can operate on liquified natural gas (“LNG”), conventional or alternative fuels.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Fleet Renewal Program:</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is constructing three new vessels with the following specifications and expected delivery dates: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Usable Cargo Capacity</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Containers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Vessel</w:t>
            </w:r>
          </w:p>
        </w:tc>
        <w:tc>
          <w:tcPr>
            <w:tcW w:w="10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Type of</w:t>
            </w:r>
          </w:p>
        </w:tc>
        <w:tc>
          <w:tcPr>
            <w:tcW w:w="12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Expected</w:t>
            </w: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TEUs</w:t>
            </w: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Reefer</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Length</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Speed</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Deadweight</w:t>
            </w:r>
          </w:p>
        </w:tc>
        <w:tc>
          <w:tcPr>
            <w:tcW w:w="0" w:type="dxa"/>
            <w:vAlign w:val="bottom"/>
          </w:tcPr>
          <w:p>
            <w:pPr>
              <w:spacing w:after="0"/>
              <w:rPr>
                <w:sz w:val="1"/>
                <w:szCs w:val="1"/>
                <w:color w:val="auto"/>
              </w:rPr>
            </w:pPr>
          </w:p>
        </w:tc>
      </w:tr>
      <w:tr>
        <w:trPr>
          <w:trHeight w:val="173"/>
        </w:trPr>
        <w:tc>
          <w:tcPr>
            <w:tcW w:w="250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82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Slots</w:t>
            </w:r>
          </w:p>
        </w:tc>
        <w:tc>
          <w:tcPr>
            <w:tcW w:w="800" w:type="dxa"/>
            <w:vAlign w:val="bottom"/>
            <w:gridSpan w:val="2"/>
            <w:vMerge w:val="continue"/>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(Knots)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 Tons)</w:t>
            </w:r>
          </w:p>
        </w:tc>
        <w:tc>
          <w:tcPr>
            <w:tcW w:w="0" w:type="dxa"/>
            <w:vAlign w:val="bottom"/>
          </w:tcPr>
          <w:p>
            <w:pPr>
              <w:spacing w:after="0"/>
              <w:rPr>
                <w:sz w:val="1"/>
                <w:szCs w:val="1"/>
                <w:color w:val="auto"/>
              </w:rPr>
            </w:pPr>
          </w:p>
        </w:tc>
      </w:tr>
      <w:tr>
        <w:trPr>
          <w:trHeight w:val="196"/>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Containership</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Q1 2027</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853’ 2”</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r>
        <w:trPr>
          <w:trHeight w:val="20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Containership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Q3 2027</w:t>
            </w: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853’ 2”</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Aloha Class</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Containership</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Q2 2028</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3,620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853’ 2”</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Matson expects to deploy the three new Aloha Class vessels in the CLX service and redeploy three existing vessels into the Alaska service. The new vessels will have dual-fuel engines and be equipped with tanks, piping and cryogenic equipment designed to operate on LNG, conventional and alternative fuels. The new vessels are also being designed with state-of-the-art green technology features and fuel-efficient hulls. Each new vessel is expected to provide approximately 500 containers of additional capacity per voyage in the CLX service.</w:t>
      </w:r>
    </w:p>
    <w:p>
      <w:pPr>
        <w:spacing w:after="0" w:line="18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The initial contract cost of the new vessel program is approximately $1.0 billion, with milestone payments expected to be financed with cash currently on deposit in the Company’s Capital Construction Fund, cash and cash equivalents on the Company’s Consolidated Balance Sheets and through cash flows generated from future operations, borrowings available under the Company’s unsecured revolving credit facility or additional debt financings. Actual and future vessel construction progress milestone payments based on signed agreements and change orders, excluding vessel steel price adjustments, owners’ items and capitalized interest, are expected to be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Future Milestone Payments</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08"/>
        </w:trPr>
        <w:tc>
          <w:tcPr>
            <w:tcW w:w="2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114"/>
              <w:spacing w:after="0" w:line="109" w:lineRule="exact"/>
              <w:rPr>
                <w:sz w:val="20"/>
                <w:szCs w:val="20"/>
                <w:color w:val="auto"/>
              </w:rPr>
            </w:pPr>
            <w:r>
              <w:rPr>
                <w:rFonts w:ascii="Times New Roman" w:cs="Times New Roman" w:eastAsia="Times New Roman" w:hAnsi="Times New Roman"/>
                <w:sz w:val="12"/>
                <w:szCs w:val="12"/>
                <w:b w:val="1"/>
                <w:bCs w:val="1"/>
                <w:color w:val="auto"/>
                <w:w w:val="98"/>
              </w:rPr>
              <w:t>As of</w:t>
            </w: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Vessel Construction Obligations</w:t>
            </w:r>
          </w:p>
        </w:tc>
        <w:tc>
          <w:tcPr>
            <w:tcW w:w="10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5"/>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80" w:type="dxa"/>
            <w:vAlign w:val="bottom"/>
          </w:tcPr>
          <w:p>
            <w:pPr>
              <w:spacing w:after="0"/>
              <w:rPr>
                <w:sz w:val="13"/>
                <w:szCs w:val="13"/>
                <w:color w:val="auto"/>
              </w:rPr>
            </w:pPr>
          </w:p>
        </w:tc>
        <w:tc>
          <w:tcPr>
            <w:tcW w:w="64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3"/>
                <w:szCs w:val="13"/>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3"/>
                <w:szCs w:val="13"/>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3"/>
                <w:szCs w:val="13"/>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2027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2028</w:t>
            </w:r>
          </w:p>
        </w:tc>
        <w:tc>
          <w:tcPr>
            <w:tcW w:w="180" w:type="dxa"/>
            <w:vAlign w:val="bottom"/>
          </w:tcPr>
          <w:p>
            <w:pPr>
              <w:spacing w:after="0"/>
              <w:rPr>
                <w:sz w:val="13"/>
                <w:szCs w:val="13"/>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Aloha Class Containerships</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290.3</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313.6</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185.0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$ 1,003.5</w:t>
            </w:r>
          </w:p>
        </w:tc>
      </w:tr>
    </w:tbl>
    <w:p>
      <w:pPr>
        <w:spacing w:after="0" w:line="19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three new Aloha Class vessels represent an important step towards Matson’s medium-term greenhouse gas (“GHG”) emissions goal to reduce Scope 1 GHG emissions from its owned fleet by 40% by 2030, using 2016 as a baseline year. Matson has also set a long-term goal to achieve net zero Scope 1 GHG emissions from its owned fleet by 2050. For more information on Matson’s environmental stewardship initiatives, including GHG reduction goals, see Matson’s Sustainability Report and other information available at https://www.matson.com/sustainability.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Vessel Emission Regulations:</w:t>
      </w:r>
    </w:p>
    <w:p>
      <w:pPr>
        <w:spacing w:after="0" w:line="227"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Being a leader in environmental stewardship is one of Matson’s core values. Matson’s vessels transit through some of the most environmentally sensitive areas in the United States including the Hawaiian Islands and the coasts of California, Oregon, Washington and Alaska. In particular, Matson is focused on reducing transportation emissions, including carbon dioxide, methane, nitrous oxide, particulate matter and sulfur dioxide through improvements in vessel fuel consumption, choice of fuel types and the development of more fuel-efficient transportation solutions. Matson further contributes positively to the environment by testing and deploying leading technologies as the fleet is modernized.</w:t>
      </w:r>
    </w:p>
    <w:p>
      <w:pPr>
        <w:spacing w:after="0" w:line="187"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The International Maritime Organization (“IMO”), of which the U.S. and over 150 other countries are members, is a specialized agency of the United Nations that sets international environmental standards applicable to vessels operating under the flag of any member state. Effective January 1, 2020, the IMO imposed regulations that generally require all vessels to burn fuel oil with a maximum sulfur content of ≤0.5 percent. With respect to North America, all waters, with certain limited exceptions, within 200 nautical miles of U.S. and Canadian coastlines have been designated emission control areas (“ECAs”). Since January 1, 2015, U.S. Environmental Protection Agency regulations have reduced the fuel oil maximum sulfur content in designated ECAs to ≤0.1 percent. In addition, since August 1, 2012, the California Air Resources Board has reduced the fuel oil maximum sulfur content to ≤0.1 percent within 24 miles of the California coastline.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Matson’s vessels are designed to operate in compliance with current IMO and ECA regulations as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1" w:lineRule="auto"/>
        <w:rPr>
          <w:sz w:val="20"/>
          <w:szCs w:val="20"/>
          <w:color w:val="auto"/>
        </w:rPr>
      </w:pPr>
      <w:r>
        <w:rPr>
          <w:rFonts w:ascii="Times New Roman" w:cs="Times New Roman" w:eastAsia="Times New Roman" w:hAnsi="Times New Roman"/>
          <w:sz w:val="18"/>
          <w:szCs w:val="18"/>
          <w:color w:val="auto"/>
        </w:rPr>
        <w:t>Beginning in 2023, IMO regulations require containerships operating internationally with over 5,000 gross tonnage to comply with annual Carbon Intensity Indicator (“CII”) requirements that become increasingly stringent towards 2030. CII measures how efficiently a ship transports goods, and uses calculated carbon dioxide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emissions to determine an annual rating. For ships that are not in compliance, a corrective action plan needs to be developed as part of the vessels’ Ship Energy Efficiency Management Plan (“SEEMP”) and approved by port state authorities. The Company believes that its vessels are currently in compliance with these regulations. For more information on Matson’s environmental stewardship initiatives, including GHG emission reduction goals, see Matson’s Sustainability Report and other information available at https://www.matson.com/sustainability.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Hawaii Terminal Modernization and Expansion Program:</w:t>
      </w:r>
    </w:p>
    <w:p>
      <w:pPr>
        <w:spacing w:after="0" w:line="22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Matson completed the first phase of its program to modernize and renovate its terminal facility at Sand Island, Honolulu, and is progressing on the second phase. As part of this program, Matson completed the installation of three new 65 long-ton capacity gantry cranes, upgraded and renovated three existing cranes, demolished four outdated cranes, and installed upgrades to the electrical infrastructure at the terminal. In addition, Matson completed the installation, energization and transition to a new redundant main switchgear. Additional projects for the second phase relate to improvements to its existing backup power generators and other terminal upgrades, which are expected to be completed within the next two years.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third phase represents a broader and long-term expansion program at the Sand Island terminal facility. Matson expects to expand into Pier 51A and portions of Pier 51B after Pasha Hawaii (“Pasha”) relocates to, and is operational at, the Kapalama Container Terminal (“KCT”) facility in late 2025 or early 2026. Matson is currently performing surveying, planning and design work in preparation for this expansion.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Equipment:</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As a complement to its fleet of vessels and barges, Matson owns a variety of equipment including terminal cranes and equipment, containers, chassis and other property which represents an investment of approximately $0.9 billion as of December 31, 2024. Matson also leases containers, chassis and other equipment under various operating lease agreements.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Major components of Matson’s Ocean Transportation operating costs are as follows:</w:t>
      </w:r>
    </w:p>
    <w:p>
      <w:pPr>
        <w:spacing w:after="0" w:line="223"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Cargo Expense </w:t>
      </w:r>
      <w:r>
        <w:rPr>
          <w:rFonts w:ascii="Times New Roman" w:cs="Times New Roman" w:eastAsia="Times New Roman" w:hAnsi="Times New Roman"/>
          <w:sz w:val="18"/>
          <w:szCs w:val="18"/>
          <w:color w:val="auto"/>
        </w:rPr>
        <w:t>includes terminal handling costs including labor and wharfage, outside purchased transportation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related costs.</w:t>
      </w:r>
    </w:p>
    <w:p>
      <w:pPr>
        <w:spacing w:after="0" w:line="158"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Vessel Operating Expense </w:t>
      </w:r>
      <w:r>
        <w:rPr>
          <w:rFonts w:ascii="Times New Roman" w:cs="Times New Roman" w:eastAsia="Times New Roman" w:hAnsi="Times New Roman"/>
          <w:sz w:val="18"/>
          <w:szCs w:val="18"/>
          <w:color w:val="auto"/>
        </w:rPr>
        <w:t>includes crew wages and related costs; fuel; pilots, tugs, lines and related costs; vessel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vessel operating related expenses.</w:t>
      </w:r>
    </w:p>
    <w:p>
      <w:pPr>
        <w:spacing w:after="0" w:line="158" w:lineRule="exact"/>
        <w:rPr>
          <w:sz w:val="20"/>
          <w:szCs w:val="20"/>
          <w:color w:val="auto"/>
        </w:rPr>
      </w:pPr>
    </w:p>
    <w:p>
      <w:pPr>
        <w:ind w:left="60" w:right="3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Overhead Expense </w:t>
      </w:r>
      <w:r>
        <w:rPr>
          <w:rFonts w:ascii="Times New Roman" w:cs="Times New Roman" w:eastAsia="Times New Roman" w:hAnsi="Times New Roman"/>
          <w:sz w:val="18"/>
          <w:szCs w:val="18"/>
          <w:color w:val="auto"/>
        </w:rPr>
        <w:t>includes vessel repair and maintenance costs, inactive vessel costs, dry-docking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equipment lease costs, equipment repair costs, insurance, port engineers and other maintenance costs, and other vessel and shoreside related overhead and other indirect costs.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major competitors in Matson’s Ocean Transportation segment:</w:t>
      </w:r>
    </w:p>
    <w:p>
      <w:pPr>
        <w:spacing w:after="0" w:line="223" w:lineRule="exact"/>
        <w:rPr>
          <w:sz w:val="20"/>
          <w:szCs w:val="20"/>
          <w:color w:val="auto"/>
        </w:rPr>
      </w:pPr>
    </w:p>
    <w:p>
      <w:pPr>
        <w:ind w:left="60" w:right="15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Hawaii Service: </w:t>
      </w:r>
      <w:r>
        <w:rPr>
          <w:rFonts w:ascii="Times New Roman" w:cs="Times New Roman" w:eastAsia="Times New Roman" w:hAnsi="Times New Roman"/>
          <w:sz w:val="17"/>
          <w:szCs w:val="17"/>
          <w:color w:val="auto"/>
        </w:rPr>
        <w:t>Matson’s Hawaii service has one major U.S. flagged Jones Act competitor, Pasha, which operates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container and roll-on/roll-off services between the ports of Long Beach, Oakland and San Diego, California to Hawaii. A U.S. flagged Jones Act barge operator, Aloha Marine Lines, offers barge service between Seattle, Washington and Hawaii.</w:t>
      </w:r>
    </w:p>
    <w:p>
      <w:pPr>
        <w:spacing w:after="0" w:line="15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Foreign-flagged vessels carrying cargo to Hawaii from non-U.S. locations also provide alternatives for companies shipping to Hawaii. Other competitors in the Hawaii service include proprietary operators and contract carriers of bulk cargo, and air freight carriers.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Matson operates three strings of vessels to Hawaii. These strings provide customers an industry-leading five departures from ports on the U.S. West Coast – two each from Long Beach and Oakland, California and one from Tacoma, Washington, with three arrivals in Honolulu each week. Each of these strings operates on a fixed day-of-the-week schedule. One of the vessel strings continues from Honolulu to China before returning to Long Beach. Matson’s frequent sailings and punctuality permit customers to reduce inventory carrying costs. Matson also competes by offering a comprehensive service network to customers, including: the only container service to and from the three largest U.S. West Coast ports; the most efficient terminal network on the U.S. West Coast with three exclusive use terminals provided by SSAT that allow for quicker and more reliable port calls; a dedicated inter-island barge network which is integrated with Matson’s line haul schedule; roll-on/roll-off service from Long Beach and Oakland; a world-class customer service team; and efficiency and experience in handling cargo of many types.</w:t>
      </w:r>
    </w:p>
    <w:p>
      <w:pPr>
        <w:spacing w:after="0" w:line="192"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Alaska Service: </w:t>
      </w:r>
      <w:r>
        <w:rPr>
          <w:rFonts w:ascii="Times New Roman" w:cs="Times New Roman" w:eastAsia="Times New Roman" w:hAnsi="Times New Roman"/>
          <w:sz w:val="18"/>
          <w:szCs w:val="18"/>
          <w:color w:val="auto"/>
        </w:rPr>
        <w:t>Matson’s Alaska service has one major U.S. flagged Jones Act competitor, Totem Ocean Trailer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 Inc., which operates a roll-on/roll-off service between Tacoma, Washington and Anchorage, Alaska. There are also two primary U.S. flagged Jones Act barge operators, Alaska Marine Lines, which mainly provides services from Seattle, Washington to the ports of Anchorage,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 Other competitors include air freight carriers and over-the-road trucking services. Foreign-flagged vessels provide alternatives for companies shipping cargo (mainly seafood) from the Alaska ports of Kodiak and Dutch Harbor to international destinations. The primary competitor of Matson’s AAX service is CMA CGM, which provides services between Dutch Harbor, Alaska and Asia.</w:t>
      </w:r>
    </w:p>
    <w:p>
      <w:pPr>
        <w:spacing w:after="0" w:line="187"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Matson offers customers twice weekly scheduled service from Tacoma, Washington to Anchorage and Kodiak, Alaska, and a weekly service to Dutch Harbor, Alaska. The Company also provides a barge service between Dutch Harbor and Akutan in Alaska. Matson is the only Jones Act containership operator providing service to Kodiak and Dutch Harbor in Alaska, which are the primary loading ports for southbound seafood. Matson offers dedicated terminal services at the Alaska ports of Anchorage, Kodiak and Dutch Harbor performed by Matson, and at the port of Tacoma, Washington performed by SSAT. Matson’s AAX service also offers customers a service from Kodiak and Dutch Harbor, Alaska to Ningbo and Shanghai, China, and Busan, South Korea, with transshipment services from those ports to other locations in Asia.</w:t>
      </w:r>
    </w:p>
    <w:p>
      <w:pPr>
        <w:spacing w:after="0" w:line="169" w:lineRule="exact"/>
        <w:rPr>
          <w:sz w:val="20"/>
          <w:szCs w:val="20"/>
          <w:color w:val="auto"/>
        </w:rPr>
      </w:pPr>
    </w:p>
    <w:p>
      <w:pPr>
        <w:ind w:left="60" w:right="5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China Service: </w:t>
      </w:r>
      <w:r>
        <w:rPr>
          <w:rFonts w:ascii="Times New Roman" w:cs="Times New Roman" w:eastAsia="Times New Roman" w:hAnsi="Times New Roman"/>
          <w:sz w:val="18"/>
          <w:szCs w:val="18"/>
          <w:color w:val="auto"/>
        </w:rPr>
        <w:t>Major competitors to Matson’s China service include international transpacific carriers such as CMA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CGM, Zim, Hede and Cosco. Other competitors include air freight carriers.</w:t>
      </w:r>
    </w:p>
    <w:p>
      <w:pPr>
        <w:spacing w:after="0" w:line="160" w:lineRule="exact"/>
        <w:rPr>
          <w:sz w:val="20"/>
          <w:szCs w:val="20"/>
          <w:color w:val="auto"/>
        </w:rPr>
      </w:pPr>
    </w:p>
    <w:p>
      <w:pPr>
        <w:ind w:left="60" w:right="239"/>
        <w:spacing w:after="0" w:line="272" w:lineRule="auto"/>
        <w:rPr>
          <w:sz w:val="20"/>
          <w:szCs w:val="20"/>
          <w:color w:val="auto"/>
        </w:rPr>
      </w:pPr>
      <w:r>
        <w:rPr>
          <w:rFonts w:ascii="Times New Roman" w:cs="Times New Roman" w:eastAsia="Times New Roman" w:hAnsi="Times New Roman"/>
          <w:sz w:val="17"/>
          <w:szCs w:val="17"/>
          <w:color w:val="auto"/>
        </w:rPr>
        <w:t>Matson’s China service (CLX and MAX) competes by offering fast and reliable service from the ports of Ningbo and Shanghai in China, and feeder services from other Asian ports of origin connecting in Shanghai, China, to Long Beach, California. Matson provides fixed day-of-the-week arrivals and industry leading cargo availability. Matson’s service is further differentiated by best-in-class stevedoring services provided by SSAT, Matson dedicated terminal space, access to Shippers Transport Express off-dock container yards for faster truck turn times, Matson-dedicated equipment including chassis to speed cargo availability, one-stop intermodal connections, and world-class customer service. Matson also provides intermodal services in coordination with Matson Logistics. Matson has offices located in Shanghai, Ningbo, Shenzhen, Xiamen and Hong Kong, and has contracted with terminal operators in Ningbo and Shanghai.</w:t>
      </w:r>
    </w:p>
    <w:p>
      <w:pPr>
        <w:spacing w:after="0" w:line="17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Guam Service: </w:t>
      </w:r>
      <w:r>
        <w:rPr>
          <w:rFonts w:ascii="Times New Roman" w:cs="Times New Roman" w:eastAsia="Times New Roman" w:hAnsi="Times New Roman"/>
          <w:sz w:val="18"/>
          <w:szCs w:val="18"/>
          <w:color w:val="auto"/>
        </w:rPr>
        <w:t>Matson’s Guam service has one major competitor, APL, a subsidiary of CMA CGM, which operates a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flagged container service connecting the U.S. West Coast to Guam and Saipan, via transshipments to U.S. flagged feeder vessels in Yokohama, Japan and Busan, South Korea via a two-ship feeder service, and a third-party U.S. flagged service with transshipments from Guam to Saipan. There are also multiple foreign carriers that call at Guam from foreign origin ports, and air freight carriers.</w:t>
      </w:r>
    </w:p>
    <w:p>
      <w:pPr>
        <w:spacing w:after="0" w:line="185"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Matson offers customers a weekly sailing to Guam as part of the CLX service from three ports on the U.S. West Coast. Matson’s ocean transit times, best-in-class services from all three U.S. West Coast terminals and reliable on-time performance provides an industry-leading service to its customers.</w:t>
      </w:r>
    </w:p>
    <w:p>
      <w:pPr>
        <w:spacing w:after="0" w:line="174"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Japan Service: </w:t>
      </w:r>
      <w:r>
        <w:rPr>
          <w:rFonts w:ascii="Times New Roman" w:cs="Times New Roman" w:eastAsia="Times New Roman" w:hAnsi="Times New Roman"/>
          <w:sz w:val="18"/>
          <w:szCs w:val="18"/>
          <w:color w:val="auto"/>
        </w:rPr>
        <w:t>Matson’s Japan service has one major competitor, APL, which operates a U.S. flagged containership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U.S. West Coast to the port of Naha in Okinawa, Japan.</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Matson offers customers a fast and reliable weekly service to the port of Naha in Okinawa, Japan as part of the CLX service from three ports on the U.S. West Coast.</w:t>
      </w:r>
    </w:p>
    <w:p>
      <w:pPr>
        <w:spacing w:after="0" w:line="160"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Micronesia and South Pacific Services: </w:t>
      </w:r>
      <w:r>
        <w:rPr>
          <w:rFonts w:ascii="Times New Roman" w:cs="Times New Roman" w:eastAsia="Times New Roman" w:hAnsi="Times New Roman"/>
          <w:sz w:val="18"/>
          <w:szCs w:val="18"/>
          <w:color w:val="auto"/>
        </w:rPr>
        <w:t>Matson’s Micronesia and South Pacific services compete with a variety of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 carriers that provide freight services to the area.</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22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Matson serves customers in numerous industries and carries a wide variety of cargo, mitigating its dependence upon any single customer or single type of cargo. The Company’s 10 largest Ocean Transportation customers account for approximately 18 percent of the Company’s Ocean Transportation revenue. For additional information on Ocean Transportation revenues for the years ended December 31, 2024, 2023 and 2022, see Note 2 to the Consolidated Financial Statements in Item 8 of Part II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59"/>
        <w:spacing w:after="0" w:line="273" w:lineRule="auto"/>
        <w:rPr>
          <w:sz w:val="20"/>
          <w:szCs w:val="20"/>
          <w:color w:val="auto"/>
        </w:rPr>
      </w:pPr>
      <w:r>
        <w:rPr>
          <w:rFonts w:ascii="Times New Roman" w:cs="Times New Roman" w:eastAsia="Times New Roman" w:hAnsi="Times New Roman"/>
          <w:sz w:val="17"/>
          <w:szCs w:val="17"/>
          <w:color w:val="auto"/>
        </w:rPr>
        <w:t>Historically, Matson’s Ocean Transportation services have typically experienced seasonality in volume, generally following a pattern of increasing volume starting in the second quarter of each year culminating in the early part of the fourth quarter. This seasonality is amplified in the Alaska service primarily due to winter weather and the timing of southbound seafood trade. As a result, earnings have tended to follow a similar pattern, offset by periodic vessel dry-docking and other episodic cost factors, which can lead to earnings variability. In addition, in the China trade, volume demand is generally stronger in the second and third quarters primarily driven by U.S. consumer demand for goods ahead of key retail selling seasons. Freight rates can be impacted by these seasonality trends as well as macro supply and demand variables.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Maritime Laws and the Jones Act:</w:t>
      </w:r>
    </w:p>
    <w:p>
      <w:pPr>
        <w:spacing w:after="0" w:line="227"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Maritime Laws: </w:t>
      </w:r>
      <w:r>
        <w:rPr>
          <w:rFonts w:ascii="Times New Roman" w:cs="Times New Roman" w:eastAsia="Times New Roman" w:hAnsi="Times New Roman"/>
          <w:sz w:val="18"/>
          <w:szCs w:val="18"/>
          <w:color w:val="auto"/>
        </w:rPr>
        <w:t>All interstate and intrastate marine commerce within the U.S. falls under the Merchant Marine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1920 (commonly referred to as the Jones Act).</w:t>
      </w:r>
    </w:p>
    <w:p>
      <w:pPr>
        <w:spacing w:after="0" w:line="160"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w:t>
      </w:r>
    </w:p>
    <w:p>
      <w:pPr>
        <w:spacing w:after="0" w:line="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75 percent owned by U.S. citizens. U.S. flagged vessels are generally required to be maintained at higher standards than foreign-flagged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2023 and 2022, approximately 50 percent, 55 percent and 39 percent, respectively, of Matson’s Ocean Transportation revenues came from the Hawaii and Alaska trades that were subject to the Jones Act. Matson’s Hawaii and Alaska trade routes are included within the non-contiguous Jones Act market. The commerce of both Hawaii, as an island economy, and Alaska, due to its geographical location, are dependent on ocean transportation. The Jones Act ensures frequent, reliable, roundtrip service to these locations. Matson’s vessels operating in these trade routes are Jones Act qualified and maintained in compliance with such requirements.</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Matson is a member of the American Maritime Partnership (“AMP”), which supports the retention of the Jones Act and similar cabotage laws. The Jones Act has broad support from both houses of Congress and the Executive Branch. Matson believes that the geopolitical environment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Other U.S. maritime laws require vessels operating between Guam, a U.S. territory, and U.S. ports to be U.S. flagged and predominantly U.S. crewed, but not U.S. built.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Cabotage laws are not unique to the United States, and similar laws exist around the world in over 90 countries, including regions in which Matson provides ocean transportation services. Any changes in such laws may have an impact on the services provided by Matson in those regions.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Rate Regulations and Fuel-Related Surcharges: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seeks to provide a 30-day notice to customers of any increases in general rates and other charges, and passes along decreases as soon as possible.</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Matson’s Ocean Transportation services engaged in U.S.-foreign commerce are subject to the jurisdiction of the Federal Maritime Commission (“FMC”). The FMC is a federal independent regulatory agency that is responsible for the regulation of international ocean-borne transportation to and from the U.S.</w:t>
      </w:r>
    </w:p>
    <w:p>
      <w:pPr>
        <w:spacing w:after="0" w:line="176"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Matson applies a fuel-related surcharge rate to its Ocean Transportation customers. Matson’s fuel-related surcharge is correlated to market rates for fuel prices and other factors, and is intended to help Matson recover fuel-related expenses.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Regulations:</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vessel emission regulations discussed above, Matson’s operations are required to comply with other environmental regulations and requirements including the Oil Pollution Act of 1990, the Comprehensive Environmental Response Compensation &amp; Liability Act of 1980, the Rivers and Harbors Act of 1899, the Clean Water Act, the Invasive Species Act and the Clean Air Act. Matson is also subject to state regulations affecting terminal and vessel emissions, such as the requirement to shut down vessel generator engines while at berth at California ports and switch to shore electrical power or achieve equivalent emissions reductions. The Company actively monitors its operations for compliance with these and other regulations.</w:t>
      </w:r>
    </w:p>
    <w:p>
      <w:pPr>
        <w:spacing w:after="0" w:line="18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more information on Matson’s environmental stewardship initiatives, including its environmental goals, see Matson’s Sustainability Report and other information available at https://www.matson.com/sustainability.</w:t>
      </w:r>
    </w:p>
    <w:p>
      <w:pPr>
        <w:spacing w:after="0" w:line="158" w:lineRule="exact"/>
        <w:rPr>
          <w:sz w:val="20"/>
          <w:szCs w:val="20"/>
          <w:color w:val="auto"/>
        </w:rPr>
      </w:pPr>
    </w:p>
    <w:p>
      <w:pPr>
        <w:ind w:left="1340" w:hanging="642"/>
        <w:spacing w:after="0"/>
        <w:tabs>
          <w:tab w:leader="none" w:pos="1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LOGISTICS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 Services: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Logistics provides the following services:</w:t>
      </w:r>
    </w:p>
    <w:p>
      <w:pPr>
        <w:spacing w:after="0" w:line="223"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Transportation Brokerage Services: </w:t>
      </w:r>
      <w:r>
        <w:rPr>
          <w:rFonts w:ascii="Times New Roman" w:cs="Times New Roman" w:eastAsia="Times New Roman" w:hAnsi="Times New Roman"/>
          <w:sz w:val="18"/>
          <w:szCs w:val="18"/>
          <w:color w:val="auto"/>
        </w:rPr>
        <w:t>Matson Logistics provides intermodal rail, highway, and other third-party logistics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for North American customers and international ocean carrier customers, including MatNav. Matson Logistics creates significant benefits and value for its customers through volume purchases of rail, motor carrier and ocean transportation services, augmented by services such as shipment tracking and tracing, accessibility to its owned fleet of 53-foot intermodal containers and single-vendor invoicing. Matson Logistics operates customer service centers and has sales offices throughout North America.</w:t>
      </w:r>
    </w:p>
    <w:p>
      <w:pPr>
        <w:spacing w:after="0" w:line="18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Freight Forwarding Services: </w:t>
      </w:r>
      <w:r>
        <w:rPr>
          <w:rFonts w:ascii="Times New Roman" w:cs="Times New Roman" w:eastAsia="Times New Roman" w:hAnsi="Times New Roman"/>
          <w:sz w:val="18"/>
          <w:szCs w:val="18"/>
          <w:color w:val="auto"/>
        </w:rPr>
        <w:t>Matson Logistics provides Freight Forwarding services primarily to the Alaska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wholly-owned subsidiary, Span Intermediate, LLC (“Span Alaska”). Span Alaska’s business aggregates LCL freight at its cross-dock facility in Auburn, Washington for consolidation and shipment to its service center in Anchorage and a network of other facilities in Alaska. Span Alaska also provides trucking services to its Auburn cross-dock facility and from its Alaska based cross-dock facilities to final customer destinations in Alaska.</w:t>
      </w:r>
    </w:p>
    <w:p>
      <w:pPr>
        <w:spacing w:after="0" w:line="183"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Warehousing Services: </w:t>
      </w:r>
      <w:r>
        <w:rPr>
          <w:rFonts w:ascii="Times New Roman" w:cs="Times New Roman" w:eastAsia="Times New Roman" w:hAnsi="Times New Roman"/>
          <w:sz w:val="18"/>
          <w:szCs w:val="18"/>
          <w:color w:val="auto"/>
        </w:rPr>
        <w:t>Matson Logistics operates two warehouses in Georgia and two warehouses in Northern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warehousing, trans-loading, value-added packaging and distribution services.</w:t>
      </w:r>
    </w:p>
    <w:p>
      <w:pPr>
        <w:spacing w:after="0" w:line="158"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Supply Chain Management and Other Services: </w:t>
      </w:r>
      <w:r>
        <w:rPr>
          <w:rFonts w:ascii="Times New Roman" w:cs="Times New Roman" w:eastAsia="Times New Roman" w:hAnsi="Times New Roman"/>
          <w:sz w:val="18"/>
          <w:szCs w:val="18"/>
          <w:color w:val="auto"/>
        </w:rPr>
        <w:t>Matson Logistics provides customers with a variety of logistics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purchase order management, booking services, customs brokerage, LCL and full container load NVOCC</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freight forwarding services. Matson Logistics has supply chain operations in North America, China, Southeast Asia and other locations.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Matson Logistics’ operating costs include transportation costs, transportation brokerage expenses, agency commissions, leases of warehouses, cross-dock and other facility operating costs, wages and other related costs, and other operating overhead.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76" w:lineRule="exact"/>
        <w:rPr>
          <w:sz w:val="20"/>
          <w:szCs w:val="20"/>
          <w:color w:val="auto"/>
        </w:rPr>
      </w:pPr>
    </w:p>
    <w:p>
      <w:pPr>
        <w:jc w:val="both"/>
        <w:ind w:left="60" w:right="139"/>
        <w:spacing w:after="0" w:line="255" w:lineRule="auto"/>
        <w:rPr>
          <w:sz w:val="20"/>
          <w:szCs w:val="20"/>
          <w:color w:val="auto"/>
        </w:rPr>
      </w:pPr>
      <w:r>
        <w:rPr>
          <w:rFonts w:ascii="Times New Roman" w:cs="Times New Roman" w:eastAsia="Times New Roman" w:hAnsi="Times New Roman"/>
          <w:sz w:val="18"/>
          <w:szCs w:val="18"/>
          <w:color w:val="auto"/>
        </w:rPr>
        <w:t>Matson Logistics’ Transportation Brokerage services compete most directly with C.H. Robinson Worldwide, Hub Group, RXO and other freight brokers and intermodal marketing companies, and asset-invested market leaders such as J.B. Hunt. Matson Logistics competes by relying on the depth, scale and scope of its customer relationships; vendor relationships and rates; network capacity; real-time visibility into the movement of customers’ goods; and other technology solutions.</w:t>
      </w:r>
    </w:p>
    <w:p>
      <w:pPr>
        <w:spacing w:after="0" w:line="3" w:lineRule="exact"/>
        <w:rPr>
          <w:sz w:val="20"/>
          <w:szCs w:val="20"/>
          <w:color w:val="auto"/>
        </w:rPr>
      </w:pPr>
    </w:p>
    <w:p>
      <w:pPr>
        <w:ind w:left="60" w:right="519"/>
        <w:spacing w:after="0" w:line="260" w:lineRule="auto"/>
        <w:rPr>
          <w:sz w:val="20"/>
          <w:szCs w:val="20"/>
          <w:color w:val="auto"/>
        </w:rPr>
      </w:pPr>
      <w:r>
        <w:rPr>
          <w:rFonts w:ascii="Times New Roman" w:cs="Times New Roman" w:eastAsia="Times New Roman" w:hAnsi="Times New Roman"/>
          <w:sz w:val="18"/>
          <w:szCs w:val="18"/>
          <w:color w:val="auto"/>
        </w:rPr>
        <w:t>Additionally, while Matson Logistics primarily provides surface transportation brokerage, it also competes to a lesser degree with other forms of transportation for the movement of cargo such as air freight.</w:t>
      </w:r>
    </w:p>
    <w:p>
      <w:pPr>
        <w:spacing w:after="0" w:line="181"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Matson Logistics’ Freight Forwarding services compete most directly with a variety of freight forwarding companies that operate within Alaska including Carlile, Lynden and Odyssey.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22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Matson Logistics serves customers in numerous industries. The Company’s 10 largest logistics customers account for approximately 17 percent of the Company’s Logistics revenue. For additional information on Logistics revenues for the years ended December 31, 2024, 2023 and 2022, see Note 2 to the Consolidated Financial Statements in Item 8 of Part II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Matson Logistics’ businesses experience seasonality in demand for their services as follows: (i) Transportation Brokerage Services generally sees elevated truckload and intermodal shipment activity starting in the second quarter of each year, culminating in a peak season throughout the third quarter; (ii) Freight Forwarding Services experiences seasonal trends similar to Matson’s Ocean Transportation Alaska service; and (iii) Supply Chain Management and Other Services demand is generally stronger in the second and third quarters similar to Matson’s Ocean Transportation China service.</w:t>
      </w:r>
    </w:p>
    <w:p>
      <w:pPr>
        <w:spacing w:after="0" w:line="395"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AND LABOR RELATIONS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Strategy:</w:t>
      </w:r>
    </w:p>
    <w:p>
      <w:pPr>
        <w:spacing w:after="0" w:line="229"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In support of Matson’s vision to be a great place to work for all employees, the Company focuses on a variety of human capital programs that have been developed to attract, retain and motivate its employee workforce. As a company that operates in various global locations, the Company’s human capital programs are designed to reflect the unique market practices in each geographic location. The Company’s success depends in part on employing a diverse, talented and engaged workforce that reflects its local communities, supports an environment of high standards and performance, and thrives in the Company’s collaborative and respectful culture.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As of December 31, 2024, Matson had 4,356 employees worldwide, of which 161 employees were based in international locations and 3,017 employees were covered by collective bargaining agreements with unions. These numbers include seagoing personnel who rotate through billets (as described below) and temporary employees, but do not include employees of SSAT or other non-employee affiliates such as agents and contractors. The composition of Matson’s workforce by geography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67945</wp:posOffset>
            </wp:positionV>
            <wp:extent cx="1345565" cy="1071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55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As of December 31, 2024, Matson’s fleet of active vessels requires 370 billets to operate. Each billet corresponds to a position on a vessel that typically is filled by two or more employees because seagoing personnel rotate between active sea-duty and time ashore. These amounts exclude billets related to Matson’s foreign-flagged chartered vessels where the vessel owner is responsible for its seagoing personnel.</w:t>
      </w:r>
    </w:p>
    <w:p>
      <w:pPr>
        <w:spacing w:after="0" w:line="18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As part of its overall human capital strategy, Matson continues to focus on developing and promoting equal employment opportunities, particularly for leadership positions. The Company utilizes both internal and external learning and development programs to encourage and promote career opportunities for all employees. Matson is also focused on supporting a more diverse talent pool over the long-term by encouraging historically underrepresented groups to pursue careers in the maritime and logistics sectors. Matson makes all employment decisions based on merit without regard to an individual’s race, gender, or other protected characteristics.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Total Rewards Programs:</w:t>
      </w:r>
    </w:p>
    <w:p>
      <w:pPr>
        <w:spacing w:after="0" w:line="229"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Matson provides a highly competitive and balanced total rewards program designed to attract, retain and motivate its employees. While factors such as job, location and business unit ultimately determine plans for which an employee may be eligible, the Company’s total rewards offering includes market competitive base salaries, cash and equity incentives, recognition awards, health and welfare benefits, and employee and employer funded retirement plans. The Company believes that management level positions should have a portion of pay aligned with its short- and long-term business objectives. Accordingly, the Company’s total rewards program contains several pay-for-performance components tied to individual, business unit and Company performance, as well as Matson’s stock price performance.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0D0D0D"/>
        </w:rPr>
        <w:t>Succession and Career Planning:</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Matson’s workforce is characterized by uniquely skilled, long-tenured employees. To create career pathways for future leaders while planning for the loss of retiring employees, the Company takes a proactive approach to succession and career planning. The Company focuses on providing the next generation of promising talent with the tools they need to build their own careers at Matson. In 2024, 49 percent of open positions were filled with internal candidates. The Company also provided nearly 3,000 hours of employee training and professional development training, and tuition reimbursement programs, while giving annual performance reviews to its non-union workforce.</w:t>
      </w:r>
    </w:p>
    <w:p>
      <w:pPr>
        <w:spacing w:after="0" w:line="187"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141412"/>
        </w:rPr>
        <w:t>For more information on Matson’s human capital programs, see Matson’s Sustainability Report which is available at https://</w:t>
      </w:r>
      <w:r>
        <w:rPr>
          <w:rFonts w:ascii="Times New Roman" w:cs="Times New Roman" w:eastAsia="Times New Roman" w:hAnsi="Times New Roman"/>
          <w:sz w:val="18"/>
          <w:szCs w:val="18"/>
          <w:color w:val="000000"/>
        </w:rPr>
        <w:t>www.matson.com/sustainability</w:t>
      </w:r>
      <w:r>
        <w:rPr>
          <w:rFonts w:ascii="Times New Roman" w:cs="Times New Roman" w:eastAsia="Times New Roman" w:hAnsi="Times New Roman"/>
          <w:sz w:val="18"/>
          <w:szCs w:val="18"/>
          <w:color w:val="141412"/>
        </w:rPr>
        <w: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Bargaining Agreements:</w:t>
      </w:r>
    </w:p>
    <w:p>
      <w:pPr>
        <w:spacing w:after="0" w:line="22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Matson’s shoreside and seagoing employees are represented by a variety of unions. Matson has collective bargaining agreements with these unions that expire at various dates in the future. As shown in the chart below, Matson’s shoreside and seagoing union employees comprise 69 percent of Matson’s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123190</wp:posOffset>
            </wp:positionV>
            <wp:extent cx="1371600" cy="1071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Matson and SSAT are also members of the Pacific Maritime Association (“PMA”), which on behalf of its members negotiates collective bargaining agreements with the International Longshore and Warehouse Union (“ILWU”) on the U.S. West Coast. The PMA/ILWU collective bargaining agreements cover substantially all U.S. West Coast longshore labor. ILWU employees employed by SSAT are not included in the chart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Multi-employer Pension and Post-retirement Plans:</w:t>
      </w:r>
    </w:p>
    <w:p>
      <w:pPr>
        <w:spacing w:after="0" w:line="229"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Matson contributes to several multi-employer pension and post-retirement plans. Matson has no present intention of withdrawing from and does not anticipate the termination of any of the multi-employer pension plans to which it contributes (see Notes 11 and 12 to the Consolidated Financial Statements in Item 8 of Part II below for a discussion of withdrawal liabilities under certain multi-employer pension plans).</w:t>
      </w:r>
    </w:p>
    <w:p>
      <w:pPr>
        <w:spacing w:after="0" w:line="392"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amended, as soon as reasonably practicable after it electronically files such material with, or furnishes them to, the U.S. Securities and Exchange Commission (“SEC”). The address of Matson’s Internet website is www.matson.com. This website and other websites included in this document are provided for convenience only, and the contents of such websites do not constitute a part of and are not incorporated by reference into this Form 10-K.</w:t>
      </w:r>
    </w:p>
    <w:p>
      <w:pPr>
        <w:spacing w:after="0" w:line="189"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proxy and information statements, and other information regarding Matson and other issuers that file electronically with the SEC. The address of the SEC’s Internet website is www.sec.gov.</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following material risks, events and uncertainties may make an investment in the Company speculative or risky and should be reviewed carefully. The Company faces the material risks set forth below; however, the description below does not purport to include all risks the Company faces, and additional risks or uncertainties that are currently unknown or are not currently believed to be material may occur or become material.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occurrence of these or the risks and uncertainties described below may, in ways the Company may not be able to accurately predict, recognize or mitigate, adversely affect the Company’s business, competitive environment, strategy, financial condition, operating results, cash flows, liquidity, demand, revenue, growth, prospects, reputation or stock price. All forward-looking statements made in this Form 10-K are qualified by the risks and uncertainties described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Jones Act</w:t>
      </w:r>
    </w:p>
    <w:p>
      <w:pPr>
        <w:spacing w:after="0" w:line="225"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Repeal, substantial amendment, or waiver of the Jones Act or changes in its application would have an adverse effect on the Company’s business.</w:t>
      </w:r>
    </w:p>
    <w:p>
      <w:pPr>
        <w:spacing w:after="0" w:line="15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Merchant Marine Act of 1920 (commonly referred to as the Jones Act) regulates all interstate and intrastate marine commerce within the U.S. If the Jones Act were to be repealed, substantially amended or waived and, as a consequence, competitors were to enter the Hawaii or Alaska markets with lower operating costs by utilizing their ability to acquire and operate foreign-flagged and foreign-built vessels and/or being exempt from other U.S. regulations, the Company’s business would be adversely affected. In addition, the Company’s position as a U.S. citizen operator of Jones Act vessels would be negatively impacted if periodic efforts and attempts by foreign interests, including recent campaigns by foreign governments, to circumvent or repeal certain aspects of the Jones Act were successful. If maritime cabotage services were included in the General Agreement on Trade in Services, the United States-Mexico-Canada Agreement, or other international trade agreements, or if the restrictions contained in the Jones Act were otherwise altered, the shipping of cargo between covered U.S. ports could be opened to foreign-flagged or foreign-built vessels, which could have other adverse impacts to our business.</w:t>
      </w:r>
    </w:p>
    <w:p>
      <w:pPr>
        <w:spacing w:after="0" w:line="18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would be adversely affected if the Company were determined not to be a U.S. citizen under the Jones Act.</w:t>
      </w:r>
    </w:p>
    <w:p>
      <w:pPr>
        <w:spacing w:after="0" w:line="159" w:lineRule="exact"/>
        <w:rPr>
          <w:sz w:val="20"/>
          <w:szCs w:val="20"/>
          <w:color w:val="auto"/>
        </w:rPr>
      </w:pPr>
    </w:p>
    <w:p>
      <w:pPr>
        <w:jc w:val="both"/>
        <w:ind w:left="60" w:right="139"/>
        <w:spacing w:after="0" w:line="277" w:lineRule="auto"/>
        <w:rPr>
          <w:sz w:val="20"/>
          <w:szCs w:val="20"/>
          <w:color w:val="auto"/>
        </w:rPr>
      </w:pPr>
      <w:r>
        <w:rPr>
          <w:rFonts w:ascii="Times New Roman" w:cs="Times New Roman" w:eastAsia="Times New Roman" w:hAnsi="Times New Roman"/>
          <w:sz w:val="17"/>
          <w:szCs w:val="17"/>
          <w:color w:val="auto"/>
        </w:rPr>
        <w:t>Certain provisions of the Company’s articles of incorporation protect the Company’s ability to maintain its status as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the Company, including seizure or forfeiture of its vessels.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Operations</w:t>
      </w:r>
    </w:p>
    <w:p>
      <w:pPr>
        <w:spacing w:after="0" w:line="22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macroeconomic conditions, geopolitical developments, or governmental policies, including due to outbreaks of disease, have affected and could in the future affect the Company.</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transportation industry in which the Company operates has been and could in the future be impacted by macroeconomic fluctuations, volatility, downturns, inflation, recessions, interest rates and other economic shifts or market instabilities, including due to outbreaks of disease and instability in financial institutions, as well as the development of and changes in governmental policies, relations, priorities and budgeting constraints, and uncertainties resulting from the U.S. political environment, including increased political polarization and the potential for political gridlock (such as the prospect of a shutdown of the U.S. federal government), and geopolitical developments across the jurisdictions in which it operates. For example, there have been increases in geopolitical and trade tensions among a number of the world’s major economies. These tensions have resulted in the rising threat, implementation or increase of tariffs, non-tariff trade barriers and sanctions, including the use of export control restrictions and sanctions against certain countries and individual companies, which have, and may continue to have, an adverse economic impact in the markets in which the Company operates and could result in a reduced demand for the Company’s services.</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These adverse economic conditions may also impact the Company’s customers’ business levels and needs. Within the U.S., a weakening of economic drivers in Hawaii, Alaska or Guam, which include tourism, military spending, construction, personal income growth and employment, the weakening of consumer confidence, market demand, the economy in the U.S. Mainland, inflation, interest rates, recession, increased political polarization and the potential for political gridlock (such as the prospect of a shutdown of the U.S. federal government), and the effect of a change in the strength of the U.S. dollar against other foreign currencies has reduced and could in the future reduce the demand for goods, adversely affecting inland and ocean transportation volumes or rates. In addition, overcapacity in the global or transpacific ocean transportation markets, a change in the cost of goods or currency exchange rates, pressure from U.S. or foreign governments, imposition of or increases in tariffs and uncertainties regarding tariff policies or other changes in international trade policies could adversely affect freight volumes and rates in the Company’s China services. Additionally, fluctuations in the price of oil could further impact the Alaskan economy, which in turn could impact the Company’s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color w:val="auto"/>
        </w:rPr>
        <w:t>The shipping industry is competitive, and the Company has been and may continue to be impacted by new or increased competition.</w:t>
      </w:r>
    </w:p>
    <w:p>
      <w:pPr>
        <w:spacing w:after="0" w:line="15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 has faced and may continue to face new competition by established or start-up shipping operators that enter into the Company’s markets. The shipping industry is competitive with limited barriers to entry. Ocean carriers can shift vessels in and out of tradelanes or charter vessels to manage capacity and meet customer demands. The Company also competes with air freight carriers some of which are able to offer more attractive schedules and services, or to increase capacity. The entry of a new competitor or the addition of new vessels or capacity by existing competitors on any of the Company’s existing routes could result in a significant increase in available shipping capacity that could have an adverse effect on the Company’s volumes and rates.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loss of or damage to key customer relationships may adversely affect the Company’s business.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Company’s businesses are dependent on their relationships with customers and derive a significant portion of their revenues from the Company’s largest customers. The Company’s business relies on its relationships with the U.S. military, freight forwarders and non-vessel owning common carriers, large retailers and consumer goods manufacturers, as well as other larger customers. For more information regarding the Company’s significant customers, see the discussion in Part I, Item 1 of this Annual Report. The loss of or damage to any of these key relationships may adversely affect the Company’s business and revenue.</w:t>
      </w:r>
    </w:p>
    <w:p>
      <w:pPr>
        <w:spacing w:after="0" w:line="18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The Company is dependent upon key vendors and third parties for equipment, capacity, facilities, infrastructure and services essential to operate its business, and if the Company fails to secure sufficient third-party services, its business could be adversely affected.</w:t>
      </w:r>
    </w:p>
    <w:p>
      <w:pPr>
        <w:spacing w:after="0" w:line="17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businesses are dependent upon key vendors who provide terminal, rail, truck, agent and ocean transportation services. Service structures and relationships with these parties are important in the Company’s intermodal business, as well as in the China, Guam, Micronesia, Japan, Alaska export and South Pacific services. If the Company cannot reliably secure sufficient transportation equipment, capacity or services from these third parties at reasonable prices or rates to meet its or its customers’ needs and schedules, or if there are changes to the costs of such services, customers may seek to have their transportation and logistics needs met by others on a temporary or permanent basis. If this were to occur, the Company’s business, results of operations and financial condition could be adversely affected. The loss of or damage to any of these key relationships may also adversely affect the Company’s business and revenue.</w:t>
      </w:r>
    </w:p>
    <w:p>
      <w:pPr>
        <w:spacing w:after="0" w:line="1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An increase in fuel prices, changes in the Company’s ability to collect fuel-related surcharges, and/or the cost or limited availability of required fuels may adversely affect the Company’s profits.</w:t>
      </w:r>
    </w:p>
    <w:p>
      <w:pPr>
        <w:spacing w:after="0" w:line="15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Fuel, including LNG fuels and biofuels, is a significant operating expense for the Company’s Ocean Transportation business. The price and supply of fuel are difficult to predict and fluctuate based on events beyond the Company’s control, including impacts from global macroeconomic conditions and geopolitical events. Increases in the price of fuel may adversely affect the Company’s results of operations. Any such increases also can lead to increases in other expenses, such as energy costs and costs to purchase outside transportation services. In the Company’s Ocean Transportation and Logistics services segments, the Company utilizes fuel-related surcharges, although increases in the fuel-related surcharges may adversely affect the Company’s competitive position and may not correspond exactly with the timing of increases in fuel expense. Changes in the Company’s ability to collect fuel-related surcharges, including recovery of all or most fuel-related expenses, also may adversely affect its results of operations.</w:t>
      </w:r>
    </w:p>
    <w:p>
      <w:pPr>
        <w:spacing w:after="0" w:line="18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development of alternative fuels (such as low- or carbon-neutral fuels), including the necessary infrastructure and technology to utilize such fuels, is still in early experimental stages. There is significant uncertainty as to when, if at all, these alternative fuels will become commercially available or viable at a reasonable cost and in sufficient quantities, and whether Matson will be able to utilize or have access to these alternative fuels (or any such alternative fuels developed in the future) in a timely and cost-effective manner. In addition, advances in fuel technology could require Matson to incur significant capital costs to utilize any such technologies (including, for example, efforts to accelerate building of new vessels, retrofit existing vessels, retire vessels early or make reserve vessels unusable) and Matson may be unable to equip its vessels with these technologies on a timely basis, if at all. It is also uncertain to what extent charter vessel owners may be willing to experiment with, or make the necessary investments to utilize, alternative fuels.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color w:val="auto"/>
        </w:rPr>
        <w:t>Evolving regulations and stakeholder expectations related to sustainability matters exposes the Company to heightened scrutiny, additional costs, operational challenges and a number of risks.</w:t>
      </w:r>
    </w:p>
    <w:p>
      <w:pPr>
        <w:spacing w:after="0" w:line="15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SEC, the state of California, and other regulators, investors, advisory firms, employees, customers, suppliers, governments and other stakeholders are increasingly focused on and have established regulations and expectations related to sustainability matters and related corporate practices, disclosures and initiatives. These evolving regulations and expectations may impact the Company’s reputation, business and attractiveness as an investment, employer or business partner to the extent the Company – including its initiatives, goals and reporting – fails to satisfy or is perceived to fail to satisfy those regulations and expectations, including as a result of any third-party rating or assessment. The adoption and expansion of related legislation and regulations have also resulted and may again result in increased capital expenditures and compliance, operational and other costs to the Company. For example, the state of California has adopted climate change disclosure requirements. Compliance with such rules could require significant effort and resources and result in changes to the Company’s current GHG emission reduction goals.</w:t>
      </w:r>
    </w:p>
    <w:p>
      <w:pPr>
        <w:spacing w:after="0" w:line="19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Company’s public disclosures on its climate, sustainability, human capital and other initiatives include its goals or expectations with respect to those matters, including GHG emission reduction targets. These disclosures are aspirational and based on standards and frameworks for presenting and measuring progress that are not harmonized and are still developing, assumptions that may change, disclosure controls and procedures that continue to evolve, and with respect to our GHG emissions targets, dependent in part on the industry’s successful and timely development of alternative fuels and technologies. The Company’s use of disclosure frameworks and standards, and the interpretation or application of those frameworks and standards, may change from time to time or differ from those of others. This may result in a lack of consistent or meaningful comparative data from period to period or between the Company and other companies in the same industry. The Company’s initiatives and goals may not be favored by certain stakeholders and could impact the attraction and retention of investors, customers and employees, as well as the Company’s willingness to do business with other companies or customers or their willingness to do business with the Company. Efforts to achieve or accurately track the Company’s initiatives and goals face numerous risks and may be untimely, be unsuccessful, result in additional costs or experience delays, and as a result may have an adverse impact on the Company, including its brand, reputation, financial performance and growth and stock price, and may expose the Company to increased scrutiny from the investment community as well as enforcement authorities.</w:t>
      </w:r>
    </w:p>
    <w:p>
      <w:pPr>
        <w:spacing w:after="0" w:line="192"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not be timely or successful in completing its fleet upgrade initiatives, which may result in significant costs and adversely impact the Company’s ability to meet its climate goals.</w:t>
      </w:r>
    </w:p>
    <w:p>
      <w:pPr>
        <w:spacing w:after="0" w:line="15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 xml:space="preserve">The Company’s four commissioned Aloha and Kanaloa class vessels include dual fuel capable engines that can run on low sulfur fuel oil or LNG. The Company has completed the installation of tanks, piping and cryogenic equipment on </w:t>
      </w:r>
      <w:r>
        <w:rPr>
          <w:rFonts w:ascii="Times New Roman" w:cs="Times New Roman" w:eastAsia="Times New Roman" w:hAnsi="Times New Roman"/>
          <w:sz w:val="18"/>
          <w:szCs w:val="18"/>
          <w:i w:val="1"/>
          <w:iCs w:val="1"/>
          <w:color w:val="auto"/>
        </w:rPr>
        <w:t>Daniel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 Inouye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Kaimana Hila </w:t>
      </w:r>
      <w:r>
        <w:rPr>
          <w:rFonts w:ascii="Times New Roman" w:cs="Times New Roman" w:eastAsia="Times New Roman" w:hAnsi="Times New Roman"/>
          <w:sz w:val="18"/>
          <w:szCs w:val="18"/>
          <w:color w:val="auto"/>
        </w:rPr>
        <w:t>and re-engined</w:t>
      </w:r>
      <w:r>
        <w:rPr>
          <w:rFonts w:ascii="Times New Roman" w:cs="Times New Roman" w:eastAsia="Times New Roman" w:hAnsi="Times New Roman"/>
          <w:sz w:val="18"/>
          <w:szCs w:val="18"/>
          <w:i w:val="1"/>
          <w:iCs w:val="1"/>
          <w:color w:val="auto"/>
        </w:rPr>
        <w:t xml:space="preserve"> Manukai </w:t>
      </w:r>
      <w:r>
        <w:rPr>
          <w:rFonts w:ascii="Times New Roman" w:cs="Times New Roman" w:eastAsia="Times New Roman" w:hAnsi="Times New Roman"/>
          <w:sz w:val="18"/>
          <w:szCs w:val="18"/>
          <w:color w:val="auto"/>
        </w:rPr>
        <w:t>to operate on LNG. In addition, construction has begun on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LNG-ready Aloha Class vessels. The Company has made and anticipates making significant capital expenditures in connection with these fleet initiatives. Additional operating costs may be incurred to the extent use of LNG presents new maintenance requirements or unforeseen complications.</w:t>
      </w:r>
    </w:p>
    <w:p>
      <w:pPr>
        <w:spacing w:after="0" w:line="18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Company’s investments in LNG-ready vessels, whether on their own or in addition to other Company initiatives, may be insufficient to meet the Company’s previously announced GHG emission reduction goals on a timely basis or at all. There is no guarantee that the Company will be able to secure LNG via bunker barges or other methods on the U.S. West Coast or in China in sufficient amounts to fuel its vessels or at a reasonable cost, as increased demand for LNG could decrease available supply of LNG and increase prices. Governments have in the past and may again in the future impose tariffs on LNG that also may increase supply costs. As a result of these risks, the Company may not fully realize the benefits of these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vessel construction agreements with Philly Shipyard subject the Company to risks.</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On November 1, 2022, MatNav and Philly Shipyard entered into vessel construction agreements pursuant to which Philly Shipyard will construct three new 3,600-TEU Aloha Class dual-fuel capable containerships, with expected delivery dates during the first quarter 2027, the third quarter 2027 and the second quarter 2028. Failure of any party to the vessel construction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South Korea that prevent one or more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subcontractors to Philly Shipyard from performing, (iv) loss of key personnel at either Philly Shipyard or any of its subcontractors, (v) work stoppages or other labor disruptions that may occur as a result of the failure of Philly Shipyard to negotiate collective bargaining agreements with its unions, (vi) the insolvency of, or the refusal or inability to perform for any reason, by Philly Shipyard or any of its subcontractors, (vii) the ability of Hanwha Ocean and Hanwha Systems (collectively, “Hanwha”) to integrate Philly Shipyard successfully into their global operations following Hanwha’s acquisition of Philly Shipyard, or (viii) delays in the construction of vessels scheduled to be completed before the Company’s vessels. Significant delays in the delivery of the new vessels could limit our ability to replace aging vessels in the Alaska service without substantial modifications and delay the Company’s ability to upsize the CLX service, which could also have an adverse impact on our business plans, financial condition and results of operations.</w:t>
      </w:r>
    </w:p>
    <w:p>
      <w:pPr>
        <w:spacing w:after="0" w:line="184"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operations are susceptible to weather, natural disasters, risks arising from climate change, maritime accidents, spill events and other physical and operating risks.</w:t>
      </w:r>
    </w:p>
    <w:p>
      <w:pPr>
        <w:spacing w:after="0" w:line="159"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As a maritime transportation company, the Company’s operations are vulnerable to delay, disruptions and loss of life and property as a result of weather, natural disasters and other climate-driven events, such as rising temperatures and heat waves, rising sea levels, bad weather at sea (including increased storm severity), lightning strikes, wildfires, lava flows, hurricanes, typhoons, tsunamis, droughts, windstorms, floods and earthquakes. Climate change has increased and may continue to increase the frequency, severity and uncertainty of such events. For example, sea level rise could potentially impact coastal and other low-lying areas, cause erosion of shorelines, higher water tables and increased flooding, which could damage the Company’s vessels, terminals or facilities. In addition, the Company’s customers and the island communities it serves throughout the Pacific are particularly vulnerable to rising sea levels and severe storms, which may drive inhabitants away from these regions and reduce demand for the Company’s services in the affected areas and adversely impact our business.</w:t>
      </w:r>
    </w:p>
    <w:p>
      <w:pPr>
        <w:spacing w:after="0" w:line="19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operations are also vulnerable to risks related to the operation of ocean-going vessels, including risks of potential marine accidents, or disasters, including grounding, fires, explosions, collisions, mechanical failures, human error, maintenance issues, latent defects, oil or other spill or environmental accidents, whale strikes, war, terrorism and piracy, lost or damaged cargo, delays, injury and loss of life. These risks could be exacerbated by severe weather or other climate-driven events. Changing macroeconomic and geopolitical conditions, including geopolitical conflict, may also result increased attacks on vessels, piracy or terrorism.</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Such events could interfere with the Company’s ability to provide on-time scheduled service, require evacuation of personnel or stoppage of services or impact the Company’s customer’s operations, resulting in increased expenses and potential loss of business associated with such events. In addition, severe weather and natural disasters can result in interference with the Company’s terminal operations and may cause serious damage to its vessels and cranes. These impacts could be particularly acute in ports such as Dutch Harbor and Kodiak, Alaska where the Company is dependent on a single crane. The Company’s vessels and their cargoes, terminals and other facilities are also subject to operating risks such as mechanical failure, collisions and human error.</w:t>
      </w:r>
    </w:p>
    <w:p>
      <w:pPr>
        <w:spacing w:after="0" w:line="189"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occurrence of any of these events may result in damage to or loss of terminals, port facilities and infrastructure, vessels, containers, cargo and other equipment, increased maintenance expense, loss of life or physical injury to its employees or people, pollution, or the slow down or suspension of operations. For example, damage to the Company’s vessels could require repair at a dry-docking facility. The costs of repairs may be substantial which may adversely affect the Company’s business and financial condition. Further, the Company may be unable to find space at a suitable dry-docking facility, the vessels may be forced to wait for space or be towed to a different facility, all of which could result in additional expenses and delays, and may adversely affect the Company’s business.</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These events can also expose the Company to reputational harm and liability for resulting damages, including for loss of life and property, and possible penalties that, pursuant to typical maritime industry policies, it must pay and then seek reimbursement from its insurer. Affected vessels may also be removed from service and thus would be unavailable for income-generating activity. Furthermore, the Port of Alaska requires upgrades to its port facilities and infrastructure to improve operational safety and efficiency, accommodate modern shipping operations and improve resiliency, as well as to mitigate the risk of failure due to corrosion, deterioration or loss of load bearing capacity. As a result, there is an increased risk that an earthquake or other natural disaster could damage or render inoperable, in whole or in part, port facilities and infrastructure at the Port of Alaska. This, in turn, could adversely affect transportation volumes or rates in Alaska and adversely impact the Company’s Ocean Transportation business and Span Alaska’s freight forwarding business, particularly given the Alaskan economy’s dependence on this port for ocean cargo.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There is no assurance that our efforts to mitigate the impact of these risks, including from severe weather or other climate-driven events on our operations, will be effective. Although we take measures that we believe are reasonable to mitigate these risks, it is not practicable to eliminate such risks altogether. The Company’s casualty and liability insurance policies are generally subject to large retentions and deductibles and may not cover all losses the Company may incur.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be impacted by transitional and other risks arising from climate change.</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may be impacted by transitional and other risks arising from climate change and the global shift toward a low carbon future. Organizational, industrial and governmental shifts in operations as well as legal and regulatory requirements to reduce or eliminate emissions and/or increase efficiency, or any amendments, modifications or changes in the interpretation, application or enforcement of any such operations or requirements, may require the Company to increase expenditures, make changes to existing infrastructure, vessels and equipment, limit the speed at which the Company’s vessels are permitted to travel, and make other changes to its business model. For example, the maritime industry is moving toward deployment of clean energy technologies and use of electricity powered by renewable energy sources to power terminal operations as a way to reduce shoreside GHG emissions. As the Company and SSAT increase their reliance on the power grid at terminals, including for cold-ironing and ground service fleets, the Company may experience increased risks related to power outages, brown outs or black outs. The likelihood of these risks is compounded by uncertainties regarding the reliability of renewable energy sources as well as any increased frequency of extreme weather events that may disrupt the generation or transmission of electricity.</w:t>
      </w:r>
    </w:p>
    <w:p>
      <w:pPr>
        <w:spacing w:after="0" w:line="19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addition, compliance with climate change requirements or regulations such as the IMO’s CII requirements, or any amendments, modifications or changes in the interpretation, application or enforcement of any such requirements or regulations, may create schedule disruptions and could require Matson’s fleet to slow down if efficiency improvements or transitions to alternative fuels together are not enough to reduce GHG emissions sufficiently, thus impacting Matson’s expedited business model and competitive advantage.</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New environmental requirements for vessel performance and operation could also require the Company to accelerate the building of new vessels, increase the construction costs for new vessels and equipment to accommodate even newer technology as it emerges while today’s technology becomes obsolete, initiate unexpected retrofit projects for existing vessels, retire older vessels earlier than expected, or render reserve vessels unusable. If these outcomes were to occur, the Company’s business, results of operations, cash flows and financial condition could be adversely affected.</w:t>
      </w:r>
    </w:p>
    <w:p>
      <w:pPr>
        <w:spacing w:after="0" w:line="17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faces risks related to actual or threatened health epidemics, outbreaks of disease, pandemics or other major health crises, which could significantly disrupt the Company’s business.</w:t>
      </w:r>
    </w:p>
    <w:p>
      <w:pPr>
        <w:spacing w:after="0" w:line="15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business has in the past, and could in the future, be impacted adversely by outbreaks of disease, the effects of public health epidemics, pandemics or other major heath crises (which the Company refers to collectively as public health crises), such as the COVID-19 pandemic. Actual or threatened public health crises can have a number of adverse impacts, including volatility in the global economy, impacts to the Company’s customers’ business operations, reduced tourism in the markets the Company serves, potential restrictions on employee travel, or significant disruptions in ocean-borne transportation of goods, logistics demand and supply chain activity, caused by a variety of factors such as quarantines, factory and office closures, port closures, or other government-imposed restrictions, any of which can adversely impact the Company’s business, financial condition, operating results and cash flows.</w:t>
      </w:r>
    </w:p>
    <w:p>
      <w:pPr>
        <w:spacing w:after="0" w:line="18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significant operating agreements and leases could be renewed/replaced on less favorable terms or may not be renewed/replaced on acceptable terms, if at all.</w:t>
      </w:r>
    </w:p>
    <w:p>
      <w:pPr>
        <w:spacing w:after="0" w:line="15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significant operating agreements and leases entered into by the Company in the course of its operations, including those related to terminals, chartered vessels, bonded and unbonded container yards, cross-dock facilities, warehouses and offices as well as those entered into with SSAT, expire at various points in time and may not be renewed/replaced with comparable assets with the specifications necessary for the Company’s or SSAT’s businesses or could be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renewed/replaced on less favorable terms, if at all, thereby adversely affecting the Company’s future financial position, results of operations and cash flows.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face unexpected dry-docking or repair costs for its vessels.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routinely engages shipyards to dry-dock its vessels for regulatory compliance and to provide repair and maintenance, and capital enhancements. Vessels may also have to be dry-docked or repaired at sea in the event of accidents or other unforeseen damage. Unexpected dry-dockings or repairs could require the Company to activate a reserve vessel, purchase additional fuel and operate a less-efficient, smaller vessel for a period of time. The Company also operates a number of older active and reserve vessels that may require more frequent and extensive maintenance. The cost of repairs is difficult to predict and can be substantial. In addition, the time when a vessel is out of service for maintenance is determined by a number of factors, including regulatory deadlines, market conditions, shipyard availability, shipyard location, availability of employees and repairmen, and customer requirements, and accordingly, the length of time that a vessel may be out of service may be longer than anticipated, which could adversely affect the Company’s business, financial condition, results of operations and cash flows. The timing and expense required for repairs could be exacerbated by compliance with MARAD and Jones Act requirements.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involved in a joint venture and is subject to risks associated with joint venture relationships.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Company is involved in a terminal joint venture with SSAT (and through SSAT, other joint ventures at various U.S. West Coast terminals), and may initiate future joint venture projects. A joint venture involves certain risks for the Company such as:</w:t>
      </w:r>
    </w:p>
    <w:p>
      <w:pPr>
        <w:spacing w:after="0" w:line="176" w:lineRule="exact"/>
        <w:rPr>
          <w:sz w:val="20"/>
          <w:szCs w:val="20"/>
          <w:color w:val="auto"/>
        </w:rPr>
      </w:pPr>
    </w:p>
    <w:p>
      <w:pPr>
        <w:ind w:left="380" w:right="459" w:hanging="330"/>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lack of voting control over the joint venture, including the risk that the joint venture takes actions resulting in reputational harm to the Company;</w:t>
      </w:r>
    </w:p>
    <w:p>
      <w:pPr>
        <w:ind w:left="380" w:hanging="330"/>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Misalignment or inconsistency of interests between the Company and the joint venture partner;</w:t>
      </w:r>
    </w:p>
    <w:p>
      <w:pPr>
        <w:spacing w:after="0" w:line="9"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joint venture partner to fund its share of capital or fulfill its other commitments, including the risk that the joint venture partner could become bankrupt; and</w:t>
      </w:r>
    </w:p>
    <w:p>
      <w:pPr>
        <w:ind w:left="380" w:right="79" w:hanging="330"/>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difficulties and financial losses, including from abandonment or termination of terminal lease agreements, at the joint venture, which may lead to SSAT writing down assets or incurring impairment charges.</w:t>
      </w:r>
    </w:p>
    <w:p>
      <w:pPr>
        <w:spacing w:after="0" w:line="181"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In addition, the Company relies on SSAT for its stevedoring services at the ports of Long Beach and Oakland, California and Tacoma, Washington on the U.S. West Coast. The Company could be adversely affected by any changes in the services provided or to the costs of such services provided by SSAT. Furthermore, the Company’s results of operations have been and may continue to be impacted by lower share of income from SSAT, including as a result of declines in lift volumes due to reduced carrier volumes into U.S. West Coast ports.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is subject to risks associated with conducting business in foreign markets.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Matson’s China service and other international services are subject to risks associated with conducting business in foreign markets, which include:</w:t>
      </w:r>
    </w:p>
    <w:p>
      <w:pPr>
        <w:spacing w:after="0" w:line="162" w:lineRule="exact"/>
        <w:rPr>
          <w:sz w:val="20"/>
          <w:szCs w:val="20"/>
          <w:color w:val="auto"/>
        </w:rPr>
      </w:pPr>
    </w:p>
    <w:p>
      <w:pPr>
        <w:ind w:left="380" w:right="61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foreign countries and developing relationships with foreign companies, business associates and governments, including as a result of cultural differences;</w:t>
      </w: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dynamic employment and immigration laws;</w:t>
      </w:r>
    </w:p>
    <w:p>
      <w:pPr>
        <w:spacing w:after="0" w:line="9" w:lineRule="exact"/>
        <w:rPr>
          <w:rFonts w:ascii="Times New Roman" w:cs="Times New Roman" w:eastAsia="Times New Roman" w:hAnsi="Times New Roman"/>
          <w:sz w:val="18"/>
          <w:szCs w:val="18"/>
          <w:color w:val="auto"/>
        </w:rPr>
      </w:pPr>
    </w:p>
    <w:p>
      <w:pPr>
        <w:ind w:left="380" w:right="39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U.S. and foreign legal and regulatory restrictions, including anti-corruption laws such as the Foreign Corrupt Practices Act;</w:t>
      </w: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continued access to existing port facilities or feeder vessels;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changes in the cost of goods or currency exchange rate fluctuations;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instability;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or slower growth in the local markets or geographic areas in which we conduct business;</w:t>
      </w:r>
    </w:p>
    <w:p>
      <w:pPr>
        <w:spacing w:after="0" w:line="9" w:lineRule="exact"/>
        <w:rPr>
          <w:rFonts w:ascii="Times New Roman" w:cs="Times New Roman" w:eastAsia="Times New Roman" w:hAnsi="Times New Roman"/>
          <w:sz w:val="18"/>
          <w:szCs w:val="18"/>
          <w:color w:val="auto"/>
        </w:rPr>
      </w:pPr>
    </w:p>
    <w:p>
      <w:pPr>
        <w:ind w:left="380" w:right="119" w:hanging="330"/>
        <w:spacing w:after="0" w:line="253"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Dynamics involving U.S. trade relations with other countries, including the imposition or threatening of or uncertainty associated with the level, magnitude and product range of tariffs, non-tariff trade barriers or sanctions, including the use of export control restrictions and sanctions against certain countries and individual companies, or other governmental actions, and responsive actions taken by the Company’s customers, including with respect to their supply chains;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3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offer a differentiated service for which customers are willing to pay a significant premium; and</w:t>
      </w: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preferences to diversify supply chains away from, or otherwise limit sourcing from, certain countries.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terminals in Hawaii and Alaska require modernization.</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has completed the first phase of renovating and modernizing its Sand Island terminal in Honolulu Harbor. However, significant upgrades remain, including the long-term expansion program at the Sand Island terminal and projects to improve resiliency to risks from events such as severe weather, natural disasters, sea level rise and other climate-change related risks. The Company is continuing discussions with state and local authorities regarding a port modernization program for the Port of Alaska. Significant upgrades to the terminal and port facilities at the Port of Alaska are needed to improve operational safety and efficiency, accommodate modern shipping operations, and improve resiliency, including to risks due to severe weather events, natural disasters and climate-change related risks. For example, the aging cranes and dock facilities of the port are increasingly exposed to the risk of failure due to corrosion, deterioration, and the loss of load-bearing capacity particularly in the event of extreme seismic events or other natural disasters. Regulatory, construction or other delays or cost overruns related to the expansion and modernization of the terminals could have an adverse impact on the Company’s business plans, financial condition and results of operations. In addition, the terminal modernization programs may not result in improved operational productivity or improved resiliency to severe weather events, extreme seismic events or other natural disasters or generate expected returns.</w:t>
      </w:r>
    </w:p>
    <w:p>
      <w:pPr>
        <w:spacing w:after="0" w:line="183"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5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War, terrorist attacks and other acts of violence may cause consumer confidence and spending to decrease, or may affect the ability or willingness of tourists to travel to Hawaii, Guam or Alaska, thereby adversely affecting those economies and the Company. Wars or terrorism could impact global supply chains due to changes in vessel routing, product sourcing decisions, or governmental sanctions or restrictions. Additionally, acts of war and future terrorist attacks could increase volatility in the U.S. and worldwide financial markets. Acts of war or terrorism may also be directed at the Company’s shipping operations or may cause the U.S. government to take control of Matson’s vessels for military operations. Heightened security measures, including customs inspections and related procedures in countries of origin and destination, potentially slow the movement and increase the cost of freight through U.S. or foreign ports, across borders or on U.S. or foreign railroads or highways.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Acquisitions may have an adverse effect on the Company’s business.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Company’s growth strategy includes expansion through acquisitions, including, for example, the Company’s acquisitions of Horizon Lines, Inc. (“Horizon”) in 2015 and Span Alaska in 2016. There is no assurance that the Company will be successful in identifying, negotiating or consummating any future acquisitions. Even if suitable candidates are identified, such transactions may result in regulatory scrutiny, litigation or difficulties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w:t>
      </w:r>
    </w:p>
    <w:p>
      <w:pPr>
        <w:spacing w:after="0" w:line="225" w:lineRule="exact"/>
        <w:rPr>
          <w:sz w:val="20"/>
          <w:szCs w:val="20"/>
          <w:color w:val="auto"/>
        </w:rPr>
      </w:pPr>
    </w:p>
    <w:p>
      <w:pPr>
        <w:jc w:val="both"/>
        <w:ind w:left="60" w:right="119"/>
        <w:spacing w:after="0" w:line="286" w:lineRule="auto"/>
        <w:rPr>
          <w:sz w:val="20"/>
          <w:szCs w:val="20"/>
          <w:color w:val="auto"/>
        </w:rPr>
      </w:pPr>
      <w:r>
        <w:rPr>
          <w:rFonts w:ascii="Times New Roman" w:cs="Times New Roman" w:eastAsia="Times New Roman" w:hAnsi="Times New Roman"/>
          <w:sz w:val="18"/>
          <w:szCs w:val="18"/>
          <w:b w:val="1"/>
          <w:bCs w:val="1"/>
          <w:color w:val="auto"/>
        </w:rPr>
        <w:t>Work stoppages or other labor disruptions caused by the Company’s unionized workers and other workers or their unions in related industries could adversely affect the Company’s operations.</w:t>
      </w:r>
    </w:p>
    <w:p>
      <w:pPr>
        <w:spacing w:after="0" w:line="159"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 significant portion of Matson’s employees are covered by collective bargaining agreements. Furthermore, the Company relies on the services of third parties, including SSAT, which employ persons covered by collective bargaining agreements. For additional information on collective bargaining agreements with unions, see Part I, Item 1, Subheading C. Employees and Labor Relations of this Annual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Previously, the Company has been adversely affected by actions taken by employees of the Company or other companies in related industries against efforts by management of the Company or other companies to control labor costs, restrain wage or benefit increases or modify work practices. In the past, strikes, slow-downs and disruptions have occurred as a result of the failure of Matson or other companies in its industry to negotiate collective bargaining agreements with such unions successfully.</w:t>
      </w:r>
    </w:p>
    <w:p>
      <w:pPr>
        <w:spacing w:after="0" w:line="1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In addition, any slow-downs, strikes, lock-outs or other disruptions, including limits on the availability of labor through trade union hiring halls, have had and in the future, particularly in years when collective bargaining agreements are being negotiated, could have an adverse impact on Matson’s or SSAT’s operations.</w:t>
      </w:r>
    </w:p>
    <w:p>
      <w:pPr>
        <w:spacing w:after="0" w:line="1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color w:val="auto"/>
        </w:rPr>
        <w:t>Loss of the Company’s key personnel or failure to adequately manage human capital could adversely affect its business.</w:t>
      </w:r>
    </w:p>
    <w:p>
      <w:pPr>
        <w:spacing w:after="0" w:line="15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Company’s future success depends, in significant part, upon the continued services of its key personnel and skilled employees, including its senior management, as well as key personnel at its joint venture partners. The permanent or temporary loss of the services of key personnel could adversely affect the Company’s future operating results because of such employees’ experience with and knowledge of the Company’s business and customer relationships. If key personnel and skilled employees depart or are unable or unwilling to work, the Company’s ability to execute its business model could be impaired to the extent it cannot replace such personnel or sufficiently train new personnel in a timely manner. In addition, the Company may incur significant costs to replace these employees. Whether the Company can meet its labor needs is subject to a variety of pressures, including market compensation and benefit levels, which may be impacted by pressure within the industry to increase wages, including due to the threat of a labor strike; the availability of labor, which may be impacted by national and global labor trends including higher-than-normal levels of individuals leaving the workforce and industry trends including aging workforces that may reduce the available pool of skilled workers; a mismatch of skills or experience to support the evolving needs of the Company’s business; and employee expectations or desire for changes in the work environment. In addition, the Company’s workforce is aging, and within the next few years an increasing number of employees will be eligible to retire, which may result in a period of higher turnover rates than we have historically experienced and could amplify these challenges. The Company does not maintain key person insurance on any of its key personnel.</w:t>
      </w:r>
    </w:p>
    <w:p>
      <w:pPr>
        <w:spacing w:after="0" w:line="19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investments in and efforts to manage its human capital and maintain a desirable workplace culture, including to create a safe and healthy work environment, and foster a rewarding workplace for employee development and advancement, may not be successful in identifying, attracting, developing, motivating, retaining, competing for or replacing qualified personnel. These efforts and the Company’s reputation may also be impacted by any failure or perceived failure to meet or timely progress on publicly disclosed human capital-related goals and initiatives, or to compare favorably with the progress or goals of its industry or peers.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w:t>
      </w:r>
    </w:p>
    <w:p>
      <w:pPr>
        <w:spacing w:after="0" w:line="225"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is not able to use its information technology and communications systems effectively, the Company’s ability to conduct business might be negatively impacted.</w:t>
      </w:r>
    </w:p>
    <w:p>
      <w:pPr>
        <w:spacing w:after="0" w:line="15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is highly dependent on the proper functioning of its information technology systems to enable operations and compete effectively. The Company regularly updates its information technology systems or implements new systems, which could cause substantial business interruption. There is no assurance that the systems upgrades or new systems will meet the Company’s current or future business needs, or that they will operate as designed. In addition, adoption of new and rapid changes in technology, such as the rise in artificial intelligence applications, may impact the transportation and logistics industry. If Matson does not appropriately adapt its operations to these new technologies as quickly or effectively as its competitors, the Company’s business could be adversely affected.</w:t>
      </w:r>
    </w:p>
    <w:p>
      <w:pPr>
        <w:spacing w:after="0" w:line="18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Company’s information technology systems also rely on third-party service providers for access to the Internet, satellite-based communications systems, the electric grid, database storage facilities and telecommunications providers. The Company has no control over the operations of these third-party service providers. In the past, disruptions in the Company’s third-party service providers have impacted the Company’s operations, including the Company’s ability to book and manage freight, stow vessels, and process customs declarations. Some of the Company’s employees work from home or remotely, increasing the Company’s dependence on its information technology systems and third-party providers during those times. If the Company’s information technology and communications systems experience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reliability issues, integration or compatibility concerns or if the Company’s third-party providers are unable to perform effectively or experience disruptions, cyber attacks or failures, there could be an adverse impact on the availability and functioning of the Company’s information technology and communications systems, which could lead to business disruption or inefficiencies, reputational harm or loss of customers.</w:t>
      </w:r>
    </w:p>
    <w:p>
      <w:pPr>
        <w:spacing w:after="0" w:line="176" w:lineRule="exact"/>
        <w:rPr>
          <w:sz w:val="20"/>
          <w:szCs w:val="20"/>
          <w:color w:val="auto"/>
        </w:rPr>
      </w:pPr>
    </w:p>
    <w:p>
      <w:pPr>
        <w:ind w:left="60" w:right="159"/>
        <w:spacing w:after="0" w:line="317" w:lineRule="auto"/>
        <w:rPr>
          <w:sz w:val="20"/>
          <w:szCs w:val="20"/>
          <w:color w:val="auto"/>
        </w:rPr>
      </w:pPr>
      <w:r>
        <w:rPr>
          <w:rFonts w:ascii="Times New Roman" w:cs="Times New Roman" w:eastAsia="Times New Roman" w:hAnsi="Times New Roman"/>
          <w:sz w:val="17"/>
          <w:szCs w:val="17"/>
          <w:b w:val="1"/>
          <w:bCs w:val="1"/>
          <w:color w:val="auto"/>
        </w:rPr>
        <w:t>The Company’s information technology systems have in the past and may in the future be exposed to cybersecurity risks and other disruptions that could impair the Company’s ability to operate and adversely affect its business.</w:t>
      </w:r>
    </w:p>
    <w:p>
      <w:pPr>
        <w:spacing w:after="0" w:line="13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shipping industry is a more frequent target of cyber attacks than some other industries because of the essential nature of these services. The Company relies extensively on its information technology systems and third-party service providers in many aspects of its business, including cloud services for accounting, billing, disbursement, cargo booking and tracking, vessel scheduling and stowage, equipment tracking, customer service, banking, payroll and employee communication systems. The Company also collects, stores and transmits sensitive data, including its proprietary business information and that of its customers, and personally identifiable information of its customers and employees. The Company’s practices, policies and other efforts, including as described in Part I, Item 1C of this Annual Report on Form 10-K, may not be sufficient to prevent, detect or remediate all cybersecurity risks or other disruptions, and the Company and its service providers have in the past experienced and may in the future experience cybersecurity incidents, disruptions, threats and vulnerabilities such as malware (including computer viruses and ransomware), software bugs, denial-of-service (“DoS”) attacks, phishing, spoofing, identity-based attacks, code injection attacks, cyber terrorism, sabotage, circumvention of security systems (whether physical or virtual), malfeasance, breaches due to employee error, natural disasters, accidents, power disruptions or loss, telecommunications failure, unauthorized access or other catastrophic events or failures at the Company’s facilities, aboard its vessels or at third-party locations.</w:t>
      </w:r>
    </w:p>
    <w:p>
      <w:pPr>
        <w:spacing w:after="0" w:line="19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Any failure, breach or unauthorized access to the Company’s systems or those of third parties on which the Company relies could result in the loss of confidential, sensitive or proprietary information, interruptions in its service or production or otherwise impact the Company’s ability to conduct business operations, and potentially could result in reductions in revenue and profits, damage to its reputation or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Matters</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deterioration of the Company’s credit profile, disruptions of the credit markets or higher interest rates could restrict its ability to access the debt capital markets or increase the cost of debt.</w:t>
      </w:r>
    </w:p>
    <w:p>
      <w:pPr>
        <w:spacing w:after="0" w:line="15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revolving credit facility and other committed lines of credit may become restricted, or the Company may not be able to refinance debt at the same levels or on the same terms. Because the Company relies on its ability to draw on its revolving credit facility to support its operations when required, any volatility or disruption in the credit and financial markets or other development that prevents the Company from accessing funds (for example, a lender that does not fulfill its lending obligation) or renewing its revolving credit facility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facility based on floating rates. Floating rate debt creates higher debt service requirements as market interest rates increase, as was the case in connection with the U.S. Federal Reserve’s interest rate increases in 2022 and 2023, and high interest rates can adversely affect the Company’s cash flow and results of operations. Disruptions to the credit markets as a result of macroeconomic, geopolitical, or financial market developments could increase the Company’s cost of capital and limit the Company’s access to capital.</w:t>
      </w:r>
    </w:p>
    <w:p>
      <w:pPr>
        <w:spacing w:after="0" w:line="19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7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certain prohibitions on additional priority debt and the maintenance of minimum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effective income tax rate may vary.</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Capital Construction Fund (“CCF”) deductions, non-deductible expenses, and expenses eligible for tax credits; changes in the mix of earnings among countries with varying tax rates; changes to the allowable amounts of foreign derived intangible income deductions; and acquisitions and changes in the Company’s corporate structure. These factors may result in periodic revisions to the Company’s effective income tax rate, which could affect the Company’s cash flow and results of operations.</w:t>
      </w:r>
    </w:p>
    <w:p>
      <w:pPr>
        <w:spacing w:after="0" w:line="19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value of pension assets, or a change in pension law or key assumptions, may adversely affect the Company’s financial performance.</w:t>
      </w:r>
    </w:p>
    <w:p>
      <w:pPr>
        <w:spacing w:after="0" w:line="15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amount of the Company’s employee pension and post-retirement benefit costs and obligations is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90"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5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of this Annual Report).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 liable for its proportionate share of such plan’s unfunded vested benefits. In addition, if any of the multi-employer plans to which the Company contributes fails to satisfy the minimum funding requirements, the Internal Revenue Service will impose certain penalties and taxes on the Company and other contributing employers.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225"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As an ocean transportation and logistics services company, the Company is subject to numerous safety, environmental, and other laws and regulations that impact the Company’s operations, are costly to comply with and expose the Company to liability.</w:t>
      </w:r>
    </w:p>
    <w:p>
      <w:pPr>
        <w:spacing w:after="0" w:line="175"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 including its vessels and terminals, is subject to numerous federal, state and local laws and regulations, including those related to safety, cabotage, equipment standards and government rates. In addition, the Company is subject to environmental laws and regulations, including those relating to air quality initiatives at port locations; air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emissions; use of shore power at California ports; wastewater discharges; management of storm water; the storage, transportation, handling, emission and disposal of solid and hazardous materials, oil and oil related products, hazardous substances and wastes; the investigation and remediation of contamination and liability for damages to the environment; health, safety and the protection of the environment and natural resources; and climate change, including any regulations, mandates or restrictions related to GHG emissions, such as a potential carbon tax, and energy use. Any changes in applicable laws and regulations, including their enforcement, interpretation or implementation that results in more stringent requirements than currently anticipated, as well as any new laws and regulations that are adopted could impose significant additional costs and limitations on the Company’s ability to operate. Mitigation strategies or contingency plans to remain in compliance with applicable laws and regulations may be unsuccessful, result in additional costs or experience delays. Such costs may not be recoverable through increased payments from customers. For a discussion of specific laws and regulations, see Part I, Item 1 of this Annual Report.</w:t>
      </w:r>
    </w:p>
    <w:p>
      <w:pPr>
        <w:spacing w:after="0" w:line="192"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Federal, state and local laws and regulations require us to obtain certificates of financial responsibility and to adopt procedures for oil and hazardous substance spill prevention, response and clean up, among other requirements impacting the Company’s business. In complying with applicable laws and regulations, the Company has incurred expenses and may incur material future costs and expenses related to vessel and equipment modifications, new equipment, higher-priced fuel, changes in operating practices and procedures, tracking emissions, changing routes, adopting or modifying energy sources and undergoing additional oversight inspections, all of which could adversely affect the Company’s business and financial condition. For example, Matson’s vessels operate within emissions control areas, and the Company’s U.S. flagged vessels generally must be maintained “in class” and are subject to periodic inspections by the American Bureau of Shipping or similar classification societies. They also must be periodically inspected by, or on behalf of, the United States Coast Guard. The Company’s vessels’ operating certificates and licenses are renewed periodically during the required annual surveys of the vessels, but there is no assurance that the Company’s programs and policies will be sufficient to have such certificates and licenses renewed. The EPA also requires vessels to obtain coverage under a general permit and to comply with inspection, monitoring, discharge, recordkeeping and reporting requirements.</w:t>
      </w:r>
    </w:p>
    <w:p>
      <w:pPr>
        <w:spacing w:after="0" w:line="187"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These laws and regulations provide for substantial fines, sanctions, as well as criminal and civil penalties and significant environmental liabilities, in the event of any violations of, or non-compliance with, their requirements (including any waivers, permits or recordkeeping and other reporting requirements). Any vessel-generated pollution from incidents in U.S. waters within three nautical miles, and in some cases, within the 200-mile exclusive economic zone, for example, could expose us to such fines or penalties.</w:t>
      </w:r>
    </w:p>
    <w:p>
      <w:pPr>
        <w:spacing w:after="0" w:line="179" w:lineRule="exact"/>
        <w:rPr>
          <w:sz w:val="20"/>
          <w:szCs w:val="20"/>
          <w:color w:val="auto"/>
        </w:rPr>
      </w:pPr>
    </w:p>
    <w:p>
      <w:pPr>
        <w:ind w:left="60" w:right="959"/>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5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nature of the Company’s business exposes it to the potential for disputes, legal or other proceedings, and government inquiries or investigations relating to antitrust matters, labor and employment matters, personal injury, loss of life and property damage, environmental, shore power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Risk management and strategy: </w:t>
      </w:r>
      <w:r>
        <w:rPr>
          <w:rFonts w:ascii="Times New Roman" w:cs="Times New Roman" w:eastAsia="Times New Roman" w:hAnsi="Times New Roman"/>
          <w:sz w:val="18"/>
          <w:szCs w:val="18"/>
          <w:color w:val="auto"/>
        </w:rPr>
        <w:t>Matson’s information security, internal audit, business continuity and risk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help to identify and assess cyber and information security threats and vulnerabilities, and establish the appropriate business systems, preventive controls and risk mitigation strategies. The main objectives of Matson’s approach to cyber and information security are to protect confidential information while maintaining data integrity and availability; support legal and regulatory compliance; and prevent disruptions to business operations. The Company regularly enhances its systems, controls and strategies in an effort to guard against security breaches and unauthorized access to Matson systems or data and develops policies to guide the appropriate handling and protection of sensitive information by Matson. This includes managing third-party supply chain risks with its key vendors and business partners. It also maintains incident response and remediation plans which provide that cybersecurity incidents be communicated to the Company’s senior leaders who are responsible for assessing the risks associated with a cybersecurity incident and initiating the Company’s incident response plan. The Company’s incident response and remediation plans are further supported by ongoing security monitoring services as well as a dedicated management team focused on business continuity to help support operations and mitigate disruptions should a breach, unauthorized access or other disruption event occur. In addition, the Company has established a zero trust network access roadmap that includes key security controls designed to help protect Matson employees and contractors with access to Matson systems against phishing and brute force password attacks.</w:t>
      </w:r>
    </w:p>
    <w:p>
      <w:pPr>
        <w:spacing w:after="0" w:line="19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risk management process occurs throughout the organization, but is facilitated through a risk management steering committee comprised of senior management whose members meet regularly to identify and address specific significant risks. At least twice a year, management assesses and categorizes key risks based on their potential impact to the Company and the likelihood of the risk occurring as part of Matson’s enterprise risk management (“ERM”) program. The ERM program includes regular cyber and information security risk assessments conducted by independent, third-party cybersecurity professionals, including assessors, consultants, auditors and penetration testers. Results from these risk assessments, along with remediation recommendations, are provided to executive leadership and the Company’s Board of Directors (the “Board”). The Board also consults with outside advisors and experts, when appropriate, to anticipate future threats and trends, and their impact on the Company’s risk environment. In addition, the Company utilizes third-party audits to test its cybersecurity systems, incident response and remediation plans to help spot vulnerabilities and improve its ability to respond to unexpected events. For more information on Matson’s ERM program, see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below.</w:t>
      </w:r>
    </w:p>
    <w:p>
      <w:pPr>
        <w:spacing w:after="0" w:line="19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As part of its approach, the Company conducts varied due diligence on its key technology vendors to review their cybersecurity risk profiles and scores. This includes pre-contract award due diligence reviews of such vendors and cyber and information security requirements within its vendor contracts. Additionally, the Company leverages independent, third-party services to monitor the cyber and information security posture of key suppliers and vendors. The Company’s quarterly information security update to the Chief Executive Officer and Chief Financial Officer includes an update on the results of these reviews.</w:t>
      </w:r>
    </w:p>
    <w:p>
      <w:pPr>
        <w:spacing w:after="0" w:line="187"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Training, education and awareness-building are mechanisms Matson uses to help embed a strong culture of cyber and information security within its workplace. The Company’s long-term aim is to have a workforce with high-functioning knowledge of cybersecurity. In furtherance of this aim, the Company conducts training annually for employees that addresses cyber and information security, and holds additional training typically at least three times per year for specific topics such as data and email security. Furthermore, Matson requires enhanced training for employees with access to particularly sensitive information. The Company also has specific escalation processes and resources in place for employees to raise a concern should they notice anything suspicious.</w:t>
      </w:r>
    </w:p>
    <w:p>
      <w:pPr>
        <w:spacing w:after="0" w:line="189"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color w:val="auto"/>
        </w:rPr>
        <w:t>The design of Matson’s information technology systems is informed in part by the following third-party frameworks or standards:</w:t>
      </w: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27001</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NIST Cybersecurity Framework</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NIST 800-171</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NIST 800-82</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DFARS 252.204-7012</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IMO MSC-FAL.1/Circ.3/Rev.2</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BIMCO’s Guidelines for Cyber Security Onboard Ships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IAPH’s Cybersecurity Guidelines for Ports and Port Facilities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addition, Matson participates in the following organizations in its effort to better understand best practices and advance its systems and policies over time:</w:t>
      </w: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Security Administration (“NSA”)’s Cybersecurity Collaboration Center</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Cybersecurity and Infrastructure Security Agency’s Critical Partnership</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Bureau of Investigation (“FBI”) InfraGard</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Coast Guard Area Maritime Security Committees and Cybersecurity Subcommittees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Cyber-Hawaii</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Maritime Transportation System Information Sharing and Analysis Center (“MTS-ISAC”)</w:t>
      </w:r>
    </w:p>
    <w:p>
      <w:pPr>
        <w:spacing w:after="0" w:line="20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Since the beginning of the last fiscal year, Matson has not identified risks from known cybersecurity threats, including as a result of any prior cybersecurity incidents, that have materially affected the Company, but the Company faces certain ongoing cybersecurity risks threats that, if realized, are reasonably likely to materially affect the Company. For more information on the risks and impacts of these matters to Matson, see Part I, Item 1A. Risk Factors – “</w:t>
      </w:r>
      <w:r>
        <w:rPr>
          <w:rFonts w:ascii="Times New Roman" w:cs="Times New Roman" w:eastAsia="Times New Roman" w:hAnsi="Times New Roman"/>
          <w:sz w:val="18"/>
          <w:szCs w:val="18"/>
          <w:i w:val="1"/>
          <w:iCs w:val="1"/>
          <w:color w:val="auto"/>
        </w:rPr>
        <w:t>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systems have in the past and may in the future be exposed to cybersecurity risks and other disruptions that could impair the Company’s ability to operate and adversely affect its business.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The Board has oversight of the Company’s risk management process, which includes overseeing our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identifying, assessing and mitigating significant financial, operational, legal, strategic, and other risks that may affect the Company. These risks include, among other things, risks related to cybersecurity and information security. Risk oversight plays a role in major Board decisions, and the evaluation of key risks is a core part of the decision-making process – from guidance on strategy to review of major capital expenditures.</w:t>
      </w:r>
    </w:p>
    <w:p>
      <w:pPr>
        <w:spacing w:after="0" w:line="185"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Board administers its oversight role in part through its committees. The Audit Committee is responsible for overseeing and reviewing cyber and information security risks, policies and programs and reviews the Company’s risk assessment, risk management and compliance policies twice a year. Senior leaders, including Matson’s Chief Information Officer, review the Company’s cybersecurity program with the Board at least annually, and the Chief Information Officer meets with the Audit Committee at least twice per year. Matson’s information security efforts are led by its Chief Information Officer, who has over 25 years of experience in enterprise software development, infrastructure and management, including over 18 years with Matson and 7 years at Charles Schwab as Senior Manager of Middleware Security, and the Chief Information Security Officer, who is a Certified Information Systems Security Professional, Certified Information Systems Auditor, and is AWS Certified. The Chief Information Officer and the Chief Information Security Officer provide regular briefings to the Chief Executive Officer, the Chief Financial Officer, the Board, and the Audit Committee. In addition, the Corporate Compliance Committee, comprised of business unit leaders, helps oversee cybersecurity initiatives and reports twice per year to the Audit Committee. These processes are part of the risk management processes described in the risk management and strategy section above.</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Audit Committee also oversees Matson’s ERM program, which includes cyber and information security risks. The ERM process, which follows the Committee of Sponsoring Organization Framework, is designed to promote visibility to the Board and management of critical risks and risk mitigation strategies across various time frames, including the short-, medium- and long-term. Risk mitigation efforts are integrated into strategic plans and budgets. The Chief Financial Officer and the head of internal audit review the Company’s risk management activities with the Audit Committee and the Board on a regular basis. Management also regularly updates the full Board at and between Board meetings on the ERM program and other risk-related matters. In addition, executive sessions of the Board, which are led by the Lead Independent Director, have focused on certain risk oversight topics from time to time. The Lead Independent Director consults with the Chairman of the Board regarding risk-focused topics at Board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leases terminal facilities including berth, yard, office and storage spaces. Material terminal facilities used by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Ocean Transportation segment include the following:</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Terminal Location</w:t>
            </w:r>
          </w:p>
        </w:tc>
        <w:tc>
          <w:tcPr>
            <w:tcW w:w="1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Acreage</w:t>
            </w:r>
          </w:p>
        </w:tc>
      </w:tr>
      <w:tr>
        <w:trPr>
          <w:trHeight w:val="209"/>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Honolulu, Hawaii</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Anchorage, Alaska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Dutch Harbor, Alaska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Kodiak, Alaska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Tacoma, Washington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Polaris Point, Guam</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Company’s other primary terminal facilities located at the ports of Oakland and Long Beach, California, and Tacoma, Washington are leased by SSAT.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material facilities used by the Company’s Logistics segment include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Material Facilities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Square Footage</w:t>
            </w:r>
          </w:p>
        </w:tc>
      </w:tr>
      <w:tr>
        <w:trPr>
          <w:trHeight w:val="209"/>
        </w:trPr>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Leased facilities:</w:t>
            </w:r>
          </w:p>
        </w:tc>
        <w:tc>
          <w:tcPr>
            <w:tcW w:w="1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Pooler, Georgia</w:t>
            </w: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710,844</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Oakland, California</w:t>
            </w:r>
          </w:p>
        </w:tc>
        <w:tc>
          <w:tcPr>
            <w:tcW w:w="2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406,463</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Pooler, Georgia</w:t>
            </w: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324,832</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Oakland, California</w:t>
            </w:r>
          </w:p>
        </w:tc>
        <w:tc>
          <w:tcPr>
            <w:tcW w:w="2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Warehouse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Auburn, Washington</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Owned facilities: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Anchorage, Alaska</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Fairbanks, Alaska</w:t>
            </w:r>
          </w:p>
        </w:tc>
        <w:tc>
          <w:tcPr>
            <w:tcW w:w="2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 / Cross-dock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 faces certain risks that could result in material expenditures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remediation. The Company believes that based on all information currently available to it, the Company is currently in compliance, in all material respects, with applicable environmental laws and regulations.</w:t>
      </w:r>
    </w:p>
    <w:p>
      <w:pPr>
        <w:spacing w:after="0" w:line="175"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accordance with SEC rules, with respect to administrative or judicial proceedings involving the environment, the Company has determined that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1"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ind w:left="60" w:right="6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Information: </w:t>
      </w:r>
      <w:r>
        <w:rPr>
          <w:rFonts w:ascii="Times New Roman" w:cs="Times New Roman" w:eastAsia="Times New Roman" w:hAnsi="Times New Roman"/>
          <w:sz w:val="18"/>
          <w:szCs w:val="18"/>
          <w:color w:val="auto"/>
        </w:rPr>
        <w:t>Matson’s common stock is traded on the New York Stock Exchange under the ticker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“MATX”. As of February 14, 2025, there were 1,796 shareholders of record of Matson common stock.</w:t>
      </w:r>
    </w:p>
    <w:p>
      <w:pPr>
        <w:spacing w:after="0" w:line="158" w:lineRule="exact"/>
        <w:rPr>
          <w:sz w:val="20"/>
          <w:szCs w:val="20"/>
          <w:color w:val="auto"/>
        </w:rPr>
      </w:pPr>
    </w:p>
    <w:p>
      <w:pPr>
        <w:jc w:val="both"/>
        <w:ind w:left="60" w:right="2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 Return Performance Graph and Trading Information: </w:t>
      </w:r>
      <w:r>
        <w:rPr>
          <w:rFonts w:ascii="Times New Roman" w:cs="Times New Roman" w:eastAsia="Times New Roman" w:hAnsi="Times New Roman"/>
          <w:sz w:val="18"/>
          <w:szCs w:val="18"/>
          <w:color w:val="auto"/>
        </w:rPr>
        <w:t>The following information in this Item 5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filed for purposes of Section 18 of the Securities Exchange Act of 1934, nor shall it be deemed incorporated by reference in any filing under the Securities Act of 1933.</w:t>
      </w:r>
    </w:p>
    <w:p>
      <w:pPr>
        <w:spacing w:after="0" w:line="17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2024.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108585</wp:posOffset>
            </wp:positionV>
            <wp:extent cx="5297805" cy="4029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9780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graph above represents $100 invested on December 31, 2019 in the Company’s stock or the indicated index, including reinvestment of dividends.</w:t>
      </w:r>
    </w:p>
    <w:p>
      <w:pPr>
        <w:spacing w:after="0" w:line="162"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Trading volume averaged 271,862 shares a day in 2024, compared with 274,339 shares a day in 2023 and 431,336 shares a day in 2022, as reported by the New York Stock Exchange.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Dividends per share of common stock declared by the Company for each fiscal quarter during 2024,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were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w:t>
            </w:r>
          </w:p>
        </w:tc>
        <w:tc>
          <w:tcPr>
            <w:tcW w:w="20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20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tcPr>
          <w:p>
            <w:pPr>
              <w:spacing w:after="0"/>
              <w:rPr>
                <w:sz w:val="18"/>
                <w:szCs w:val="18"/>
                <w:color w:val="auto"/>
              </w:rPr>
            </w:pPr>
          </w:p>
        </w:tc>
      </w:tr>
      <w:tr>
        <w:trPr>
          <w:trHeight w:val="209"/>
        </w:trPr>
        <w:tc>
          <w:tcPr>
            <w:tcW w:w="5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Board also declared a cash dividend of $0.34 per share for the first quarter 2025, payable on March 6, 2025 to shareholders of record on February 6, 2025. Although Matson expects to continue paying quarterly cash dividends on its common stock, the declaration and payment of dividends are subject to the discretion of the Board and depends upon Matson’s financial condition, results of operations, cash requirements and other factors deemed relevant by the Board.</w:t>
      </w:r>
    </w:p>
    <w:p>
      <w:pPr>
        <w:spacing w:after="0" w:line="178"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The following is a summary of common stock repurchased by the Company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1"/>
                <w:szCs w:val="11"/>
                <w:color w:val="auto"/>
              </w:rPr>
            </w:pPr>
          </w:p>
        </w:tc>
        <w:tc>
          <w:tcPr>
            <w:tcW w:w="1260" w:type="dxa"/>
            <w:vAlign w:val="bottom"/>
            <w:gridSpan w:val="2"/>
          </w:tcPr>
          <w:p>
            <w:pPr>
              <w:jc w:val="center"/>
              <w:ind w:right="20"/>
              <w:spacing w:after="0" w:line="138"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960" w:type="dxa"/>
            <w:vAlign w:val="bottom"/>
            <w:gridSpan w:val="3"/>
            <w:vMerge w:val="continue"/>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 (2)</w:t>
            </w:r>
          </w:p>
        </w:tc>
        <w:tc>
          <w:tcPr>
            <w:tcW w:w="1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2024</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1 – 30,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213,550</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146.81</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213,550</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79" w:hanging="330"/>
        <w:spacing w:after="0" w:line="227"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2021, Matson’s Board approved a share repurchase program of up to 3.0 million shares of common stock, with subsequent approvals for the addition of 3.0 million shares on each of January 27, 2022, August 23, 2022 and April 27, 2023, for an aggregate total authorization of 12.0 million shares of common stock. The share repurchase program expires on December 31, 2025. Shares may be repurchased in the open market from time to time, and may be made pursuant to a trading plan in accordance with Rule 10b5-1 of the Security Exchange Act of 1934.</w:t>
      </w:r>
    </w:p>
    <w:p>
      <w:pPr>
        <w:ind w:left="380" w:hanging="330"/>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shares withheld for employee taxes upon vesting of stock-based awards.</w:t>
      </w:r>
    </w:p>
    <w:p>
      <w:pPr>
        <w:spacing w:after="0" w:line="12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February 27, 2025, the Company’s Board approved an additional 3.0 million shares of common stock to be added to the Company’s existing share repurchase program and extended the program’s expiration date to December 31, 2027.</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229"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2025 or future years, including such references included under “Fourth Quarter 2024 Discussion and Outlook for 2025,” as well as statements generally identified through the inclusion of words such as “anticipate,” “believe,” “can,” “commit,” “estimate,” “expect,” “goal,” “intend,” “may,” “plan,” “seek,” “should,” “target,”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 Item 1A under the caption “Risk Factors” of this Annual Report on Form 10-K, which section is incorporated herein by reference, and elsewhere in this report.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assists in understanding the changes in the Company’s Consolidated Financial Statements from year to year, the primary factors that accounted for those changes, and how certain accounting principles, policies and estimates affected the Company’s Consolidated Financial Statements. The MD&amp;A is provided as a supplement to the Consolidated Financial Statements and the accompanying notes to the Consolidated Financial Statements in Item 8 of Part II below, and should be read in conjunction with the entirety of the Company’s Annual Report on Form 10-K and other reports on Forms 10-Q and 8-K, and other publicly available information. Discussion and analysis of the financial condition and results of operations of Matson for the year ended December 31, 2023 compared with the year ended December 31, 2022 can be found in Part II, Item 7 of the Company’s </w:t>
      </w:r>
      <w:hyperlink r:id="rId46">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filed with the SEC on February 23,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MD&amp;A is presented in the following sections: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 Financial Information</w:t>
      </w:r>
    </w:p>
    <w:p>
      <w:pPr>
        <w:spacing w:after="0" w:line="47" w:lineRule="exact"/>
        <w:rPr>
          <w:sz w:val="20"/>
          <w:szCs w:val="20"/>
          <w:color w:val="auto"/>
        </w:rPr>
      </w:pPr>
    </w:p>
    <w:p>
      <w:pPr>
        <w:ind w:left="720" w:right="4379"/>
        <w:spacing w:after="0" w:line="250" w:lineRule="auto"/>
        <w:rPr>
          <w:sz w:val="20"/>
          <w:szCs w:val="20"/>
          <w:color w:val="auto"/>
        </w:rPr>
      </w:pPr>
      <w:r>
        <w:rPr>
          <w:rFonts w:ascii="Times New Roman" w:cs="Times New Roman" w:eastAsia="Times New Roman" w:hAnsi="Times New Roman"/>
          <w:sz w:val="18"/>
          <w:szCs w:val="18"/>
          <w:color w:val="auto"/>
        </w:rPr>
        <w:t>Fourth Quarter 2024 Discussion and Outlook for 2025 Consolidated Results of Operations</w:t>
      </w:r>
    </w:p>
    <w:p>
      <w:pPr>
        <w:ind w:left="720" w:right="4239"/>
        <w:spacing w:after="0" w:line="250" w:lineRule="auto"/>
        <w:rPr>
          <w:sz w:val="20"/>
          <w:szCs w:val="20"/>
          <w:color w:val="auto"/>
        </w:rPr>
      </w:pPr>
      <w:r>
        <w:rPr>
          <w:rFonts w:ascii="Times New Roman" w:cs="Times New Roman" w:eastAsia="Times New Roman" w:hAnsi="Times New Roman"/>
          <w:sz w:val="18"/>
          <w:szCs w:val="18"/>
          <w:color w:val="auto"/>
        </w:rPr>
        <w:t>Analysis of Operating Revenue and Income by Segment Liquidity and Capital Resources</w:t>
      </w:r>
    </w:p>
    <w:p>
      <w:pPr>
        <w:ind w:left="720" w:right="3419"/>
        <w:spacing w:after="0" w:line="250" w:lineRule="auto"/>
        <w:rPr>
          <w:sz w:val="20"/>
          <w:szCs w:val="20"/>
          <w:color w:val="auto"/>
        </w:rPr>
      </w:pPr>
      <w:r>
        <w:rPr>
          <w:rFonts w:ascii="Times New Roman" w:cs="Times New Roman" w:eastAsia="Times New Roman" w:hAnsi="Times New Roman"/>
          <w:sz w:val="18"/>
          <w:szCs w:val="18"/>
          <w:color w:val="auto"/>
        </w:rPr>
        <w:t>Commitments, Contingencies and Off-Balance Sheet Arrangements Critical Accounting Estimates</w:t>
      </w:r>
    </w:p>
    <w:p>
      <w:pPr>
        <w:ind w:left="400"/>
        <w:spacing w:after="0"/>
        <w:rPr>
          <w:sz w:val="20"/>
          <w:szCs w:val="20"/>
          <w:color w:val="auto"/>
        </w:rPr>
      </w:pPr>
      <w:r>
        <w:rPr>
          <w:rFonts w:ascii="Times New Roman" w:cs="Times New Roman" w:eastAsia="Times New Roman" w:hAnsi="Times New Roman"/>
          <w:sz w:val="18"/>
          <w:szCs w:val="18"/>
          <w:color w:val="auto"/>
        </w:rPr>
        <w:t>Other Matters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comparative selected financial information of the Company is presented for each of the past five years ended December 31, 2024. The information should be read in conjunction with Item 8, “Financial Statements and Supplementary Data.” All fiscal years include 52 weeks, except for the year ended December 31, 2021 which includes 53 weeks (a description of the Company’s fiscal year is included in Note 2 to the Consolidated Financial Statements in Item 8 of Part II below):</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5"/>
                <w:szCs w:val="15"/>
                <w:color w:val="auto"/>
              </w:rPr>
            </w:pPr>
          </w:p>
        </w:tc>
      </w:tr>
      <w:tr>
        <w:trPr>
          <w:trHeight w:val="196"/>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2,809.7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2,477.0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3,544.6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3,132.8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1,853.9</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3,421.8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3,094.6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4,343.0</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3,925.3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2,383.3</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and Net Income:</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Ocean Transportation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1,137.7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1,187.5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w:t>
            </w: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(243.9)</w:t>
            </w: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(65.9)</w:t>
            </w:r>
          </w:p>
        </w:tc>
      </w:tr>
      <w:tr>
        <w:trPr>
          <w:trHeight w:val="196"/>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shd w:val="clear" w:color="auto" w:fill="CCEEFF"/>
          </w:tcPr>
          <w:p>
            <w:pPr>
              <w:spacing w:after="0"/>
              <w:rPr>
                <w:sz w:val="17"/>
                <w:szCs w:val="17"/>
                <w:color w:val="auto"/>
              </w:rPr>
            </w:pPr>
          </w:p>
        </w:tc>
      </w:tr>
      <w:tr>
        <w:trPr>
          <w:trHeight w:val="23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40" w:type="dxa"/>
            <w:vAlign w:val="bottom"/>
            <w:tcBorders>
              <w:bottom w:val="single" w:sz="8" w:color="CCEEFF"/>
            </w:tcBorders>
          </w:tcPr>
          <w:p>
            <w:pPr>
              <w:spacing w:after="0"/>
              <w:rPr>
                <w:sz w:val="20"/>
                <w:szCs w:val="20"/>
                <w:color w:val="auto"/>
              </w:rPr>
            </w:pPr>
          </w:p>
        </w:tc>
      </w:tr>
      <w:tr>
        <w:trPr>
          <w:trHeight w:val="183"/>
        </w:trPr>
        <w:tc>
          <w:tcPr>
            <w:tcW w:w="4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2"/>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Ocean Transportation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Logistics</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tcBorders>
              <w:bottom w:val="single" w:sz="8" w:color="CCEEFF"/>
            </w:tcBorders>
          </w:tcPr>
          <w:p>
            <w:pPr>
              <w:spacing w:after="0"/>
              <w:rPr>
                <w:sz w:val="17"/>
                <w:szCs w:val="17"/>
                <w:color w:val="auto"/>
              </w:rPr>
            </w:pPr>
          </w:p>
        </w:tc>
      </w:tr>
      <w:tr>
        <w:trPr>
          <w:trHeight w:val="196"/>
        </w:trPr>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40" w:type="dxa"/>
            <w:vAlign w:val="bottom"/>
            <w:shd w:val="clear" w:color="auto" w:fill="CCEEFF"/>
          </w:tcPr>
          <w:p>
            <w:pPr>
              <w:spacing w:after="0"/>
              <w:rPr>
                <w:sz w:val="17"/>
                <w:szCs w:val="17"/>
                <w:color w:val="auto"/>
              </w:rPr>
            </w:pPr>
          </w:p>
        </w:tc>
      </w:tr>
      <w:tr>
        <w:trPr>
          <w:trHeight w:val="203"/>
        </w:trPr>
        <w:tc>
          <w:tcPr>
            <w:tcW w:w="4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Deferred Dry-docking Amortization — Ocean Transportation</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40" w:type="dxa"/>
            <w:vAlign w:val="bottom"/>
            <w:tcBorders>
              <w:bottom w:val="single" w:sz="8" w:color="CCEEFF"/>
            </w:tcBorders>
          </w:tcPr>
          <w:p>
            <w:pPr>
              <w:spacing w:after="0"/>
              <w:rPr>
                <w:sz w:val="17"/>
                <w:szCs w:val="17"/>
                <w:color w:val="auto"/>
              </w:rPr>
            </w:pPr>
          </w:p>
        </w:tc>
      </w:tr>
      <w:tr>
        <w:trPr>
          <w:trHeight w:val="196"/>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in Net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4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per share declared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4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 of December 31: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Construction Fund (“CCF”)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Debt (before deferred loan fees deduction) (4)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40" w:type="dxa"/>
            <w:vAlign w:val="bottom"/>
          </w:tcPr>
          <w:p>
            <w:pPr>
              <w:spacing w:after="0"/>
              <w:rPr>
                <w:sz w:val="17"/>
                <w:szCs w:val="17"/>
                <w:color w:val="auto"/>
              </w:rPr>
            </w:pPr>
          </w:p>
        </w:tc>
      </w:tr>
      <w:tr>
        <w:trPr>
          <w:trHeight w:val="203"/>
        </w:trPr>
        <w:tc>
          <w:tcPr>
            <w:tcW w:w="4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2,652.0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2,400.7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2,296.9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1,667.4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961.2</w:t>
            </w:r>
          </w:p>
        </w:tc>
        <w:tc>
          <w:tcPr>
            <w:tcW w:w="40" w:type="dxa"/>
            <w:vAlign w:val="bottom"/>
            <w:shd w:val="clear" w:color="auto" w:fill="CCEEFF"/>
          </w:tcPr>
          <w:p>
            <w:pPr>
              <w:spacing w:after="0"/>
              <w:rPr>
                <w:sz w:val="17"/>
                <w:szCs w:val="17"/>
                <w:color w:val="auto"/>
              </w:rPr>
            </w:pPr>
          </w:p>
        </w:tc>
      </w:tr>
      <w:tr>
        <w:trPr>
          <w:trHeight w:val="210"/>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Shares outstanding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380" w:right="219" w:hanging="330"/>
        <w:spacing w:after="0" w:line="219"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Ocean Transportation segment includes $(1.0) million, $2.2 million, $83.1 million, $56.3 million and $26.3 million of equity in (loss)/income from the Company’s investment in SSAT for 2024, 2023, 2022, 2021 and 2020, respectively.</w:t>
      </w:r>
    </w:p>
    <w:p>
      <w:pPr>
        <w:ind w:left="380" w:hanging="330"/>
        <w:spacing w:after="0"/>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Capital expenditures represent amounts included in cash flows from investing activities in the Company’s Consolidated Statements of Cash Flows for the years presented.</w:t>
      </w:r>
    </w:p>
    <w:p>
      <w:pPr>
        <w:ind w:left="380" w:hanging="330"/>
        <w:spacing w:after="0" w:line="22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Company’s Capital Construction Fund is described in Note 7 to the Consolidated Financial Statements in Item 8 of Part II.</w:t>
      </w:r>
    </w:p>
    <w:p>
      <w:pPr>
        <w:ind w:left="380" w:hanging="330"/>
        <w:spacing w:after="0" w:line="223"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Company’s debt is described in Note 8 to the Consolidated Financial Statements in Item 8 of Part II.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FOURTH QUARTER 2024 DISCUSSION AND OUTLOOK FOR 2025</w:t>
      </w:r>
    </w:p>
    <w:p>
      <w:pPr>
        <w:spacing w:after="0" w:line="227"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fourth quarter 2024 was 1.7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year-over-year. The decrease was primarily due to lower general demand. Hawaii’s economy is expected to continue to grow slowly supported by modest gains in tourism, a low unemployment rate, and increased construction activity, but partially restrained by continued challenges in population growth and lower discretionary income as a result of high inflation and interest rates. The Company expects volume in 2025 to be comparable to the level achieved in 2024, reflecting modest economic growth in Hawaii and stable market share.</w:t>
      </w:r>
    </w:p>
    <w:p>
      <w:pPr>
        <w:spacing w:after="0" w:line="184"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In China, the Company achieved significantly higher freight rates in the fourth quarter 2024 compared to the year ago period. The Company’s container volume in the fourth quarter 2024 also increased 7.2 percent year-over-year due to seasonally stronger freight demand. The elevated freight rates in the fourth quarter 2024 were supported by a resilient U.S. economy and a stable consumer demand environment coupled with tighter supply chain conditions. The Company expects elevated freight rates to continue into the first quarter 2025. Beyond the first quarter, the Company expects freight rates will largely be driven by the timing of trade flow normalization in the Red Sea, other geopolitical factors, supply chain activity and the trajectory of the U.S. economy. With respect to the Red Sea, assuming trade conditions normalize by the middle of the year, the Company expects freight rates to moderate in the second half of the year. However, if the Red Sea remains disrupted through year end, the Company expects freight rates to remain elevated throughout the year.</w:t>
      </w:r>
    </w:p>
    <w:p>
      <w:pPr>
        <w:spacing w:after="0" w:line="18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Guam, the Company’s container volume in the fourth quarter 2024 decreased 10.0 percent year-over-year. The decrease was primarily due to lower demand from retail and food and beverage segments. In the near term, the Company expects Guam’s economy to grow modestly supported by a low unemployment rate and an increase in construction activity. For the full year 2025, the Company expects volume to be modestly higher than the level achieved last year.</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Alaska, the Company’s container volume for the fourth quarter 2024 increased 1.1 percent year-over-year. The increase was primarily due to higher northbound volume, partially offset by an additional sailing in the year ago period. In the near term, the Company expects continued economic growth in Alaska supported by a low unemployment rate, jobs growth and continued oil and gas exploration and production activity. For the full year 2025, the Company expects volume to approximate the level achieved last year.</w:t>
      </w:r>
    </w:p>
    <w:p>
      <w:pPr>
        <w:spacing w:after="0" w:line="183"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The loss in the fourth quarter 2024 from the Company’s SSAT joint venture investment was $9.5 million, or $13.6 million lower than the income of $4.1 million in fourth quarter 2023. The decrease was due to a $18.4 million impairment charge related to the write-down of a terminal operating lease asset, partially offset by higher year-over-year lift volume. On an after-tax basis, the impairment charge impacted fourth quarter 2024 net income and diluted EPS by $14.0 million and $0.42 per share, respectively. For 2025, the Company expects the contribution from SSAT to approximate the level achieved in 2024, without taking into account the $18.4 million impairment charge in the fourth quarter 2024.</w:t>
      </w:r>
    </w:p>
    <w:p>
      <w:pPr>
        <w:spacing w:after="0" w:line="17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Based on the outlook trends noted above, the Company expects Ocean Transportation operating income for the first quarter 2025 to be meaningfully higher than the $27.6 million achieved in the first quarter 2024. For full year 2025, the Company expects Ocean Transportation operating income to be largely driven by the timing of trade flow normalization in the Red Sea, other geopolitical factors, supply chain activity and the trajectory of the U.S. economy. Assuming trade conditions in the Red Sea normalize by the middle of the year and there are no significant changes from today in the other factors referenced above, the Company expects full year 2025 Ocean Transportation operating income to be moderately lower than the $500.9 million achieved in 2024. However, if trade conditions in the Red Sea remain disrupted through year end and there are no significant changes from today in the other factors noted above, the Company expects full year 2025 Ocean Transportation operating income to approach the level achieved in 2024.</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fourth quarter 2024, operating income for the Company’s Logistics segment was $10.1 million, or</w:t>
      </w:r>
    </w:p>
    <w:p>
      <w:pPr>
        <w:spacing w:after="0" w:line="29"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$1.2 million higher compared to the level achieved in the fourth quarter 2023. The increase was primarily due to a higher contribution from supply chain management. For 2025, the Company expects challenging business conditions for transportation brokerage for most of the year and a lower contribution from supply chain management, which the Company expects to lead to modestly lower operating income compared to the level achieved in 2024. For the first quarter 2025, the Company expects Logistics operating income to be modestly lower than the $9.3 million achieved in the first quarter 2024.</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Consolidated Operating Income: </w:t>
      </w:r>
      <w:r>
        <w:rPr>
          <w:rFonts w:ascii="Times New Roman" w:cs="Times New Roman" w:eastAsia="Times New Roman" w:hAnsi="Times New Roman"/>
          <w:sz w:val="18"/>
          <w:szCs w:val="18"/>
          <w:color w:val="auto"/>
        </w:rPr>
        <w:t>For the first quarter 2025, the Company expects consolidated operating income to be</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meaningfully higher than the $36.9 million achieved in the first quarter 2024. For full year 2025, the Company expects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operating income to be largely driven by the timing of trade flow normalization in the Red Sea,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geopolitical factors, supply chain activity and the trajectory of the U.S. economy. Assuming trade conditions in the 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Sea normalize by the end of the first half of the year and there are no significant changes from today in the other factors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referenced above, the Company expects full year 2025 consolidated operating income to be moderately lower than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$551.3 million achieved in 2024. However, if trade conditions in the Red Sea remain disrupted through year end and there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are no significant changes from today in the other factors noted above, the Company expects full year 2025 consolidated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income to approach the level achieved in 2024.</w:t>
      </w:r>
    </w:p>
    <w:p>
      <w:pPr>
        <w:spacing w:after="0" w:line="205"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For full year 2025, the Company expects depreciation and amortization expense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$200 million, inclusive of dry-docking amortization of approximately $26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Company expects interest income for the full year 2025 to be approximately $31 million.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Company expects interest expense for the full year 2025 to be approximately $7 million.</w:t>
      </w:r>
    </w:p>
    <w:p>
      <w:pPr>
        <w:spacing w:after="0" w:line="225" w:lineRule="exact"/>
        <w:rPr>
          <w:sz w:val="20"/>
          <w:szCs w:val="20"/>
          <w:color w:val="auto"/>
        </w:rPr>
      </w:pPr>
    </w:p>
    <w:p>
      <w:pPr>
        <w:jc w:val="both"/>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Company expects full year 2025 other income (expense) to be approximately $9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which is attributable to the amortization of certain components of net periodic benefit costs or gains related to the Company’s pension and post-retirement plans.</w:t>
      </w:r>
    </w:p>
    <w:p>
      <w:pPr>
        <w:spacing w:after="0" w:line="173" w:lineRule="exact"/>
        <w:rPr>
          <w:sz w:val="20"/>
          <w:szCs w:val="20"/>
          <w:color w:val="auto"/>
        </w:rPr>
      </w:pPr>
    </w:p>
    <w:p>
      <w:pPr>
        <w:ind w:left="60" w:right="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the fourth quarter 2024, the Company’s effective tax rate was 19.1 percent. For the full year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expects its effective tax rate to be approximately 22.0 percent.</w:t>
      </w:r>
    </w:p>
    <w:p>
      <w:pPr>
        <w:spacing w:after="0" w:line="158" w:lineRule="exact"/>
        <w:rPr>
          <w:sz w:val="20"/>
          <w:szCs w:val="20"/>
          <w:color w:val="auto"/>
        </w:rPr>
      </w:pPr>
    </w:p>
    <w:p>
      <w:pPr>
        <w:ind w:left="60" w:right="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and Vessel Dry-docking Expenditures: </w:t>
      </w:r>
      <w:r>
        <w:rPr>
          <w:rFonts w:ascii="Times New Roman" w:cs="Times New Roman" w:eastAsia="Times New Roman" w:hAnsi="Times New Roman"/>
          <w:sz w:val="18"/>
          <w:szCs w:val="18"/>
          <w:color w:val="auto"/>
        </w:rPr>
        <w:t>For the full year 2024, the Company made capital expenditure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new vessel construction expenditures of $214.5 million, new vessel construction expenditures (including capitalized interest and owner’s items) of $95.6 million, and dry-docking payments of $30.2 million. For the full year 2025, the Company expects to make other capital expenditure payments, including maintenance capital expenditures, of approximately $120 to $140 million, new vessel construction expenditures (including capitalized interest and owner’s items) of approximately $305 million, and dry-docking payments of approximately $40 million.</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analysis of the financial results of operations of Matson for the years ended December 31, 2024 and 2023 should be read in conjunction with the Consolidated Financial Statements in Item 8 of Part II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2024 compared with 2023:</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14.14</w:t>
            </w: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8.42</w:t>
            </w: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5.72</w:t>
            </w:r>
          </w:p>
        </w:tc>
        <w:tc>
          <w:tcPr>
            <w:tcW w:w="200" w:type="dxa"/>
            <w:vAlign w:val="bottom"/>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67.9</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Fiscal years ended December 31, 2024 and 2023 include 52 weeks.</w:t>
      </w:r>
    </w:p>
    <w:p>
      <w:pPr>
        <w:spacing w:after="0" w:line="158" w:lineRule="exact"/>
        <w:rPr>
          <w:sz w:val="20"/>
          <w:szCs w:val="20"/>
          <w:color w:val="auto"/>
        </w:rPr>
      </w:pPr>
    </w:p>
    <w:p>
      <w:pPr>
        <w:ind w:left="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Operating Revenue </w:t>
      </w:r>
      <w:r>
        <w:rPr>
          <w:rFonts w:ascii="Times New Roman" w:cs="Times New Roman" w:eastAsia="Times New Roman" w:hAnsi="Times New Roman"/>
          <w:sz w:val="18"/>
          <w:szCs w:val="18"/>
          <w:color w:val="auto"/>
        </w:rPr>
        <w:t>for the year ended December 31, 2024 increased $327.2 million, or 10.6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The increase was due to an increase in Ocean Transportation revenue of $332.7 million which was partially offset by a decrease in Logistics revenue of $5.5 million.</w:t>
      </w:r>
    </w:p>
    <w:p>
      <w:pPr>
        <w:spacing w:after="0" w:line="106"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for the year ended December 31, 2024 increased $118.7 million, or 4.3 percent,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prior year. The increase was due to an increase in Ocean Transportation operating costs and expenses of</w:t>
      </w:r>
    </w:p>
    <w:p>
      <w:pPr>
        <w:ind w:left="60"/>
        <w:spacing w:after="0"/>
        <w:rPr>
          <w:sz w:val="20"/>
          <w:szCs w:val="20"/>
          <w:color w:val="auto"/>
        </w:rPr>
      </w:pPr>
      <w:r>
        <w:rPr>
          <w:rFonts w:ascii="Times New Roman" w:cs="Times New Roman" w:eastAsia="Times New Roman" w:hAnsi="Times New Roman"/>
          <w:sz w:val="18"/>
          <w:szCs w:val="18"/>
          <w:color w:val="auto"/>
        </w:rPr>
        <w:t>$126.6 million which was partially offset by a decrease in Logistics operating costs and expenses of $7.9 million.</w:t>
      </w:r>
    </w:p>
    <w:p>
      <w:pPr>
        <w:spacing w:after="0" w:line="137" w:lineRule="exact"/>
        <w:rPr>
          <w:sz w:val="20"/>
          <w:szCs w:val="20"/>
          <w:color w:val="auto"/>
        </w:rPr>
      </w:pPr>
    </w:p>
    <w:p>
      <w:pPr>
        <w:jc w:val="both"/>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for the year ended December 31, 2024 increased $208.5 million, or 60.8 percent, compared to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increase was due to an increase in Ocean Transportation operating income of $206.1 million and an increase in Logistics operating income of $2.4 million.</w:t>
      </w:r>
    </w:p>
    <w:p>
      <w:pPr>
        <w:spacing w:after="0" w:line="10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reasons for changes in operating revenue, operating costs and expenses, and operating income are described below, by business segment, in “Analysis of Operating Revenue and Income by Segment.”</w:t>
      </w:r>
    </w:p>
    <w:p>
      <w:pPr>
        <w:spacing w:after="0" w:line="9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was $48.3 million for the year ended December 31, 2024, compared to $36.0 million in the prior year.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interest income was due to interest of $10.2 million earned on a federal income tax refund received during the year ended December 31, 2024. The increase in interest income was also due to increased amounts of cash and cash equivalent accounts, and cash on deposit within the Capital Construction Fund that were invested in interest bearing accounts during the year ended December 31, 2024, compared to the prior year.</w:t>
      </w:r>
    </w:p>
    <w:p>
      <w:pPr>
        <w:spacing w:after="0" w:line="183" w:lineRule="exact"/>
        <w:rPr>
          <w:sz w:val="20"/>
          <w:szCs w:val="20"/>
          <w:color w:val="auto"/>
        </w:rPr>
      </w:pPr>
    </w:p>
    <w:p>
      <w:pPr>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$7.5 million for the year ended December 31, 2024, compared to $12.2 million in the prior year.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interest expense was due to lower outstanding debt and a higher offset of capitalized interest related to the construction of new vessels during the year ended December 31, 2024, compared to the prior year.</w:t>
      </w:r>
    </w:p>
    <w:p>
      <w:pPr>
        <w:spacing w:after="0" w:line="10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was $7.3 million for the year ended December 31, 2024, compared to $6.4 million in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and relates to the amortization of certain components of net periodic benefit costs or gains related to the Company’s pension and post-retirement plans. The increase in other income (expense) was due to favorable adjustments reflected in the Company’s pension and post-retirement plan liabilities during the year ended December 31, 2024, compared to the prior year.</w:t>
      </w:r>
    </w:p>
    <w:p>
      <w:pPr>
        <w:spacing w:after="0" w:line="116" w:lineRule="exact"/>
        <w:rPr>
          <w:sz w:val="20"/>
          <w:szCs w:val="20"/>
          <w:color w:val="auto"/>
        </w:rPr>
      </w:pPr>
    </w:p>
    <w:p>
      <w:pPr>
        <w:ind w:left="60" w:right="1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the year ended December 31, 2024 were $123.0 million, or 20.5 percent of income before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$75.9 million, or 20.3 percent of income before income taxes in the prior year. The 2023 income tax rate benefited from certain discrete tax adjustments that lowered the effective tax rate in the prior year.</w:t>
      </w:r>
    </w:p>
    <w:p>
      <w:pPr>
        <w:spacing w:after="0" w:line="106" w:lineRule="exact"/>
        <w:rPr>
          <w:sz w:val="20"/>
          <w:szCs w:val="20"/>
          <w:color w:val="auto"/>
        </w:rPr>
      </w:pPr>
    </w:p>
    <w:p>
      <w:pPr>
        <w:ind w:left="60" w:right="6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during the year ended December 31, 2024 increased $179.3 million, or 60.4 percent, to $476.4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14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analysis of operating revenue and income by segment for the years ended December 31, 2024 and 2023 should be read in conjunction with the Company’s reportable segments information included in Note 3 to the Consolidated Financial Statements in Item 8 of Part II.</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Ocean Transportation: 2024 compared with 2023:</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(2,308.8)</w:t>
            </w: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(2,182.2)</w:t>
            </w: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32"/>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6"/>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432"/>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279" w:hanging="330"/>
        <w:spacing w:after="0" w:line="233"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Ocean Transportation revenue increased $332.7 million, or 13.4 percent, during the year ended December 31, 2024, compared with the year ended December 31, 2023. The increase was primarily due to significantly higher freight rates in China, higher freight rates in the domestic tradelanes, and higher volume in China, partially offset by lower domestic tradelane volume.</w:t>
      </w:r>
    </w:p>
    <w:p>
      <w:pPr>
        <w:spacing w:after="0" w:line="180"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On a year-over-year FEU basis, Hawaii container volume decreased 2.3 percent primarily due to lower general demand; Alaska volume increased 0.6 percent due to higher general demand, partially offset by one less northbound sailing; China volume increased 2.4 percent due to stronger seasonal volume in the fourth quarter 2024 and one additional sailing; Guam volume decreased 6.5 percent primarily due to lower general demand; and Other containers volume decreased 2.9 percent.</w:t>
      </w:r>
    </w:p>
    <w:p>
      <w:pPr>
        <w:spacing w:after="0" w:line="164"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Ocean Transportation operating income increased $206.1 million, or 69.9 percent, during the year ended December 31, 2024, compared with the year ended December 31, 2023. The increase was primarily due to significantly higher freight rates in China, higher freight rates in the domestic tradelanes, and higher volume in China, partially offset by higher operating costs and general and administrative expenses.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SSAT terminal joint venture investment incurred a loss of $1.0 million during the year ended</w:t>
      </w:r>
    </w:p>
    <w:p>
      <w:pPr>
        <w:spacing w:after="0" w:line="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December 31, 2024, compared to income of $2.2 million during the year ended December 31, 2023. The decrease was due to an impairment charge related to the write-down of a terminal operating lease asset in the fourth quarter 2024 of $18.4 million, partially offset by higher lift volume.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Logistics: 2024 compared with 2023:</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(0.9)%</w:t>
            </w:r>
          </w:p>
        </w:tc>
        <w:tc>
          <w:tcPr>
            <w:tcW w:w="0" w:type="dxa"/>
            <w:vAlign w:val="bottom"/>
          </w:tcPr>
          <w:p>
            <w:pPr>
              <w:spacing w:after="0"/>
              <w:rPr>
                <w:sz w:val="1"/>
                <w:szCs w:val="1"/>
                <w:color w:val="auto"/>
              </w:rPr>
            </w:pPr>
          </w:p>
        </w:tc>
      </w:tr>
      <w:tr>
        <w:trPr>
          <w:trHeight w:val="432"/>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(561.7)</w:t>
            </w:r>
          </w:p>
        </w:tc>
        <w:tc>
          <w:tcPr>
            <w:tcW w:w="12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(569.6)</w:t>
            </w: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Logistics revenue decreased $5.5 million, or 0.9 percent, during the year ended December 31, 2024, compared with the year ended December 31, 2023. The decrease was primarily due to lower revenue in transportation brokerage, partially offset by higher revenue in supply chain management.</w:t>
      </w:r>
    </w:p>
    <w:p>
      <w:pPr>
        <w:spacing w:after="0" w:line="1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Logistics operating income increased $2.4 million, or 5.0 percent, during the year ended December 31, 2024, compared with the year ended December 31, 2023. The increase was primarily due to a higher contribution from supply chain management.</w:t>
      </w:r>
    </w:p>
    <w:p>
      <w:pPr>
        <w:sectPr>
          <w:pgSz w:w="11900" w:h="16838" w:orient="portrait"/>
          <w:cols w:equalWidth="0" w:num="1">
            <w:col w:w="9019"/>
          </w:cols>
          <w:pgMar w:left="1440" w:top="513" w:right="1440"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028"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Company’s primary sources of liquidity are its cash flows generated from operating activities and its debt. Sources of liquidity available to the Company as of December 31, 2024 compared to December 31, 2023, were as follows:</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 Restricted Cash and Accounts Receivable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cash equivalents, restricted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net as of December 31, 2024 and 2023 were as follows: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CCF - cash and cash equivalents, and investments account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379" w:hanging="330"/>
        <w:spacing w:after="0" w:line="261" w:lineRule="auto"/>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accounts receivable of $178.1 million and $218.1 million at December 31, 2024 and 2023, respectively, were assigned to the CCF. For additional information on the CCF, see Note 7 to the Consolidated Financial Statements.</w:t>
      </w:r>
    </w:p>
    <w:p>
      <w:pPr>
        <w:spacing w:after="0" w:line="16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Changes in the Company’s cash and cash equivalents and restricted cash for the years ended December 31, 2024, 2023 and 2022 were as follows:</w:t>
      </w: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2024-2023</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(761.4)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 (2)</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(336.1)</w:t>
            </w:r>
          </w:p>
        </w:tc>
        <w:tc>
          <w:tcPr>
            <w:tcW w:w="12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(338.2)</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(729.3)</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 (3)</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(301.2)</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(289.7)</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(576.6)</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16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the period</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(117.4)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1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(117.4)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right="279" w:hanging="330"/>
        <w:spacing w:after="0" w:line="26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Provided by Operating Activities: </w:t>
      </w:r>
      <w:r>
        <w:rPr>
          <w:rFonts w:ascii="Times New Roman" w:cs="Times New Roman" w:eastAsia="Times New Roman" w:hAnsi="Times New Roman"/>
          <w:sz w:val="18"/>
          <w:szCs w:val="18"/>
          <w:color w:val="auto"/>
        </w:rPr>
        <w:t>Changes in net cash provided by operating activities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2024, 2023 and 2022 were as follows:</w:t>
      </w:r>
    </w:p>
    <w:tbl>
      <w:tblPr>
        <w:tblLayout w:type="fixed"/>
        <w:tblInd w:w="40" w:type="dxa"/>
        <w:tblCellMar>
          <w:top w:w="0" w:type="dxa"/>
          <w:left w:w="0" w:type="dxa"/>
          <w:bottom w:w="0" w:type="dxa"/>
          <w:right w:w="0" w:type="dxa"/>
        </w:tblCellMar>
      </w:tblPr>
      <w:tr>
        <w:trPr>
          <w:trHeight w:val="162"/>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depreciation and amortization</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non-cash related changes, net</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distribution from SSAT, net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amortization of operating lease right of use assets</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deferred dry-docking amortization</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7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r>
              <w:rPr>
                <w:rFonts w:ascii="Times New Roman" w:cs="Times New Roman" w:eastAsia="Times New Roman" w:hAnsi="Times New Roman"/>
                <w:sz w:val="18"/>
                <w:szCs w:val="18"/>
                <w:u w:val="single" w:color="auto"/>
                <w:color w:val="auto"/>
              </w:rPr>
              <w:t>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r>
              <w:rPr>
                <w:rFonts w:ascii="Times New Roman" w:cs="Times New Roman" w:eastAsia="Times New Roman" w:hAnsi="Times New Roman"/>
                <w:sz w:val="18"/>
                <w:szCs w:val="18"/>
                <w:u w:val="single" w:color="auto"/>
                <w:color w:val="auto"/>
              </w:rPr>
              <w:t>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Loss from SSAT was $1.0 million for the year ended December 31, 2024, compared to income from SSAT of $2.2 million in the prior year. Excluding the Company’s portion of an impairment charge of $18.4 million that was included in the loss from SSAT during the year ended December 31, 2024 related to the write-down of a terminal operating lease asset, the increase in income from SSAT was due to higher operating profits generated by SSAT during the year ended December 31, 2024 due to increased lift volume. No impairment charge was recorded by SSAT during the year ended December 31, 2023. Cash dividends received from SSAT was $14.0 million for the year ended December 31, 2024, compared to no cash distributions received in the prior year. Cash distributions from SSAT are dependent on the level of cash available for distribution after consideration of SSAT’s operational and capital needs. Changes in accounts receivable were primarily due to the timing of collections associated with those receivables. Changes in prepaid expenses and other assets were primarily due to a decrease in prepaid income tax receivables at</w:t>
      </w:r>
    </w:p>
    <w:p>
      <w:pPr>
        <w:sectPr>
          <w:pgSz w:w="11900" w:h="16838" w:orient="portrait"/>
          <w:cols w:equalWidth="0" w:num="1">
            <w:col w:w="9019"/>
          </w:cols>
          <w:pgMar w:left="1440" w:top="513" w:right="1440" w:bottom="92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92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December 31, 2024 due to a refund of $118.6 million related to the Company’s 2021 federal tax return that was received during the year ended December 31, 2024, offset by higher prepaid fuel. Changes in accounts payable, accruals and other liabilities were primarily due to the timing of payments associated with those liabilities. Changes in operating lease liabilities were primarily due to new operating leases entered into during the year ended December 31, 2024, offset by operating leases that expired during the year ended December 31, 2024. Deferred dry-docking payments were</w:t>
      </w:r>
    </w:p>
    <w:p>
      <w:pPr>
        <w:spacing w:after="0" w:line="3"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$30.2 million for the year ended December 31, 2024, compared to $24.1 million in the prior year. The increase in deferred dry-docking payments was due to an increase in vessel dry-dock related activities during the year ended December 31, 2024. Changes in other long-term liabilities primarily related to payments of pension and post-retirement liabilities, and multi-employer liabilities.</w:t>
      </w:r>
    </w:p>
    <w:p>
      <w:pPr>
        <w:spacing w:after="0" w:line="187" w:lineRule="exact"/>
        <w:rPr>
          <w:sz w:val="20"/>
          <w:szCs w:val="20"/>
          <w:color w:val="auto"/>
        </w:rPr>
      </w:pPr>
    </w:p>
    <w:p>
      <w:pPr>
        <w:ind w:left="380" w:right="139" w:hanging="330"/>
        <w:spacing w:after="0" w:line="26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Used in Investing Activities: </w:t>
      </w:r>
      <w:r>
        <w:rPr>
          <w:rFonts w:ascii="Times New Roman" w:cs="Times New Roman" w:eastAsia="Times New Roman" w:hAnsi="Times New Roman"/>
          <w:sz w:val="18"/>
          <w:szCs w:val="18"/>
          <w:color w:val="auto"/>
        </w:rPr>
        <w:t>Changes in net cash used in investing activities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2023 and 2022 were as follows:</w:t>
      </w:r>
    </w:p>
    <w:tbl>
      <w:tblPr>
        <w:tblLayout w:type="fixed"/>
        <w:tblInd w:w="40" w:type="dxa"/>
        <w:tblCellMar>
          <w:top w:w="0" w:type="dxa"/>
          <w:left w:w="0" w:type="dxa"/>
          <w:bottom w:w="0" w:type="dxa"/>
          <w:right w:w="0" w:type="dxa"/>
        </w:tblCellMar>
      </w:tblPr>
      <w:tr>
        <w:trPr>
          <w:trHeight w:val="162"/>
        </w:trPr>
        <w:tc>
          <w:tcPr>
            <w:tcW w:w="7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2024-2023</w:t>
            </w: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09"/>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deposits and interest into the CCF</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Withdrawals from CCF</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vessel construction expenditures</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(excluding vessel construction expenditures)</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and equipment, net, and other</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Payments for asset acquisitions</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r>
              <w:rPr>
                <w:rFonts w:ascii="Times New Roman" w:cs="Times New Roman" w:eastAsia="Times New Roman" w:hAnsi="Times New Roman"/>
                <w:sz w:val="18"/>
                <w:szCs w:val="18"/>
                <w:u w:val="single" w:color="auto"/>
                <w:color w:val="auto"/>
              </w:rPr>
              <w:t>1</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cash and interest deposited into the CCF were $50.0 million and $18.8 million, compared to $100.0 million and $31.1 million in the prior year, respectively. During the year ended December 31, 2024, cash withdrawals from the CCF were $89.6 million, compared to $49.9 million in the prior year, related to vessel construction milestone payments. During the year ended December 31, 2024, the Company repurchased $53.8 million of assigned accounts receivable. No assigned accounts receivable were repurchased during the year ended December 31, 2023. Capitalized vessel construction expenditures were $95.6 million for the year ended December 31, 2024, compared to $52.9 million in the prior year. The increase in capitalized vessel construction expenditures was due to the timing of milestone payments related to the Company’s fleet renewal program. Capital expenditures (excluding vessel construction expenditures) were $214.5 million for the year ended December 31, 2024, compared to $195.5 million for the prior year. Capital expenditures (excluding vessel construction expenditures) during the year ended December 31, 2024 included costs associated with LNG installations, the reengining of an existing vessel, and the purchase of additional containers, chassis and other terminal equipment to support the Company’s operating activities. During the year ended December 31, 2024, the Company paid $0.8 million related to asset acquisitions, compared to $12.4 million in the prior year.</w:t>
      </w:r>
    </w:p>
    <w:p>
      <w:pPr>
        <w:spacing w:after="0" w:line="185" w:lineRule="exact"/>
        <w:rPr>
          <w:sz w:val="20"/>
          <w:szCs w:val="20"/>
          <w:color w:val="auto"/>
        </w:rPr>
      </w:pPr>
    </w:p>
    <w:p>
      <w:pPr>
        <w:ind w:left="380" w:right="519" w:hanging="330"/>
        <w:spacing w:after="0" w:line="26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Net Cash Used in Financing Activities: </w:t>
      </w:r>
      <w:r>
        <w:rPr>
          <w:rFonts w:ascii="Times New Roman" w:cs="Times New Roman" w:eastAsia="Times New Roman" w:hAnsi="Times New Roman"/>
          <w:sz w:val="18"/>
          <w:szCs w:val="18"/>
          <w:color w:val="auto"/>
        </w:rPr>
        <w:t>Changes in net cash used in financing activities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2023 and 2022 were as follows:</w:t>
      </w:r>
    </w:p>
    <w:tbl>
      <w:tblPr>
        <w:tblLayout w:type="fixed"/>
        <w:tblInd w:w="40" w:type="dxa"/>
        <w:tblCellMar>
          <w:top w:w="0" w:type="dxa"/>
          <w:left w:w="0" w:type="dxa"/>
          <w:bottom w:w="0" w:type="dxa"/>
          <w:right w:w="0" w:type="dxa"/>
        </w:tblCellMar>
      </w:tblPr>
      <w:tr>
        <w:trPr>
          <w:trHeight w:val="162"/>
        </w:trPr>
        <w:tc>
          <w:tcPr>
            <w:tcW w:w="7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2024-2023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Matson common stock</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16"/>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fixed interest debt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 related to settlement of restricted stock units</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r>
              <w:rPr>
                <w:rFonts w:ascii="Times New Roman" w:cs="Times New Roman" w:eastAsia="Times New Roman" w:hAnsi="Times New Roman"/>
                <w:sz w:val="18"/>
                <w:szCs w:val="18"/>
                <w:u w:val="single" w:color="auto"/>
                <w:color w:val="auto"/>
              </w:rPr>
              <w:t>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paid $199.1 million to repurchase common stock during the year ended December 31, 2024, compared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$155.2 million in the prior year. The Company did not issue any new fixed interest debt during the years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The Company paid $39.7 million of scheduled fixed interest debt principal payments during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year ended December 31, 2024, compared to $76.9 million of prepaid and scheduled fixed interest debt principal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during the prior year. The value of shares withheld by the Company for taxes related to the settlement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restricted stock units was $17.6 million for the year ended December 31, 2024, compared to $12.6 million in the prior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 utilizes its CCF to fund milestone payments for the construction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The Company’s CCF is described in Note 7 to the Consolidated Financial Statements. Cash on deposit and investments in the CCF and assigned accounts receivable as of December 31, 2024 and 2023 were as follows: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 and investments account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Cash on deposit in the CCF is invested in a U.S. Treasury obligations fund with daily liquidity. At December 31, 2024, securities held within the U.S. Treasury obligations fund had a weighted average life of 96 days. The Company’s CCF investments are in fixed-rate U.S. Treasury obligations with various maturity dates of up to 3 years. Cash on deposit and investments in the CCF are classified as a long-term asset in the Company’s Consolidated Balance Sheets, as the Company intends to use qualified cash withdrawals from the CCF to fund long-term investments in the construction of new vessels.</w:t>
      </w:r>
    </w:p>
    <w:p>
      <w:pPr>
        <w:spacing w:after="0" w:line="16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Assigned accounts receivable in the CCF are classified as part of accounts receivable in the Consolidated Balance Sheets due to the nature of the assignment.</w:t>
      </w:r>
    </w:p>
    <w:p>
      <w:pPr>
        <w:spacing w:after="0" w:line="158" w:lineRule="exact"/>
        <w:rPr>
          <w:sz w:val="20"/>
          <w:szCs w:val="20"/>
          <w:color w:val="auto"/>
        </w:rPr>
      </w:pPr>
    </w:p>
    <w:p>
      <w:pPr>
        <w:ind w:left="60" w:right="3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The Company utilizes a mix of fixed and variable debt for liquidity and to fund the Company’s operations.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as of December 31, 2024 and 2023 is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interest debt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interest debt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(excluding deferred loan fees)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spacing w:after="0" w:line="282" w:lineRule="auto"/>
        <w:rPr>
          <w:sz w:val="20"/>
          <w:szCs w:val="20"/>
          <w:color w:val="auto"/>
        </w:rPr>
      </w:pPr>
      <w:r>
        <w:rPr>
          <w:rFonts w:ascii="Times New Roman" w:cs="Times New Roman" w:eastAsia="Times New Roman" w:hAnsi="Times New Roman"/>
          <w:sz w:val="18"/>
          <w:szCs w:val="18"/>
          <w:color w:val="auto"/>
        </w:rPr>
        <w:t>Total debt decreased by $39.7 million during the year ended December 31, 2024 compared to the prior year. The decrease in fixed interest debt was due to the scheduled debt repayments made during the year ended December 31, 2024.</w:t>
      </w:r>
    </w:p>
    <w:p>
      <w:pPr>
        <w:spacing w:after="0" w:line="162"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$643.9 million of unused capacity under the revolving credit facility, with a maturity date of March 31, 2026. The Company’s debt is described in Note 8 to the Consolidated Financial Statements in Item 8 of Part II.</w:t>
      </w:r>
    </w:p>
    <w:p>
      <w:pPr>
        <w:spacing w:after="0" w:line="17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surplus of $49.2 million at December 31, 2024,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capital surplus of $40.0 million at December 31, 2023. Working capital is primarily impacted by the amount of net cash provided by operating activities, the amount of capital expenditures, the amount and timing of collections associated with accounts receivable, prepaid expenses and other assets, and the amount and timing of payments associated with accounts payable, accruals, income taxes, debt and other liabilities. The increase in the Company’s working capital surplus during the year ended December 31, 2024 was due to the increase in cash provided by operating activities offset by higher capital expenditures during the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The Company expects to make the following capital expenditures during the years ending</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2026 and 2027:</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5"/>
                <w:szCs w:val="15"/>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vessel construction milestone payments and related costs</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Maintenance and other capital expenditures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- 140</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8"/>
                <w:szCs w:val="18"/>
                <w:color w:val="auto"/>
              </w:rPr>
            </w:pPr>
          </w:p>
        </w:tc>
      </w:tr>
      <w:tr>
        <w:trPr>
          <w:trHeight w:val="209"/>
        </w:trPr>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Estimated Capital Expenditures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$445</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New vessel construction milestone payments and related costs are for the Company’s construction of three new vessels at a cost of approximately $1.0 billion (excluding owners’ items and change orders) with expected delivery dates during the first quarter 2027, the third quarter 2027 and the second quarter 2028. Future milestone payments are expected to be financed with cash currently on deposit in the Company’s CCF, cash and cash equivalents on the Consolidated Balance Sheets, cash flows generated from future operations, borrowings available under the Company’s unsecured revolving credit facility or additional debt financings.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Maintenance and other capital expenditures include amounts that the Company expects to spend on various capital projects, including capital expenditures related to the second and third phase of its program to modernize and renovate its terminal facility at Sand Island, Honolulu, Hawaii, repurchases of leased equipment, vessel capital maintenance and annual equipment purchases to support the Company’s operations. The Company expects to fund these capital expenditures with cash and cash equivalents on the Consolidated Balance Sheets and through cash flows generated from future operating activities.</w:t>
      </w:r>
    </w:p>
    <w:p>
      <w:pPr>
        <w:spacing w:after="0" w:line="183" w:lineRule="exact"/>
        <w:rPr>
          <w:sz w:val="20"/>
          <w:szCs w:val="20"/>
          <w:color w:val="auto"/>
        </w:rPr>
      </w:pPr>
    </w:p>
    <w:p>
      <w:pPr>
        <w:ind w:left="60" w:right="2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Repurchase of Shares: </w:t>
      </w:r>
      <w:r>
        <w:rPr>
          <w:rFonts w:ascii="Times New Roman" w:cs="Times New Roman" w:eastAsia="Times New Roman" w:hAnsi="Times New Roman"/>
          <w:sz w:val="18"/>
          <w:szCs w:val="18"/>
          <w:color w:val="auto"/>
        </w:rPr>
        <w:t>During the year ended December 31, 2024, the Company repurchased approximately 1.6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for a total cost of $201.0 million. The remaining number of shares that may be repurchased under the Company’s stock repurchase program was 830,527 shares at December 31, 2024. On February 27, 2025, the Company’s Board approved an additional 3.0 million shares of common stock to be added to the Company’s existing share repurchase program and extended the program’s expiration date to December 31, 2027.</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COMMITMENTS, CONTINGENCIES AND OFF-BALANCE SHEET ARRANGEMENTS</w:t>
      </w:r>
    </w:p>
    <w:p>
      <w:pPr>
        <w:spacing w:after="0" w:line="227" w:lineRule="exact"/>
        <w:rPr>
          <w:sz w:val="20"/>
          <w:szCs w:val="20"/>
          <w:color w:val="auto"/>
        </w:rPr>
      </w:pPr>
    </w:p>
    <w:p>
      <w:pPr>
        <w:ind w:left="60" w:right="27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Commitments and Contingencies: </w:t>
      </w:r>
      <w:r>
        <w:rPr>
          <w:rFonts w:ascii="Times New Roman" w:cs="Times New Roman" w:eastAsia="Times New Roman" w:hAnsi="Times New Roman"/>
          <w:sz w:val="17"/>
          <w:szCs w:val="17"/>
          <w:color w:val="auto"/>
        </w:rPr>
        <w:t>A description of other commitments and contingencies is set forth in Note 9, Note 11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Note 17 to the Consolidated Financial Statements in Item 8 of Part II below, and is incorporated herein by reference.</w:t>
      </w:r>
    </w:p>
    <w:p>
      <w:pPr>
        <w:spacing w:after="0" w:line="135" w:lineRule="exact"/>
        <w:rPr>
          <w:sz w:val="20"/>
          <w:szCs w:val="20"/>
          <w:color w:val="auto"/>
        </w:rPr>
      </w:pPr>
    </w:p>
    <w:p>
      <w:pPr>
        <w:jc w:val="both"/>
        <w:ind w:left="60" w:right="1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The Company is not currently party to any off-balance sheet arrangements that have,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reasonably likely to have, a current or future material effect on the Company’s financial condition, results of operations or cash flows.</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Consolidated Financial Statements in Item 8 of Part II below.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in making accounting estimates about future events that may affect the amounts reported in the Consolidated Financial Statements and accompanying notes. Future events and their effects cannot be determined with certainty and actual results will, inevitably, differ from those accounting estimates. These differences could be material.</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the Company could have used different estimates; and (ii) changes in those accounting estimates would have had a material impact on the financial condition or results of operations of the Company. The critical accounting policies and estimates considered in the preparation of the Company’s Consolidated Financial Statements are described below. Management has discussed the development and selection of these critical accounting estimates with the Audit Committee of our Board.</w:t>
      </w:r>
    </w:p>
    <w:p>
      <w:pPr>
        <w:spacing w:after="0" w:line="188"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Long-Lived Assets, Intangible Assets and Goodwill: </w:t>
      </w:r>
      <w:r>
        <w:rPr>
          <w:rFonts w:ascii="Times New Roman" w:cs="Times New Roman" w:eastAsia="Times New Roman" w:hAnsi="Times New Roman"/>
          <w:sz w:val="18"/>
          <w:szCs w:val="18"/>
          <w:color w:val="auto"/>
        </w:rPr>
        <w:t>The Company evaluates its long-lived assets, intangible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pacing w:after="0" w:line="17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Long-lived Assets and Finite-lived Intangible Assets: </w:t>
      </w:r>
      <w:r>
        <w:rPr>
          <w:rFonts w:ascii="Times New Roman" w:cs="Times New Roman" w:eastAsia="Times New Roman" w:hAnsi="Times New Roman"/>
          <w:sz w:val="18"/>
          <w:szCs w:val="18"/>
          <w:color w:val="auto"/>
        </w:rPr>
        <w:t>Long-lived assets and finite-lived intangible assets are grouped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lowest level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of maintenance and improvements of the assets. If management uses different assumptions or if different conditions occur in future periods, the Company’s financial condition or its future operating results could be materially impacted. The Company has evaluated its long-lived assets and finite-lived intangible assets for impairment and determined that there was no impairment for the years ended December 31, 2024, 2023, and 2022.</w:t>
      </w:r>
    </w:p>
    <w:p>
      <w:pPr>
        <w:spacing w:after="0" w:line="17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Indefinite-life Intangible Assets and Goodwill: </w:t>
      </w:r>
      <w:r>
        <w:rPr>
          <w:rFonts w:ascii="Times New Roman" w:cs="Times New Roman" w:eastAsia="Times New Roman" w:hAnsi="Times New Roman"/>
          <w:sz w:val="18"/>
          <w:szCs w:val="18"/>
          <w:color w:val="auto"/>
        </w:rPr>
        <w:t>The Company’s intangible assets include goodwill and a trade name,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grouped at the lowest level reporting unit for which identifiable cash flows are available. In estimating the fair value of a reporting unit, the Company uses a combination of a discounted cash flow model and fair value based on market multiples of earnings before interest, income taxes, depreciation and amortization (“EBITDA”). The discounted cash flow approach requires the Company to use a number of assumptions, including market factors specific to the business, the amount and timing of estimated future cash flows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makes judgments about the comparability of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 The Company has evaluated its indefinite-life intangible assets and goodwill for impairment and determined that there was no impairment for the years ended December 31, 2024, 2023, and 2022.</w:t>
      </w:r>
    </w:p>
    <w:p>
      <w:pPr>
        <w:spacing w:after="0" w:line="19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Insurance Related Liabilities: </w:t>
      </w:r>
      <w:r>
        <w:rPr>
          <w:rFonts w:ascii="Times New Roman" w:cs="Times New Roman" w:eastAsia="Times New Roman" w:hAnsi="Times New Roman"/>
          <w:sz w:val="18"/>
          <w:szCs w:val="18"/>
          <w:color w:val="auto"/>
        </w:rPr>
        <w:t>The Company purchases insurance with deductibles or self-insured retentions to mitigate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risks that it is exposed to. Such insurance includes, but is not limited to, employee health, workers’ compensation, marine liability, cybersecurity, auto liability and physical damage to property and equipment. For certain risks, the Company elects to not purchase insurance because of the excessive cost of such insurance, the perceived remoteness of the risk or insurance coverage is not commercially available. The Company retains the risk of loss for insurance deductibles and self-insured retentions, for amounts that exceed the limits of the Company’s insurance policies, and for other risks not covered by insurance.</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 The Company’s retained risks and other related liabilities contain uncertainties because management is required to apply judgment and make long-term assumptions to estimate the ultimate cost to settle reported claims, and of claims incurred but not reported, as of the balance sheet date. Insurance related liabilities were $52.8 million and $41.3 million at December 31, 2024 and 2023, respectively. The Company’s estimate of insurance related liabilities could change if management uses different assumptions or if different conditions occur in future periods, however the Company does not expect any such change would have a material impact on the Company’s financial condition and results of operations.</w:t>
      </w:r>
    </w:p>
    <w:p>
      <w:pPr>
        <w:spacing w:after="0" w:line="12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The estimation of the Company’s pension and post-retirement benefit expenses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requires the Company to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w:t>
      </w:r>
    </w:p>
    <w:p>
      <w:pPr>
        <w:spacing w:after="0" w:line="11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pension and post-retirement plans and assumptions used is included in Note 11 to the Consolidated Financial Statements in Item 8 of Part II below.</w:t>
      </w:r>
    </w:p>
    <w:p>
      <w:pPr>
        <w:spacing w:after="0" w:line="90"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income tax expense requires the Company to make various estimates and judgments.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estimates and judgments are applied in the calculation of taxable income, tax credits, tax benefits, CCF related tax deductions, foreign-derived intangible income and other tax deductions, and in the calculation of certain deferred tax assets and liabilities, which arise from differences in the timing of recognition of revenue, costs and expenses for tax purposes. The calculation of deferred tax assets and liabilities may be impacted by various factors including but not limited to changes in tax rates; changes in tax laws, regulations, rulings and interpretations of existing tax laws;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changes in the evaluation of the Company’s ability to realize deferred tax assets including operating loss and tax credit carryforwards. Significant changes to these estimates may result in an increase or decrease to the Company’s income taxes in a subsequent period.</w:t>
      </w:r>
    </w:p>
    <w:p>
      <w:pPr>
        <w:spacing w:after="0" w:line="1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income taxes is included in Note 10 to the Consolidated Financial Statements in Item 8 of Part II below.</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left="60" w:right="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Accounting Pronouncements: </w:t>
      </w:r>
      <w:r>
        <w:rPr>
          <w:rFonts w:ascii="Times New Roman" w:cs="Times New Roman" w:eastAsia="Times New Roman" w:hAnsi="Times New Roman"/>
          <w:sz w:val="18"/>
          <w:szCs w:val="18"/>
          <w:color w:val="auto"/>
        </w:rPr>
        <w:t>See Note 2 to the Consolidated Financial Statements in Item 8 of Part II below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on new accounting pronouncements.</w:t>
      </w: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and Interest Rate Risks: </w:t>
      </w:r>
      <w:r>
        <w:rPr>
          <w:rFonts w:ascii="Times New Roman" w:cs="Times New Roman" w:eastAsia="Times New Roman" w:hAnsi="Times New Roman"/>
          <w:sz w:val="18"/>
          <w:szCs w:val="18"/>
          <w:color w:val="auto"/>
        </w:rPr>
        <w:t>The Company is exposed to changes in interest rates, primarily as a result of its borrowing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investing activities used to maintain liquidity and to fund business operations, including borrowings under its revolving credit facility, private placement term loans and Title XI debt. In order to manage its exposure to changes in interest rates, the Company utilizes a balanced mix of both fixed-rate and variable-rate debt with various maturity dates. The nature and amount of the Company’s outstanding debt are expected to fluctuate as a result of future business requirements, market conditions and other factors.</w:t>
      </w:r>
    </w:p>
    <w:p>
      <w:pPr>
        <w:spacing w:after="0" w:line="184"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Other than in certain events of default, the Company is not obligated to prepay its variable and fixed rate debt prior to maturity. For fixed rate debt, changes in market interest rates would not affect the Company’s financial condition or results of operations.</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Company’s debt is included in Note 8 to the Consolidated Financial Statements in Item 8 of Part II below.</w:t>
      </w:r>
    </w:p>
    <w:p>
      <w:pPr>
        <w:spacing w:after="0" w:line="16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Risks: </w:t>
      </w:r>
      <w:r>
        <w:rPr>
          <w:rFonts w:ascii="Times New Roman" w:cs="Times New Roman" w:eastAsia="Times New Roman" w:hAnsi="Times New Roman"/>
          <w:sz w:val="18"/>
          <w:szCs w:val="18"/>
          <w:color w:val="auto"/>
        </w:rPr>
        <w:t>The Company invests excess cash in short-term money market funds that purchase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corporate debt securities, or in other deposit products. These money market funds and deposits maintain a weighted average maturity of less than 90 days. A one percent change in interest rates is not expected to have a material impact on the fair value of these investments or on the Company’s results of operations.</w:t>
      </w:r>
    </w:p>
    <w:p>
      <w:pPr>
        <w:spacing w:after="0" w:line="18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 may invest funds on deposit in the CCF in money market funds, U.S. Treasury Obligation Funds or other eligible credit-based investments for maturities of up to three years. A one percent change in interest rates is not expected to have a material impact on the fair value of these investments or on the Company’s results of operations.</w:t>
      </w:r>
    </w:p>
    <w:p>
      <w:pPr>
        <w:spacing w:after="0" w:line="174"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Risks: </w:t>
      </w:r>
      <w:r>
        <w:rPr>
          <w:rFonts w:ascii="Times New Roman" w:cs="Times New Roman" w:eastAsia="Times New Roman" w:hAnsi="Times New Roman"/>
          <w:sz w:val="18"/>
          <w:szCs w:val="18"/>
          <w:color w:val="auto"/>
        </w:rPr>
        <w:t>The Company has no material exposure to foreign currency risks, although it is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changes in currency rates to the extent that changes in rates affect tourism in Hawaii, Guam, Alaska and other locations. Transactions related to the Company’s China and Japan services are primarily denominated in U.S. dollars, and therefore, a one percent change in the Chinese Yuan or Japanese Yen exchange rate would not have a material effect on the Company’s results of operations. Transactions related to the Company’s South Pacific service are primarily denominated in New Zealand dollars. A one percent change in the New Zealand dollar exchange rate is not expected to have a material effect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8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Management’s Annual Report on Internal Control Over Financial Reporting</w:t>
            </w:r>
          </w:p>
        </w:tc>
        <w:tc>
          <w:tcPr>
            <w:tcW w:w="2580" w:type="dxa"/>
            <w:vAlign w:val="bottom"/>
            <w:vMerge w:val="restart"/>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80" w:type="dxa"/>
            <w:vAlign w:val="bottom"/>
            <w:tcBorders>
              <w:bottom w:val="single" w:sz="8" w:color="0000EE"/>
            </w:tcBorders>
            <w:gridSpan w:val="23"/>
            <w:vMerge w:val="continue"/>
          </w:tcPr>
          <w:p>
            <w:pPr>
              <w:spacing w:after="0"/>
              <w:rPr>
                <w:sz w:val="13"/>
                <w:szCs w:val="13"/>
                <w:color w:val="auto"/>
              </w:rPr>
            </w:pPr>
          </w:p>
        </w:tc>
        <w:tc>
          <w:tcPr>
            <w:tcW w:w="2580" w:type="dxa"/>
            <w:vAlign w:val="bottom"/>
            <w:vMerge w:val="continue"/>
          </w:tcPr>
          <w:p>
            <w:pPr>
              <w:spacing w:after="0"/>
              <w:rPr>
                <w:sz w:val="13"/>
                <w:szCs w:val="13"/>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Income and Comprehensive Income</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440" w:type="dxa"/>
            <w:vAlign w:val="bottom"/>
            <w:gridSpan w:val="2"/>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5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520" w:type="dxa"/>
            <w:vAlign w:val="bottom"/>
            <w:gridSpan w:val="5"/>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Business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Significant Accounting Policies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Reportable Segments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Investment in SSAT</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Property and Equipment</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Goodwill and Intangible Assets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Capital Construction Fund</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Debt</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Leases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10.</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Income Taxes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11.</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Pension and Post-Retirement Plans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12.</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Multi-Employer Withdrawal Liabilities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Accumulated Other Comprehensive Income (Loss)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14.</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Earnings Per Share</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15.</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Share-Based Awards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Fair Value of Financial Instruments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17.</w:t>
            </w:r>
          </w:p>
        </w:tc>
        <w:tc>
          <w:tcPr>
            <w:tcW w:w="260" w:type="dxa"/>
            <w:vAlign w:val="bottom"/>
          </w:tcPr>
          <w:p>
            <w:pPr>
              <w:spacing w:after="0"/>
              <w:rPr>
                <w:sz w:val="17"/>
                <w:szCs w:val="17"/>
                <w:color w:val="auto"/>
              </w:rPr>
            </w:pPr>
          </w:p>
        </w:tc>
        <w:tc>
          <w:tcPr>
            <w:tcW w:w="7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Commitments and Contingencies</w:t>
            </w:r>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Borders>
              <w:top w:val="single" w:sz="8" w:color="0000EE"/>
            </w:tcBorders>
            <w:gridSpan w:val="12"/>
          </w:tcPr>
          <w:p>
            <w:pPr>
              <w:spacing w:after="0"/>
              <w:rPr>
                <w:sz w:val="24"/>
                <w:szCs w:val="24"/>
                <w:color w:val="auto"/>
              </w:rPr>
            </w:pPr>
          </w:p>
        </w:tc>
        <w:tc>
          <w:tcPr>
            <w:tcW w:w="176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management of Matson, Inc. and subsidiaries (the “Company”) has the responsibility for establishing and maintaining adequate internal control over financial reporting. Internal control over financial reporting is defined in Rules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89" w:lineRule="exact"/>
        <w:rPr>
          <w:sz w:val="20"/>
          <w:szCs w:val="20"/>
          <w:color w:val="auto"/>
        </w:rPr>
      </w:pPr>
    </w:p>
    <w:p>
      <w:pPr>
        <w:ind w:left="380" w:right="61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 of the company;</w:t>
      </w:r>
    </w:p>
    <w:p>
      <w:pPr>
        <w:spacing w:after="0" w:line="161" w:lineRule="exact"/>
        <w:rPr>
          <w:rFonts w:ascii="Times New Roman" w:cs="Times New Roman" w:eastAsia="Times New Roman" w:hAnsi="Times New Roman"/>
          <w:sz w:val="18"/>
          <w:szCs w:val="18"/>
          <w:color w:val="auto"/>
        </w:rPr>
      </w:pPr>
    </w:p>
    <w:p>
      <w:pPr>
        <w:ind w:left="380" w:right="199" w:hanging="330"/>
        <w:spacing w:after="0" w:line="26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380" w:right="19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2024.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its assessment, management believes that, as of December 31, 2024, the Company’s internal control over financial reporting is effective. The Company’s independent registered public accounting firm, Deloitte &amp; Touche LLP, has issued an attestation report on the Company’s internal control over financial reporting.</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J. Cox</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 Joel M. Wine</w:t>
            </w:r>
          </w:p>
        </w:tc>
      </w:tr>
      <w:tr>
        <w:trPr>
          <w:trHeight w:val="191"/>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J. Cox</w:t>
            </w:r>
          </w:p>
        </w:tc>
        <w:tc>
          <w:tcPr>
            <w:tcW w:w="180" w:type="dxa"/>
            <w:vAlign w:val="bottom"/>
          </w:tcPr>
          <w:p>
            <w:pPr>
              <w:spacing w:after="0"/>
              <w:rPr>
                <w:sz w:val="16"/>
                <w:szCs w:val="16"/>
                <w:color w:val="auto"/>
              </w:rPr>
            </w:pPr>
          </w:p>
        </w:tc>
        <w:tc>
          <w:tcPr>
            <w:tcW w:w="4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Joel M. Wine</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3119"/>
        <w:spacing w:after="0" w:line="497" w:lineRule="auto"/>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To the Board of Directors and the shareholders of Matson, Inc.</w:t>
      </w:r>
    </w:p>
    <w:p>
      <w:pPr>
        <w:ind w:left="60"/>
        <w:spacing w:after="0"/>
        <w:rPr>
          <w:sz w:val="20"/>
          <w:szCs w:val="20"/>
          <w:color w:val="auto"/>
        </w:rPr>
      </w:pPr>
      <w:r>
        <w:rPr>
          <w:rFonts w:ascii="Times New Roman" w:cs="Times New Roman" w:eastAsia="Times New Roman" w:hAnsi="Times New Roman"/>
          <w:sz w:val="17"/>
          <w:szCs w:val="17"/>
          <w:b w:val="1"/>
          <w:bCs w:val="1"/>
          <w:color w:val="auto"/>
        </w:rPr>
        <w:t>Opinions on the Financial Statements and Internal Control over Financial Reporting</w:t>
      </w:r>
    </w:p>
    <w:p>
      <w:pPr>
        <w:spacing w:after="0" w:line="29" w:lineRule="exact"/>
        <w:rPr>
          <w:sz w:val="20"/>
          <w:szCs w:val="20"/>
          <w:color w:val="auto"/>
        </w:rPr>
      </w:pPr>
    </w:p>
    <w:p>
      <w:pPr>
        <w:ind w:left="60" w:right="199"/>
        <w:spacing w:after="0" w:line="25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Matson, Inc. and subsidiaries (the “Company”) as of December 31, 2024 and 2023, the related consolidated statements of income and comprehensive income, shareholders’ equity, and cash flows, for each of the three years in the period ended December 31, 2024, and the related notes (collectively referred to as the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7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7"/>
          <w:szCs w:val="17"/>
          <w:color w:val="auto"/>
        </w:rPr>
        <w:t>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29"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left="60" w:right="219"/>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6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9" w:lineRule="exact"/>
        <w:rPr>
          <w:sz w:val="20"/>
          <w:szCs w:val="20"/>
          <w:color w:val="auto"/>
        </w:rPr>
      </w:pPr>
    </w:p>
    <w:p>
      <w:pPr>
        <w:ind w:left="60" w:right="159"/>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ind w:left="60" w:right="59" w:hanging="10"/>
        <w:spacing w:after="0" w:line="250" w:lineRule="auto"/>
        <w:tabs>
          <w:tab w:leader="none" w:pos="30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left="60" w:right="599"/>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9"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59" w:lineRule="auto"/>
        <w:rPr>
          <w:sz w:val="20"/>
          <w:szCs w:val="20"/>
          <w:color w:val="auto"/>
        </w:rPr>
      </w:pPr>
      <w:r>
        <w:rPr>
          <w:rFonts w:ascii="Times New Roman" w:cs="Times New Roman" w:eastAsia="Times New Roman" w:hAnsi="Times New Roman"/>
          <w:sz w:val="17"/>
          <w:szCs w:val="17"/>
          <w:color w:val="auto"/>
        </w:rPr>
        <w:t>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Goodwill – Span Alaska Reporting Unit — Refer to Notes 2 and 6 to the financial statements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14"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7"/>
          <w:szCs w:val="17"/>
          <w:color w:val="auto"/>
        </w:rPr>
        <w:t>The Company’s evaluation of goodwill for impairment involves the comparison of the fair value of each reporting unit to its carrying value. In estimating the fair value of a reporting unit, the Company uses a combination of a discounted cash flow model and fair value based on market multiples of earnings before interest, taxes, depreciation and amortization (“EBITDA”). The discounted cash flow approach requires the Company to make several business and valuation assumptions, including, but not limited to, those related to the discount rate. Changes in assumptions and estimates could have a material effect on either the fair value, the amount of any goodwill impairment charge, or both. The goodwill balance was $327.8 million as of December 31, 2024, of which $78.6 million is allocated to the Span Alaska reporting unit in the Logistics reportable segment, resulting from the acquisition of Span Intermediate, LLC (“Span Alaska”) in fiscal year 2016. The Company has evaluated its goodwill for impairment as part of its annual assessment in fiscal year 2024 and determined that the fair value of the Span Alaska reporting unit exceeded the carrying amount as of the date of the impairment review.</w:t>
      </w:r>
    </w:p>
    <w:p>
      <w:pPr>
        <w:spacing w:after="0" w:line="175"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7"/>
          <w:szCs w:val="17"/>
          <w:color w:val="auto"/>
        </w:rPr>
        <w:t>We identified goodwill related to Span Alaska as a critical audit matter because of the significant estimates and assumptions management made to estimate the fair value of Span Alaska. Specifically, performing audit procedures to evaluate the reasonableness of management’s estimates and assumptions related to the selection of the discount rate required a high degree of auditor judgment and an increased extent of effort, including the need to involve our fair value specialists.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Our audit procedures related to the selection of the discount rate for Span Alaska included the following, among others:</w:t>
      </w:r>
    </w:p>
    <w:p>
      <w:pPr>
        <w:spacing w:after="0" w:line="210" w:lineRule="exact"/>
        <w:rPr>
          <w:sz w:val="20"/>
          <w:szCs w:val="20"/>
          <w:color w:val="auto"/>
        </w:rPr>
      </w:pPr>
    </w:p>
    <w:p>
      <w:pPr>
        <w:ind w:left="380" w:right="679" w:hanging="330"/>
        <w:spacing w:after="0" w:line="259"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goodwill impairment evaluation, including those over the selection of the discount rate.</w:t>
      </w:r>
    </w:p>
    <w:p>
      <w:pPr>
        <w:spacing w:after="0" w:line="1" w:lineRule="exact"/>
        <w:rPr>
          <w:rFonts w:ascii="Times New Roman" w:cs="Times New Roman" w:eastAsia="Times New Roman" w:hAnsi="Times New Roman"/>
          <w:sz w:val="17"/>
          <w:szCs w:val="17"/>
          <w:color w:val="auto"/>
        </w:rPr>
      </w:pPr>
    </w:p>
    <w:p>
      <w:pPr>
        <w:jc w:val="both"/>
        <w:ind w:left="380" w:right="299" w:hanging="330"/>
        <w:spacing w:after="0" w:line="254"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Honolulu, Hawaii</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28, 2025</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have served as the Company’s auditor since at least 1976;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2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Ocean Transportation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Logistics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Income from SSAT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(2,870.5)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Comprehensive Income (Loss), Net of Income Taxes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$9.8 million and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 million, respectively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SSAT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long-term assets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3,985.8</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 net of deferred loan fees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w w:val="99"/>
              </w:rPr>
              <w:t>Common stock - common stock without par value; authorized, 150 million shares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($0.75 stated value per share): outstanding, 33.0 million shares in 2024 and 34.4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shares in 2023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2,337.1</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476.4</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297.1</w:t>
            </w:r>
          </w:p>
        </w:tc>
        <w:tc>
          <w:tcPr>
            <w:tcW w:w="32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Reconciling adjustments: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operating lease right of use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133.7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(Gain) Loss on disposal of property and equipment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0.6</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Loss (Income) from SSAT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Distributions from SSAT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assets and liabilities: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dry-docking payments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dry-docking amortization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94.8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accruals and other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Operating lease assets and liabilities,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(139.5)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long-term liabilities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(0.3)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767.8</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510.5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1,271.9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Capitalized vessel construction expenditures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 expenditures (excluding vessel construction expenditures)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(214.5)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Proceeds from disposal of property and equipment, net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Payments for asset acquisitions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interest deposits into Capital Construction Fund</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(120.7)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(582.8)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Withdrawals from Capital Construction Fund</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89.6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49.9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64.6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(336.1)</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(338.2)</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(729.3)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Repayments of debt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Dividends paid</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Repurchase of Matson 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related to net share settlements of restricted stock units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(12.6)</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(301.2)</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(289.7)</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(576.6)</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the Year</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136.3</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253.7</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287.7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4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the Year</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266.8</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136.3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253.7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0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at End of the Year: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266.8</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134.0</w:t>
            </w:r>
          </w:p>
        </w:tc>
        <w:tc>
          <w:tcPr>
            <w:tcW w:w="32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249.8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Borders>
              <w:bottom w:val="single" w:sz="8" w:color="CCEEFF"/>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20" w:type="dxa"/>
            <w:vAlign w:val="bottom"/>
            <w:tcBorders>
              <w:bottom w:val="single" w:sz="8" w:color="CCEEFF"/>
            </w:tcBorders>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Cash, Cash Equivalents and Restricted Cash, End of the Year</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266.8</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136.3</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253.7</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Supplemental Cash Flow Information: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Interest paid, net of capitalized interest</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11.1</w:t>
            </w:r>
          </w:p>
        </w:tc>
        <w:tc>
          <w:tcPr>
            <w:tcW w:w="32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tax paid, net of income tax refunds</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(26.5)</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w:t>
            </w:r>
          </w:p>
        </w:tc>
        <w:tc>
          <w:tcPr>
            <w:tcW w:w="32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215.2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Non-cash Information: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Capital expenditures included in accounts payable, accruals and other liabilities</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320" w:type="dxa"/>
            <w:vAlign w:val="bottom"/>
            <w:gridSpan w:val="2"/>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10.8</w:t>
            </w:r>
          </w:p>
        </w:tc>
        <w:tc>
          <w:tcPr>
            <w:tcW w:w="32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Non-cash payments for intangible asset acquisitions</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32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MATSON, INC. AND SUBSIDIARIES CONSOLIDATED STATEMENTS OF SHAREHOLDERS’ EQUITY FOR THE THREE YEARS ENDED DECEMBER 31, 2024</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gridSpan w:val="3"/>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Stated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080" w:type="dxa"/>
            <w:vAlign w:val="bottom"/>
            <w:gridSpan w:val="3"/>
          </w:tcPr>
          <w:p>
            <w:pPr>
              <w:jc w:val="center"/>
              <w:ind w:left="13"/>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86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10"/>
                <w:szCs w:val="10"/>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$ 1,353.5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$ 1,667.4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Equity interest in SSAT (see Note 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($1.22 per share)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($1.26 per share)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 repurchase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 interest in SSAT (see Note 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($1.32 per share)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$ 24.7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$ 2,337.1</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$ 2,652.0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hanging="650"/>
        <w:spacing w:after="0"/>
        <w:tabs>
          <w:tab w:leader="none" w:pos="7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 For financial information on the Company’s reportable segments for the three years ended December 31, 2024 (see Note 3).</w:t>
      </w:r>
    </w:p>
    <w:p>
      <w:pPr>
        <w:spacing w:after="0" w:line="178"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on the Hawaiian islands of Oahu, Hawaii, Maui and Kauai, and in Alaska.</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Matson has a 35 percent ownership interest in SSA Terminals, LLC (“SSAT”), a joint venture between Matson</w:t>
      </w:r>
    </w:p>
    <w:p>
      <w:pPr>
        <w:spacing w:after="0" w:line="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Ventures, Inc., a wholly-owned subsidiary of MatNav, and SSA Ventures, Inc., a subsidiary of Carrix, Inc. SSAT currently provides terminal and stevedoring services to various carriers at eight terminal facilities on the U.S. West Coast, including three facilities dedicated for MatNav’s use. Matson records its share of income from SSAT in costs and expenses in the Consolidated Statements of Income and Comprehensive Income, and within the Ocean Transportation segment due to the nature of SSAT’s operations (see Note 4).</w:t>
      </w:r>
    </w:p>
    <w:p>
      <w:pPr>
        <w:spacing w:after="0" w:line="18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spacing w:after="0" w:line="399" w:lineRule="exact"/>
        <w:rPr>
          <w:sz w:val="20"/>
          <w:szCs w:val="20"/>
          <w:color w:val="auto"/>
        </w:rPr>
      </w:pPr>
    </w:p>
    <w:p>
      <w:pPr>
        <w:ind w:left="700" w:hanging="650"/>
        <w:spacing w:after="0"/>
        <w:tabs>
          <w:tab w:leader="none" w:pos="7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7"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(see Note 4).</w:t>
      </w:r>
    </w:p>
    <w:p>
      <w:pPr>
        <w:spacing w:after="0" w:line="183"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The year end for Matson is December 31. The period end for MatNav occurred on the last Friday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except for certain Company subsidiaries whose period closed on December 31. Included in these Consolidated Financial Statements are 52 weeks in fiscal years 2024, 2023 and 2022 for MatNav.</w:t>
      </w:r>
    </w:p>
    <w:p>
      <w:pPr>
        <w:spacing w:after="0" w:line="173"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The United States (U.S.) dollar is the functional currency for substantially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(gain) within shareholders’ equity. The Company translates the result of operations of its foreign subsidiaries at the average exchange rate during the respective periods. Gains and losses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resulting from foreign currency transactions are included in Costs and Expenses in the Consolidated Statements of Income and Comprehensive Income.</w:t>
      </w:r>
    </w:p>
    <w:p>
      <w:pPr>
        <w:spacing w:after="0" w:line="16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the Consolidated Financial Statements in conformity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contingent acquisition related consideration; accrual estimates; pension and post-retirement estimates; multi-employer withdrawal liabilities; operating lease assets and liabilities; income (loss) from SSAT including estimates for impairment charges; and income taxes. Future results could be materially affected if actual results differ from these estimates and assumptions.</w:t>
      </w:r>
    </w:p>
    <w:p>
      <w:pPr>
        <w:spacing w:after="0" w:line="185"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Cash equivalents consist of highly-liquid investments with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of three months or less. The Company carries these investments at cost, which approximates fair value. Restricted cash relates to amounts that are subject to contractual restrictions and are not readily available. Restricted cash was $2.3 million at December 31, 2023 and was included in prepaid expenses and other assets in the Consolidated Balance Sheets. The Company did not have any restricted cash at December 31, 2024.</w:t>
      </w:r>
    </w:p>
    <w:p>
      <w:pPr>
        <w:spacing w:after="0" w:line="183"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represent amounts due from trade customers arising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Accounts receivable are shown net of allowance for doubtful accounts receivable in the Consolidated Balance Sheets. Allowance for doubtful accounts receivable is established by management 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84"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Changes in the allowance for doubtful accounts receivable for the three years ended December 31, 2024, 2023 and 2022 were as follows:</w:t>
      </w:r>
    </w:p>
    <w:tbl>
      <w:tblPr>
        <w:tblLayout w:type="fixed"/>
        <w:tblInd w:w="40" w:type="dxa"/>
        <w:tblCellMar>
          <w:top w:w="0" w:type="dxa"/>
          <w:left w:w="0" w:type="dxa"/>
          <w:bottom w:w="0" w:type="dxa"/>
          <w:right w:w="0" w:type="dxa"/>
        </w:tblCellMar>
      </w:tblPr>
      <w:tr>
        <w:trPr>
          <w:trHeight w:val="137"/>
        </w:trPr>
        <w:tc>
          <w:tcPr>
            <w:tcW w:w="4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175"/>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Expense (1)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42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2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is shown net of amounts recovered from previously reserved doubtful accounts receivable.</w:t>
      </w:r>
    </w:p>
    <w:p>
      <w:pPr>
        <w:spacing w:after="0" w:line="206"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Assets: </w:t>
      </w:r>
      <w:r>
        <w:rPr>
          <w:rFonts w:ascii="Times New Roman" w:cs="Times New Roman" w:eastAsia="Times New Roman" w:hAnsi="Times New Roman"/>
          <w:sz w:val="18"/>
          <w:szCs w:val="18"/>
          <w:color w:val="auto"/>
        </w:rPr>
        <w:t>Prepaid expenses and other assets consist of the following at December 31,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tbl>
      <w:tblPr>
        <w:tblLayout w:type="fixed"/>
        <w:tblInd w:w="60" w:type="dxa"/>
        <w:tblCellMar>
          <w:top w:w="0" w:type="dxa"/>
          <w:left w:w="0" w:type="dxa"/>
          <w:bottom w:w="0" w:type="dxa"/>
          <w:right w:w="0" w:type="dxa"/>
        </w:tblCellMar>
      </w:tblPr>
      <w:tr>
        <w:trPr>
          <w:trHeight w:val="162"/>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Prepaid Expenses and Other Assets (in millions)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fuel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 and insurance related receivables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operating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vessel construction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Income tax receivables for the year ended December 31, 2023 included a 2021 federal tax return refund of $118.6 million. On April 19, 2024, the Company received the federal income tax refund of $118.6 million and interest of $10.2 million earned on the federal income tax refund.</w:t>
      </w:r>
    </w:p>
    <w:p>
      <w:pPr>
        <w:spacing w:after="0" w:line="174"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Loan Fees: </w:t>
      </w:r>
      <w:r>
        <w:rPr>
          <w:rFonts w:ascii="Times New Roman" w:cs="Times New Roman" w:eastAsia="Times New Roman" w:hAnsi="Times New Roman"/>
          <w:sz w:val="18"/>
          <w:szCs w:val="18"/>
          <w:color w:val="auto"/>
        </w:rPr>
        <w:t>The Company records deferred loan fees, excluding those related to the revolving credit facility,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to Total Debt in the Company’s Consolidated Balance Sheets. These costs are being amortized over the life of the related debt using the effective interest method (see Note 8).</w:t>
      </w:r>
    </w:p>
    <w:p>
      <w:pPr>
        <w:spacing w:after="0" w:line="17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Deferred loan fees related to the Company’s revolving credit facility are recorded in other long-term assets in the Company’s Consolidated Balance Sheets and are amortized using the straight-line method, as the difference between that method and the use of the effective interest method is not material.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Other Long-Term Assets: </w:t>
      </w:r>
      <w:r>
        <w:rPr>
          <w:rFonts w:ascii="Times New Roman" w:cs="Times New Roman" w:eastAsia="Times New Roman" w:hAnsi="Times New Roman"/>
          <w:sz w:val="18"/>
          <w:szCs w:val="18"/>
          <w:color w:val="auto"/>
        </w:rPr>
        <w:t>Other long-term assets consist of the following at December 31, 2024 and 2023:</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Long-Term Assets (in millions)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plan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Vessel and equipment spare parts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related receivables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3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is stated at cost. Property and equipment is depreciated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method over the estimated useful lives of the assets. The estimated useful lives of property and equipment range up to the following maximum lives: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09"/>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 years</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Terminal cranes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years</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Containers and chassis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Terminal equipment and other property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bl>
    <w:p>
      <w:pPr>
        <w:spacing w:after="0" w:line="17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Capitalized Interest: </w:t>
      </w:r>
      <w:r>
        <w:rPr>
          <w:rFonts w:ascii="Times New Roman" w:cs="Times New Roman" w:eastAsia="Times New Roman" w:hAnsi="Times New Roman"/>
          <w:sz w:val="18"/>
          <w:szCs w:val="18"/>
          <w:color w:val="auto"/>
        </w:rPr>
        <w:t>The Company capitalizes interest costs during the period the qualified assets are being readied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intended use. The Company determined that vessel construction costs are considered qualifying assets for the purposes of capitalizing interest on these assets.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Sheets (see Note 5). During the years ended December 31, 2024, 2023 and 2022, the Company capitalized $4.4 million, $2.6 million and $0.7 million of interest related to the construction of new vessels, respectively.</w:t>
      </w:r>
    </w:p>
    <w:p>
      <w:pPr>
        <w:spacing w:after="0" w:line="17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Accounting Standards Codification (“ASC”) 842,</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(“ASC 842”) requires lessees to record leases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but recognize the expenses in their income statements. ASC 842 states that a lessee would recognize a lease liability for the obligation to make lease payments, and a right-of-use asset for the underlying leased asset for the period of the lease term. Refer to Note 9 for additional information on the Company’s lease related disclosures.</w:t>
      </w:r>
    </w:p>
    <w:p>
      <w:pPr>
        <w:spacing w:after="0" w:line="16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Dry-docking Costs: </w:t>
      </w:r>
      <w:r>
        <w:rPr>
          <w:rFonts w:ascii="Times New Roman" w:cs="Times New Roman" w:eastAsia="Times New Roman" w:hAnsi="Times New Roman"/>
          <w:sz w:val="18"/>
          <w:szCs w:val="18"/>
          <w:color w:val="auto"/>
        </w:rPr>
        <w:t>U.S. flagged vessels must meet specified seaworthiness standards established by U.S. Coast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Guard rules and classification society rules. These standards require U.S. flagged vessels to undergo two dry-docking inspections within a five-year period, with a maximum of 36 months between them. However, U.S. flagged vessels that are enrolled in the U.S. Coast Guard’s Underwater Survey in lieu of Dry-docking (“UWILD”) program are allowed to have their Intermediate Survey dry-docking requirement met with a less costly underwater inspection. Non-U.S. flagged vessels are required to meet applicable classification society rules and their own local standards for seaworthiness, which also mandate vessels to undergo two dry-docking inspections every five years.</w:t>
      </w:r>
    </w:p>
    <w:p>
      <w:pPr>
        <w:spacing w:after="0" w:line="17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is responsible for maintaining its vessels in compliance with U.S. and international standards. As costs associated with dry-docking inspections provide future economic benefits to the Company through continued operation of the vessels, the costs are deferred and amortized until the scheduled date of the next required dry-docking, which is usually over a two to five-year period. Amortization of deferred dry-docking costs are charged to operating expenses of the Ocean Transportation segment in the Consolidated Statements of Income and Comprehensive Income. Routine vessel maintenance and repairs are charged to expense as incurred.</w:t>
      </w:r>
    </w:p>
    <w:p>
      <w:pPr>
        <w:spacing w:after="0" w:line="172"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intangible assets arise as a result of acquisitions made by the Company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6). Intangible assets consist of customer relationships which are being amortized using the straight-line method over the expected useful lives ranging up to 21 years, and a trade name that has an indefinite life.</w:t>
      </w:r>
    </w:p>
    <w:p>
      <w:pPr>
        <w:spacing w:after="0" w:line="16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Impairment Evaluation of Long-Lived Assets, Intangible Assets and Goodwill</w:t>
      </w:r>
      <w:r>
        <w:rPr>
          <w:rFonts w:ascii="Times New Roman" w:cs="Times New Roman" w:eastAsia="Times New Roman" w:hAnsi="Times New Roman"/>
          <w:sz w:val="18"/>
          <w:szCs w:val="18"/>
          <w:color w:val="auto"/>
        </w:rPr>
        <w:t>: The Company evaluates its long-lived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intangible assets and goodwill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Long-lived assets and finite-lived intangible assets are grouped at the lowest level reporting unit for which identifiable cash flows are available. In evaluating for impairment, the estimated future undiscounted cash flows generated by each of these asset groups are compared with the carrying value recorded for each asset group to determine if its carrying value is recoverable. If this review determines that the amount recorded will not be recovered, the amount recorded for the asset group is reduced to its estimated fair value. No impairment charges of long-lived assets and finite-lived intangible assets were recorded for the years ended December 31, 2024, 2023 and 2022.</w:t>
      </w:r>
    </w:p>
    <w:p>
      <w:pPr>
        <w:spacing w:after="0" w:line="12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Indefinite-life intangible assets and goodwill are grouped at the lowest level reporting unit for which identifiable cash flows are available. In estimating the fair value of a reporting unit, the Company uses a combination of a discounted cash flow model and fair value based on market multiples of earnings before interest, taxes, depreciation and amortization. Based upon the Company’s evaluation of its indefinite-life intangible assets and goodwill for impairment, the Company determined that the fair value of each reporting unit exceeds book value. No impairment charges of indefinite-life intangible assets and goodwill were recorded for the years ended December 31, 2024, 2023 and 2022.</w:t>
      </w:r>
    </w:p>
    <w:p>
      <w:pPr>
        <w:spacing w:after="0" w:line="11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Evaluation of SSAT: </w:t>
      </w:r>
      <w:r>
        <w:rPr>
          <w:rFonts w:ascii="Times New Roman" w:cs="Times New Roman" w:eastAsia="Times New Roman" w:hAnsi="Times New Roman"/>
          <w:sz w:val="18"/>
          <w:szCs w:val="18"/>
          <w:color w:val="auto"/>
        </w:rPr>
        <w:t>The Company’s investment in SSAT, a related party, is evaluated for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whenever there is evidence of impairment during the reporting period. If any impairment is identified, the Company evaluates if the decrease in the fair value of the investment below its carrying value is other-than-temporary. The Company did not identify any impairment of its equity investment in SSAT during the years ended December 31, 2024, 2023 and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Other liabilities consist of the following at December 31, 2024 and 2023:</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Liabilities (in millions)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incentives and other benefits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vacation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reserves and other related liabilities - short term</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and other tax related liabilities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withdrawal liabilities - short term</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11"/>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Other Long-Term Liabilities: </w:t>
            </w:r>
            <w:r>
              <w:rPr>
                <w:rFonts w:ascii="Times New Roman" w:cs="Times New Roman" w:eastAsia="Times New Roman" w:hAnsi="Times New Roman"/>
                <w:sz w:val="18"/>
                <w:szCs w:val="18"/>
                <w:color w:val="auto"/>
              </w:rPr>
              <w:t>Other long-term liabilities consist of the following at December 31, 2024 and 2023: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Long-Term Liabilities (in millions)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Multi-employer withdrawal liability</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reserves and other related liabilities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Pension and Post-Retirement Plans: </w:t>
      </w:r>
      <w:r>
        <w:rPr>
          <w:rFonts w:ascii="Times New Roman" w:cs="Times New Roman" w:eastAsia="Times New Roman" w:hAnsi="Times New Roman"/>
          <w:sz w:val="18"/>
          <w:szCs w:val="18"/>
          <w:color w:val="auto"/>
        </w:rPr>
        <w:t>The Company is a member of the Pacific Maritime Association (“PMA”)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Hawaii Stevedoring Industry Committee, which negotiate multi-employer pension plans covering certain shoreside bargaining unit personnel. The Company directly negotiates multi-employer pension plans covering other bargaining unit personnel. Pension costs are accrued in accordance with contribution rates established by the PMA, the parties to a plan or the trustees of a plan. Several trusteed, non-contributory, single employer defined benefit plans and defined contribution plans cover substantially all other employees.</w:t>
      </w:r>
    </w:p>
    <w:p>
      <w:pPr>
        <w:spacing w:after="0" w:line="10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estimation of the Company’s pension and post-retirement benefit expenses and liabilities requires that the Company make various assumptions. These assumptions include factors such as discount rates, expected long-term rates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Additional information about the Company’s pension and post-retirement plans is included in Note 11.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Insurance Related Liabilities: </w:t>
      </w:r>
      <w:r>
        <w:rPr>
          <w:rFonts w:ascii="Times New Roman" w:cs="Times New Roman" w:eastAsia="Times New Roman" w:hAnsi="Times New Roman"/>
          <w:sz w:val="18"/>
          <w:szCs w:val="18"/>
          <w:color w:val="auto"/>
        </w:rPr>
        <w:t>The Company purchases insurance with deductibles or self-insured retentions to mitigate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risks that it is exposed to. Such insurance includes, but is not limited to, employee health, workers’ compensation, marine liability, cybersecurity, auto liability and physical damage to property and equipment. For certain risks, the Company elects to not purchase insurance because of the excessive cost of insurance, the perceived remoteness of the risk or insurance coverage is not commercially available. The Company retains the risk of loss for insurance deductibles and self-insured retentions, for amounts that exceed the limits of the Company’s insurance policies, and for other risks not covered by insurance.</w:t>
      </w:r>
    </w:p>
    <w:p>
      <w:pPr>
        <w:spacing w:after="0" w:line="10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When estimating its reserves for retained risks and related liabilities, the Company considers a number of factors, including historical claims experience, demographic factors, current trends, and analyses provided by independent third parties. Periodically, management reviews its assumptions and estimates used to determine the adequacy of the Company’s reserves for retained risks and other related liabilities.</w:t>
      </w:r>
    </w:p>
    <w:p>
      <w:pPr>
        <w:spacing w:after="0" w:line="9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Recognition of Revenues and Expenses: </w:t>
      </w:r>
      <w:r>
        <w:rPr>
          <w:rFonts w:ascii="Times New Roman" w:cs="Times New Roman" w:eastAsia="Times New Roman" w:hAnsi="Times New Roman"/>
          <w:sz w:val="18"/>
          <w:szCs w:val="18"/>
          <w:color w:val="auto"/>
        </w:rPr>
        <w:t>Revenue in the Company’s Consolidated Financial Statements is presented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 of intercompany transactions. The following is a description of the Company’s principal revenue generating activities by segment, and the Company’s revenue recognition policy for each activity for the periods presented: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3,508.0</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sales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3,544.6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99" w:hanging="330"/>
        <w:spacing w:after="0" w:line="26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100" w:lineRule="exact"/>
        <w:rPr>
          <w:sz w:val="20"/>
          <w:szCs w:val="20"/>
          <w:color w:val="auto"/>
        </w:rPr>
      </w:pPr>
    </w:p>
    <w:p>
      <w:pPr>
        <w:ind w:left="380" w:right="119" w:hanging="330"/>
        <w:spacing w:after="0" w:line="272" w:lineRule="auto"/>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spacing w:after="0" w:line="1" w:lineRule="exact"/>
        <w:rPr>
          <w:rFonts w:ascii="Times New Roman" w:cs="Times New Roman" w:eastAsia="Times New Roman" w:hAnsi="Times New Roman"/>
          <w:sz w:val="17"/>
          <w:szCs w:val="17"/>
          <w:color w:val="auto"/>
        </w:rPr>
      </w:pPr>
    </w:p>
    <w:p>
      <w:pPr>
        <w:ind w:left="380" w:right="179" w:hanging="330"/>
        <w:spacing w:after="0" w:line="250"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80" w:right="319" w:hanging="330"/>
        <w:spacing w:after="0" w:line="250"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380" w:right="199" w:hanging="330"/>
        <w:spacing w:after="0" w:line="250"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 are recognized as incurred. In July 2024, the Company discontinued its vessel management and related services.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0" w:type="dxa"/>
            <w:vAlign w:val="bottom"/>
          </w:tcPr>
          <w:p>
            <w:pPr>
              <w:spacing w:after="0"/>
              <w:rPr>
                <w:sz w:val="1"/>
                <w:szCs w:val="1"/>
                <w:color w:val="auto"/>
              </w:rPr>
            </w:pPr>
          </w:p>
        </w:tc>
      </w:tr>
      <w:tr>
        <w:trPr>
          <w:trHeight w:val="216"/>
        </w:trPr>
        <w:tc>
          <w:tcPr>
            <w:tcW w:w="6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Warehousing services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Supply Chain Management services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09"/>
        </w:trPr>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99" w:hanging="330"/>
        <w:spacing w:after="0" w:line="261" w:lineRule="auto"/>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Transportation Brokerage and Freight Forwarding services revenue, and Supply Chain Management services revenue categories which are denominated in foreign currencies.</w:t>
      </w:r>
    </w:p>
    <w:p>
      <w:pPr>
        <w:spacing w:after="0" w:line="100" w:lineRule="exact"/>
        <w:rPr>
          <w:sz w:val="20"/>
          <w:szCs w:val="20"/>
          <w:color w:val="auto"/>
        </w:rPr>
      </w:pPr>
    </w:p>
    <w:p>
      <w:pPr>
        <w:ind w:left="380" w:right="99" w:hanging="330"/>
        <w:spacing w:after="0" w:line="253"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2" w:lineRule="exact"/>
        <w:rPr>
          <w:rFonts w:ascii="Times New Roman" w:cs="Times New Roman" w:eastAsia="Times New Roman" w:hAnsi="Times New Roman"/>
          <w:sz w:val="18"/>
          <w:szCs w:val="18"/>
          <w:color w:val="auto"/>
        </w:rPr>
      </w:pPr>
    </w:p>
    <w:p>
      <w:pPr>
        <w:ind w:left="380" w:right="679" w:hanging="330"/>
        <w:spacing w:after="0" w:line="260"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Warehousing services revenue consist of amounts billed to customers for storage, handling, and value-added packaging of customer merchandise. Storage revenue is recognized in the month the service is provided to the</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59"/>
        <w:spacing w:after="0" w:line="261" w:lineRule="auto"/>
        <w:rPr>
          <w:sz w:val="20"/>
          <w:szCs w:val="20"/>
          <w:color w:val="auto"/>
        </w:rPr>
      </w:pPr>
      <w:r>
        <w:rPr>
          <w:rFonts w:ascii="Times New Roman" w:cs="Times New Roman" w:eastAsia="Times New Roman" w:hAnsi="Times New Roman"/>
          <w:sz w:val="18"/>
          <w:szCs w:val="18"/>
          <w:color w:val="auto"/>
        </w:rPr>
        <w:t>customer. Storage related costs are recognized as incurred. Other Warehousing services revenue and related costs are recognized in proportion to the services performed.</w:t>
      </w:r>
    </w:p>
    <w:p>
      <w:pPr>
        <w:ind w:left="380" w:right="259" w:hanging="330"/>
        <w:spacing w:after="0" w:line="26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Management and other services revenue, and related costs are recognized in proportion to the services performed.</w:t>
      </w:r>
    </w:p>
    <w:p>
      <w:pPr>
        <w:spacing w:after="0" w:line="18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general and administrative expenses in the Consolidated Statements of Income and Comprehensive Income.</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recognizes dividends as a liability when approved by the Board of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Repurchase of Shares: </w:t>
      </w:r>
      <w:r>
        <w:rPr>
          <w:rFonts w:ascii="Times New Roman" w:cs="Times New Roman" w:eastAsia="Times New Roman" w:hAnsi="Times New Roman"/>
          <w:sz w:val="18"/>
          <w:szCs w:val="18"/>
          <w:color w:val="auto"/>
        </w:rPr>
        <w:t>During the years ended December 31, 2024, 2023 and 2022, the Company repurchased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1.6 million, 2.1 million and 5.0 million shares, respectively, for $201.0 million, $158.2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$397.0 million, respectively. As of December 31, 2024, the number of remaining shares that may be repurchased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share repurchase program was approximately 0.8 million shares. On February 27, 2025, the Company’s Board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Directors approved an additional 3.0 million shares of common stock to be added to the Company’s existing share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repurchase program and extended the program’s expiration date to December 31, 2027. Shares may be repurchased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open market from time to time, and may be made pursuant to a trading plan in accordance with Rule 10b5-1 of the Security</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Exchange Act of 1934.</w:t>
      </w:r>
    </w:p>
    <w:p>
      <w:pPr>
        <w:spacing w:after="0" w:line="205"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The Company records compensation expense for all share-based awards made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The Company’s various stock-based compensation plans are more fully described in Note 15.</w:t>
      </w:r>
    </w:p>
    <w:p>
      <w:pPr>
        <w:spacing w:after="0" w:line="9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estimate of the Company’s income tax expense requires the Company to make various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These estimates and judgments are applied in the calculation of taxable income, tax credits, tax benefits, CCF and other tax deductions, and in the calculation of certain deferred tax assets and liabilities, which arise from differences in the timing of recognition of revenue, costs and expenses for tax purposes. The Company also considers the impact of expected future events such as changes in tax rates, changes in tax laws, regulations and rulings. Deferred tax assets and liabilities are adjusted to the extent necessary to reflect tax rates expected to be in effect when the temporary differences reverse.</w:t>
      </w:r>
    </w:p>
    <w:p>
      <w:pPr>
        <w:spacing w:after="0" w:line="117"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 records a valuation allowance if, based on the weight of available evidence, management believes that it is more likely than not that some portion or all of a recorded deferred tax asset would not be realized in future periods. The Company’s income taxes are more fully described in Note 10.</w:t>
      </w:r>
    </w:p>
    <w:p>
      <w:pPr>
        <w:spacing w:after="0" w:line="10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Rounding: </w:t>
      </w:r>
      <w:r>
        <w:rPr>
          <w:rFonts w:ascii="Times New Roman" w:cs="Times New Roman" w:eastAsia="Times New Roman" w:hAnsi="Times New Roman"/>
          <w:sz w:val="18"/>
          <w:szCs w:val="18"/>
          <w:color w:val="auto"/>
        </w:rPr>
        <w:t>Amounts in the Consolidated Financial Statements and Notes to the Consolidated Financial Statements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rounded to tenth of millions, except for per share calculations and percentages which were determined based on amounts before rounding. Accordingly, a recalculation of some per-share amounts and percentages, if based on the reported data, may be slightly different.</w:t>
      </w:r>
    </w:p>
    <w:p>
      <w:pPr>
        <w:spacing w:after="0" w:line="18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The Company reclassified amortization of deferred loan fees of $2.2 million and $2.1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to Other within cash flows from operating activities in the Consolidated Statements of Cash Flows for the years ended December 31, 2023 and 2022, respectively, to conform to current year cash flow presentation. There were no changes in Net cash provided by operating activities as a result of this reclassification for the years ended December 31, 2023 and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Recently adopted accounting pronouncements: </w:t>
      </w:r>
      <w:r>
        <w:rPr>
          <w:rFonts w:ascii="Times New Roman" w:cs="Times New Roman" w:eastAsia="Times New Roman" w:hAnsi="Times New Roman"/>
          <w:sz w:val="18"/>
          <w:szCs w:val="18"/>
          <w:color w:val="auto"/>
        </w:rPr>
        <w:t>In November 2023, the Financial Accounting Standards Board (“FASB”)</w:t>
      </w:r>
    </w:p>
    <w:p>
      <w:pPr>
        <w:spacing w:after="0" w:line="29" w:lineRule="exact"/>
        <w:rPr>
          <w:sz w:val="20"/>
          <w:szCs w:val="20"/>
          <w:color w:val="auto"/>
        </w:rPr>
      </w:pPr>
    </w:p>
    <w:p>
      <w:pPr>
        <w:ind w:left="60" w:right="439"/>
        <w:spacing w:after="0" w:line="253" w:lineRule="auto"/>
        <w:rPr>
          <w:sz w:val="20"/>
          <w:szCs w:val="20"/>
          <w:color w:val="auto"/>
        </w:rPr>
      </w:pPr>
      <w:r>
        <w:rPr>
          <w:rFonts w:ascii="Times New Roman" w:cs="Times New Roman" w:eastAsia="Times New Roman" w:hAnsi="Times New Roman"/>
          <w:sz w:val="18"/>
          <w:szCs w:val="18"/>
          <w:color w:val="auto"/>
        </w:rPr>
        <w:t xml:space="preserve">issued Accounting Standard Update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ASU 2023-07 requires companies to disclose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that are regularly provided to the chief operating decision maker. The Company adopted ASU 2023-07 during the year ended December 31, 2024 (see Note 3).</w:t>
      </w:r>
    </w:p>
    <w:p>
      <w:pPr>
        <w:spacing w:after="0" w:line="187" w:lineRule="exact"/>
        <w:rPr>
          <w:sz w:val="20"/>
          <w:szCs w:val="20"/>
          <w:color w:val="auto"/>
        </w:rPr>
      </w:pPr>
    </w:p>
    <w:p>
      <w:pPr>
        <w:ind w:left="60" w:right="35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New Accounting Pronouncements: </w:t>
      </w: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(Subtopic 220-40): Disaggregation of Income Statement Expenses </w:t>
      </w:r>
      <w:r>
        <w:rPr>
          <w:rFonts w:ascii="Times New Roman" w:cs="Times New Roman" w:eastAsia="Times New Roman" w:hAnsi="Times New Roman"/>
          <w:sz w:val="17"/>
          <w:szCs w:val="17"/>
          <w:color w:val="auto"/>
        </w:rPr>
        <w:t>(“ASU 2024-03”). ASU 2024-03 requires disclosure of certain expenses in the financial statements including</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employee compensation, depreciation and amortization of intangible assets on an annual and interim basis. ASU 2024-03 is effective for fiscal years beginning after December 15, 2026 and interim periods within fiscal years beginning after December 15, 2027. ASU 2024-03 can be adopted either: (i) prospectively to the financial statements issued for reporting periods after the effective date of the ASU or (ii) retrospectively to any or all prior periods presented in the financial statements. The Company is currently evaluating the effects of adopting ASU 2024-03 but does not expect it will have a material impact on the Company’s consolidated financial statements.</w:t>
      </w:r>
    </w:p>
    <w:p>
      <w:pPr>
        <w:spacing w:after="0" w:line="185"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 of adopting ASU 2023-09 but does not expect it to have a material impact on the Company’s consolidated financial statements.</w:t>
      </w:r>
    </w:p>
    <w:p>
      <w:pPr>
        <w:spacing w:after="0" w:line="396"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4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(“CODM”) to make decisions about resources to be allocated to the segment and assess its performance, and for which discrete financial information is available. The Company’s CODM is its Chief Executive Officer.</w:t>
      </w:r>
    </w:p>
    <w:p>
      <w:pPr>
        <w:spacing w:after="0" w:line="9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 identified two reportable segments on the basis of internal information provided to the CODM: Ocean Transportation and Logistics which are described in Note 1. Each segment is managed separately based upon fundamental differences in the operations of each segment. The Company’s Ocean Transportation service primarily involves the transportation of customer cargo on Company owned and chartered vessels. The Company’s Logistics service provides customers with logistics solutions primarily using third-party purchased transportation. The Company’s CODM assesses the performance of each segment using operating income. The Company’s CODM reviews the performance of each segment using monthly internal reports which provide variance analysis of actual results by segment compared to budget, forecast and prior year. The Company’s CODM uses this information when making decisions about the allocation of operating and capital resources to each segment. Segment balance sheet information is not provided to the CODM as capital decisions are based upon the Company’s consolidated balance sheet.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Reportable segment financial information for the years ended December 31, 2024, 2023 and 2022, are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jc w:val="center"/>
              <w:ind w:left="358"/>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6"/>
          </w:tcPr>
          <w:p>
            <w:pPr>
              <w:jc w:val="center"/>
              <w:ind w:left="358"/>
              <w:spacing w:after="0"/>
              <w:rPr>
                <w:sz w:val="20"/>
                <w:szCs w:val="20"/>
                <w:color w:val="auto"/>
              </w:rPr>
            </w:pPr>
            <w:r>
              <w:rPr>
                <w:rFonts w:ascii="Times New Roman" w:cs="Times New Roman" w:eastAsia="Times New Roman" w:hAnsi="Times New Roman"/>
                <w:sz w:val="11"/>
                <w:szCs w:val="11"/>
                <w:b w:val="1"/>
                <w:bCs w:val="1"/>
                <w:color w:val="auto"/>
                <w:w w:val="98"/>
              </w:rPr>
              <w:t>December 31, 2023</w:t>
            </w: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jc w:val="right"/>
              <w:ind w:right="138"/>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tcPr>
          <w:p>
            <w:pPr>
              <w:jc w:val="right"/>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tcPr>
          <w:p>
            <w:pPr>
              <w:jc w:val="right"/>
              <w:ind w:right="280"/>
              <w:spacing w:after="0" w:line="100" w:lineRule="exact"/>
              <w:rPr>
                <w:sz w:val="20"/>
                <w:szCs w:val="20"/>
                <w:color w:val="auto"/>
              </w:rPr>
            </w:pPr>
            <w:r>
              <w:rPr>
                <w:rFonts w:ascii="Times New Roman" w:cs="Times New Roman" w:eastAsia="Times New Roman" w:hAnsi="Times New Roman"/>
                <w:sz w:val="11"/>
                <w:szCs w:val="11"/>
                <w:b w:val="1"/>
                <w:bCs w:val="1"/>
                <w:color w:val="auto"/>
              </w:rPr>
              <w:t>Ocean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Transportation</w:t>
            </w:r>
          </w:p>
        </w:tc>
        <w:tc>
          <w:tcPr>
            <w:tcW w:w="14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Logistics</w:t>
            </w:r>
          </w:p>
        </w:tc>
        <w:tc>
          <w:tcPr>
            <w:tcW w:w="100" w:type="dxa"/>
            <w:vAlign w:val="bottom"/>
          </w:tcPr>
          <w:p>
            <w:pPr>
              <w:spacing w:after="0"/>
              <w:rPr>
                <w:sz w:val="11"/>
                <w:szCs w:val="11"/>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Transportation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Logistics</w:t>
            </w:r>
          </w:p>
        </w:tc>
        <w:tc>
          <w:tcPr>
            <w:tcW w:w="120" w:type="dxa"/>
            <w:vAlign w:val="bottom"/>
          </w:tcPr>
          <w:p>
            <w:pPr>
              <w:spacing w:after="0"/>
              <w:rPr>
                <w:sz w:val="11"/>
                <w:szCs w:val="11"/>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6"/>
              </w:rPr>
              <w:t>Transportation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6"/>
              </w:rPr>
              <w:t>Logistics</w:t>
            </w:r>
          </w:p>
        </w:tc>
        <w:tc>
          <w:tcPr>
            <w:tcW w:w="120" w:type="dxa"/>
            <w:vAlign w:val="bottom"/>
          </w:tcPr>
          <w:p>
            <w:pPr>
              <w:spacing w:after="0"/>
              <w:rPr>
                <w:sz w:val="11"/>
                <w:szCs w:val="11"/>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1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Operating Revenue (1)(2)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2,809.7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612.1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3,421.8</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2,477.0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617.6</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3,094.6</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3,544.6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798.4</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4,343.</w:t>
            </w:r>
            <w:r>
              <w:rPr>
                <w:rFonts w:ascii="Times New Roman" w:cs="Times New Roman" w:eastAsia="Times New Roman" w:hAnsi="Times New Roman"/>
                <w:sz w:val="13"/>
                <w:szCs w:val="13"/>
                <w:u w:val="single" w:color="auto"/>
                <w:color w:val="auto"/>
              </w:rPr>
              <w:t>0</w:t>
            </w: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 Expenses: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Operating costs: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Direct cargo expense</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980.1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946.2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946.2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1,003.8</w:t>
            </w:r>
          </w:p>
        </w:tc>
        <w:tc>
          <w:tcPr>
            <w:tcW w:w="0" w:type="dxa"/>
            <w:vAlign w:val="bottom"/>
          </w:tcPr>
          <w:p>
            <w:pPr>
              <w:spacing w:after="0"/>
              <w:rPr>
                <w:sz w:val="1"/>
                <w:szCs w:val="1"/>
                <w:color w:val="auto"/>
              </w:rPr>
            </w:pPr>
          </w:p>
        </w:tc>
      </w:tr>
      <w:tr>
        <w:trPr>
          <w:trHeight w:val="135"/>
        </w:trPr>
        <w:tc>
          <w:tcPr>
            <w:tcW w:w="224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Vessel operating expense</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610.5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610.5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580.4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703.6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703.6</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Operating overhead (3)</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297.7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297.7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301.2</w:t>
            </w:r>
          </w:p>
        </w:tc>
        <w:tc>
          <w:tcPr>
            <w:tcW w:w="0" w:type="dxa"/>
            <w:vAlign w:val="bottom"/>
          </w:tcPr>
          <w:p>
            <w:pPr>
              <w:spacing w:after="0"/>
              <w:rPr>
                <w:sz w:val="1"/>
                <w:szCs w:val="1"/>
                <w:color w:val="auto"/>
              </w:rPr>
            </w:pPr>
          </w:p>
        </w:tc>
      </w:tr>
      <w:tr>
        <w:trPr>
          <w:trHeight w:val="135"/>
        </w:trPr>
        <w:tc>
          <w:tcPr>
            <w:tcW w:w="224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Direct operating costs</w:t>
            </w: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504.2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504.2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663.7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663.7</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153.1</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11.6</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142.2</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139.2</w:t>
            </w:r>
          </w:p>
        </w:tc>
        <w:tc>
          <w:tcPr>
            <w:tcW w:w="0" w:type="dxa"/>
            <w:vAlign w:val="bottom"/>
          </w:tcPr>
          <w:p>
            <w:pPr>
              <w:spacing w:after="0"/>
              <w:rPr>
                <w:sz w:val="1"/>
                <w:szCs w:val="1"/>
                <w:color w:val="auto"/>
              </w:rPr>
            </w:pPr>
          </w:p>
        </w:tc>
      </w:tr>
      <w:tr>
        <w:trPr>
          <w:trHeight w:val="129"/>
        </w:trPr>
        <w:tc>
          <w:tcPr>
            <w:tcW w:w="22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operating costs</w:t>
            </w: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2,060.8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505.1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2,565.9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1,954.9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515.8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2,470.7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2,139.7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671.8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2,811.5</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Loss (Income) from SSAT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(83.1)</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247.0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56.6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303.6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229.5</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53.8</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283.3</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206.8</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54.2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261.0</w:t>
            </w:r>
          </w:p>
        </w:tc>
        <w:tc>
          <w:tcPr>
            <w:tcW w:w="0" w:type="dxa"/>
            <w:vAlign w:val="bottom"/>
          </w:tcPr>
          <w:p>
            <w:pPr>
              <w:spacing w:after="0"/>
              <w:rPr>
                <w:sz w:val="1"/>
                <w:szCs w:val="1"/>
                <w:color w:val="auto"/>
              </w:rPr>
            </w:pPr>
          </w:p>
        </w:tc>
      </w:tr>
      <w:tr>
        <w:trPr>
          <w:trHeight w:val="128"/>
        </w:trPr>
        <w:tc>
          <w:tcPr>
            <w:tcW w:w="224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3"/>
                <w:szCs w:val="13"/>
                <w:color w:val="auto"/>
              </w:rPr>
              <w:t>Total Costs and Expenses</w:t>
            </w: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2,308.8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561.7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2,870.5</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2,182.2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569.6</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2,751.8</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2,263.4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726.0</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2,989.4</w:t>
            </w:r>
          </w:p>
        </w:tc>
        <w:tc>
          <w:tcPr>
            <w:tcW w:w="0" w:type="dxa"/>
            <w:vAlign w:val="bottom"/>
          </w:tcPr>
          <w:p>
            <w:pPr>
              <w:spacing w:after="0"/>
              <w:rPr>
                <w:sz w:val="1"/>
                <w:szCs w:val="1"/>
                <w:color w:val="auto"/>
              </w:rPr>
            </w:pPr>
          </w:p>
        </w:tc>
      </w:tr>
      <w:tr>
        <w:trPr>
          <w:trHeight w:val="128"/>
        </w:trPr>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Operating Income:</w:t>
            </w:r>
          </w:p>
        </w:tc>
        <w:tc>
          <w:tcPr>
            <w:tcW w:w="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500.9</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551.3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294.8</w:t>
            </w: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342.8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1,353.6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Interest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line="20" w:lineRule="exact"/>
              <w:rPr>
                <w:sz w:val="1"/>
                <w:szCs w:val="1"/>
                <w:color w:val="auto"/>
              </w:rPr>
            </w:pPr>
          </w:p>
        </w:tc>
      </w:tr>
      <w:tr>
        <w:trPr>
          <w:trHeight w:val="115"/>
        </w:trPr>
        <w:tc>
          <w:tcPr>
            <w:tcW w:w="2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35"/>
        </w:trPr>
        <w:tc>
          <w:tcPr>
            <w:tcW w:w="2240" w:type="dxa"/>
            <w:vAlign w:val="bottom"/>
            <w:tcBorders>
              <w:bottom w:val="single" w:sz="8" w:color="CCEEFF"/>
            </w:tcBorders>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income (expense), net</w:t>
            </w:r>
          </w:p>
        </w:tc>
        <w:tc>
          <w:tcPr>
            <w:tcW w:w="1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Income before Taxes</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373.0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1,352.3</w:t>
            </w:r>
          </w:p>
        </w:tc>
        <w:tc>
          <w:tcPr>
            <w:tcW w:w="0" w:type="dxa"/>
            <w:vAlign w:val="bottom"/>
          </w:tcPr>
          <w:p>
            <w:pPr>
              <w:spacing w:after="0"/>
              <w:rPr>
                <w:sz w:val="1"/>
                <w:szCs w:val="1"/>
                <w:color w:val="auto"/>
              </w:rPr>
            </w:pPr>
          </w:p>
        </w:tc>
      </w:tr>
      <w:tr>
        <w:trPr>
          <w:trHeight w:val="135"/>
        </w:trPr>
        <w:tc>
          <w:tcPr>
            <w:tcW w:w="224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(123.0)</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(75.9)</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(288.4)</w:t>
            </w:r>
          </w:p>
        </w:tc>
        <w:tc>
          <w:tcPr>
            <w:tcW w:w="0" w:type="dxa"/>
            <w:vAlign w:val="bottom"/>
          </w:tcPr>
          <w:p>
            <w:pPr>
              <w:spacing w:after="0"/>
              <w:rPr>
                <w:sz w:val="1"/>
                <w:szCs w:val="1"/>
                <w:color w:val="auto"/>
              </w:rPr>
            </w:pPr>
          </w:p>
        </w:tc>
      </w:tr>
      <w:tr>
        <w:trPr>
          <w:trHeight w:val="129"/>
        </w:trPr>
        <w:tc>
          <w:tcPr>
            <w:tcW w:w="224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476.4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297.1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1,063.9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 Expenditures (4)</w:t>
            </w:r>
          </w:p>
        </w:tc>
        <w:tc>
          <w:tcPr>
            <w:tcW w:w="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298.9</w:t>
            </w:r>
          </w:p>
        </w:tc>
        <w:tc>
          <w:tcPr>
            <w:tcW w:w="2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310.1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240.2</w:t>
            </w: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248.4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190.9</w:t>
            </w:r>
          </w:p>
        </w:tc>
        <w:tc>
          <w:tcPr>
            <w:tcW w:w="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479" w:hanging="330"/>
        <w:spacing w:after="0" w:line="261"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$92.8 million, $76.5 million and $93.6 million for the years ended December 31, 2024, 2023 and 2022, respectively.</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139" w:hanging="330"/>
        <w:spacing w:after="0" w:line="233"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$153.0 million, $132.2 million and $177.3 million for the years ended December 31, 2024, 2023 and 2022, respectively.</w:t>
      </w:r>
    </w:p>
    <w:p>
      <w:pPr>
        <w:ind w:left="380" w:right="299" w:hanging="330"/>
        <w:spacing w:after="0" w:line="221"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overhead includes dry-docking amortization of $27.2 million, $25.3 million and $24.9 million for the year ended December 31, 2024, 2023 and 2022, respectively.</w:t>
      </w:r>
    </w:p>
    <w:p>
      <w:pPr>
        <w:ind w:left="380" w:right="139" w:hanging="330"/>
        <w:spacing w:after="0" w:line="239"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exclude accrued capital expenditures of $7.9 million, $10.8 million and $5.5 million as of December 31, 2024, 2023 and 2022,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Ocean Transportation’s operating expenses includes the following:</w:t>
      </w:r>
    </w:p>
    <w:p>
      <w:pPr>
        <w:spacing w:after="0" w:line="27" w:lineRule="exact"/>
        <w:rPr>
          <w:sz w:val="20"/>
          <w:szCs w:val="20"/>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costs </w:t>
      </w:r>
      <w:r>
        <w:rPr>
          <w:rFonts w:ascii="Times New Roman" w:cs="Times New Roman" w:eastAsia="Times New Roman" w:hAnsi="Times New Roman"/>
          <w:sz w:val="18"/>
          <w:szCs w:val="18"/>
          <w:color w:val="auto"/>
        </w:rPr>
        <w:t>includes:</w:t>
      </w:r>
    </w:p>
    <w:p>
      <w:pPr>
        <w:spacing w:after="0" w:line="8" w:lineRule="exact"/>
        <w:rPr>
          <w:sz w:val="20"/>
          <w:szCs w:val="20"/>
          <w:color w:val="auto"/>
        </w:rPr>
      </w:pPr>
    </w:p>
    <w:p>
      <w:pPr>
        <w:ind w:left="720" w:right="779" w:hanging="319"/>
        <w:spacing w:after="0" w:line="242" w:lineRule="auto"/>
        <w:tabs>
          <w:tab w:leader="none" w:pos="720" w:val="left"/>
        </w:tabs>
        <w:numPr>
          <w:ilvl w:val="1"/>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Direct Cargo Expense </w:t>
      </w:r>
      <w:r>
        <w:rPr>
          <w:rFonts w:ascii="Times New Roman" w:cs="Times New Roman" w:eastAsia="Times New Roman" w:hAnsi="Times New Roman"/>
          <w:sz w:val="18"/>
          <w:szCs w:val="18"/>
          <w:color w:val="auto"/>
        </w:rPr>
        <w:t>includes terminal handling costs including labor and wharfage, outside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other related costs.</w:t>
      </w:r>
    </w:p>
    <w:p>
      <w:pPr>
        <w:ind w:left="720" w:right="179" w:hanging="319"/>
        <w:spacing w:after="0" w:line="241" w:lineRule="auto"/>
        <w:tabs>
          <w:tab w:leader="none" w:pos="720" w:val="left"/>
        </w:tabs>
        <w:numPr>
          <w:ilvl w:val="1"/>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Vessel Operating Expense </w:t>
      </w:r>
      <w:r>
        <w:rPr>
          <w:rFonts w:ascii="Times New Roman" w:cs="Times New Roman" w:eastAsia="Times New Roman" w:hAnsi="Times New Roman"/>
          <w:sz w:val="18"/>
          <w:szCs w:val="18"/>
          <w:color w:val="auto"/>
        </w:rPr>
        <w:t>includes crew wages and related costs; fuel; pilots, tugs, lines and related costs; vessel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expenses; and other vessel operating related expenses.</w:t>
      </w:r>
    </w:p>
    <w:p>
      <w:pPr>
        <w:spacing w:after="0" w:line="1" w:lineRule="exact"/>
        <w:rPr>
          <w:rFonts w:ascii="Courier New" w:cs="Courier New" w:eastAsia="Courier New" w:hAnsi="Courier New"/>
          <w:sz w:val="18"/>
          <w:szCs w:val="18"/>
          <w:color w:val="auto"/>
        </w:rPr>
      </w:pPr>
    </w:p>
    <w:p>
      <w:pPr>
        <w:jc w:val="both"/>
        <w:ind w:left="720" w:right="379" w:hanging="319"/>
        <w:spacing w:after="0" w:line="244" w:lineRule="auto"/>
        <w:tabs>
          <w:tab w:leader="none" w:pos="720" w:val="left"/>
        </w:tabs>
        <w:numPr>
          <w:ilvl w:val="1"/>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Operating Overhead Expense </w:t>
      </w:r>
      <w:r>
        <w:rPr>
          <w:rFonts w:ascii="Times New Roman" w:cs="Times New Roman" w:eastAsia="Times New Roman" w:hAnsi="Times New Roman"/>
          <w:sz w:val="18"/>
          <w:szCs w:val="18"/>
          <w:color w:val="auto"/>
        </w:rPr>
        <w:t>includes vessel repair and maintenance costs, inactive vessel costs, dry-docking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equipment lease costs, equipment repair costs, insurance, port engineers and other maintenance costs, other vessel and shoreside related overhead and other indirect costs.</w:t>
      </w:r>
    </w:p>
    <w:p>
      <w:pPr>
        <w:spacing w:after="0" w:line="1" w:lineRule="exact"/>
        <w:rPr>
          <w:rFonts w:ascii="Courier New" w:cs="Courier New" w:eastAsia="Courier New" w:hAnsi="Courier New"/>
          <w:sz w:val="18"/>
          <w:szCs w:val="18"/>
          <w:color w:val="auto"/>
        </w:rPr>
      </w:pPr>
    </w:p>
    <w:p>
      <w:pPr>
        <w:ind w:left="720" w:right="419" w:hanging="319"/>
        <w:spacing w:after="0" w:line="241" w:lineRule="auto"/>
        <w:tabs>
          <w:tab w:leader="none" w:pos="720" w:val="left"/>
        </w:tabs>
        <w:numPr>
          <w:ilvl w:val="1"/>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includes depreciation of property and equipment and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w:t>
      </w:r>
    </w:p>
    <w:p>
      <w:pPr>
        <w:spacing w:after="0" w:line="1" w:lineRule="exact"/>
        <w:rPr>
          <w:rFonts w:ascii="Courier New" w:cs="Courier New" w:eastAsia="Courier New" w:hAnsi="Courier New"/>
          <w:sz w:val="18"/>
          <w:szCs w:val="18"/>
          <w:color w:val="auto"/>
        </w:rPr>
      </w:pPr>
    </w:p>
    <w:p>
      <w:pPr>
        <w:jc w:val="both"/>
        <w:ind w:left="380" w:right="779" w:hanging="330"/>
        <w:spacing w:after="0" w:line="25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from SSAT </w:t>
      </w:r>
      <w:r>
        <w:rPr>
          <w:rFonts w:ascii="Times New Roman" w:cs="Times New Roman" w:eastAsia="Times New Roman" w:hAnsi="Times New Roman"/>
          <w:sz w:val="18"/>
          <w:szCs w:val="18"/>
          <w:color w:val="auto"/>
        </w:rPr>
        <w:t>includes the Company’s share of income from its equity investment in SSAT and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aggregated into the Ocean Transportation segment due to the operations of SSAT being an integral part of the Company’s Ocean Transportation business (see Note 4).</w:t>
      </w:r>
    </w:p>
    <w:p>
      <w:pPr>
        <w:spacing w:after="0" w:line="1" w:lineRule="exact"/>
        <w:rPr>
          <w:rFonts w:ascii="Times New Roman" w:cs="Times New Roman" w:eastAsia="Times New Roman" w:hAnsi="Times New Roman"/>
          <w:sz w:val="18"/>
          <w:szCs w:val="18"/>
          <w:color w:val="auto"/>
        </w:rPr>
      </w:pPr>
    </w:p>
    <w:p>
      <w:pPr>
        <w:ind w:left="380" w:right="559" w:hanging="330"/>
        <w:spacing w:after="0" w:line="290" w:lineRule="auto"/>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includes employee salaries, wages and other related costs, equipment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computer hardware and software, professional fees and other general and administrative expenses.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Logistics’ operating expenses includes the following:</w:t>
      </w:r>
    </w:p>
    <w:p>
      <w:pPr>
        <w:spacing w:after="0" w:line="27"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costs </w:t>
      </w:r>
      <w:r>
        <w:rPr>
          <w:rFonts w:ascii="Times New Roman" w:cs="Times New Roman" w:eastAsia="Times New Roman" w:hAnsi="Times New Roman"/>
          <w:sz w:val="18"/>
          <w:szCs w:val="18"/>
          <w:color w:val="auto"/>
        </w:rPr>
        <w:t>includes:</w:t>
      </w:r>
    </w:p>
    <w:p>
      <w:pPr>
        <w:spacing w:after="0" w:line="8" w:lineRule="exact"/>
        <w:rPr>
          <w:sz w:val="20"/>
          <w:szCs w:val="20"/>
          <w:color w:val="auto"/>
        </w:rPr>
      </w:pPr>
    </w:p>
    <w:p>
      <w:pPr>
        <w:ind w:left="720" w:right="139" w:hanging="319"/>
        <w:spacing w:after="0" w:line="245" w:lineRule="auto"/>
        <w:tabs>
          <w:tab w:leader="none" w:pos="720" w:val="left"/>
        </w:tabs>
        <w:numPr>
          <w:ilvl w:val="1"/>
          <w:numId w:val="4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Direct Operating Expense </w:t>
      </w:r>
      <w:r>
        <w:rPr>
          <w:rFonts w:ascii="Times New Roman" w:cs="Times New Roman" w:eastAsia="Times New Roman" w:hAnsi="Times New Roman"/>
          <w:sz w:val="18"/>
          <w:szCs w:val="18"/>
          <w:color w:val="auto"/>
        </w:rPr>
        <w:t>includes transportation costs, transportation brokerage expenses, agency commissions,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 warehouses, cross-dock and other facility operating costs, wages and other related costs, and other operating overhead.</w:t>
      </w:r>
    </w:p>
    <w:p>
      <w:pPr>
        <w:ind w:left="720" w:right="419" w:hanging="319"/>
        <w:spacing w:after="0" w:line="241" w:lineRule="auto"/>
        <w:tabs>
          <w:tab w:leader="none" w:pos="720" w:val="left"/>
        </w:tabs>
        <w:numPr>
          <w:ilvl w:val="1"/>
          <w:numId w:val="41"/>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includes depreciation of property and equipment and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w:t>
      </w:r>
    </w:p>
    <w:p>
      <w:pPr>
        <w:spacing w:after="0" w:line="1" w:lineRule="exact"/>
        <w:rPr>
          <w:rFonts w:ascii="Courier New" w:cs="Courier New" w:eastAsia="Courier New" w:hAnsi="Courier New"/>
          <w:sz w:val="18"/>
          <w:szCs w:val="18"/>
          <w:color w:val="auto"/>
        </w:rPr>
      </w:pPr>
    </w:p>
    <w:p>
      <w:pPr>
        <w:ind w:left="380" w:right="339" w:hanging="330"/>
        <w:spacing w:after="0" w:line="260"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includes employee salaries, wages and other related costs, computer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software, professional fees and other general and administrative expenses.</w:t>
      </w:r>
    </w:p>
    <w:p>
      <w:pPr>
        <w:spacing w:after="0" w:line="181"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$245.8 million, $208.7 million and $270.9 million for the years ended December 31, 2024, 2023 and 2022, respectively, have been eliminated from operating revenues. In arrangements where the customer purchases ocean transportation and logistics services, the revenues are allocated to each reportable segment based upon the contractual amounts for each type of service.</w:t>
      </w:r>
    </w:p>
    <w:p>
      <w:pPr>
        <w:spacing w:after="0" w:line="185"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Concentration: </w:t>
      </w:r>
      <w:r>
        <w:rPr>
          <w:rFonts w:ascii="Times New Roman" w:cs="Times New Roman" w:eastAsia="Times New Roman" w:hAnsi="Times New Roman"/>
          <w:sz w:val="18"/>
          <w:szCs w:val="18"/>
          <w:color w:val="auto"/>
        </w:rPr>
        <w:t>The Company’s Ocean Transportation segment serves customers in numerous industries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carries a wide variety of cargo, mitigating its dependence upon any single customer or single type of cargo. The Company’s 10 largest Ocean Transportation customers account for approximately 18 percent of the Company’s Ocean Transportation revenue.</w:t>
      </w:r>
    </w:p>
    <w:p>
      <w:pPr>
        <w:spacing w:after="0" w:line="18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Logistics segment serves customers in numerous industries. The Company’s 10 largest logistics customers account for approximately 17 percent of the Company’s Logistics revenue.</w:t>
      </w:r>
    </w:p>
    <w:p>
      <w:pPr>
        <w:spacing w:after="0" w:line="374"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SSAT</w:t>
      </w:r>
    </w:p>
    <w:p>
      <w:pPr>
        <w:spacing w:after="0" w:line="13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accounts for its 35 percent ownership interest in SSAT using the equity method of accounting. The Company records its share of income from SSAT in costs and expenses within the Ocean Transportation segment due to operations of SSAT being an integral part of the Company’s Ocean Transportation business. The Company’s investment in SSAT was $84.1 million and $85.5 million at December 31, 2024 and 2023, respectively.</w:t>
      </w:r>
    </w:p>
    <w:p>
      <w:pPr>
        <w:spacing w:after="0" w:line="180"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On March 1, 2024, SSAT completed the sale of 25 percent of its equity interest in SSA Terminals (Seattle Terminals), LLC (“SSAT ST”) to a third-party company. After the completion of this transaction, SSAT retains a 50 percent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controlling interest in SSAT ST, while the third-party company increased its non-controlling interest to 50 percent in SSAT ST. As a result of this transaction, the Company recorded an increase in its investment in SSAT of approximately</w:t>
      </w:r>
    </w:p>
    <w:p>
      <w:pPr>
        <w:ind w:left="60" w:right="279" w:firstLine="45"/>
        <w:spacing w:after="0" w:line="260" w:lineRule="auto"/>
        <w:rPr>
          <w:sz w:val="20"/>
          <w:szCs w:val="20"/>
          <w:color w:val="auto"/>
        </w:rPr>
      </w:pPr>
      <w:r>
        <w:rPr>
          <w:rFonts w:ascii="Times New Roman" w:cs="Times New Roman" w:eastAsia="Times New Roman" w:hAnsi="Times New Roman"/>
          <w:sz w:val="18"/>
          <w:szCs w:val="18"/>
          <w:color w:val="auto"/>
        </w:rPr>
        <w:t>$13.2 million, an increase in deferred income taxes of $3.1 million, and a corresponding increase in retained earnings of $10.1 million during the year ended December 31, 2024.</w:t>
      </w:r>
    </w:p>
    <w:p>
      <w:pPr>
        <w:spacing w:after="0" w:line="181"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On September 16, 2022, SSAT completed the purchase of a 20 percent equity interest in SSAT Terminals (Oakland), LLC (“SSAT Oakland”) from a third-party company. After completion of this transaction, SSAT Oakland became a wholly owned subsidiary of SSAT. The operating results of SSAT Oakland consolidate into the operating results of SSAT. As a result of this transaction, the Company recorded a decrease of $15.5 million in its investment in SSAT, an increase in deferred tax assets of $3.9 million, and a corresponding decrease in retained earnings of $11.6 million during the year ended December 31, 2022.</w:t>
      </w:r>
    </w:p>
    <w:p>
      <w:pPr>
        <w:spacing w:after="0" w:line="187"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The Company’s share of income recorded in the Consolidated Statements of Income and Comprehensive Income and distributions received by the Company during the years ended December 31, 2024, 2023 and 2022 are as follows: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share of income from SSAT (1)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Distributions received from SSAT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right="119" w:hanging="330"/>
        <w:spacing w:after="0" w:line="241" w:lineRule="auto"/>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impairment charge of $18.4 million representing the Company’s portion of an impairment charge recorded by SSAT, which related to the write-down of an asset group which includes a terminal operating lease asset during the year ended December 31, 2024. No impairment charges were recorded during the years ended December 31, 2023 and 2022.</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Ocean Transportation segment operating costs for terminal services provided by SSAT include</w:t>
      </w:r>
    </w:p>
    <w:p>
      <w:pPr>
        <w:spacing w:after="0" w:line="2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$320.9 million, $297.2 million and $308.3 million for the years ended December 31, 2024, 2023 and 2022, respectively. Accounts payable and accrued liabilities in the Consolidated Balance Sheets for terminal services payable to SSAT include $34.4 million and $43.4 million at December 31, 2024 and 2023, respectively.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SSAT’s Condensed Balance Sheets at December 31, 2024 and 2023 are as follows: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Balance Sheets (in millions)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61" w:lineRule="auto"/>
        <w:rPr>
          <w:sz w:val="20"/>
          <w:szCs w:val="20"/>
          <w:color w:val="auto"/>
        </w:rPr>
      </w:pPr>
      <w:r>
        <w:rPr>
          <w:rFonts w:ascii="Times New Roman" w:cs="Times New Roman" w:eastAsia="Times New Roman" w:hAnsi="Times New Roman"/>
          <w:sz w:val="18"/>
          <w:szCs w:val="18"/>
          <w:color w:val="auto"/>
        </w:rPr>
        <w:t>A summary of SSAT’s Condensed Statements of Operating Income and Net Income for the years ended December 31, 2024, 2023 and 2022 are as follows:</w:t>
      </w:r>
    </w:p>
    <w:tbl>
      <w:tblPr>
        <w:tblLayout w:type="fixed"/>
        <w:tblInd w:w="40" w:type="dxa"/>
        <w:tblCellMar>
          <w:top w:w="0" w:type="dxa"/>
          <w:left w:w="0" w:type="dxa"/>
          <w:bottom w:w="0" w:type="dxa"/>
          <w:right w:w="0" w:type="dxa"/>
        </w:tblCellMar>
      </w:tblPr>
      <w:tr>
        <w:trPr>
          <w:trHeight w:val="162"/>
        </w:trPr>
        <w:tc>
          <w:tcPr>
            <w:tcW w:w="6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Statements of Operating Income and Net Income (in millions)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 Income (1)(2)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339" w:hanging="330"/>
        <w:spacing w:after="0" w:line="233"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 impairment charge related to the write-down of an asset group which includes a terminal operating lease asset during the year ended December 31, 2024. No impairment amounts were recorded during the years ended December 31, 2023 and 2022.</w:t>
      </w:r>
    </w:p>
    <w:p>
      <w:pPr>
        <w:ind w:left="380" w:right="119" w:hanging="330"/>
        <w:spacing w:after="0" w:line="239"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from equity method investments held by SSAT less earnings allocated to non-controlling interests and includes net income or loss attributable to noncontrolling interests.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consists of the following as of December 31, 2024 and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62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Vessels</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$ 2,475.2</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961.9</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1,513.3</w:t>
            </w: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$ 2,323.4</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Containers and equipment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Terminal equipment and other property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vessel construction in progress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construction in progress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$ 3,752.7</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1,491.8</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2,260.9</w:t>
            </w:r>
          </w:p>
        </w:tc>
        <w:tc>
          <w:tcPr>
            <w:tcW w:w="18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$ 3,487.2</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1,397.3</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New vessel construction in progress at December 31, 2024 and 2023 includes milestone progress payments, capitalized interest and other costs related to the construction of three new Jones Act vessels. Delivery of the first vessel is currently anticipated to be in the first quarter 2027, with subsequent deliveries expected in the third quarter 2027 and second quarter 2028.</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r>
              <w:rPr>
                <w:rFonts w:ascii="Times New Roman" w:cs="Times New Roman" w:eastAsia="Times New Roman" w:hAnsi="Times New Roman"/>
                <w:sz w:val="18"/>
                <w:szCs w:val="18"/>
                <w:u w:val="single" w:color="auto"/>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18"/>
                <w:szCs w:val="18"/>
                <w:u w:val="single" w:color="auto"/>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8"/>
                <w:szCs w:val="18"/>
                <w:u w:val="single" w:color="auto"/>
                <w:color w:val="auto"/>
              </w:rPr>
              <w:t>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54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 w:type="dxa"/>
            <w:vAlign w:val="bottom"/>
            <w:gridSpan w:val="2"/>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Goodwill by segment consists of the following as of December 31, 2024 and 2023:</w:t>
            </w:r>
          </w:p>
        </w:tc>
        <w:tc>
          <w:tcPr>
            <w:tcW w:w="140" w:type="dxa"/>
            <w:vAlign w:val="bottom"/>
          </w:tcPr>
          <w:p>
            <w:pPr>
              <w:spacing w:after="0"/>
              <w:rPr>
                <w:sz w:val="24"/>
                <w:szCs w:val="24"/>
                <w:color w:val="auto"/>
              </w:rPr>
            </w:pP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Ocean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Transportation</w:t>
            </w:r>
          </w:p>
        </w:tc>
        <w:tc>
          <w:tcPr>
            <w:tcW w:w="1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105.2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Ocean Transportation goodwill of $222.6 million includes $221.8 million related to the acquisition of Horizon Lines, Inc. (“Horizon”) in May 2015. Logistics goodwill of $105.2 million includes $78.6 million related to the acquisition of Span Intermediate, LLC (“Span Alaska”) in August 2016 that was allocated to the Span Alaska reporting unit, and $26.6 million of other Logistics acquisitions that were allocated to the Logistics reporting unit.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by segment consist of the following as of December 31, 2024 and 2023:</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540" w:type="dxa"/>
            <w:vAlign w:val="bottom"/>
          </w:tcPr>
          <w:p>
            <w:pPr>
              <w:jc w:val="right"/>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73"/>
        </w:trPr>
        <w:tc>
          <w:tcPr>
            <w:tcW w:w="3380" w:type="dxa"/>
            <w:vAlign w:val="bottom"/>
            <w:gridSpan w:val="2"/>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60" w:type="dxa"/>
            <w:vAlign w:val="bottom"/>
            <w:gridSpan w:val="3"/>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Ocean Transportation - Customer relationships</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$ 140.6</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$ 140.6</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Logistics: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 name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Logistics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$ 274.1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$ 278.3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In February 2023, the Company completed an asset acquisition consisting of customer relationship intangible assets for $16.5 million, which are being amortized over seven years.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Ocean Transportation intangible assets of $140.6 million relate to customer relationships acquired as part of the acquisition of Horizon, and are being amortized over 21 years. Logistics intangible assets include $79.3 million of customer relationships which are being amortized over 20 years, and $27.3 million of an indefinite life trade name, both acquired as part of the Span Alaska acquisition. The remaining Logistics customer relationships relate to various acquisitions and are being amortized over a period of 3 to 13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related amortization expense for the years ended December 31, 2024, 2023 and 2022, are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of December 31, 2024, estimated amortization expense related to customer relationship intangible assets during the next five years and thereafter are as follows:</w:t>
      </w:r>
    </w:p>
    <w:tbl>
      <w:tblPr>
        <w:tblLayout w:type="fixed"/>
        <w:tblInd w:w="60" w:type="dxa"/>
        <w:tblCellMar>
          <w:top w:w="0" w:type="dxa"/>
          <w:left w:w="0" w:type="dxa"/>
          <w:bottom w:w="0" w:type="dxa"/>
          <w:right w:w="0" w:type="dxa"/>
        </w:tblCellMar>
      </w:tblPr>
      <w:tr>
        <w:trPr>
          <w:trHeight w:val="137"/>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73"/>
        </w:trPr>
        <w:tc>
          <w:tcPr>
            <w:tcW w:w="7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0" w:type="dxa"/>
            <w:vAlign w:val="bottom"/>
          </w:tcPr>
          <w:p>
            <w:pPr>
              <w:spacing w:after="0"/>
              <w:rPr>
                <w:sz w:val="1"/>
                <w:szCs w:val="1"/>
                <w:color w:val="auto"/>
              </w:rPr>
            </w:pPr>
          </w:p>
        </w:tc>
      </w:tr>
      <w:tr>
        <w:trPr>
          <w:trHeight w:val="210"/>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CONSTRUCTION FUND</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flagged vessels in raising capital necessary for the modernization and expansion of the U.S. merchant marine fleet.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built in the U.S. and used between covered U.S. ports as described by the Merchant Marine Act, and for other qualifying expenditures (see Item 1 of Part 1 for additional information on Maritime Laws and the Jones Act). Participants of the CCF must also meet certain U.S. citizenship requirements.</w:t>
      </w:r>
    </w:p>
    <w:p>
      <w:pPr>
        <w:spacing w:after="0" w:line="194"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Cash deposits into the CCF are limited by certain applicable earnings and other conditions. Such cash deposits, once made, are available as tax deductions in the Company’s income tax provision. Qualified withdrawals from the CCF do not give rise to a current income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8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8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Company may invest funds on deposit in the CCF in money market funds, U.S. Treasury Obligation Funds or other eligible credit-based investments for maturities of up to 3 years.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activities within the CCF cash and cash equivalents, and investment accounts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 consists of the following:</w:t>
      </w:r>
    </w:p>
    <w:p>
      <w:pPr>
        <w:spacing w:after="0" w:line="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742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CCF Cash and Cash Equivalents:</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CCF cash and cash equivalents balance at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2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w:t>
            </w: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deposits into the CCF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paid for purchase of U.S. Treasury debt securities and accrued interest</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(449.8)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U.S. Treasury debt securities at maturity</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deposited into the CCF</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assigned accounts receivable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Qualifying withdrawal payments out of the CCF</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(89.6)</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196"/>
        </w:trPr>
        <w:tc>
          <w:tcPr>
            <w:tcW w:w="67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CCF cash and cash equivalents balance at end of period</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CCF Investments: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CCF investments balance at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U.S. Treasury debt securities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Withdrawals of U.S. Treasury debt securities at maturity</w:t>
            </w:r>
          </w:p>
        </w:tc>
        <w:tc>
          <w:tcPr>
            <w:tcW w:w="2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investments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CCF investments balance at end of period</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CCF cash and cash equivalents, and investments balance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on deposit and assigned accounts receivables in the CCF as of December 31, 2024 and 2023 are as follows: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 and investments account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Assigned accounts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Cash on deposit in the CCF is invested in a U.S. Treasury obligations fund with daily liquidity. At December 31, 2024, securities held within the U.S. Treasury obligations fund had a weighted average life of 96 days. The Company’s CCF investments are in fixed-rate U.S. Treasury obligations with various maturity dates of up to 3 years. Cash on deposit and investment in the CCF are classified as a long-term asset on the Company’s Condensed Consolidated Balance Sheets, as the Company intends to use withdrawals to fund qualified milestone progress payments for the construction of three new Jones Act vessels.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Assigned accounts receivable in the CCF are classified as part of accounts receivable on the Company’s Consolidated Balance Sheets due to the nature of the assignment. During the year ended December 31, 2024, the Company repurchased assigned accounts receivables of $53.8 million. During the year ended December 31, 2023, the Company assigned $200.0 million of accounts receivables into the CCF.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debt consists of the following as of December 31, 2024 and 2023: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XI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1.22 %, payable through 2043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tcPr>
          <w:p>
            <w:pPr>
              <w:spacing w:after="0"/>
              <w:rPr>
                <w:sz w:val="18"/>
                <w:szCs w:val="18"/>
                <w:color w:val="auto"/>
              </w:rPr>
            </w:pPr>
          </w:p>
        </w:tc>
        <w:tc>
          <w:tcPr>
            <w:tcW w:w="69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1.35 %, payable through 2044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10"/>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9"/>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Deferred loan fees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Long-term Debt, net of deferred loan fees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description of the Company’s debt:</w:t>
      </w:r>
    </w:p>
    <w:p>
      <w:pPr>
        <w:spacing w:after="0" w:line="221"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Private Placement Term Loans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September 2016, the Company issued $200.0 million of 15-year senior unsecured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(the “Series D Notes”) at an interest rate of 3.14 percent, payable semi-annually. In December 2016, the Company issued $75 million of 11-year senior unsecured notes at an interest rate of 3.37 percent, payable semi-annually.</w:t>
      </w:r>
    </w:p>
    <w:p>
      <w:pPr>
        <w:spacing w:after="0" w:line="171" w:lineRule="exact"/>
        <w:rPr>
          <w:sz w:val="20"/>
          <w:szCs w:val="20"/>
          <w:color w:val="auto"/>
        </w:rPr>
      </w:pPr>
    </w:p>
    <w:p>
      <w:pPr>
        <w:jc w:val="both"/>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Title XI Bonds: </w:t>
      </w:r>
      <w:r>
        <w:rPr>
          <w:rFonts w:ascii="Times New Roman" w:cs="Times New Roman" w:eastAsia="Times New Roman" w:hAnsi="Times New Roman"/>
          <w:sz w:val="18"/>
          <w:szCs w:val="18"/>
          <w:color w:val="auto"/>
        </w:rPr>
        <w:t>In April 2020, MatNav issued $185.9 million in U.S. government guaranteed vessel financing bonds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partially refinance debt incurred in connection with the construction of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(the “DKI Title XI Debt”). The secured DKI Title XI Debt matures in October 2043 and has a cash interest rate of 1.22 percent, payable semi-annually in arrears.</w:t>
      </w:r>
    </w:p>
    <w:p>
      <w:pPr>
        <w:spacing w:after="0" w:line="180"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 xml:space="preserve">In June 2020, MatNav issued $139.6 million in U.S. government guaranteed vessel financing bonds to partially refinance debt incurred in connection with the construction of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(the “KMH Title XI Debt”, and together with the DKI Title XI Debt, the “Title XI Debt”). The secured KMH Title XI Debt matures in March 2044 and has a cash interest rate of 1.35 percent, payable semi-annually in arrears.</w:t>
      </w:r>
    </w:p>
    <w:p>
      <w:pPr>
        <w:spacing w:after="0" w:line="18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 xml:space="preserve">MatNav may prepay any amounts outstanding under the Title XI Debt agreements subject to a potential prepayment premium or other adjustment, in accordance with the Title XI Debt agreements. Once amounts under the Title XI Debt are repaid, they may not be reborrowed. Mandatory prepayments are required under certain limited circumstances, including specified casualty events with respect to </w:t>
      </w:r>
      <w:r>
        <w:rPr>
          <w:rFonts w:ascii="Times New Roman" w:cs="Times New Roman" w:eastAsia="Times New Roman" w:hAnsi="Times New Roman"/>
          <w:sz w:val="18"/>
          <w:szCs w:val="18"/>
          <w:i w:val="1"/>
          <w:iCs w:val="1"/>
          <w:color w:val="auto"/>
        </w:rPr>
        <w:t>Daniel K. Inouye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Kaimana Hila</w:t>
      </w:r>
      <w:r>
        <w:rPr>
          <w:rFonts w:ascii="Times New Roman" w:cs="Times New Roman" w:eastAsia="Times New Roman" w:hAnsi="Times New Roman"/>
          <w:sz w:val="18"/>
          <w:szCs w:val="18"/>
          <w:color w:val="auto"/>
        </w:rPr>
        <w:t xml:space="preserve"> (the “Vessels”).</w:t>
      </w:r>
    </w:p>
    <w:p>
      <w:pPr>
        <w:spacing w:after="0" w:line="176" w:lineRule="exact"/>
        <w:rPr>
          <w:sz w:val="20"/>
          <w:szCs w:val="20"/>
          <w:color w:val="auto"/>
        </w:rPr>
      </w:pPr>
    </w:p>
    <w:p>
      <w:pPr>
        <w:ind w:left="6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In March 2021, the Company entered into the Second Amended and Restated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(the “Credit Agreement”), which extended the maturity date to March 31, 2026, and retained the committed aggregate borrowings of up to $650 million. The Credit Agreement amended certain covenants and other terms including</w:t>
      </w:r>
    </w:p>
    <w:p>
      <w:pPr>
        <w:ind w:left="60" w:right="119" w:hanging="10"/>
        <w:spacing w:after="0" w:line="251" w:lineRule="auto"/>
        <w:tabs>
          <w:tab w:leader="none" w:pos="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pricing grid to provide for pricing ranging from, at the Company’s election, LIBOR plus a margin between 1.00 percent and 1.75 percent depending on the Company’s consolidated net leverage ratio, or base rate plus a margin between 0.00 percent and 0.75 percent depending on the Company’s consolidated net leverage ratio; and (ii) reducing the maximum permitted consolidated leverage ratio to 3.50 to 1.0, with an option for a one-time increase to 4.0 to 1.0 in connection with a material acquisition. The Company may prepay any amounts outstanding under the Credit Agreement without premium or penalty. The Credit Agreement contains affirmative, negative and financial covenants customary for financings of this type, including, among other things, limitations on certain other indebtedness, loans and investments, liens, mergers, asset sales, and transactions with affiliates. The Credit Agreement also contains customary events of default.</w:t>
      </w:r>
    </w:p>
    <w:p>
      <w:pPr>
        <w:spacing w:after="0" w:line="19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February 2023, the Company further amended the Credit Agreement to replace LIBOR with a new benchmark interest rate, the Secured Overnight Financing Rate (“SOFR”). There were no other significant changes to the Credit Agreement as a result of this amendment.</w:t>
      </w:r>
    </w:p>
    <w:p>
      <w:pPr>
        <w:spacing w:after="0" w:line="1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$643.9 million of remaining borrowing availability under the revolving credit facility. The Company used $6.1 million of the revolving credit facility for letters of credit outstanding as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December 31, 2024. Borrowings under the revolving credit facility are classified as long-term debt in the Company’s Consolidated Balance Sheets, as principal payments are not required until the maturity date.</w:t>
      </w:r>
    </w:p>
    <w:p>
      <w:pPr>
        <w:spacing w:after="0" w:line="158"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Amendments to Existing Private Placement Term Loan Facilities and New Shelf Facilities (“Private Loan Facilities”): </w:t>
      </w:r>
      <w:r>
        <w:rPr>
          <w:rFonts w:ascii="Times New Roman" w:cs="Times New Roman" w:eastAsia="Times New Roman" w:hAnsi="Times New Roman"/>
          <w:sz w:val="18"/>
          <w:szCs w:val="18"/>
          <w:color w:val="auto"/>
        </w:rPr>
        <w:t>In March 2021, the Company and the holders of the notes party thereto entered into amendments (collectively, the “2021 Note Amendments”) to each of (i) the Third Amended and Restated Note Purchase Agreement and Private Shelf Agreement dated as of September 14, 2016, among the Company and the holders of the notes issued thereunder, as amended; and (ii) the Note Purchase Agreement dated December 21, 2016 among the Company and the holders of the notes issued thereunder, in each case as amended prior to such date.</w:t>
      </w:r>
    </w:p>
    <w:p>
      <w:pPr>
        <w:spacing w:after="0" w:line="18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2021 Note Amendments amended certain covenants and other terms, including the reduction of the maximum permitted consolidated leverage ratio to 3.50 to 1.0, with an option for a one-time increase to 4.0 to 1.0 in connection with a material acquisition, with potential interest enhancement payments if leverage is over 3.25 to 1.0. The Company paid fees of approximately $0.8 million related to the 2021 Note Amendments which is included in deferred loan fees in debt in the Company’s Consolidated Balance Sheets.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Maturities: </w:t>
      </w:r>
      <w:r>
        <w:rPr>
          <w:rFonts w:ascii="Times New Roman" w:cs="Times New Roman" w:eastAsia="Times New Roman" w:hAnsi="Times New Roman"/>
          <w:sz w:val="18"/>
          <w:szCs w:val="18"/>
          <w:color w:val="auto"/>
        </w:rPr>
        <w:t>At December 31, 2024, debt maturities during the next five years and thereafter are as follows: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3"/>
                <w:szCs w:val="13"/>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Deferred Loan Fees: </w:t>
            </w:r>
            <w:r>
              <w:rPr>
                <w:rFonts w:ascii="Times New Roman" w:cs="Times New Roman" w:eastAsia="Times New Roman" w:hAnsi="Times New Roman"/>
                <w:sz w:val="18"/>
                <w:szCs w:val="18"/>
                <w:color w:val="auto"/>
              </w:rPr>
              <w:t>Activity relating to deferred loan fees for the year ended December 31, 2024 are as follows:</w:t>
            </w:r>
          </w:p>
        </w:tc>
        <w:tc>
          <w:tcPr>
            <w:tcW w:w="0" w:type="dxa"/>
            <w:vAlign w:val="bottom"/>
          </w:tcPr>
          <w:p>
            <w:pPr>
              <w:spacing w:after="0"/>
              <w:rPr>
                <w:sz w:val="1"/>
                <w:szCs w:val="1"/>
                <w:color w:val="auto"/>
              </w:rPr>
            </w:pPr>
          </w:p>
        </w:tc>
      </w:tr>
      <w:tr>
        <w:trPr>
          <w:trHeight w:val="37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Loan Fees (in millions)</w:t>
            </w:r>
          </w:p>
        </w:tc>
        <w:tc>
          <w:tcPr>
            <w:tcW w:w="220" w:type="dxa"/>
            <w:vAlign w:val="bottom"/>
          </w:tcPr>
          <w:p>
            <w:pPr>
              <w:spacing w:after="0"/>
              <w:rPr>
                <w:sz w:val="24"/>
                <w:szCs w:val="24"/>
                <w:color w:val="auto"/>
              </w:rPr>
            </w:pPr>
          </w:p>
        </w:tc>
        <w:tc>
          <w:tcPr>
            <w:tcW w:w="10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expense for the year ended December 31, 2024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As of December 31, 2024, amortization expense relating to deferred loan fees during the next five years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Title XI Debt Covenants: </w:t>
      </w:r>
      <w:r>
        <w:rPr>
          <w:rFonts w:ascii="Times New Roman" w:cs="Times New Roman" w:eastAsia="Times New Roman" w:hAnsi="Times New Roman"/>
          <w:sz w:val="18"/>
          <w:szCs w:val="18"/>
          <w:color w:val="auto"/>
        </w:rPr>
        <w:t>The Title XI Debt agreements contain customary representations and warranties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and negative covenants, defaults and other provisions typical for MARAD-guaranteed financings of this type, with definitions, limitations and financial tests all as negotiated between MatNav and MARAD. The covenants in the Title XI Debt agreements include, among other things, limitations on certain other indebtedness, loans and investments, liens, mergers, asset sales, sale and leasebacks, and transactions with affiliates as defined within the Title XI Debt agreements. Certain of the covenants in the Title XI Debt agreements are applicable only upon and during the continuance of either (i) an event of default or (ii) the failure of either the Company or MatNav to meet certain supplemental financial tests, including the following: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79" w:hanging="330"/>
        <w:spacing w:after="0" w:line="261"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financial tests applicable to MatNav include maintenance of a working capital minimum of $1, and maintenance of a long-term debt to net worth ratio of greater than or equal to 2.0 to 1.0; and</w:t>
      </w:r>
    </w:p>
    <w:p>
      <w:pPr>
        <w:jc w:val="both"/>
        <w:ind w:left="380" w:right="179" w:hanging="330"/>
        <w:spacing w:after="0" w:line="255"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financial tests applicable to the Company include maintenance of a net worth greater than or equal to 90% of the net worth of the Company as set forth in the most recent audited financial statements prior to closing of the issuance of the Title XI Bonds and compliance with the leverage ratio set forth in the Credit Agreement.</w:t>
      </w:r>
    </w:p>
    <w:p>
      <w:pPr>
        <w:spacing w:after="0" w:line="18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Security and Guarantees: </w:t>
      </w:r>
      <w:r>
        <w:rPr>
          <w:rFonts w:ascii="Times New Roman" w:cs="Times New Roman" w:eastAsia="Times New Roman" w:hAnsi="Times New Roman"/>
          <w:sz w:val="18"/>
          <w:szCs w:val="18"/>
          <w:color w:val="auto"/>
        </w:rPr>
        <w:t>All of the debt of the Company and MatNav, including related guarantees, as of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was unsecured, except for the Title XI Debt.</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Under the Title XI Debt agreements, MARAD has guaranteed certain obligations of MatNav. MatNav has agreed to reimburse MARAD for any payments it makes under the MARAD guaranty, and MatNav’s obligations to MARAD with respect to the Title XI Debt are secured by a mortgage on the Vessels and certain other related assets (the “Collateral”). In addition, MatNav’s obligations to MARAD with respect to the Title XI Debt are guaranteed by the Company under an Affiliate Guaranty.</w:t>
      </w:r>
    </w:p>
    <w:p>
      <w:pPr>
        <w:spacing w:after="0" w:line="395"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Operating Leases: </w:t>
      </w:r>
      <w:r>
        <w:rPr>
          <w:rFonts w:ascii="Times New Roman" w:cs="Times New Roman" w:eastAsia="Times New Roman" w:hAnsi="Times New Roman"/>
          <w:sz w:val="18"/>
          <w:szCs w:val="18"/>
          <w:color w:val="auto"/>
        </w:rPr>
        <w:t>The Company has different types of operating leases, the specific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The Company’s leases do not contain any residual value guarantees.</w:t>
      </w:r>
    </w:p>
    <w:p>
      <w:pPr>
        <w:spacing w:after="0" w:line="18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Company’s sub-lease income was nominal to the Company’s Consolidated Statements of Income and Comprehensive Income for the years ended December 31, 2024 and 2023. The Company did not have any finance leases during the years ended December 31, 2024 and 2023.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lease type by underlying asset class and maximum terms of the Company’s operating leases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 Type: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20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Vessel and barge charter leases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 years</w:t>
            </w:r>
          </w:p>
        </w:tc>
      </w:tr>
      <w:tr>
        <w:trPr>
          <w:trHeight w:val="216"/>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equipment and other leases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 years</w:t>
            </w:r>
          </w:p>
        </w:tc>
      </w:tr>
    </w:tbl>
    <w:p>
      <w:pPr>
        <w:spacing w:after="0" w:line="19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Incremental Borrowing Rate: </w:t>
      </w:r>
      <w:r>
        <w:rPr>
          <w:rFonts w:ascii="Times New Roman" w:cs="Times New Roman" w:eastAsia="Times New Roman" w:hAnsi="Times New Roman"/>
          <w:sz w:val="18"/>
          <w:szCs w:val="18"/>
          <w:color w:val="auto"/>
        </w:rPr>
        <w:t>As most of the Company’s operating leases do not provide an implicit rate,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uses 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Consolidated Statement of Income and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Comprehensive Income consists of the following for the years ended December 31, 2024, 2023 and 2022:</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3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Lease Information: </w:t>
      </w:r>
      <w:r>
        <w:rPr>
          <w:rFonts w:ascii="Times New Roman" w:cs="Times New Roman" w:eastAsia="Times New Roman" w:hAnsi="Times New Roman"/>
          <w:sz w:val="18"/>
          <w:szCs w:val="18"/>
          <w:color w:val="auto"/>
        </w:rPr>
        <w:t>Other information related to the Company’s operating leases consists of the following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2024 and 2023:</w:t>
      </w:r>
    </w:p>
    <w:p>
      <w:pPr>
        <w:ind w:left="7400"/>
        <w:spacing w:after="0" w:line="232" w:lineRule="auto"/>
        <w:rPr>
          <w:sz w:val="20"/>
          <w:szCs w:val="20"/>
          <w:color w:val="auto"/>
        </w:rPr>
      </w:pPr>
      <w:r>
        <w:rPr>
          <w:rFonts w:ascii="Times New Roman" w:cs="Times New Roman" w:eastAsia="Times New Roman" w:hAnsi="Times New Roman"/>
          <w:sz w:val="14"/>
          <w:szCs w:val="14"/>
          <w:b w:val="1"/>
          <w:bCs w:val="1"/>
          <w:color w:val="auto"/>
        </w:rPr>
        <w:t>Years Ended</w:t>
      </w:r>
    </w:p>
    <w:p>
      <w:pPr>
        <w:ind w:left="7360"/>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the exchange for new 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205.8</w:t>
            </w:r>
          </w:p>
        </w:tc>
        <w:tc>
          <w:tcPr>
            <w:tcW w:w="3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360"/>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operating lease term</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years</w:t>
            </w:r>
          </w:p>
        </w:tc>
        <w:tc>
          <w:tcPr>
            <w:tcW w:w="0" w:type="dxa"/>
            <w:vAlign w:val="bottom"/>
          </w:tcPr>
          <w:p>
            <w:pPr>
              <w:spacing w:after="0"/>
              <w:rPr>
                <w:sz w:val="1"/>
                <w:szCs w:val="1"/>
                <w:color w:val="auto"/>
              </w:rPr>
            </w:pPr>
          </w:p>
        </w:tc>
      </w:tr>
      <w:tr>
        <w:trPr>
          <w:trHeight w:val="23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4"/>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consist of the following at December 31, 2024:</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7"/>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5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Short-term portion</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consist of the following for the years ended December 31, 2024, 2023 and 2022:</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taxes</w:t>
            </w:r>
          </w:p>
        </w:tc>
        <w:tc>
          <w:tcPr>
            <w:tcW w:w="2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98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61" w:lineRule="auto"/>
        <w:rPr>
          <w:sz w:val="20"/>
          <w:szCs w:val="20"/>
          <w:color w:val="auto"/>
        </w:rPr>
      </w:pPr>
      <w:r>
        <w:rPr>
          <w:rFonts w:ascii="Times New Roman" w:cs="Times New Roman" w:eastAsia="Times New Roman" w:hAnsi="Times New Roman"/>
          <w:sz w:val="18"/>
          <w:szCs w:val="18"/>
          <w:color w:val="auto"/>
        </w:rPr>
        <w:t>Income taxes for the years ended December 31, 2024, 2023 and 2022 vary from amounts computed by applying the statutory U.S. federal income tax rate due to the following:</w:t>
      </w:r>
    </w:p>
    <w:tbl>
      <w:tblPr>
        <w:tblLayout w:type="fixed"/>
        <w:tblInd w:w="6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to provision true-ups</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   (0.3)%</w:t>
            </w:r>
          </w:p>
        </w:tc>
      </w:tr>
      <w:tr>
        <w:trPr>
          <w:trHeight w:val="210"/>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19"/>
        <w:spacing w:after="0" w:line="261"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positions of deferred tax assets and deferred tax liabilities at December 31, 2024 and 2023, were as follows:</w:t>
      </w:r>
    </w:p>
    <w:tbl>
      <w:tblPr>
        <w:tblLayout w:type="fixed"/>
        <w:tblInd w:w="60" w:type="dxa"/>
        <w:tblCellMar>
          <w:top w:w="0" w:type="dxa"/>
          <w:left w:w="0" w:type="dxa"/>
          <w:bottom w:w="0" w:type="dxa"/>
          <w:right w:w="0" w:type="dxa"/>
        </w:tblCellMar>
      </w:tblPr>
      <w:tr>
        <w:trPr>
          <w:trHeight w:val="162"/>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Multi-employer withdrawal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state alternative minimum tax credits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Basis differences for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Construction Fund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Receivables: </w:t>
      </w:r>
      <w:r>
        <w:rPr>
          <w:rFonts w:ascii="Times New Roman" w:cs="Times New Roman" w:eastAsia="Times New Roman" w:hAnsi="Times New Roman"/>
          <w:sz w:val="18"/>
          <w:szCs w:val="18"/>
          <w:color w:val="auto"/>
        </w:rPr>
        <w:t>The Company had income tax receivables of approximately $2.0 million and $125.2 million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 respectively. The income tax receivable for the year ended December 31, 2023 included a 2021 federal income tax refund of approximately $118.6 million. On April 19, 2024, the Company received the federal income tax refund of $118.6 million and interest of $10.2 million earned on the federal income tax refund. These income tax receivable amounts have been included in prepaid expenses and other assets in the Company’s Consolidated Balance Sheets (see Note 2).</w:t>
      </w:r>
    </w:p>
    <w:p>
      <w:pPr>
        <w:spacing w:after="0" w:line="182" w:lineRule="exact"/>
        <w:rPr>
          <w:sz w:val="20"/>
          <w:szCs w:val="20"/>
          <w:color w:val="auto"/>
        </w:rPr>
      </w:pPr>
    </w:p>
    <w:p>
      <w:pPr>
        <w:ind w:left="60" w:right="9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State Income Tax Operating Losses, State Tax Credit and Valuation Allowance: </w:t>
      </w:r>
      <w:r>
        <w:rPr>
          <w:rFonts w:ascii="Times New Roman" w:cs="Times New Roman" w:eastAsia="Times New Roman" w:hAnsi="Times New Roman"/>
          <w:sz w:val="17"/>
          <w:szCs w:val="17"/>
          <w:color w:val="auto"/>
        </w:rPr>
        <w:t>The Company’s U.S. state income tax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losses (“NOLs”) and U.S. state tax credit carryforwards consist of the following at December 31, 2024 and 2023:</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 income tax NOLs (1)</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 dates beginning in 2032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U.S. state alternative minimum tax credits</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 expiration date</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right="99" w:hanging="330"/>
        <w:spacing w:after="0" w:line="241"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State income tax NOLs were acquired as part of the Horizon acquisition and are presented on a gross tax basis. These U.S. state income tax NOLs are excluded from the Company’s deferred tax assets and deferred tax liabilities above as the Company does not expect to benefit from any of the $136.5 million and $152.3 million balance as of December 31,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The Company recorded a valuation allowance against its unusable portion of U.S. state income tax NOLs of $5.0 million and $5.3 million as of December 31, 2024 and 2023, respectively, as the Company believes that it is more likely than not that the benefit from these deferred assets will not be realized.</w:t>
      </w:r>
    </w:p>
    <w:p>
      <w:pPr>
        <w:spacing w:after="0" w:line="174"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Unrecognized Tax Benefits: </w:t>
      </w:r>
      <w:r>
        <w:rPr>
          <w:rFonts w:ascii="Times New Roman" w:cs="Times New Roman" w:eastAsia="Times New Roman" w:hAnsi="Times New Roman"/>
          <w:sz w:val="18"/>
          <w:szCs w:val="18"/>
          <w:color w:val="auto"/>
        </w:rPr>
        <w:t>Total unrecognized benefits represent the amount that, if recognized, would favorably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income taxes and effective tax rate in future periods. The Company does not expect a material change in gross unrecognized benefits in the next twelve months. A reconciliation of the beginning and ending amount of gross unrecognized tax benefits is as follows: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Unrecognized Tax Benefits (in millions)</w:t>
            </w: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7"/>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position changes in current year</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position changes in prior years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Reductions for lapse of statute of limitations</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u w:val="single" w:color="auto"/>
                <w:color w:val="auto"/>
              </w:rPr>
              <w:t>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2024 are potential benefits of $22.9 million that, if recognized, would affect the Company’s income taxes and effective tax rate. The Company recognizes potential accrued interest and penalties related to unrecognized tax benefits in income taxes. To the extent interest and penalties are not ultimately assessed with respect to the settlement of uncertain tax positions, amounts accrued will be reduced and reflected as a reduction of the Company’s income taxes. Interest and penalties accrued related to the balance of unrecognized tax benefits were $1.2 million and $1.4 million as of December 31, 2024, and $0.9 million and $1.5 million as of December 31, 2023, respectively. During the years ended December 31, 2024 and 2023, the Company recognized $0.4 million and $0.7 million, respectively, in income taxes related to interest and penalties.</w:t>
      </w:r>
    </w:p>
    <w:p>
      <w:pPr>
        <w:spacing w:after="0" w:line="192"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income tax audits for years before 2017. The Company is routinely involved in federal, state, local income and excise tax audits, and foreign tax audits.</w:t>
      </w:r>
    </w:p>
    <w:p>
      <w:pPr>
        <w:spacing w:after="0" w:line="374" w:lineRule="exact"/>
        <w:rPr>
          <w:sz w:val="20"/>
          <w:szCs w:val="20"/>
          <w:color w:val="auto"/>
        </w:rPr>
      </w:pPr>
    </w:p>
    <w:p>
      <w:pPr>
        <w:ind w:left="700" w:hanging="650"/>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2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Qualified Pension and Post-retirement Benefits Plans: </w:t>
      </w:r>
      <w:r>
        <w:rPr>
          <w:rFonts w:ascii="Times New Roman" w:cs="Times New Roman" w:eastAsia="Times New Roman" w:hAnsi="Times New Roman"/>
          <w:sz w:val="18"/>
          <w:szCs w:val="18"/>
          <w:color w:val="auto"/>
        </w:rPr>
        <w:t>The Company provides a funded qualified single employer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pension plan that covers most non-bargaining employees and certain clerical bargaining unit employees. The Company also provides a post-retirement benefit plan that provides health and life insurance benefits, and covers substantially all salaried, non-bargaining employees hired before 2008, and certain bargaining unit employees. Employees are generally eligible for such benefits upon retirement and completion of a specified number of years of service. The Company does not pre-fund the post-retirement benefit plan and has the right to modify or terminate the plan in the future, with the exception of the benefits pertaining to the bargaining unit employees. Most non-bargaining retirees pay a portion of these post-retirement benefit costs.</w:t>
      </w:r>
    </w:p>
    <w:p>
      <w:pPr>
        <w:spacing w:after="0" w:line="18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 Administration, Investments and Asset Allocations: </w:t>
      </w:r>
      <w:r>
        <w:rPr>
          <w:rFonts w:ascii="Times New Roman" w:cs="Times New Roman" w:eastAsia="Times New Roman" w:hAnsi="Times New Roman"/>
          <w:sz w:val="18"/>
          <w:szCs w:val="18"/>
          <w:color w:val="auto"/>
        </w:rPr>
        <w:t>The Company has a Benefits Investment Committee that meets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with investment advisors to establish investment policies, direct investments and select investment options for the qualified plan. The Benefits Investment Committee is also responsible for appointing investment managers and monitoring their performance. The Company’s investment policy permits investments in marketable equity securities, such as domestic and foreign stocks, domestic and foreign bonds,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85"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target and actual asset allocations at December 31, 2024 and 2023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Categories</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equity securities</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and cash</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9"/>
        </w:trPr>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All assets within specific funds are allocated to the target asset allocation of the fund.</w:t>
      </w:r>
    </w:p>
    <w:p>
      <w:pPr>
        <w:spacing w:after="0" w:line="18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expected return on plan assets is principally based on the Company’s historical returns combined with the Company’s long-term future expectations regarding asset class returns, the mix of plan assets, and inflation assumptions.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Actual return on plan assets for the periods presented are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Actual Return on Plan Assets</w:t>
            </w:r>
          </w:p>
        </w:tc>
        <w:tc>
          <w:tcPr>
            <w:tcW w:w="11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Returns</w:t>
            </w:r>
          </w:p>
        </w:tc>
      </w:tr>
      <w:tr>
        <w:trPr>
          <w:trHeight w:val="20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One-year return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Three-year return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Five-year return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4"/>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average return (since plan inception in 1989)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pension plan assets are held in a trust and are stated at estimated fair values of the underlying investments.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an accrual basis.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Dividends are recorded on the ex-dividend date.</w:t>
      </w:r>
    </w:p>
    <w:p>
      <w:pPr>
        <w:spacing w:after="0" w:line="205" w:lineRule="exact"/>
        <w:rPr>
          <w:sz w:val="20"/>
          <w:szCs w:val="20"/>
          <w:color w:val="auto"/>
        </w:rPr>
      </w:pPr>
    </w:p>
    <w:p>
      <w:pPr>
        <w:ind w:left="60" w:right="3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Domestic and international common stocks are valued by obtaining quoted prices on recognized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highly liquid exchanges.</w:t>
      </w:r>
    </w:p>
    <w:p>
      <w:pPr>
        <w:spacing w:after="0" w:line="15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Fixed Income Securities: </w:t>
      </w:r>
      <w:r>
        <w:rPr>
          <w:rFonts w:ascii="Times New Roman" w:cs="Times New Roman" w:eastAsia="Times New Roman" w:hAnsi="Times New Roman"/>
          <w:sz w:val="18"/>
          <w:szCs w:val="18"/>
          <w:color w:val="auto"/>
        </w:rPr>
        <w:t>Corporate bonds and U.S. government treasury and agency securities are valued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80"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Real Estate and Certain International Equity Funds: </w:t>
      </w:r>
      <w:r>
        <w:rPr>
          <w:rFonts w:ascii="Times New Roman" w:cs="Times New Roman" w:eastAsia="Times New Roman" w:hAnsi="Times New Roman"/>
          <w:sz w:val="18"/>
          <w:szCs w:val="18"/>
          <w:color w:val="auto"/>
        </w:rPr>
        <w:t>The fair value of real estate and certain developed and emerging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equity funds is determined by the issuer based on their net asset value (“NAV”). NAV is determined by dividing the fund’s net assets, as recorded in the fund’s audited financial statements, by the number of units outstanding at the valuation date. Fair value for the underlying investments in real estate is determined through independent property appraisals.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values of the Company’s pension plan assets at December 31, 2024 and 2023 by asset category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gridSpan w:val="11"/>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grade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fixed income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11"/>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 (in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6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mid- and small-cap</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large-cap</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grade U.S. corporate bonds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bonds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fixed income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 measured at NAV (1)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239" w:hanging="330"/>
        <w:spacing w:after="0" w:line="242" w:lineRule="auto"/>
        <w:tabs>
          <w:tab w:leader="none" w:pos="3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funds for which fair value is measured using the NAV per share as a practical expedient are not leveled within the fair value hierarchy and are included as a reconciling item to total plan assets. These investments include real estate and certain developed and emerging market equity funds.</w:t>
      </w:r>
    </w:p>
    <w:p>
      <w:pPr>
        <w:spacing w:after="0" w:line="34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Contributions to the qualified single employer defined benefit pension plan are determined annually by the Company, taking into consideration recommendations from the actuary based upon the actuarially determined minimum required contributions under the Employee Retirement Income Security Act of 1974 (“ERISA”), as amended, the Pension Protection Act of 2006, and the maximum deductible contribution allowed for tax purposes. The Company’s funding policy is to contribute cash so that it meets at least the minimum required contributions, with an allowance for discretionary contributions. In 2024, 2023 and 2022, the Company contributed $4.5 million, $9.0 million and $9.0 million, respectively, in pension contributions to this plan, which were in excess of the minimum required contributions.</w:t>
      </w:r>
    </w:p>
    <w:p>
      <w:pPr>
        <w:spacing w:after="0" w:line="189"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 benefit formulas for employees who are members of collective bargaining units are determined according to the collective bargaining agreements, either using final average pay as the base, a flat dollar amount per year of service, or a cash balance formula.</w:t>
      </w:r>
    </w:p>
    <w:p>
      <w:pPr>
        <w:spacing w:after="0" w:line="176"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Effective December 31, 2011, the Company froze benefit accruals under the final average pay formula for salaried, non-bargaining unit employees hired before January 1, 2008 and transitioned them to the same cash balance formula for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Effective December 31, 2022, the Matson Pension Plan for Clerical Bargaining Unit Employees was merged into the Retirement Plan for Employees of Matson.</w:t>
      </w:r>
    </w:p>
    <w:p>
      <w:pPr>
        <w:spacing w:after="0" w:line="160" w:lineRule="exact"/>
        <w:rPr>
          <w:sz w:val="20"/>
          <w:szCs w:val="20"/>
          <w:color w:val="auto"/>
        </w:rPr>
      </w:pPr>
    </w:p>
    <w:p>
      <w:pPr>
        <w:jc w:val="both"/>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Plan Assets and Obligations: </w:t>
      </w:r>
      <w:r>
        <w:rPr>
          <w:rFonts w:ascii="Times New Roman" w:cs="Times New Roman" w:eastAsia="Times New Roman" w:hAnsi="Times New Roman"/>
          <w:sz w:val="18"/>
          <w:szCs w:val="18"/>
          <w:color w:val="auto"/>
        </w:rPr>
        <w:t>The measurement date for the Company’s benefit plan disclosures is December 31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The status of the funded qualified defined benefit pension plan and the unfunded post-retirement benefit plan at December 31, 2024 and 2023 are shown below:</w:t>
      </w:r>
    </w:p>
    <w:tbl>
      <w:tblPr>
        <w:tblLayout w:type="fixed"/>
        <w:tblInd w:w="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Actuarial loss (gain)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 net of subsidies received</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Benefits paid, net of subsidies received</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241.2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and Recognized Plan Assets and Benefit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76" w:lineRule="auto"/>
        <w:rPr>
          <w:sz w:val="20"/>
          <w:szCs w:val="20"/>
          <w:color w:val="auto"/>
        </w:rPr>
      </w:pPr>
      <w:r>
        <w:rPr>
          <w:rFonts w:ascii="Times New Roman" w:cs="Times New Roman" w:eastAsia="Times New Roman" w:hAnsi="Times New Roman"/>
          <w:sz w:val="17"/>
          <w:szCs w:val="17"/>
          <w:color w:val="auto"/>
        </w:rPr>
        <w:t>Qualified pension and post-retirement benefit plan assets and liabilities recognized in the Consolidated Balance Sheets and expenses recognized in accumulated other comprehensive income (loss) at December 31, 2024 and 2023 were as follows:</w:t>
      </w:r>
    </w:p>
    <w:tbl>
      <w:tblPr>
        <w:tblLayout w:type="fixed"/>
        <w:tblInd w:w="40" w:type="dxa"/>
        <w:tblCellMar>
          <w:top w:w="0" w:type="dxa"/>
          <w:left w:w="0" w:type="dxa"/>
          <w:bottom w:w="0" w:type="dxa"/>
          <w:right w:w="0" w:type="dxa"/>
        </w:tblCellMar>
      </w:tblPr>
      <w:tr>
        <w:trPr>
          <w:trHeight w:val="13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12"/>
                <w:szCs w:val="12"/>
                <w:color w:val="auto"/>
              </w:rPr>
            </w:pPr>
          </w:p>
        </w:tc>
        <w:tc>
          <w:tcPr>
            <w:tcW w:w="1320" w:type="dxa"/>
            <w:vAlign w:val="bottom"/>
            <w:gridSpan w:val="5"/>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7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3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gain, net of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 net of taxes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Components of the net periodic benefit cost and other amounts recognized in other comprehensive income (loss) for the qualified pension plan and the post-retirement benefit plan during 2024, 2023 and 2022 were as follows: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7"/>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Changes in Plan Assets and Benefit Obligations</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Other Comprehensive Income, net of tax:</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loss</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4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recognized in net periodic benefit cost and other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assumptions used to determine benefit information during 2024, 2023 and 2022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80" w:type="dxa"/>
            <w:vAlign w:val="bottom"/>
            <w:gridSpan w:val="8"/>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Discount rate (1)</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20" w:type="dxa"/>
            <w:vAlign w:val="bottom"/>
            <w:tcBorders>
              <w:top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89"/>
              </w:rPr>
              <w:t>%</w:t>
            </w: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5.60</w:t>
            </w:r>
          </w:p>
        </w:tc>
        <w:tc>
          <w:tcPr>
            <w:tcW w:w="220" w:type="dxa"/>
            <w:vAlign w:val="bottom"/>
            <w:tcBorders>
              <w:top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5.40</w:t>
            </w:r>
          </w:p>
        </w:tc>
        <w:tc>
          <w:tcPr>
            <w:tcW w:w="22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20" w:type="dxa"/>
            <w:vAlign w:val="bottom"/>
          </w:tcPr>
          <w:p>
            <w:pPr>
              <w:spacing w:after="0"/>
              <w:rPr>
                <w:sz w:val="17"/>
                <w:szCs w:val="17"/>
                <w:color w:val="auto"/>
              </w:rPr>
            </w:pP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6.85 %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354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 - 3.50 %  3.50 %  3.50 %  4.00 % - 3.50 %</w:t>
            </w:r>
          </w:p>
        </w:tc>
      </w:tr>
      <w:tr>
        <w:trPr>
          <w:trHeight w:val="203"/>
        </w:trPr>
        <w:tc>
          <w:tcPr>
            <w:tcW w:w="20" w:type="dxa"/>
            <w:vAlign w:val="bottom"/>
          </w:tcPr>
          <w:p>
            <w:pPr>
              <w:spacing w:after="0"/>
              <w:rPr>
                <w:sz w:val="17"/>
                <w:szCs w:val="17"/>
                <w:color w:val="auto"/>
              </w:rPr>
            </w:pP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Cash balance interest credit rate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3.90 % - 4.42 %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4.50 % - 3.25 %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3.50 % - 3.25 %</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Immediate health care cost trend rate:</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Pre-65 group</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6"/>
          </w:tcPr>
          <w:p>
            <w:pPr>
              <w:ind w:left="80"/>
              <w:spacing w:after="0"/>
              <w:rPr>
                <w:sz w:val="20"/>
                <w:szCs w:val="20"/>
                <w:color w:val="auto"/>
              </w:rPr>
            </w:pPr>
            <w:r>
              <w:rPr>
                <w:rFonts w:ascii="Times New Roman" w:cs="Times New Roman" w:eastAsia="Times New Roman" w:hAnsi="Times New Roman"/>
                <w:sz w:val="16"/>
                <w:szCs w:val="16"/>
                <w:color w:val="auto"/>
              </w:rPr>
              <w:t>6.30 %  6.80 %</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6.60 %</w:t>
            </w:r>
          </w:p>
        </w:tc>
      </w:tr>
      <w:tr>
        <w:trPr>
          <w:trHeight w:val="203"/>
        </w:trPr>
        <w:tc>
          <w:tcPr>
            <w:tcW w:w="20" w:type="dxa"/>
            <w:vAlign w:val="bottom"/>
          </w:tcPr>
          <w:p>
            <w:pPr>
              <w:spacing w:after="0"/>
              <w:rPr>
                <w:sz w:val="17"/>
                <w:szCs w:val="17"/>
                <w:color w:val="auto"/>
              </w:rPr>
            </w:pPr>
          </w:p>
        </w:tc>
        <w:tc>
          <w:tcPr>
            <w:tcW w:w="30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Post-65 group</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6.50 %  7.10 %</w:t>
            </w: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6.10 %</w:t>
            </w:r>
          </w:p>
        </w:tc>
      </w:tr>
      <w:tr>
        <w:trPr>
          <w:trHeight w:val="203"/>
        </w:trPr>
        <w:tc>
          <w:tcPr>
            <w:tcW w:w="20" w:type="dxa"/>
            <w:vAlign w:val="bottom"/>
          </w:tcPr>
          <w:p>
            <w:pPr>
              <w:spacing w:after="0"/>
              <w:rPr>
                <w:sz w:val="17"/>
                <w:szCs w:val="17"/>
                <w:color w:val="auto"/>
              </w:rPr>
            </w:pPr>
          </w:p>
        </w:tc>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Ultimate health care cost trend rate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3.90 %</w:t>
            </w: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3.90 %</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4.00 %</w:t>
            </w:r>
          </w:p>
        </w:tc>
      </w:tr>
      <w:tr>
        <w:trPr>
          <w:trHeight w:val="189"/>
        </w:trPr>
        <w:tc>
          <w:tcPr>
            <w:tcW w:w="20" w:type="dxa"/>
            <w:vAlign w:val="bottom"/>
          </w:tcPr>
          <w:p>
            <w:pPr>
              <w:spacing w:after="0"/>
              <w:rPr>
                <w:sz w:val="16"/>
                <w:szCs w:val="16"/>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Year ultimate health care cost trend rate is</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reached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22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58" w:lineRule="exact"/>
        <w:rPr>
          <w:sz w:val="20"/>
          <w:szCs w:val="20"/>
          <w:color w:val="auto"/>
        </w:rPr>
      </w:pPr>
    </w:p>
    <w:p>
      <w:pPr>
        <w:ind w:left="380" w:right="459" w:hanging="330"/>
        <w:spacing w:after="0" w:line="261" w:lineRule="auto"/>
        <w:tabs>
          <w:tab w:leader="none" w:pos="3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derives a single equivalent rate utilizing a yield curve constructed from a portfolio of high-quality corporate bonds with various maturities.</w:t>
      </w:r>
    </w:p>
    <w:p>
      <w:pPr>
        <w:spacing w:after="0" w:line="165"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Pension Plans: </w:t>
      </w:r>
      <w:r>
        <w:rPr>
          <w:rFonts w:ascii="Times New Roman" w:cs="Times New Roman" w:eastAsia="Times New Roman" w:hAnsi="Times New Roman"/>
          <w:sz w:val="18"/>
          <w:szCs w:val="18"/>
          <w:color w:val="auto"/>
        </w:rPr>
        <w:t>The Company has non-qualified supplemental pension plans covering certain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liabilities recognized in the Consolidated Balance Sheets and expenses recognized in accumulated other comprehensive income (loss) at December 31, 2024 and 2023 are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6"/>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Pension Benefits</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7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(0.4)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net of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2"/>
              </w:rPr>
              <w:t>(0.4)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Discount rates of 5.4 percent and 5.2 percent were used in determining the 2024 and 2023 non-qualified pension plan obligations, respectively.</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Estimated Benefit Payments: </w:t>
      </w:r>
      <w:r>
        <w:rPr>
          <w:rFonts w:ascii="Times New Roman" w:cs="Times New Roman" w:eastAsia="Times New Roman" w:hAnsi="Times New Roman"/>
          <w:sz w:val="18"/>
          <w:szCs w:val="18"/>
          <w:color w:val="auto"/>
        </w:rPr>
        <w:t>The estimated future benefit payments for the next ten years consist of the following as of</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6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48"/>
        </w:trPr>
        <w:tc>
          <w:tcPr>
            <w:tcW w:w="5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2030-2034</w:t>
            </w:r>
          </w:p>
        </w:tc>
        <w:tc>
          <w:tcPr>
            <w:tcW w:w="3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participant contributions and Medicare Part D subsidies.</w:t>
      </w:r>
    </w:p>
    <w:p>
      <w:pPr>
        <w:spacing w:after="0" w:line="138"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w:t>
      </w:r>
      <w:r>
        <w:rPr>
          <w:rFonts w:ascii="Times New Roman" w:cs="Times New Roman" w:eastAsia="Times New Roman" w:hAnsi="Times New Roman"/>
          <w:sz w:val="18"/>
          <w:szCs w:val="18"/>
          <w:color w:val="auto"/>
        </w:rPr>
        <w:t>The Company sponsors defined contribution plans that qualify under Sections 401(a)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401(k) of the Internal Revenue Code. The Company may make discretionary matching contributions equal to a specified percentage of each participant’s 401(k) contributions and makes other non-discretionary contributions. For the year ended December 31, 2024, the Company provided employees with discretionary matching contributions of up to 3 percent of eligible employee compensation, and for a select group of employees, up to 4 percent of eligible employee compensation. The Company’s matching contributions and other contributions expensed in 2024, 2023 and 2022 were $4.6 million, $4.2 million and $3.6 million, respectively.</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may also provide a discretionary profit sharing contribution under the qualified defined contribution plans to non-bargaining unit employees, if both a minimum threshold of Company performance is achieved and the Board of Directors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Discretionary profit sharing contributions expensed in 2024, 2023 and 2022 were $3.1 million, $3.1 million and $2.8 million, respectively.</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Multi-employer Bargaining Plans:</w:t>
      </w:r>
    </w:p>
    <w:p>
      <w:pPr>
        <w:spacing w:after="0" w:line="14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 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spacing w:after="0" w:line="120"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2024, the Company’s estimated benefit plan withdrawal obligations were $155.5 million. Except as described in Note 12, no withdrawal obligations have been recorded by the Company in the Consolidated Balance Sheets at December 31, 2024 and 2023, as the Company has no present intention of withdrawing from and does not anticipate termination of any of these plans.</w:t>
      </w:r>
    </w:p>
    <w:p>
      <w:pPr>
        <w:spacing w:after="0" w:line="108"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2024 and 2023 is for the plan’s year-end at December 31, 2024 and 2023, respectively. The zone status is based on information that the Company received from the plan and is certified by the plan’s actuary. Among other factors, plans in the red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zone are generally less than 65 percent funded; plans in the orange zone are both a) less than 80 percent funded and b) have an accumulated/expected funding deficiency in any of the next six plan years, net of any amortization extensions; plans in the yellow zone meet either one of the criteria mentioned in the orange zone;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Pension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Protection Act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Zone as of</w:t>
            </w: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FIP/RP Status</w:t>
            </w:r>
          </w:p>
        </w:tc>
        <w:tc>
          <w:tcPr>
            <w:tcW w:w="6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8"/>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Contributions of Matson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EIN/Pension</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Pending/</w:t>
            </w:r>
          </w:p>
        </w:tc>
        <w:tc>
          <w:tcPr>
            <w:tcW w:w="6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7"/>
              </w:rPr>
              <w:t>Contributor</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Surcharge</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r>
      <w:tr>
        <w:trPr>
          <w:trHeight w:val="115"/>
        </w:trPr>
        <w:tc>
          <w:tcPr>
            <w:tcW w:w="242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Pension Funds</w:t>
            </w:r>
          </w:p>
        </w:tc>
        <w:tc>
          <w:tcPr>
            <w:tcW w:w="120" w:type="dxa"/>
            <w:vAlign w:val="bottom"/>
          </w:tcPr>
          <w:p>
            <w:pPr>
              <w:spacing w:after="0"/>
              <w:rPr>
                <w:sz w:val="10"/>
                <w:szCs w:val="10"/>
                <w:color w:val="auto"/>
              </w:rPr>
            </w:pPr>
          </w:p>
        </w:tc>
        <w:tc>
          <w:tcPr>
            <w:tcW w:w="840" w:type="dxa"/>
            <w:vAlign w:val="bottom"/>
          </w:tcPr>
          <w:p>
            <w:pPr>
              <w:jc w:val="right"/>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Plan Number</w:t>
            </w:r>
          </w:p>
        </w:tc>
        <w:tc>
          <w:tcPr>
            <w:tcW w:w="48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1"/>
              </w:rPr>
              <w:t>Notes</w:t>
            </w:r>
          </w:p>
        </w:tc>
        <w:tc>
          <w:tcPr>
            <w:tcW w:w="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Pr>
          <w:p>
            <w:pPr>
              <w:spacing w:after="0"/>
              <w:rPr>
                <w:sz w:val="10"/>
                <w:szCs w:val="10"/>
                <w:color w:val="auto"/>
              </w:rPr>
            </w:pPr>
          </w:p>
        </w:tc>
        <w:tc>
          <w:tcPr>
            <w:tcW w:w="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Implemented</w:t>
            </w:r>
          </w:p>
        </w:tc>
        <w:tc>
          <w:tcPr>
            <w:tcW w:w="10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4"/>
              </w:rPr>
              <w:t>in 2024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ind w:right="18"/>
              <w:spacing w:after="0" w:line="115" w:lineRule="exact"/>
              <w:rPr>
                <w:sz w:val="20"/>
                <w:szCs w:val="20"/>
                <w:color w:val="auto"/>
              </w:rPr>
            </w:pPr>
            <w:r>
              <w:rPr>
                <w:rFonts w:ascii="Times New Roman" w:cs="Times New Roman" w:eastAsia="Times New Roman" w:hAnsi="Times New Roman"/>
                <w:sz w:val="11"/>
                <w:szCs w:val="11"/>
                <w:b w:val="1"/>
                <w:bCs w:val="1"/>
                <w:color w:val="auto"/>
                <w:w w:val="90"/>
              </w:rPr>
              <w:t>2022</w:t>
            </w:r>
          </w:p>
        </w:tc>
        <w:tc>
          <w:tcPr>
            <w:tcW w:w="120" w:type="dxa"/>
            <w:vAlign w:val="bottom"/>
          </w:tcPr>
          <w:p>
            <w:pPr>
              <w:spacing w:after="0"/>
              <w:rPr>
                <w:sz w:val="10"/>
                <w:szCs w:val="10"/>
                <w:color w:val="auto"/>
              </w:rPr>
            </w:pPr>
          </w:p>
        </w:tc>
        <w:tc>
          <w:tcPr>
            <w:tcW w:w="6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Imposed</w:t>
            </w:r>
          </w:p>
        </w:tc>
        <w:tc>
          <w:tcPr>
            <w:tcW w:w="6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5"/>
              </w:rPr>
              <w:t>Date (1)</w:t>
            </w:r>
          </w:p>
        </w:tc>
      </w:tr>
      <w:tr>
        <w:trPr>
          <w:trHeight w:val="129"/>
        </w:trPr>
        <w:tc>
          <w:tcPr>
            <w:tcW w:w="20" w:type="dxa"/>
            <w:vAlign w:val="bottom"/>
          </w:tcPr>
          <w:p>
            <w:pPr>
              <w:spacing w:after="0"/>
              <w:rPr>
                <w:sz w:val="11"/>
                <w:szCs w:val="11"/>
                <w:color w:val="auto"/>
              </w:rPr>
            </w:pPr>
          </w:p>
        </w:tc>
        <w:tc>
          <w:tcPr>
            <w:tcW w:w="240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American Radio Association Pension Fund</w:t>
            </w: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13-6161999-001</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Green</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Borders>
              <w:top w:val="single" w:sz="8" w:color="CCEEFF"/>
            </w:tcBorders>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Hawaii Longshore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99-0314293-001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6/30/2028</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Master, Mates and Pilots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13-6372630-001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6/15/2027,</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Masters, Mates and Pilots Adjustable Pension</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37-1719247-001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6/15/2027,</w:t>
            </w:r>
          </w:p>
        </w:tc>
        <w:tc>
          <w:tcPr>
            <w:tcW w:w="2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MEBA Pension Trust - Defined Benefit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51-6029896-001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6/15/2028</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OCU Pension Trust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26-1574440-001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6/30/2030</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MFOW Supplementary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94-6201677-001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Yellow</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6/30/2026</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SIU Pacific District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94-6061923-001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6/30/2026</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Alaska Teamster - Employer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92-6003463-024</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780" w:type="dxa"/>
            <w:vAlign w:val="bottom"/>
            <w:gridSpan w:val="2"/>
            <w:shd w:val="clear" w:color="auto" w:fill="CCEEFF"/>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6/30/2025,</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6/30/2026,</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6/30/2027,</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6/30/2028</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All Alaska Longshore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91-6085352-001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Yes</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6/30/2028</w:t>
            </w:r>
          </w:p>
        </w:tc>
        <w:tc>
          <w:tcPr>
            <w:tcW w:w="2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5"/>
              </w:rPr>
              <w:t>Western Conference of Teamsters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91-6145047-001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3/31/2028</w:t>
            </w:r>
          </w:p>
        </w:tc>
        <w:tc>
          <w:tcPr>
            <w:tcW w:w="2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24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Western Conference of Teamsters</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Supplemental Benefit Trust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95-3746907-001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3/31/2028</w:t>
            </w:r>
          </w:p>
        </w:tc>
        <w:tc>
          <w:tcPr>
            <w:tcW w:w="2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OPEIU Local 153 Pension Plan</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13-2864289-001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Red</w:t>
            </w:r>
          </w:p>
        </w:tc>
        <w:tc>
          <w:tcPr>
            <w:tcW w:w="78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6"/>
              </w:rPr>
              <w:t>Implemented</w:t>
            </w:r>
          </w:p>
        </w:tc>
        <w:tc>
          <w:tcPr>
            <w:tcW w:w="1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11/9/2028</w:t>
            </w: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Seafarers Pension Plan</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13-6100329-001</w:t>
            </w:r>
          </w:p>
        </w:tc>
        <w:tc>
          <w:tcPr>
            <w:tcW w:w="3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Green</w:t>
            </w:r>
          </w:p>
        </w:tc>
        <w:tc>
          <w:tcPr>
            <w:tcW w:w="3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Green</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87"/>
              </w:rPr>
              <w:t>No</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rPr>
              <w:t>No</w:t>
            </w:r>
          </w:p>
        </w:tc>
        <w:tc>
          <w:tcPr>
            <w:tcW w:w="5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6/30/2027</w:t>
            </w:r>
          </w:p>
        </w:tc>
        <w:tc>
          <w:tcPr>
            <w:tcW w:w="20" w:type="dxa"/>
            <w:vAlign w:val="bottom"/>
            <w:shd w:val="clear" w:color="auto" w:fill="CCEEFF"/>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24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34.8</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2" w:lineRule="exact"/>
        <w:rPr>
          <w:sz w:val="20"/>
          <w:szCs w:val="20"/>
          <w:color w:val="auto"/>
        </w:rPr>
      </w:pPr>
    </w:p>
    <w:p>
      <w:pPr>
        <w:ind w:left="380" w:hanging="330"/>
        <w:spacing w:after="0"/>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expiration date of the collective bargaining agreement.</w:t>
      </w:r>
    </w:p>
    <w:p>
      <w:pPr>
        <w:ind w:left="380" w:right="359" w:hanging="330"/>
        <w:spacing w:after="0" w:line="228" w:lineRule="auto"/>
        <w:tabs>
          <w:tab w:leader="none" w:pos="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does not make contributions directly to the Seafarers Pension Plan. Instead, contributions are made to the Seafarers Health and Benefits Plan, and are subsequently re-allocated to the Seafarers Pension Plan at the discretion of the plan Trustees.</w:t>
      </w:r>
    </w:p>
    <w:p>
      <w:pPr>
        <w:spacing w:after="0" w:line="18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also contributes to multi-employer plans that provide post-retirement health and other benefits other than pensions under the terms of collective-bargaining agreements. Benefits provided to active and retired employees and their eligible dependents under these plans include medical, dental, vision and prescription drugs. These plans are not subject to the PBGC plan termination and withdrawal liability provisions of ERISA applicable to multi-employer defined benefit pension plans. Contributions made to these plans were $41.2 million, $37.7 million and $37.7 million in 2024, 2023 and 2022, respectively.</w:t>
      </w:r>
    </w:p>
    <w:p>
      <w:pPr>
        <w:spacing w:after="0" w:line="18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Contribution Plans: </w:t>
      </w:r>
      <w:r>
        <w:rPr>
          <w:rFonts w:ascii="Times New Roman" w:cs="Times New Roman" w:eastAsia="Times New Roman" w:hAnsi="Times New Roman"/>
          <w:sz w:val="18"/>
          <w:szCs w:val="18"/>
          <w:color w:val="auto"/>
        </w:rPr>
        <w:t>The Company contributes to six multi-employer defined contribution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These plans are not subject to the withdrawal liability provisions of ERISA or the PBGC applicable to multi-employer defined benefit pension plans. Contributions made to these plans by the Company were $6.0 million, $5.7 million and $6.0 million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MULTI-EMPLOYER WITHDRAWAL LIABILITIES</w:t>
      </w:r>
    </w:p>
    <w:p>
      <w:pPr>
        <w:spacing w:after="0" w:line="229"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Horizon ceased all of its operations in Puerto Rico during the first quarter of 2015, which resulted in a mass withdrawal from its multi-employer ILA-PRSSA pension fund. The Company assumed this liability as part of the acquisition of Horizon on May 29, 2015. The Company estimated the mass withdrawal liability based upon the required undiscounted quarterly payment of approximately $1.0 million to be paid to the ILA-PRSSA pension fund over a period which ends in March 2040, discounted to present value using the Company’s incremental borrowing rate. Future estimated annual payments to be paid to the ILA-PRSSA pension fund as of December 31, 2024 were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0"/>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remaining future undiscounted payments due to the ILA-PRSSA pension fund</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9"/>
        </w:trPr>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Present value of multi-employer withdrawal liability</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of multi-employer withdrawal liability (see Note 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multi-employer withdrawal liability (see Note 2)</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0"/>
        </w:trPr>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700" w:hanging="650"/>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consist of the following for the years ended December 31, 2024 and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2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Qualified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gridSpan w:val="2"/>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6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640" w:type="dxa"/>
            <w:vAlign w:val="bottom"/>
            <w:gridSpan w:val="3"/>
            <w:vMerge w:val="continue"/>
          </w:tcPr>
          <w:p>
            <w:pPr>
              <w:spacing w:after="0"/>
              <w:rPr>
                <w:sz w:val="15"/>
                <w:szCs w:val="15"/>
                <w:color w:val="auto"/>
              </w:rPr>
            </w:pP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(0.5)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in the Consolidated Statements of Income and Comprehensive Income is shown net of tax benefit (expense) of $(2.5) million, $(1.2) million and $(9.3) million for the years ended December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00" w:hanging="650"/>
        <w:spacing w:after="0"/>
        <w:tabs>
          <w:tab w:leader="none" w:pos="7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Basic earnings per share are determined by dividing net income by the weighted-average common shares outstanding during the year. The calculation of diluted earnings per share includes the dilutive effect of unvested restricted stock units. The computation of weighted average common shares excluded a nominal amount of anti-dilutive restricted stock units for each of the years 2024, 2023 and 2022.</w:t>
      </w:r>
    </w:p>
    <w:p>
      <w:pPr>
        <w:spacing w:after="0" w:line="16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computations for basic and diluted earnings per share for the years ended December 31, 2024, 2023 and 2022 are as follows: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7"/>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2024</w:t>
            </w:r>
          </w:p>
        </w:tc>
        <w:tc>
          <w:tcPr>
            <w:tcW w:w="100" w:type="dxa"/>
            <w:vAlign w:val="bottom"/>
          </w:tcPr>
          <w:p>
            <w:pPr>
              <w:spacing w:after="0"/>
              <w:rPr>
                <w:sz w:val="13"/>
                <w:szCs w:val="13"/>
                <w:color w:val="auto"/>
              </w:rPr>
            </w:pPr>
          </w:p>
        </w:tc>
        <w:tc>
          <w:tcPr>
            <w:tcW w:w="2100" w:type="dxa"/>
            <w:vAlign w:val="bottom"/>
            <w:gridSpan w:val="7"/>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2023</w:t>
            </w:r>
          </w:p>
        </w:tc>
        <w:tc>
          <w:tcPr>
            <w:tcW w:w="100" w:type="dxa"/>
            <w:vAlign w:val="bottom"/>
          </w:tcPr>
          <w:p>
            <w:pPr>
              <w:spacing w:after="0"/>
              <w:rPr>
                <w:sz w:val="13"/>
                <w:szCs w:val="13"/>
                <w:color w:val="auto"/>
              </w:rPr>
            </w:pPr>
          </w:p>
        </w:tc>
        <w:tc>
          <w:tcPr>
            <w:tcW w:w="208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2022</w:t>
            </w:r>
          </w:p>
        </w:tc>
      </w:tr>
      <w:tr>
        <w:trPr>
          <w:trHeight w:val="99"/>
        </w:trPr>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center"/>
              <w:ind w:right="38"/>
              <w:spacing w:after="0" w:line="100" w:lineRule="exact"/>
              <w:rPr>
                <w:sz w:val="20"/>
                <w:szCs w:val="20"/>
                <w:color w:val="auto"/>
              </w:rPr>
            </w:pPr>
            <w:r>
              <w:rPr>
                <w:rFonts w:ascii="Times New Roman" w:cs="Times New Roman" w:eastAsia="Times New Roman" w:hAnsi="Times New Roman"/>
                <w:sz w:val="11"/>
                <w:szCs w:val="11"/>
                <w:b w:val="1"/>
                <w:bCs w:val="1"/>
                <w:color w:val="auto"/>
                <w:w w:val="96"/>
              </w:rPr>
              <w:t>Per</w:t>
            </w: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center"/>
              <w:ind w:right="38"/>
              <w:spacing w:after="0" w:line="100" w:lineRule="exact"/>
              <w:rPr>
                <w:sz w:val="20"/>
                <w:szCs w:val="20"/>
                <w:color w:val="auto"/>
              </w:rPr>
            </w:pPr>
            <w:r>
              <w:rPr>
                <w:rFonts w:ascii="Times New Roman" w:cs="Times New Roman" w:eastAsia="Times New Roman" w:hAnsi="Times New Roman"/>
                <w:sz w:val="11"/>
                <w:szCs w:val="11"/>
                <w:b w:val="1"/>
                <w:bCs w:val="1"/>
                <w:color w:val="auto"/>
                <w:w w:val="96"/>
              </w:rPr>
              <w:t>Per</w:t>
            </w: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ind w:right="18"/>
              <w:spacing w:after="0" w:line="100" w:lineRule="exact"/>
              <w:rPr>
                <w:sz w:val="20"/>
                <w:szCs w:val="20"/>
                <w:color w:val="auto"/>
              </w:rPr>
            </w:pPr>
            <w:r>
              <w:rPr>
                <w:rFonts w:ascii="Times New Roman" w:cs="Times New Roman" w:eastAsia="Times New Roman" w:hAnsi="Times New Roman"/>
                <w:sz w:val="11"/>
                <w:szCs w:val="11"/>
                <w:b w:val="1"/>
                <w:bCs w:val="1"/>
                <w:color w:val="auto"/>
                <w:w w:val="96"/>
              </w:rPr>
              <w:t>Per</w:t>
            </w:r>
          </w:p>
        </w:tc>
        <w:tc>
          <w:tcPr>
            <w:tcW w:w="20" w:type="dxa"/>
            <w:vAlign w:val="bottom"/>
          </w:tcPr>
          <w:p>
            <w:pPr>
              <w:spacing w:after="0"/>
              <w:rPr>
                <w:sz w:val="8"/>
                <w:szCs w:val="8"/>
                <w:color w:val="auto"/>
              </w:rPr>
            </w:pPr>
          </w:p>
        </w:tc>
      </w:tr>
      <w:tr>
        <w:trPr>
          <w:trHeight w:val="121"/>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r>
      <w:tr>
        <w:trPr>
          <w:trHeight w:val="122"/>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8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Share</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c>
          <w:tcPr>
            <w:tcW w:w="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5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r>
      <w:tr>
        <w:trPr>
          <w:trHeight w:val="13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100" w:type="dxa"/>
            <w:vAlign w:val="bottom"/>
          </w:tcPr>
          <w:p>
            <w:pPr>
              <w:spacing w:after="0"/>
              <w:rPr>
                <w:sz w:val="11"/>
                <w:szCs w:val="11"/>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0" w:type="dxa"/>
            <w:vAlign w:val="bottom"/>
          </w:tcPr>
          <w:p>
            <w:pPr>
              <w:spacing w:after="0"/>
              <w:rPr>
                <w:sz w:val="11"/>
                <w:szCs w:val="11"/>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Pr>
          <w:p>
            <w:pPr>
              <w:spacing w:after="0"/>
              <w:rPr>
                <w:sz w:val="11"/>
                <w:szCs w:val="11"/>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1"/>
                <w:szCs w:val="11"/>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Pr>
          <w:p>
            <w:pPr>
              <w:spacing w:after="0"/>
              <w:rPr>
                <w:sz w:val="11"/>
                <w:szCs w:val="11"/>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Amount</w:t>
            </w:r>
          </w:p>
        </w:tc>
      </w:tr>
      <w:tr>
        <w:trPr>
          <w:trHeight w:val="142"/>
        </w:trPr>
        <w:tc>
          <w:tcPr>
            <w:tcW w:w="22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476.4</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1,063.9</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27.28</w:t>
            </w:r>
          </w:p>
        </w:tc>
        <w:tc>
          <w:tcPr>
            <w:tcW w:w="20" w:type="dxa"/>
            <w:vAlign w:val="bottom"/>
          </w:tcPr>
          <w:p>
            <w:pPr>
              <w:spacing w:after="0"/>
              <w:rPr>
                <w:sz w:val="12"/>
                <w:szCs w:val="12"/>
                <w:color w:val="auto"/>
              </w:rPr>
            </w:pPr>
          </w:p>
        </w:tc>
      </w:tr>
      <w:tr>
        <w:trPr>
          <w:trHeight w:val="148"/>
        </w:trPr>
        <w:tc>
          <w:tcPr>
            <w:tcW w:w="2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Effect of Dilutive Securities:</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0" w:type="dxa"/>
            <w:vAlign w:val="bottom"/>
          </w:tcPr>
          <w:p>
            <w:pPr>
              <w:spacing w:after="0"/>
              <w:rPr>
                <w:sz w:val="12"/>
                <w:szCs w:val="12"/>
                <w:color w:val="auto"/>
              </w:rPr>
            </w:pPr>
          </w:p>
        </w:tc>
      </w:tr>
      <w:tr>
        <w:trPr>
          <w:trHeight w:val="142"/>
        </w:trPr>
        <w:tc>
          <w:tcPr>
            <w:tcW w:w="23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476.4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1,063.9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27.07</w:t>
            </w:r>
          </w:p>
        </w:tc>
        <w:tc>
          <w:tcPr>
            <w:tcW w:w="20" w:type="dxa"/>
            <w:vAlign w:val="bottom"/>
          </w:tcPr>
          <w:p>
            <w:pPr>
              <w:spacing w:after="0"/>
              <w:rPr>
                <w:sz w:val="12"/>
                <w:szCs w:val="12"/>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share-based compensation plans which are described as follows:</w:t>
      </w:r>
    </w:p>
    <w:p>
      <w:pPr>
        <w:spacing w:after="0" w:line="223"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2016 Incentive Compensation Plan: </w:t>
      </w:r>
      <w:r>
        <w:rPr>
          <w:rFonts w:ascii="Times New Roman" w:cs="Times New Roman" w:eastAsia="Times New Roman" w:hAnsi="Times New Roman"/>
          <w:sz w:val="18"/>
          <w:szCs w:val="18"/>
          <w:color w:val="auto"/>
        </w:rPr>
        <w:t>The Amended and Restated Matson, Inc. 2016 Incentive Compensation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Plan”) serves as a successor to the 2007 Incentive Compensation Plan and all other predecessor plans. No further grants were made under the predecessor stock option plans. Under the 2016 Plan, 4.35 million shares of common stock were reserved for issuance.</w:t>
      </w:r>
    </w:p>
    <w:p>
      <w:pPr>
        <w:spacing w:after="0" w:line="18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2016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pacing w:after="0" w:line="178" w:lineRule="exact"/>
        <w:rPr>
          <w:sz w:val="20"/>
          <w:szCs w:val="20"/>
          <w:color w:val="auto"/>
        </w:rPr>
      </w:pPr>
    </w:p>
    <w:p>
      <w:pPr>
        <w:ind w:left="60" w:right="2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Discretionary Grant Program </w:t>
      </w:r>
      <w:r>
        <w:rPr>
          <w:rFonts w:ascii="Times New Roman" w:cs="Times New Roman" w:eastAsia="Times New Roman" w:hAnsi="Times New Roman"/>
          <w:sz w:val="18"/>
          <w:szCs w:val="18"/>
          <w:color w:val="auto"/>
        </w:rPr>
        <w:t>— Under the Discretionary Grant Program, stock options may be granted with an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no less than 100 percent of the fair market value (defined as the closing market price) of the Company’s common stock on the date of the grant. No stock options have been granted under the 2016 Plan.</w:t>
      </w:r>
    </w:p>
    <w:p>
      <w:pPr>
        <w:spacing w:after="0" w:line="173"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Issuance Program </w:t>
      </w:r>
      <w:r>
        <w:rPr>
          <w:rFonts w:ascii="Times New Roman" w:cs="Times New Roman" w:eastAsia="Times New Roman" w:hAnsi="Times New Roman"/>
          <w:sz w:val="18"/>
          <w:szCs w:val="18"/>
          <w:color w:val="auto"/>
        </w:rPr>
        <w:t>— Under the Stock Issuance Program, shares of common stock, restricted stock units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0" w:lineRule="exact"/>
        <w:rPr>
          <w:sz w:val="20"/>
          <w:szCs w:val="20"/>
          <w:color w:val="auto"/>
        </w:rPr>
      </w:pPr>
    </w:p>
    <w:p>
      <w:pPr>
        <w:ind w:left="60" w:right="3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Automatic Grant Program </w:t>
      </w:r>
      <w:r>
        <w:rPr>
          <w:rFonts w:ascii="Times New Roman" w:cs="Times New Roman" w:eastAsia="Times New Roman" w:hAnsi="Times New Roman"/>
          <w:sz w:val="18"/>
          <w:szCs w:val="18"/>
          <w:color w:val="auto"/>
        </w:rPr>
        <w:t>— At each annual shareholder meeting, non-employee directors will receive an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that entitle the holder to an equivalent number of shares of common stock upon vesting, under the Automatic Grant Program. Awards of restricted stock units granted under the program generally vest on the one-year anniversary of the grant date.</w:t>
      </w:r>
    </w:p>
    <w:p>
      <w:pPr>
        <w:spacing w:after="0" w:line="18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Share-based compensation expense and other information related to share-based awards for the years ended December 31, 2024, 2023 and 2022 are as follows:</w:t>
      </w:r>
    </w:p>
    <w:tbl>
      <w:tblPr>
        <w:tblLayout w:type="fixed"/>
        <w:tblInd w:w="40" w:type="dxa"/>
        <w:tblCellMar>
          <w:top w:w="0" w:type="dxa"/>
          <w:left w:w="0" w:type="dxa"/>
          <w:bottom w:w="0" w:type="dxa"/>
          <w:right w:w="0" w:type="dxa"/>
        </w:tblCellMar>
      </w:tblPr>
      <w:tr>
        <w:trPr>
          <w:trHeight w:val="162"/>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Share-based compensation expense, net of estimated forfeitures (in millions)</w:t>
            </w:r>
          </w:p>
        </w:tc>
        <w:tc>
          <w:tcPr>
            <w:tcW w:w="120" w:type="dxa"/>
            <w:vAlign w:val="bottom"/>
          </w:tcPr>
          <w:p>
            <w:pPr>
              <w:spacing w:after="0"/>
              <w:rPr>
                <w:sz w:val="14"/>
                <w:szCs w:val="14"/>
                <w:color w:val="auto"/>
              </w:rPr>
            </w:pPr>
          </w:p>
        </w:tc>
        <w:tc>
          <w:tcPr>
            <w:tcW w:w="1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 realized upon stock vesting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stock vested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As of December 31, 2024, unrecognized compensation cost related to non-vested restricted stock units and performance-based equity awards was $24.5 million. Unrecognized compensation cost is expected to be recognized over a weighted average period of approximately 1.7 years.</w:t>
      </w:r>
    </w:p>
    <w:p>
      <w:pPr>
        <w:spacing w:after="0" w:line="1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following table summarizes non-vested restricted stock unit activity through December 31, 2024 (in thousands, except weighted average grant-date fair value amounts):</w:t>
      </w:r>
    </w:p>
    <w:tbl>
      <w:tblPr>
        <w:tblLayout w:type="fixed"/>
        <w:tblInd w:w="4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2016 Plan</w:t>
            </w:r>
          </w:p>
        </w:tc>
        <w:tc>
          <w:tcPr>
            <w:tcW w:w="140" w:type="dxa"/>
            <w:vAlign w:val="bottom"/>
          </w:tcPr>
          <w:p>
            <w:pPr>
              <w:spacing w:after="0"/>
              <w:rPr>
                <w:sz w:val="11"/>
                <w:szCs w:val="11"/>
                <w:color w:val="auto"/>
              </w:rPr>
            </w:pPr>
          </w:p>
        </w:tc>
        <w:tc>
          <w:tcPr>
            <w:tcW w:w="94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2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3"/>
        </w:trPr>
        <w:tc>
          <w:tcPr>
            <w:tcW w:w="22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09"/>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80" w:type="dxa"/>
            <w:vAlign w:val="bottom"/>
          </w:tcPr>
          <w:p>
            <w:pPr>
              <w:spacing w:after="0"/>
              <w:rPr>
                <w:sz w:val="18"/>
                <w:szCs w:val="18"/>
                <w:color w:val="auto"/>
              </w:rPr>
            </w:pPr>
          </w:p>
        </w:tc>
      </w:tr>
      <w:tr>
        <w:trPr>
          <w:trHeight w:val="216"/>
        </w:trPr>
        <w:tc>
          <w:tcPr>
            <w:tcW w:w="6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80" w:type="dxa"/>
            <w:vAlign w:val="bottom"/>
          </w:tcPr>
          <w:p>
            <w:pPr>
              <w:spacing w:after="0"/>
              <w:rPr>
                <w:sz w:val="18"/>
                <w:szCs w:val="18"/>
                <w:color w:val="auto"/>
              </w:rPr>
            </w:pPr>
          </w:p>
        </w:tc>
      </w:tr>
      <w:tr>
        <w:trPr>
          <w:trHeight w:val="216"/>
        </w:trPr>
        <w:tc>
          <w:tcPr>
            <w:tcW w:w="6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Added by performance factor (1)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80" w:type="dxa"/>
            <w:vAlign w:val="bottom"/>
            <w:shd w:val="clear" w:color="auto" w:fill="CCEEFF"/>
          </w:tcPr>
          <w:p>
            <w:pPr>
              <w:spacing w:after="0"/>
              <w:rPr>
                <w:sz w:val="18"/>
                <w:szCs w:val="18"/>
                <w:color w:val="auto"/>
              </w:rPr>
            </w:pPr>
          </w:p>
        </w:tc>
      </w:tr>
      <w:tr>
        <w:trPr>
          <w:trHeight w:val="209"/>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8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paid out above target.</w:t>
      </w:r>
    </w:p>
    <w:p>
      <w:pPr>
        <w:spacing w:after="0" w:line="200" w:lineRule="exact"/>
        <w:rPr>
          <w:sz w:val="20"/>
          <w:szCs w:val="20"/>
          <w:color w:val="auto"/>
        </w:rPr>
      </w:pPr>
    </w:p>
    <w:p>
      <w:pPr>
        <w:spacing w:after="0" w:line="220" w:lineRule="exact"/>
        <w:rPr>
          <w:sz w:val="20"/>
          <w:szCs w:val="20"/>
          <w:color w:val="auto"/>
        </w:rPr>
      </w:pPr>
    </w:p>
    <w:p>
      <w:pPr>
        <w:ind w:left="700" w:hanging="650"/>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uses Level 1 inputs for the fair values of its cash and cash equivalents, restricted cash and cash on deposit, and investments in the CCF, and Level 2 inputs for its fixed rate debt. The fair values of cash and cash equivalents, restricted cash and cash on deposit in the CCF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83"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consists of the following as of December 31, 2024 and 2023:</w:t>
      </w:r>
    </w:p>
    <w:tbl>
      <w:tblPr>
        <w:tblLayout w:type="fixed"/>
        <w:tblInd w:w="40" w:type="dxa"/>
        <w:tblCellMar>
          <w:top w:w="0" w:type="dxa"/>
          <w:left w:w="0" w:type="dxa"/>
          <w:bottom w:w="0" w:type="dxa"/>
          <w:right w:w="0" w:type="dxa"/>
        </w:tblCellMar>
      </w:tblPr>
      <w:tr>
        <w:trPr>
          <w:trHeight w:val="137"/>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29"/>
        </w:trPr>
        <w:tc>
          <w:tcPr>
            <w:tcW w:w="29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0"/>
              </w:rPr>
              <w:t>Value Measurements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at December 31,</w:t>
            </w:r>
          </w:p>
        </w:tc>
        <w:tc>
          <w:tcPr>
            <w:tcW w:w="5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CCF - Investments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CCF - Cash and cash equivalent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Commitments and contractual obligations, excluding debt obligations (see Note 8), lease commitments (see</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9), pension and post-retirement plan obligations (see Note 11), and multi-employer withdrawal liabilities (see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12), are as follows as of December 31,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 (in millions)</w:t>
            </w:r>
          </w:p>
        </w:tc>
        <w:tc>
          <w:tcPr>
            <w:tcW w:w="1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Bonds (2)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construction obligations (3)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40" w:type="dxa"/>
            <w:vAlign w:val="bottom"/>
            <w:shd w:val="clear" w:color="auto" w:fill="CCEEFF"/>
          </w:tcPr>
          <w:p>
            <w:pPr>
              <w:spacing w:after="0"/>
              <w:rPr>
                <w:sz w:val="18"/>
                <w:szCs w:val="18"/>
                <w:color w:val="auto"/>
              </w:rPr>
            </w:pPr>
          </w:p>
        </w:tc>
      </w:tr>
      <w:tr>
        <w:trPr>
          <w:trHeight w:val="23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and other obligations (4)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Standby letters of credit are required for the Company’s uninsured workers’ compensation and other insurance programs, and other needs.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Bonds are required for U.S. Customs and other related matters.</w:t>
      </w:r>
    </w:p>
    <w:p>
      <w:pPr>
        <w:ind w:left="380" w:hanging="330"/>
        <w:spacing w:after="0" w:line="221" w:lineRule="auto"/>
        <w:tabs>
          <w:tab w:leader="none" w:pos="3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Vessel construction obligations represent remaining contractual obligations entered into for the construction of three new Jones Act vessels.</w:t>
      </w:r>
    </w:p>
    <w:p>
      <w:pPr>
        <w:ind w:left="380" w:right="199" w:hanging="330"/>
        <w:spacing w:after="0" w:line="233" w:lineRule="auto"/>
        <w:tabs>
          <w:tab w:leader="none" w:pos="3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 and other obligations include: (i) non-cancellable contractual capital project obligations; (ii) dry-docking related obligations; and (iii) other contractual obligations. Amounts are considered obligations if a contract has been agreed to specifying significant terms of the contract, and the amounts are not reflected in the Consolidated Balance Sheets as of December 31, 2024.</w:t>
      </w:r>
    </w:p>
    <w:p>
      <w:pPr>
        <w:spacing w:after="0" w:line="181"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These amounts are not recorded on the Company’s Consolidated Balance Sheet as of December 31, 2024 and it is not expected that the Company or its subsidiaries will be called upon to advance funds under these commitments and contractual obligations.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Contingencies and other litigation related matters are described as follows:</w:t>
      </w:r>
    </w:p>
    <w:p>
      <w:pPr>
        <w:spacing w:after="0" w:line="225" w:lineRule="exact"/>
        <w:rPr>
          <w:sz w:val="20"/>
          <w:szCs w:val="20"/>
          <w:color w:val="auto"/>
        </w:rPr>
      </w:pPr>
    </w:p>
    <w:p>
      <w:pPr>
        <w:ind w:left="380" w:right="459" w:hanging="330"/>
        <w:spacing w:after="0" w:line="290" w:lineRule="auto"/>
        <w:tabs>
          <w:tab w:leader="none" w:pos="3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Environmental Matters: </w:t>
      </w:r>
      <w:r>
        <w:rPr>
          <w:rFonts w:ascii="Times New Roman" w:cs="Times New Roman" w:eastAsia="Times New Roman" w:hAnsi="Times New Roman"/>
          <w:sz w:val="17"/>
          <w:szCs w:val="17"/>
          <w:color w:val="auto"/>
        </w:rPr>
        <w:t>The Company faces certain risks that could result in material expenditures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environmental remediation. The Company believes, that based on all information currently available to it, the Company is currently in compliance, in all material respects, with applicable environmental laws and regulations.</w:t>
      </w:r>
    </w:p>
    <w:p>
      <w:pPr>
        <w:spacing w:after="0" w:line="155" w:lineRule="exact"/>
        <w:rPr>
          <w:rFonts w:ascii="Times New Roman" w:cs="Times New Roman" w:eastAsia="Times New Roman" w:hAnsi="Times New Roman"/>
          <w:sz w:val="17"/>
          <w:szCs w:val="17"/>
          <w:color w:val="auto"/>
        </w:rPr>
      </w:pPr>
    </w:p>
    <w:p>
      <w:pPr>
        <w:ind w:left="380" w:right="259" w:hanging="330"/>
        <w:spacing w:after="0" w:line="261" w:lineRule="auto"/>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4" w:lineRule="exact"/>
        <w:rPr>
          <w:sz w:val="20"/>
          <w:szCs w:val="20"/>
          <w:color w:val="auto"/>
        </w:rPr>
      </w:pPr>
    </w:p>
    <w:p>
      <w:pPr>
        <w:ind w:left="100" w:right="999" w:hanging="44"/>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 Regarding Effectiveness of Disclosure Controls and Procedures</w:t>
      </w:r>
    </w:p>
    <w:p>
      <w:pPr>
        <w:spacing w:after="0" w:line="229"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were effective.</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See page 42 for management’s annual report on internal control over financial reporting, which is incorporated herein by reference.</w:t>
      </w:r>
    </w:p>
    <w:p>
      <w:pPr>
        <w:spacing w:after="0" w:line="162"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See page 43 for the attestation report of the independent registered public accounting firm on the Company’s internal control over financial reporting, which is incorporated herein by reference.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Company’s fiscal fourth quarter ended December 31, 2024, that have materially affected, or are reasonably likely to materially affect, the Company’s internal control over financial reporting.</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60" w:right="99"/>
        <w:spacing w:after="0" w:line="315" w:lineRule="auto"/>
        <w:rPr>
          <w:sz w:val="20"/>
          <w:szCs w:val="20"/>
          <w:color w:val="auto"/>
        </w:rPr>
      </w:pPr>
      <w:r>
        <w:rPr>
          <w:rFonts w:ascii="Times New Roman" w:cs="Times New Roman" w:eastAsia="Times New Roman" w:hAnsi="Times New Roman"/>
          <w:sz w:val="17"/>
          <w:szCs w:val="17"/>
          <w:i w:val="1"/>
          <w:iCs w:val="1"/>
          <w:color w:val="auto"/>
        </w:rPr>
        <w:t>Trading Plans</w:t>
      </w:r>
      <w:r>
        <w:rPr>
          <w:rFonts w:ascii="Times New Roman" w:cs="Times New Roman" w:eastAsia="Times New Roman" w:hAnsi="Times New Roman"/>
          <w:sz w:val="17"/>
          <w:szCs w:val="17"/>
          <w:color w:val="auto"/>
        </w:rPr>
        <w:t>: During the quarter ended December 31, 2024, no director or Section 16 officer adopted or terminated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Rule 10b5-1 trading arrangements or non-Rule 10b5-1 trading arrangements (as defined in Item 408(a) of Regulation S-K).</w:t>
      </w: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ind w:left="1340" w:hanging="642"/>
        <w:spacing w:after="0"/>
        <w:tabs>
          <w:tab w:leader="none" w:pos="1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about the directors of Matson required under this item will be included under the section captioned “Election of Directors” in Matson’s Proxy Statement for the 2025 Annual Meeting of Shareholders to be filed with the SEC within 120 days of the fiscal year ended December 31, 2024 (“Matson’s 2025 Proxy Statement”), which section is incorporated herein by reference.</w:t>
      </w:r>
    </w:p>
    <w:p>
      <w:pPr>
        <w:spacing w:after="0" w:line="176" w:lineRule="exact"/>
        <w:rPr>
          <w:sz w:val="20"/>
          <w:szCs w:val="20"/>
          <w:color w:val="auto"/>
        </w:rPr>
      </w:pPr>
    </w:p>
    <w:p>
      <w:pPr>
        <w:ind w:left="1340" w:hanging="642"/>
        <w:spacing w:after="0"/>
        <w:tabs>
          <w:tab w:leader="none" w:pos="1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The information about the executive officers of Matson required under this item will be included under the subsection captioned “Executive Officers” in Matson’s 2025 Proxy Statement, which subsection is incorporated herein by reference.</w:t>
      </w:r>
    </w:p>
    <w:p>
      <w:pPr>
        <w:spacing w:after="0" w:line="136" w:lineRule="exact"/>
        <w:rPr>
          <w:sz w:val="20"/>
          <w:szCs w:val="20"/>
          <w:color w:val="auto"/>
        </w:rPr>
      </w:pPr>
    </w:p>
    <w:p>
      <w:pPr>
        <w:ind w:left="1340" w:hanging="642"/>
        <w:spacing w:after="0"/>
        <w:tabs>
          <w:tab w:leader="none" w:pos="1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information about the Audit Committee of the Matson Board of Directors and compliance with Section 16(a) of the Exchange Act, will be included under the subsections captioned “Board of Directors and Committees of Board” and, if applicable, “Delinquent Section 16(a) Reports” in Matson’s 2025 Proxy Statement, which subsections are incorporated herein by reference.</w:t>
      </w:r>
    </w:p>
    <w:p>
      <w:pPr>
        <w:spacing w:after="0" w:line="176" w:lineRule="exact"/>
        <w:rPr>
          <w:sz w:val="20"/>
          <w:szCs w:val="20"/>
          <w:color w:val="auto"/>
        </w:rPr>
      </w:pPr>
    </w:p>
    <w:p>
      <w:pPr>
        <w:ind w:left="1340" w:hanging="642"/>
        <w:spacing w:after="0"/>
        <w:tabs>
          <w:tab w:leader="none" w:pos="1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information about Matson’s Code of Ethics required under this item will be included under the subsection captioned “Code of Ethics” in Matson’s 2025 Proxy Statement, which subsection is incorporated herein by reference.</w:t>
      </w:r>
    </w:p>
    <w:p>
      <w:pPr>
        <w:spacing w:after="0" w:line="158" w:lineRule="exact"/>
        <w:rPr>
          <w:sz w:val="20"/>
          <w:szCs w:val="20"/>
          <w:color w:val="auto"/>
        </w:rPr>
      </w:pPr>
    </w:p>
    <w:p>
      <w:pPr>
        <w:ind w:left="1340" w:hanging="642"/>
        <w:spacing w:after="0"/>
        <w:tabs>
          <w:tab w:leader="none" w:pos="1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The information about Matson’s Insider Trading Policy required under this item will be included under the subsection captioned “Insider Trading Policy” in Matson’s 2025 Proxy Statement, which subsection is incorporated herein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under the section captioned “Executive Compensation” and the subsections captioned “Compensation of Directors” and “Pay Risk Assessment” in Matson’s 2025 Proxy Statement, which section and subsections are incorporated herein by reference.</w:t>
      </w:r>
    </w:p>
    <w:p>
      <w:pPr>
        <w:spacing w:after="0" w:line="172" w:lineRule="exact"/>
        <w:rPr>
          <w:sz w:val="20"/>
          <w:szCs w:val="20"/>
          <w:color w:val="auto"/>
        </w:rPr>
      </w:pPr>
    </w:p>
    <w:p>
      <w:pPr>
        <w:ind w:left="60" w:right="103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7" w:lineRule="exact"/>
        <w:rPr>
          <w:sz w:val="20"/>
          <w:szCs w:val="20"/>
          <w:color w:val="auto"/>
        </w:rPr>
      </w:pPr>
    </w:p>
    <w:p>
      <w:pPr>
        <w:ind w:left="60" w:right="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Equity Compensation Plan Information: </w:t>
      </w:r>
      <w:r>
        <w:rPr>
          <w:rFonts w:ascii="Times New Roman" w:cs="Times New Roman" w:eastAsia="Times New Roman" w:hAnsi="Times New Roman"/>
          <w:sz w:val="18"/>
          <w:szCs w:val="18"/>
          <w:color w:val="auto"/>
        </w:rPr>
        <w:t>The following table sets forth, as of December 31, 2024, certain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Matson’s equity compensation plan:</w:t>
      </w: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8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8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shares</w:t>
            </w:r>
          </w:p>
        </w:tc>
        <w:tc>
          <w:tcPr>
            <w:tcW w:w="0" w:type="dxa"/>
            <w:vAlign w:val="bottom"/>
          </w:tcPr>
          <w:p>
            <w:pPr>
              <w:spacing w:after="0"/>
              <w:rPr>
                <w:sz w:val="1"/>
                <w:szCs w:val="1"/>
                <w:color w:val="auto"/>
              </w:rPr>
            </w:pPr>
          </w:p>
        </w:tc>
      </w:tr>
      <w:tr>
        <w:trPr>
          <w:trHeight w:val="173"/>
        </w:trPr>
        <w:tc>
          <w:tcPr>
            <w:tcW w:w="4140" w:type="dxa"/>
            <w:vAlign w:val="bottom"/>
            <w:gridSpan w:val="3"/>
            <w:vMerge w:val="continue"/>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8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shareholders</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448,079 (1)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1,423,994 (3)</w:t>
            </w: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shareholders</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448,079</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1,423,994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228,135 shares subject to unvested restricted stock unit awards and 219,944 shares subject to unvested Performance Share awards.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and Performance Share awards do not have exercise prices.</w:t>
      </w:r>
    </w:p>
    <w:p>
      <w:pPr>
        <w:ind w:left="380" w:hanging="330"/>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shares are available for issuance under the 2016 Plan.</w:t>
      </w:r>
    </w:p>
    <w:p>
      <w:pPr>
        <w:spacing w:after="0" w:line="192"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Other information required under this item will be included under the section captioned “Security Ownership of Certain Shareholders” and the subsection captioned “Security Ownership of Directors and Executive Officers” in Matson’s 2025 Proxy Statement, which section and subsection are incorporated herein by reference.</w:t>
      </w:r>
    </w:p>
    <w:p>
      <w:pPr>
        <w:spacing w:after="0" w:line="388" w:lineRule="exact"/>
        <w:rPr>
          <w:sz w:val="20"/>
          <w:szCs w:val="20"/>
          <w:color w:val="auto"/>
        </w:rPr>
      </w:pPr>
    </w:p>
    <w:p>
      <w:pPr>
        <w:ind w:left="60" w:right="149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in the section captioned “Election of Directors” and the subsection captioned “Certain Relationships and Transactions” in Matson’s 2025 Proxy Statement, which section and subsection are incorporated herein by reference.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43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will be included under the sections captioned “Audit Committee Report” and “Ratification of Appointment of Independent Registered Public Accounting Firm” in Matson’s 2025 Proxy Statement, which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700" w:hanging="650"/>
        <w:spacing w:after="0"/>
        <w:tabs>
          <w:tab w:leader="none" w:pos="7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Consolidated Financial Statements are set forth in Item 8 of Part II above.</w:t>
      </w:r>
    </w:p>
    <w:p>
      <w:pPr>
        <w:spacing w:after="0" w:line="221" w:lineRule="exact"/>
        <w:rPr>
          <w:sz w:val="20"/>
          <w:szCs w:val="20"/>
          <w:color w:val="auto"/>
        </w:rPr>
      </w:pPr>
    </w:p>
    <w:p>
      <w:pPr>
        <w:ind w:left="700" w:hanging="650"/>
        <w:spacing w:after="0"/>
        <w:tabs>
          <w:tab w:leader="none" w:pos="7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of the absence of the conditions under which they are required or because the information called for is included in the Consolidated Financial Statements or notes thereto.</w:t>
      </w:r>
    </w:p>
    <w:p>
      <w:pPr>
        <w:spacing w:after="0" w:line="158" w:lineRule="exact"/>
        <w:rPr>
          <w:sz w:val="20"/>
          <w:szCs w:val="20"/>
          <w:color w:val="auto"/>
        </w:rPr>
      </w:pPr>
    </w:p>
    <w:p>
      <w:pPr>
        <w:ind w:left="700" w:hanging="650"/>
        <w:spacing w:after="0"/>
        <w:tabs>
          <w:tab w:leader="none" w:pos="7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 Required by Item 601 of Regulation 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Exhibits not filed herewith are incorporated by reference to the exhibit number and previous filing shown in parentheses.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previous exhibits were filed with the Securities and Exchange Commission in Washington, D.C.</w:t>
      </w:r>
    </w:p>
    <w:p>
      <w:pPr>
        <w:spacing w:after="0" w:line="20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81" w:lineRule="exact"/>
        <w:rPr>
          <w:sz w:val="20"/>
          <w:szCs w:val="20"/>
          <w:color w:val="auto"/>
        </w:rPr>
      </w:pPr>
    </w:p>
    <w:p>
      <w:pPr>
        <w:ind w:left="1120" w:hanging="1064"/>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of acquisition, reorganization, arrangement, liquidation or succession.</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2.1</w:t>
            </w:r>
          </w:p>
        </w:tc>
        <w:tc>
          <w:tcPr>
            <w:tcW w:w="7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Agreement and Plan of Merger, dated as of November 11, 2014, by and among Matson Navigation</w:t>
              </w:r>
            </w:hyperlink>
          </w:p>
        </w:tc>
        <w:tc>
          <w:tcPr>
            <w:tcW w:w="680" w:type="dxa"/>
            <w:vAlign w:val="bottom"/>
            <w:gridSpan w:val="7"/>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Company, Inc., Hogan Acquisition Inc. and Horizon Lines, Inc. (incorporated by reference to Exhibit 2.1 of</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Matson’s Form 8-K dated November 11, 2014).</w:t>
              </w:r>
            </w:hyperlink>
          </w:p>
        </w:tc>
        <w:tc>
          <w:tcPr>
            <w:tcW w:w="4360" w:type="dxa"/>
            <w:vAlign w:val="bottom"/>
            <w:gridSpan w:val="11"/>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2.2</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Amendment No. 1 to Agreement and Plan of Merger, dated as of February 13, 2015, by and among Matson</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Navigation Company, Inc., Hogan Acquisition Inc. and Horizon Lines, Inc. (incorporated by reference to</w:t>
              </w:r>
            </w:hyperlink>
          </w:p>
        </w:tc>
        <w:tc>
          <w:tcPr>
            <w:tcW w:w="8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Exhibit 2.1 of Matson’s Form 8-K dated February 17, 2015).</w:t>
              </w:r>
            </w:hyperlink>
          </w:p>
        </w:tc>
        <w:tc>
          <w:tcPr>
            <w:tcW w:w="318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2.3</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Contribution, Assumption and Purchase Agreement, dated as of November 11, 2014, by and among The</w:t>
              </w:r>
            </w:hyperlink>
          </w:p>
        </w:tc>
      </w:tr>
      <w:tr>
        <w:trPr>
          <w:trHeight w:val="20"/>
        </w:trPr>
        <w:tc>
          <w:tcPr>
            <w:tcW w:w="106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Pasha Group, SR Holding LLC, Horizon Lines, Inc. and Sunrise Operations LLC (incorporated by reference</w:t>
              </w:r>
            </w:hyperlink>
          </w:p>
        </w:tc>
      </w:tr>
      <w:tr>
        <w:trPr>
          <w:trHeight w:val="196"/>
        </w:trPr>
        <w:tc>
          <w:tcPr>
            <w:tcW w:w="1060" w:type="dxa"/>
            <w:vAlign w:val="bottom"/>
          </w:tcPr>
          <w:p>
            <w:pPr>
              <w:spacing w:after="0"/>
              <w:rPr>
                <w:sz w:val="17"/>
                <w:szCs w:val="17"/>
                <w:color w:val="auto"/>
              </w:rPr>
            </w:pPr>
          </w:p>
        </w:tc>
        <w:tc>
          <w:tcPr>
            <w:tcW w:w="7800" w:type="dxa"/>
            <w:vAlign w:val="bottom"/>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to Exhibit 2.2 of Horizon Lines, Inc.’s Form 8-K dated November 13, 2014).</w:t>
              </w:r>
            </w:hyperlink>
          </w:p>
        </w:tc>
      </w:tr>
      <w:tr>
        <w:trPr>
          <w:trHeight w:val="20"/>
        </w:trPr>
        <w:tc>
          <w:tcPr>
            <w:tcW w:w="106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2.4</w:t>
            </w:r>
          </w:p>
        </w:tc>
        <w:tc>
          <w:tcPr>
            <w:tcW w:w="7800" w:type="dxa"/>
            <w:vAlign w:val="bottom"/>
            <w:gridSpan w:val="12"/>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Amendment No. 1 to the Contribution, Assumption and Purchase Agreement, dated as of May 29, 2015, by</w:t>
              </w:r>
            </w:hyperlink>
          </w:p>
        </w:tc>
      </w:tr>
      <w:tr>
        <w:trPr>
          <w:trHeight w:val="196"/>
        </w:trPr>
        <w:tc>
          <w:tcPr>
            <w:tcW w:w="106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and among The Pasha Group, SR Holding LLC, Horizon Lines, Inc. and Sunrise Operations LLC</w:t>
              </w:r>
            </w:hyperlink>
          </w:p>
        </w:tc>
        <w:tc>
          <w:tcPr>
            <w:tcW w:w="72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(incorporated by reference to Exhibit 2.2 of Matson’s Form 10-Q for the quarter ended June 30, 2015).</w:t>
              </w:r>
            </w:hyperlink>
          </w:p>
        </w:tc>
        <w:tc>
          <w:tcPr>
            <w:tcW w:w="400" w:type="dxa"/>
            <w:vAlign w:val="bottom"/>
            <w:gridSpan w:val="6"/>
          </w:tcPr>
          <w:p>
            <w:pPr>
              <w:spacing w:after="0"/>
              <w:rPr>
                <w:sz w:val="17"/>
                <w:szCs w:val="17"/>
                <w:color w:val="auto"/>
              </w:rPr>
            </w:pPr>
          </w:p>
        </w:tc>
      </w:tr>
    </w:tbl>
    <w:p>
      <w:pPr>
        <w:spacing w:after="0" w:line="225" w:lineRule="exact"/>
        <w:rPr>
          <w:sz w:val="20"/>
          <w:szCs w:val="20"/>
          <w:color w:val="auto"/>
        </w:rPr>
      </w:pPr>
    </w:p>
    <w:p>
      <w:pPr>
        <w:ind w:left="1120" w:hanging="1064"/>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3.1</w:t>
            </w:r>
          </w:p>
        </w:tc>
        <w:tc>
          <w:tcPr>
            <w:tcW w:w="7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Amended and Restated Articles of Incorporation of Matson, Inc. (incorporated by reference to Exhibit 3.1 of</w:t>
              </w:r>
            </w:hyperlink>
          </w:p>
        </w:tc>
      </w:tr>
      <w:tr>
        <w:trPr>
          <w:trHeight w:val="196"/>
        </w:trPr>
        <w:tc>
          <w:tcPr>
            <w:tcW w:w="106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Matson’s Form 10-Q for the quarter ended June 30, 2012).</w:t>
              </w:r>
            </w:hyperlink>
          </w:p>
        </w:tc>
        <w:tc>
          <w:tcPr>
            <w:tcW w:w="3600" w:type="dxa"/>
            <w:vAlign w:val="bottom"/>
            <w:gridSpan w:val="4"/>
          </w:tcPr>
          <w:p>
            <w:pPr>
              <w:spacing w:after="0"/>
              <w:rPr>
                <w:sz w:val="17"/>
                <w:szCs w:val="17"/>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3.2</w:t>
            </w:r>
          </w:p>
        </w:tc>
        <w:tc>
          <w:tcPr>
            <w:tcW w:w="7820" w:type="dxa"/>
            <w:vAlign w:val="bottom"/>
            <w:gridSpan w:val="6"/>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Articles of Amendment to Change Corporate Name (incorporated by reference to Exhibit 4.2 of Matson’s</w:t>
              </w:r>
            </w:hyperlink>
          </w:p>
        </w:tc>
      </w:tr>
      <w:tr>
        <w:trPr>
          <w:trHeight w:val="196"/>
        </w:trPr>
        <w:tc>
          <w:tcPr>
            <w:tcW w:w="1060" w:type="dxa"/>
            <w:vAlign w:val="bottom"/>
          </w:tcPr>
          <w:p>
            <w:pPr>
              <w:spacing w:after="0"/>
              <w:rPr>
                <w:sz w:val="17"/>
                <w:szCs w:val="17"/>
                <w:color w:val="auto"/>
              </w:rPr>
            </w:pPr>
          </w:p>
        </w:tc>
        <w:tc>
          <w:tcPr>
            <w:tcW w:w="76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S-8 dated October 26, 2012).</w:t>
              </w:r>
            </w:hyperlink>
          </w:p>
        </w:tc>
        <w:tc>
          <w:tcPr>
            <w:tcW w:w="2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3.3</w:t>
            </w:r>
          </w:p>
        </w:tc>
        <w:tc>
          <w:tcPr>
            <w:tcW w:w="7820" w:type="dxa"/>
            <w:vAlign w:val="bottom"/>
            <w:gridSpan w:val="6"/>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Bylaws of Matson, Inc. (as amended as of November 6, 2013) (incorporated by</w:t>
              </w:r>
            </w:hyperlink>
          </w:p>
        </w:tc>
      </w:tr>
      <w:tr>
        <w:trPr>
          <w:trHeight w:val="196"/>
        </w:trPr>
        <w:tc>
          <w:tcPr>
            <w:tcW w:w="106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reference to Exhibit 3.1 of Matson’s Form 10-Q for the quarter ended September 30, 2013).</w:t>
              </w:r>
            </w:hyperlink>
          </w:p>
        </w:tc>
        <w:tc>
          <w:tcPr>
            <w:tcW w:w="820" w:type="dxa"/>
            <w:vAlign w:val="bottom"/>
            <w:tcBorders>
              <w:top w:val="single" w:sz="8" w:color="0000EE"/>
            </w:tcBorders>
          </w:tcPr>
          <w:p>
            <w:pPr>
              <w:spacing w:after="0"/>
              <w:rPr>
                <w:sz w:val="17"/>
                <w:szCs w:val="17"/>
                <w:color w:val="auto"/>
              </w:rPr>
            </w:pPr>
          </w:p>
        </w:tc>
        <w:tc>
          <w:tcPr>
            <w:tcW w:w="400" w:type="dxa"/>
            <w:vAlign w:val="bottom"/>
            <w:gridSpan w:val="2"/>
          </w:tcPr>
          <w:p>
            <w:pPr>
              <w:spacing w:after="0"/>
              <w:rPr>
                <w:sz w:val="17"/>
                <w:szCs w:val="17"/>
                <w:color w:val="auto"/>
              </w:rPr>
            </w:pPr>
          </w:p>
        </w:tc>
      </w:tr>
    </w:tbl>
    <w:p>
      <w:pPr>
        <w:spacing w:after="0" w:line="225" w:lineRule="exact"/>
        <w:rPr>
          <w:sz w:val="20"/>
          <w:szCs w:val="20"/>
          <w:color w:val="auto"/>
        </w:rPr>
      </w:pPr>
    </w:p>
    <w:p>
      <w:pPr>
        <w:ind w:left="1120" w:right="179" w:hanging="1064"/>
        <w:spacing w:after="0" w:line="282" w:lineRule="auto"/>
        <w:tabs>
          <w:tab w:leader="none" w:pos="1120" w:val="left"/>
        </w:tabs>
        <w:numPr>
          <w:ilvl w:val="0"/>
          <w:numId w:val="77"/>
        </w:numPr>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Description of Registered Securities (incorporated by reference to Exhibit 4 of Matson’s Form 10-K for the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year ended December 31, 2019).</w:t>
        </w:r>
      </w:hyperlink>
    </w:p>
    <w:p>
      <w:pPr>
        <w:spacing w:after="0" w:line="162" w:lineRule="exact"/>
        <w:rPr>
          <w:rFonts w:ascii="Times New Roman" w:cs="Times New Roman" w:eastAsia="Times New Roman" w:hAnsi="Times New Roman"/>
          <w:sz w:val="18"/>
          <w:szCs w:val="18"/>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Material contracts.</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First Amendment to Credit Agreement among Matson, Inc., Bank of America, N.A., as the Agent, and the</w:t>
              </w:r>
            </w:hyperlink>
          </w:p>
        </w:tc>
        <w:tc>
          <w:tcPr>
            <w:tcW w:w="16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lenders thereto, dated as of February 9, 2023 (incorporated by reference to Exhibit 10.1 of Matson’ s Form</w:t>
              </w:r>
            </w:hyperlink>
          </w:p>
        </w:tc>
        <w:tc>
          <w:tcPr>
            <w:tcW w:w="140" w:type="dxa"/>
            <w:vAlign w:val="bottom"/>
            <w:gridSpan w:val="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10-K for the year ended December 31, 2022).</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Amendment to Third Amended and Restated Note Purchase Agreement among Matson, Inc. and the</w:t>
              </w:r>
            </w:hyperlink>
          </w:p>
        </w:tc>
        <w:tc>
          <w:tcPr>
            <w:tcW w:w="580" w:type="dxa"/>
            <w:vAlign w:val="bottom"/>
            <w:gridSpan w:val="2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7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purchasers named therein, dated as of June 29, 2017 (incorporated by reference to Exhibit 10.4 of Matson’s</w:t>
              </w:r>
            </w:hyperlink>
          </w:p>
        </w:tc>
        <w:tc>
          <w:tcPr>
            <w:tcW w:w="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8-K dated June 30, 2017).</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8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Amendment to Note Purchase Agreement among Matson, Inc. and the purchasers named therein, dated as of</w:t>
              </w:r>
            </w:hyperlink>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June 29, 2017 (incorporated by reference to Exhibit 10.5 of Matson’s Form 8-K dated June 30, 2017).</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Note Purchase Agreement among Matson, Inc. and the purchasers party thereto, dated as of December 21,</w:t>
              </w:r>
            </w:hyperlink>
          </w:p>
        </w:tc>
      </w:tr>
      <w:tr>
        <w:trPr>
          <w:trHeight w:val="196"/>
        </w:trPr>
        <w:tc>
          <w:tcPr>
            <w:tcW w:w="106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2016 (incorporated by reference to Exhibit 10.1 of Matson’s Form 8-K dated December 22, 2016).</w:t>
              </w:r>
            </w:hyperlink>
          </w:p>
        </w:tc>
        <w:tc>
          <w:tcPr>
            <w:tcW w:w="540" w:type="dxa"/>
            <w:vAlign w:val="bottom"/>
            <w:tcBorders>
              <w:top w:val="single" w:sz="8" w:color="0000EE"/>
            </w:tcBorders>
            <w:gridSpan w:val="13"/>
          </w:tcPr>
          <w:p>
            <w:pPr>
              <w:spacing w:after="0"/>
              <w:rPr>
                <w:sz w:val="17"/>
                <w:szCs w:val="17"/>
                <w:color w:val="auto"/>
              </w:rPr>
            </w:pPr>
          </w:p>
        </w:tc>
        <w:tc>
          <w:tcPr>
            <w:tcW w:w="180" w:type="dxa"/>
            <w:vAlign w:val="bottom"/>
            <w:gridSpan w:val="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Third Amended and Restated Note Purchase and Private Shelf Agreement among Matson, Inc. and the</w:t>
              </w:r>
            </w:hyperlink>
          </w:p>
        </w:tc>
      </w:tr>
      <w:tr>
        <w:trPr>
          <w:trHeight w:val="196"/>
        </w:trPr>
        <w:tc>
          <w:tcPr>
            <w:tcW w:w="10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purchasers party thereto, dated as of September 14, 2016 (incorporated by reference to Exhibit 10.1 of</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1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Matson’s Form 8-K dated September 14, 2016).</w:t>
              </w:r>
            </w:hyperlink>
          </w:p>
        </w:tc>
        <w:tc>
          <w:tcPr>
            <w:tcW w:w="4360" w:type="dxa"/>
            <w:vAlign w:val="bottom"/>
            <w:gridSpan w:val="29"/>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Amendment to Third Amended and Restated Note Purchase and Private Shelf Agreement among Matson,</w:t>
              </w:r>
            </w:hyperlink>
          </w:p>
        </w:tc>
        <w:tc>
          <w:tcPr>
            <w:tcW w:w="20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 and the purchasers named therein, dated as of March 31, 2020 (incorporated by reference to Exhibit</w:t>
              </w:r>
            </w:hyperlink>
          </w:p>
        </w:tc>
      </w:tr>
      <w:tr>
        <w:trPr>
          <w:trHeight w:val="196"/>
        </w:trPr>
        <w:tc>
          <w:tcPr>
            <w:tcW w:w="1060" w:type="dxa"/>
            <w:vAlign w:val="bottom"/>
          </w:tcPr>
          <w:p>
            <w:pPr>
              <w:spacing w:after="0"/>
              <w:rPr>
                <w:sz w:val="17"/>
                <w:szCs w:val="17"/>
                <w:color w:val="auto"/>
              </w:rPr>
            </w:pPr>
          </w:p>
        </w:tc>
        <w:tc>
          <w:tcPr>
            <w:tcW w:w="75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of Matson’s Form 8-K dated April 6, 2020).</w:t>
              </w:r>
            </w:hyperlink>
          </w:p>
        </w:tc>
        <w:tc>
          <w:tcPr>
            <w:tcW w:w="320" w:type="dxa"/>
            <w:vAlign w:val="bottom"/>
            <w:gridSpan w:val="14"/>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Amendment to December 21, 2016 Note Purchase Agreement among Matson, Inc. and the purchasers</w:t>
              </w:r>
            </w:hyperlink>
          </w:p>
        </w:tc>
        <w:tc>
          <w:tcPr>
            <w:tcW w:w="480" w:type="dxa"/>
            <w:vAlign w:val="bottom"/>
            <w:gridSpan w:val="1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named therein, dated as of March 31, 2020 (incorporated by reference to Exhibit 10.5 of Matson’s Form 8-K</w:t>
              </w:r>
            </w:hyperlink>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dated April 6, 2020).</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4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Amended and Restated Limited Liability Company Agreement of SSA Terminals, LLC by and between</w:t>
              </w:r>
            </w:hyperlink>
          </w:p>
        </w:tc>
        <w:tc>
          <w:tcPr>
            <w:tcW w:w="340" w:type="dxa"/>
            <w:vAlign w:val="bottom"/>
            <w:gridSpan w:val="1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SSA Ventures, Inc. and Matson Ventures, Inc., dated as of April 24, 2002 (certain portions of this exhibit</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7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have been omitted pursuant to a confidential treatment request submitted to the Commission) (incorporated</w:t>
              </w:r>
            </w:hyperlink>
          </w:p>
        </w:tc>
        <w:tc>
          <w:tcPr>
            <w:tcW w:w="8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by reference to Exhibit 10.1 of Matson’s Form 10-Q for the quarter ended June 30, 2012).</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Parent Company Agreement, dated as of April 24, 2002, by and among SSA Pacific Terminals, Inc.,</w:t>
              </w:r>
            </w:hyperlink>
          </w:p>
        </w:tc>
      </w:tr>
      <w:tr>
        <w:trPr>
          <w:trHeight w:val="196"/>
        </w:trPr>
        <w:tc>
          <w:tcPr>
            <w:tcW w:w="1060" w:type="dxa"/>
            <w:vAlign w:val="bottom"/>
          </w:tcPr>
          <w:p>
            <w:pPr>
              <w:spacing w:after="0"/>
              <w:rPr>
                <w:sz w:val="17"/>
                <w:szCs w:val="17"/>
                <w:color w:val="auto"/>
              </w:rPr>
            </w:pPr>
          </w:p>
        </w:tc>
        <w:tc>
          <w:tcPr>
            <w:tcW w:w="72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formerly known as Stevedoring Services of America, Inc., SSA Ventures, Inc., Matson Navigation</w:t>
              </w:r>
            </w:hyperlink>
          </w:p>
        </w:tc>
        <w:tc>
          <w:tcPr>
            <w:tcW w:w="600" w:type="dxa"/>
            <w:vAlign w:val="bottom"/>
            <w:gridSpan w:val="21"/>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Company, Inc. and Matson Ventures, Inc. (incorporated by reference to Exhibit 10.2 of Matson’s Form 10-Q</w:t>
              </w:r>
            </w:hyperlink>
          </w:p>
        </w:tc>
      </w:tr>
      <w:tr>
        <w:trPr>
          <w:trHeight w:val="196"/>
        </w:trPr>
        <w:tc>
          <w:tcPr>
            <w:tcW w:w="1060" w:type="dxa"/>
            <w:vAlign w:val="bottom"/>
          </w:tcPr>
          <w:p>
            <w:pPr>
              <w:spacing w:after="0"/>
              <w:rPr>
                <w:sz w:val="17"/>
                <w:szCs w:val="17"/>
                <w:color w:val="auto"/>
              </w:rPr>
            </w:pPr>
          </w:p>
        </w:tc>
        <w:tc>
          <w:tcPr>
            <w:tcW w:w="780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 the quarter ended June 30, 2012).</w:t>
              </w:r>
            </w:hyperlink>
          </w:p>
        </w:tc>
        <w:tc>
          <w:tcPr>
            <w:tcW w:w="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7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Matson, Inc. Deferred Compensation Plan for Outside Directors (incorporated by reference to Exhibit 10.34</w:t>
              </w:r>
            </w:hyperlink>
          </w:p>
        </w:tc>
        <w:tc>
          <w:tcPr>
            <w:tcW w:w="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of Matson’s Form 10-K for the year ended December 31, 2012).</w:t>
              </w:r>
            </w:hyperlink>
          </w:p>
        </w:tc>
        <w:tc>
          <w:tcPr>
            <w:tcW w:w="3200" w:type="dxa"/>
            <w:vAlign w:val="bottom"/>
            <w:gridSpan w:val="26"/>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Consolidated Agreement, Contract No. MA-14454 dated as of April 27, 2020 among Matson Navigation</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Company, Inc., the United States of America, represented by the Maritime Administrator of the Maritime</w:t>
              </w:r>
            </w:hyperlink>
          </w:p>
        </w:tc>
        <w:tc>
          <w:tcPr>
            <w:tcW w:w="22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Administration and, with respect to certain provisions, Matson, Inc. (incorporated by reference to Exhibit</w:t>
              </w:r>
            </w:hyperlink>
          </w:p>
        </w:tc>
        <w:tc>
          <w:tcPr>
            <w:tcW w:w="220" w:type="dxa"/>
            <w:vAlign w:val="bottom"/>
            <w:gridSpan w:val="11"/>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Matson’s Form 8-K dated April 30, 2020).</w:t>
              </w:r>
            </w:hyperlink>
          </w:p>
        </w:tc>
        <w:tc>
          <w:tcPr>
            <w:tcW w:w="4200" w:type="dxa"/>
            <w:vAlign w:val="bottom"/>
            <w:gridSpan w:val="2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820" w:type="dxa"/>
            <w:vAlign w:val="bottom"/>
            <w:gridSpan w:val="35"/>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Note Purchase Agreement dated as of April 27, 2020 among Matson Navigation Company, Inc., the United</w:t>
              </w:r>
            </w:hyperlink>
          </w:p>
        </w:tc>
      </w:tr>
      <w:tr>
        <w:trPr>
          <w:trHeight w:val="196"/>
        </w:trPr>
        <w:tc>
          <w:tcPr>
            <w:tcW w:w="1060" w:type="dxa"/>
            <w:vAlign w:val="bottom"/>
          </w:tcPr>
          <w:p>
            <w:pPr>
              <w:spacing w:after="0"/>
              <w:rPr>
                <w:sz w:val="17"/>
                <w:szCs w:val="17"/>
                <w:color w:val="auto"/>
              </w:rPr>
            </w:pPr>
          </w:p>
        </w:tc>
        <w:tc>
          <w:tcPr>
            <w:tcW w:w="772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States of America, represented by the Maritime Administrator of the Maritime Administration and the</w:t>
              </w:r>
            </w:hyperlink>
          </w:p>
        </w:tc>
        <w:tc>
          <w:tcPr>
            <w:tcW w:w="100" w:type="dxa"/>
            <w:vAlign w:val="bottom"/>
            <w:gridSpan w:val="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20" w:type="dxa"/>
            <w:vAlign w:val="bottom"/>
            <w:gridSpan w:val="9"/>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Federal Financing Bank (incorporated by reference to Exhibit 10.2 of Matson’s Form 8-K dated April 30,</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21">
              <w:r>
                <w:rPr>
                  <w:rFonts w:ascii="Times New Roman" w:cs="Times New Roman" w:eastAsia="Times New Roman" w:hAnsi="Times New Roman"/>
                  <w:sz w:val="18"/>
                  <w:szCs w:val="18"/>
                  <w:color w:val="0000EE"/>
                  <w:w w:val="94"/>
                </w:rPr>
                <w:t>2020).</w:t>
              </w:r>
            </w:hyperlink>
          </w:p>
        </w:tc>
        <w:tc>
          <w:tcPr>
            <w:tcW w:w="10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8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Affiliate Guaranty dated as of April 27, 2020 executed by Matson, Inc. (incorporated by reference to Exhibit</w:t>
              </w:r>
            </w:hyperlink>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of Matson’s Form 8-K dated April 30, 2020).</w:t>
              </w:r>
            </w:hyperlink>
          </w:p>
        </w:tc>
        <w:tc>
          <w:tcPr>
            <w:tcW w:w="4200" w:type="dxa"/>
            <w:vAlign w:val="bottom"/>
            <w:gridSpan w:val="2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7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Amendment No. 1 dated June 22, 2020, to Consolidated Agreement, Contract No. MA-14454 dated as of</w:t>
              </w:r>
            </w:hyperlink>
          </w:p>
        </w:tc>
        <w:tc>
          <w:tcPr>
            <w:tcW w:w="24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April 27, 2020 among Matson Navigation Company, Inc., the United States of America, represented by the</w:t>
              </w:r>
            </w:hyperlink>
          </w:p>
        </w:tc>
      </w:tr>
      <w:tr>
        <w:trPr>
          <w:trHeight w:val="20"/>
        </w:trPr>
        <w:tc>
          <w:tcPr>
            <w:tcW w:w="1060" w:type="dxa"/>
            <w:vAlign w:val="bottom"/>
          </w:tcPr>
          <w:p>
            <w:pPr>
              <w:spacing w:after="0" w:line="20" w:lineRule="exact"/>
              <w:rPr>
                <w:sz w:val="1"/>
                <w:szCs w:val="1"/>
                <w:color w:val="auto"/>
              </w:rPr>
            </w:pPr>
          </w:p>
        </w:tc>
        <w:tc>
          <w:tcPr>
            <w:tcW w:w="6280" w:type="dxa"/>
            <w:vAlign w:val="bottom"/>
            <w:gridSpan w:val="10"/>
            <w:shd w:val="clear" w:color="auto" w:fill="0000EE"/>
          </w:tcPr>
          <w:p>
            <w:pPr>
              <w:spacing w:after="0" w:line="20" w:lineRule="exact"/>
              <w:rPr>
                <w:sz w:val="1"/>
                <w:szCs w:val="1"/>
                <w:color w:val="auto"/>
              </w:rPr>
            </w:pPr>
          </w:p>
        </w:tc>
        <w:tc>
          <w:tcPr>
            <w:tcW w:w="1420" w:type="dxa"/>
            <w:vAlign w:val="bottom"/>
            <w:gridSpan w:val="19"/>
            <w:shd w:val="clear" w:color="auto" w:fill="0000EE"/>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Maritime Administrator of the Maritime Administration and, with respect to certain provisions, Matson, Inc.</w:t>
              </w:r>
            </w:hyperlink>
          </w:p>
        </w:tc>
      </w:tr>
      <w:tr>
        <w:trPr>
          <w:trHeight w:val="196"/>
        </w:trPr>
        <w:tc>
          <w:tcPr>
            <w:tcW w:w="1060" w:type="dxa"/>
            <w:vAlign w:val="bottom"/>
          </w:tcPr>
          <w:p>
            <w:pPr>
              <w:spacing w:after="0"/>
              <w:rPr>
                <w:sz w:val="17"/>
                <w:szCs w:val="17"/>
                <w:color w:val="auto"/>
              </w:rPr>
            </w:pPr>
          </w:p>
        </w:tc>
        <w:tc>
          <w:tcPr>
            <w:tcW w:w="6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(incorporated by reference to Exhibit 10.1 of Matson’s Form 8-K dated June 25, 2020).</w:t>
              </w:r>
            </w:hyperlink>
          </w:p>
        </w:tc>
        <w:tc>
          <w:tcPr>
            <w:tcW w:w="1540" w:type="dxa"/>
            <w:vAlign w:val="bottom"/>
            <w:gridSpan w:val="2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6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Note Purchase Agreement dated as of June 22, 2020 among Matson Navigation Company, Inc., the United</w:t>
              </w:r>
            </w:hyperlink>
          </w:p>
        </w:tc>
        <w:tc>
          <w:tcPr>
            <w:tcW w:w="14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States of America, represented by the Maritime Administrator of the Maritime Administration and the</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Federal Financing Bank (incorporated by reference to Exhibit 10.2 of Matson’s Form 8-K dated June 25,</w:t>
              </w:r>
            </w:hyperlink>
          </w:p>
        </w:tc>
      </w:tr>
      <w:tr>
        <w:trPr>
          <w:trHeight w:val="196"/>
        </w:trPr>
        <w:tc>
          <w:tcPr>
            <w:tcW w:w="10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25">
              <w:r>
                <w:rPr>
                  <w:rFonts w:ascii="Times New Roman" w:cs="Times New Roman" w:eastAsia="Times New Roman" w:hAnsi="Times New Roman"/>
                  <w:sz w:val="18"/>
                  <w:szCs w:val="18"/>
                  <w:color w:val="0000EE"/>
                  <w:w w:val="94"/>
                </w:rPr>
                <w:t>2020).</w:t>
              </w:r>
            </w:hyperlink>
          </w:p>
        </w:tc>
        <w:tc>
          <w:tcPr>
            <w:tcW w:w="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77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Amendment dated June 22, 2020 to Affiliate Guaranty dated as of April 27, 2020 executed by Matson, Inc.</w:t>
              </w:r>
            </w:hyperlink>
          </w:p>
        </w:tc>
        <w:tc>
          <w:tcPr>
            <w:tcW w:w="10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3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and consented to by MARAD (incorporated by reference to Exhibit 10.3 of Matson’s Form 8-K dated</w:t>
              </w:r>
            </w:hyperlink>
          </w:p>
        </w:tc>
        <w:tc>
          <w:tcPr>
            <w:tcW w:w="48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June 25, 2020).</w:t>
              </w:r>
            </w:hyperlink>
          </w:p>
        </w:tc>
        <w:tc>
          <w:tcPr>
            <w:tcW w:w="6700" w:type="dxa"/>
            <w:vAlign w:val="bottom"/>
            <w:gridSpan w:val="30"/>
          </w:tcPr>
          <w:p>
            <w:pPr>
              <w:spacing w:after="0"/>
              <w:rPr>
                <w:sz w:val="17"/>
                <w:szCs w:val="17"/>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2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Matson, Inc. Excess Benefits Plan, amended and restated effective August 27, 2014 (incorporated by</w:t>
              </w:r>
            </w:hyperlink>
          </w:p>
        </w:tc>
        <w:tc>
          <w:tcPr>
            <w:tcW w:w="56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reference to Exhibit 10.1 of Matson’s Form 8-K dated August 28, 2014).</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820" w:type="dxa"/>
            <w:vAlign w:val="bottom"/>
            <w:gridSpan w:val="32"/>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Letter Agreement entered into with certain executive officers (incorporated by reference to</w:t>
              </w:r>
            </w:hyperlink>
          </w:p>
        </w:tc>
      </w:tr>
      <w:tr>
        <w:trPr>
          <w:trHeight w:val="196"/>
        </w:trPr>
        <w:tc>
          <w:tcPr>
            <w:tcW w:w="1060" w:type="dxa"/>
            <w:vAlign w:val="bottom"/>
          </w:tcPr>
          <w:p>
            <w:pPr>
              <w:spacing w:after="0"/>
              <w:rPr>
                <w:sz w:val="17"/>
                <w:szCs w:val="17"/>
                <w:color w:val="auto"/>
              </w:rPr>
            </w:pPr>
          </w:p>
        </w:tc>
        <w:tc>
          <w:tcPr>
            <w:tcW w:w="71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Exhibit 10.45 of Matson’s Form 10-K for the year ended December 31, 2012).</w:t>
              </w:r>
            </w:hyperlink>
          </w:p>
        </w:tc>
        <w:tc>
          <w:tcPr>
            <w:tcW w:w="660" w:type="dxa"/>
            <w:vAlign w:val="bottom"/>
            <w:gridSpan w:val="1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Schedule identifying executive officers who have entered into Form of Letter Agreement (incorporated by</w:t>
              </w:r>
            </w:hyperlink>
          </w:p>
        </w:tc>
        <w:tc>
          <w:tcPr>
            <w:tcW w:w="16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reference to Exhibit 10.42 of Matson’s Form 10-K for the year ended December 31, 2014).</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7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Letter Agreement entered into with executive officer (incorporated by reference to Exhibit 10.1 of</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Matson’s Form 8-K dated October 24, 2014).</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Letter Agreement Counter Parties (incorporated by reference to Exhibit 10.23 of Matson’ s Form 10-K for</w:t>
              </w:r>
            </w:hyperlink>
          </w:p>
        </w:tc>
        <w:tc>
          <w:tcPr>
            <w:tcW w:w="16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the year ended December 31, 2022).</w:t>
              </w:r>
            </w:hyperlink>
          </w:p>
        </w:tc>
        <w:tc>
          <w:tcPr>
            <w:tcW w:w="5200" w:type="dxa"/>
            <w:vAlign w:val="bottom"/>
            <w:gridSpan w:val="28"/>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7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Amended and Restated Matson, Inc. Executive Severance Plan (incorporated by reference to Exhibit 10.28</w:t>
              </w:r>
            </w:hyperlink>
          </w:p>
        </w:tc>
        <w:tc>
          <w:tcPr>
            <w:tcW w:w="12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6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of Matson’s Form 10-K for the year ended December 31, 2020).</w:t>
              </w:r>
            </w:hyperlink>
          </w:p>
        </w:tc>
        <w:tc>
          <w:tcPr>
            <w:tcW w:w="3200" w:type="dxa"/>
            <w:vAlign w:val="bottom"/>
            <w:gridSpan w:val="23"/>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8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Matson, Inc. Deferred Compensation Plan (incorporated by reference to Exhibit 10.51 of Matson’s Form 10-</w:t>
              </w:r>
            </w:hyperlink>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K for the year ended December 31, 2012).</w:t>
              </w:r>
            </w:hyperlink>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820" w:type="dxa"/>
            <w:vAlign w:val="bottom"/>
            <w:gridSpan w:val="3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No. 1 to the Matson, Inc. Deferred Compensation Plan (incorporated by reference to</w:t>
              </w:r>
            </w:hyperlink>
          </w:p>
        </w:tc>
      </w:tr>
      <w:tr>
        <w:trPr>
          <w:trHeight w:val="196"/>
        </w:trPr>
        <w:tc>
          <w:tcPr>
            <w:tcW w:w="1060" w:type="dxa"/>
            <w:vAlign w:val="bottom"/>
          </w:tcPr>
          <w:p>
            <w:pPr>
              <w:spacing w:after="0"/>
              <w:rPr>
                <w:sz w:val="17"/>
                <w:szCs w:val="17"/>
                <w:color w:val="auto"/>
              </w:rPr>
            </w:pPr>
          </w:p>
        </w:tc>
        <w:tc>
          <w:tcPr>
            <w:tcW w:w="70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Exhibit 10.30 of Matson’s Form 10-K for the year ended December 31, 2020).</w:t>
              </w:r>
            </w:hyperlink>
          </w:p>
        </w:tc>
        <w:tc>
          <w:tcPr>
            <w:tcW w:w="820" w:type="dxa"/>
            <w:vAlign w:val="bottom"/>
            <w:gridSpan w:val="1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0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 of Capital Construction Fund Agreement with Matson Navigation Company, as amended by</w:t>
              </w:r>
            </w:hyperlink>
          </w:p>
        </w:tc>
        <w:tc>
          <w:tcPr>
            <w:tcW w:w="740" w:type="dxa"/>
            <w:vAlign w:val="bottom"/>
            <w:gridSpan w:val="1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Addendums No. 2, No. 5, No. 18, No. 20, No. 31 and No. 33 thereto (incorporated by reference to Exhibit</w:t>
              </w:r>
            </w:hyperlink>
          </w:p>
        </w:tc>
      </w:tr>
      <w:tr>
        <w:trPr>
          <w:trHeight w:val="196"/>
        </w:trPr>
        <w:tc>
          <w:tcPr>
            <w:tcW w:w="1060" w:type="dxa"/>
            <w:vAlign w:val="bottom"/>
          </w:tcPr>
          <w:p>
            <w:pPr>
              <w:spacing w:after="0"/>
              <w:rPr>
                <w:sz w:val="17"/>
                <w:szCs w:val="17"/>
                <w:color w:val="auto"/>
              </w:rPr>
            </w:pPr>
          </w:p>
        </w:tc>
        <w:tc>
          <w:tcPr>
            <w:tcW w:w="76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0000EE"/>
                </w:rPr>
                <w:t xml:space="preserve"> of Matson’s Form 10-K for the year ended December 31, 2021).</w:t>
              </w:r>
            </w:hyperlink>
          </w:p>
        </w:tc>
        <w:tc>
          <w:tcPr>
            <w:tcW w:w="180" w:type="dxa"/>
            <w:vAlign w:val="bottom"/>
            <w:gridSpan w:val="6"/>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820" w:type="dxa"/>
            <w:vAlign w:val="bottom"/>
            <w:gridSpan w:val="32"/>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Voting Agreement, dated as of November 11, 2014, among Matson Navigation Company, Inc. and</w:t>
              </w:r>
            </w:hyperlink>
          </w:p>
        </w:tc>
      </w:tr>
      <w:tr>
        <w:trPr>
          <w:trHeight w:val="196"/>
        </w:trPr>
        <w:tc>
          <w:tcPr>
            <w:tcW w:w="106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certain holders of voting securities of Horizon Lines, Inc. (incorporated by reference to Exhibit 10.1 of</w:t>
              </w:r>
            </w:hyperlink>
          </w:p>
        </w:tc>
        <w:tc>
          <w:tcPr>
            <w:tcW w:w="30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Matson’s Form 8-K dated November 11, 2014).</w:t>
              </w:r>
            </w:hyperlink>
          </w:p>
        </w:tc>
        <w:tc>
          <w:tcPr>
            <w:tcW w:w="4380" w:type="dxa"/>
            <w:vAlign w:val="bottom"/>
            <w:gridSpan w:val="25"/>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820" w:type="dxa"/>
            <w:vAlign w:val="bottom"/>
            <w:gridSpan w:val="32"/>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Amended and Restated Matson, Inc. 2016 Incentive Compensation Plan (incorporated by reference to</w:t>
              </w:r>
            </w:hyperlink>
          </w:p>
        </w:tc>
      </w:tr>
      <w:tr>
        <w:trPr>
          <w:trHeight w:val="196"/>
        </w:trPr>
        <w:tc>
          <w:tcPr>
            <w:tcW w:w="10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Exhibit 99.1 of Matson’s Form S-8 date July 30, 2021).</w:t>
              </w:r>
            </w:hyperlink>
          </w:p>
        </w:tc>
        <w:tc>
          <w:tcPr>
            <w:tcW w:w="3340" w:type="dxa"/>
            <w:vAlign w:val="bottom"/>
            <w:tcBorders>
              <w:top w:val="single" w:sz="8" w:color="0000EE"/>
            </w:tcBorders>
            <w:gridSpan w:val="14"/>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820" w:type="dxa"/>
            <w:vAlign w:val="bottom"/>
            <w:gridSpan w:val="32"/>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Amended and Restated Matson, Inc. Cash Incentive Plan, effective January 1, 2016 (incorporated by</w:t>
              </w:r>
            </w:hyperlink>
          </w:p>
        </w:tc>
      </w:tr>
      <w:tr>
        <w:trPr>
          <w:trHeight w:val="196"/>
        </w:trPr>
        <w:tc>
          <w:tcPr>
            <w:tcW w:w="1060" w:type="dxa"/>
            <w:vAlign w:val="bottom"/>
          </w:tcPr>
          <w:p>
            <w:pPr>
              <w:spacing w:after="0"/>
              <w:rPr>
                <w:sz w:val="17"/>
                <w:szCs w:val="17"/>
                <w:color w:val="auto"/>
              </w:rPr>
            </w:pPr>
          </w:p>
        </w:tc>
        <w:tc>
          <w:tcPr>
            <w:tcW w:w="72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reference to Exhibit 10.63 of Matson’s Form 10-K for the year ended December 31, 2016).</w:t>
              </w:r>
            </w:hyperlink>
          </w:p>
        </w:tc>
        <w:tc>
          <w:tcPr>
            <w:tcW w:w="580" w:type="dxa"/>
            <w:vAlign w:val="bottom"/>
            <w:gridSpan w:val="1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020" w:type="dxa"/>
            <w:vAlign w:val="bottom"/>
            <w:gridSpan w:val="10"/>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of 2016 Plan Restricted Stock Unit Award Agreement for Non-Employee Directors (Deferral</w:t>
              </w:r>
            </w:hyperlink>
          </w:p>
        </w:tc>
        <w:tc>
          <w:tcPr>
            <w:tcW w:w="68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Election) (incorporated by reference to Exhibit 10.65 of Matson’s Form 10-K for the year ended</w:t>
              </w:r>
            </w:hyperlink>
          </w:p>
        </w:tc>
      </w:tr>
      <w:tr>
        <w:trPr>
          <w:trHeight w:val="196"/>
        </w:trPr>
        <w:tc>
          <w:tcPr>
            <w:tcW w:w="1060" w:type="dxa"/>
            <w:vAlign w:val="bottom"/>
          </w:tcPr>
          <w:p>
            <w:pPr>
              <w:spacing w:after="0"/>
              <w:rPr>
                <w:sz w:val="17"/>
                <w:szCs w:val="17"/>
                <w:color w:val="auto"/>
              </w:rPr>
            </w:pPr>
          </w:p>
        </w:tc>
        <w:tc>
          <w:tcPr>
            <w:tcW w:w="69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December 31, 2016).</w:t>
              </w:r>
            </w:hyperlink>
          </w:p>
        </w:tc>
        <w:tc>
          <w:tcPr>
            <w:tcW w:w="900" w:type="dxa"/>
            <w:vAlign w:val="bottom"/>
            <w:gridSpan w:val="17"/>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Form of 2016 Plan Performance Share Award Agreement for Executive Employees (ROIC) (incorporated</w:t>
              </w:r>
            </w:hyperlink>
          </w:p>
        </w:tc>
        <w:tc>
          <w:tcPr>
            <w:tcW w:w="20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by reference to Exhibit 10.47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6760" w:type="dxa"/>
            <w:vAlign w:val="bottom"/>
            <w:gridSpan w:val="14"/>
            <w:shd w:val="clear" w:color="auto" w:fill="0000EE"/>
          </w:tcPr>
          <w:p>
            <w:pPr>
              <w:spacing w:after="0" w:line="20" w:lineRule="exact"/>
              <w:rPr>
                <w:sz w:val="1"/>
                <w:szCs w:val="1"/>
                <w:color w:val="auto"/>
              </w:rPr>
            </w:pPr>
          </w:p>
        </w:tc>
        <w:tc>
          <w:tcPr>
            <w:tcW w:w="98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74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of 2016 Plan Performance Share Award Agreement for Executive Employees (TSR) (incorporated by</w:t>
              </w:r>
            </w:hyperlink>
          </w:p>
        </w:tc>
        <w:tc>
          <w:tcPr>
            <w:tcW w:w="8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3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reference to Exhibit 10.48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7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2016 Plan Performance Share Award Agreement for Non-Executive Employees (incorporated by</w:t>
              </w:r>
            </w:hyperlink>
          </w:p>
        </w:tc>
        <w:tc>
          <w:tcPr>
            <w:tcW w:w="200" w:type="dxa"/>
            <w:vAlign w:val="bottom"/>
            <w:gridSpan w:val="6"/>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reference to Exhibit 10.49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8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2016 Plan Time-Based Restricted Stock Unit Agreement for Executive Employees (incorporated by</w:t>
              </w:r>
            </w:hyperlink>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reference to Exhibit 10.50 of Matson’s Form 10-K for the year ended December 31, 2020).</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7820" w:type="dxa"/>
            <w:vAlign w:val="bottom"/>
            <w:gridSpan w:val="23"/>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2016 Plan Time-Based Restricted Stock Unit Agreement for Non-Executive Employees</w:t>
              </w:r>
            </w:hyperlink>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(incorporated by reference to Exhibit 10.51 of Matson’s Form 10-K for the year ended December 31, 2020).</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74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Form of 2016 Plan Restricted Stock Unit Award Agreement for Non-Employee Directors (No Deferral)</w:t>
              </w:r>
            </w:hyperlink>
          </w:p>
        </w:tc>
        <w:tc>
          <w:tcPr>
            <w:tcW w:w="300" w:type="dxa"/>
            <w:vAlign w:val="bottom"/>
            <w:tcBorders>
              <w:top w:val="single" w:sz="8" w:color="0000EE"/>
            </w:tcBorders>
            <w:gridSpan w:val="7"/>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(incorporated by reference to Exhibit 10.52 of Matson’s Form 10-K for the year ended December 31, 2020).</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71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Form of 2016 Plan Restricted Stock Unit Award Agreement for Non-Employee Directors (Deferral</w:t>
              </w:r>
            </w:hyperlink>
          </w:p>
        </w:tc>
        <w:tc>
          <w:tcPr>
            <w:tcW w:w="640" w:type="dxa"/>
            <w:vAlign w:val="bottom"/>
            <w:tcBorders>
              <w:top w:val="single" w:sz="8" w:color="0000EE"/>
            </w:tcBorders>
            <w:gridSpan w:val="1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Election) (incorporated by reference to Exhibit 10.53 of Matson’s Form 10-K for the year ended December</w:t>
              </w:r>
            </w:hyperlink>
          </w:p>
        </w:tc>
      </w:tr>
      <w:tr>
        <w:trPr>
          <w:trHeight w:val="196"/>
        </w:trPr>
        <w:tc>
          <w:tcPr>
            <w:tcW w:w="10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31, 2020).</w:t>
              </w:r>
            </w:hyperlink>
          </w:p>
        </w:tc>
        <w:tc>
          <w:tcPr>
            <w:tcW w:w="1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7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Amendment to Third Amended and Restated Note Purchase and Private Shelf Agreement, dated as of</w:t>
              </w:r>
            </w:hyperlink>
          </w:p>
        </w:tc>
        <w:tc>
          <w:tcPr>
            <w:tcW w:w="48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March 31, 2021 (incorporated by reference to Exhibit 10.2 of Matson’s Form 8-K dated April 5, 2021).</w:t>
              </w:r>
            </w:hyperlink>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74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Amendment to Note Purchase Agreement dated December 21, 2016, dated as of March 31, 2021</w:t>
              </w:r>
            </w:hyperlink>
          </w:p>
        </w:tc>
        <w:tc>
          <w:tcPr>
            <w:tcW w:w="40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(incorporated by reference to Exhibit 10.3 of Matson’s Form 8-K dated April 5, 2021).</w:t>
              </w:r>
            </w:hyperlink>
          </w:p>
        </w:tc>
        <w:tc>
          <w:tcPr>
            <w:tcW w:w="720" w:type="dxa"/>
            <w:vAlign w:val="bottom"/>
            <w:tcBorders>
              <w:top w:val="single" w:sz="8" w:color="0000EE"/>
            </w:tcBorders>
            <w:gridSpan w:val="3"/>
          </w:tcPr>
          <w:p>
            <w:pPr>
              <w:spacing w:after="0"/>
              <w:rPr>
                <w:sz w:val="17"/>
                <w:szCs w:val="17"/>
                <w:color w:val="auto"/>
              </w:rPr>
            </w:pPr>
          </w:p>
        </w:tc>
        <w:tc>
          <w:tcPr>
            <w:tcW w:w="860" w:type="dxa"/>
            <w:vAlign w:val="bottom"/>
            <w:gridSpan w:val="15"/>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7820" w:type="dxa"/>
            <w:vAlign w:val="bottom"/>
            <w:gridSpan w:val="23"/>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Shipbuilding Contract Vessel Type Aloha Class L – Hull No. 040, by and between Philly Shipyard, Inc. and</w:t>
              </w:r>
            </w:hyperlink>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Matson Navigation Company, Inc., dated as of November 1, 2022 (incorporated by reference to Exhibit</w:t>
              </w:r>
            </w:hyperlink>
          </w:p>
        </w:tc>
        <w:tc>
          <w:tcPr>
            <w:tcW w:w="30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0000EE"/>
                </w:rPr>
                <w:t xml:space="preserve"> of Matson’ s Form 10-K for the year ended December 31, 2022).</w:t>
              </w:r>
            </w:hyperlink>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7820" w:type="dxa"/>
            <w:vAlign w:val="bottom"/>
            <w:gridSpan w:val="23"/>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Shipbuilding Contract Vessel Type Aloha Class L – Hull No. 041, by and between Philly Shipyard, Inc. and</w:t>
              </w:r>
            </w:hyperlink>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Matson Navigation Company, Inc., dated as of November 1, 2022 (incorporated by reference to Exhibit</w:t>
              </w:r>
            </w:hyperlink>
          </w:p>
        </w:tc>
        <w:tc>
          <w:tcPr>
            <w:tcW w:w="30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0000EE"/>
                </w:rPr>
                <w:t xml:space="preserve"> of Matson’ s Form 10-K for the year ended December 31, 2022).</w:t>
              </w:r>
            </w:hyperlink>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820" w:type="dxa"/>
            <w:vAlign w:val="bottom"/>
            <w:gridSpan w:val="23"/>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Shipbuilding Contract Vessel Type Aloha Class L – Hull No. 042, by and between Philly Shipyard, Inc. and</w:t>
              </w:r>
            </w:hyperlink>
          </w:p>
        </w:tc>
      </w:tr>
      <w:tr>
        <w:trPr>
          <w:trHeight w:val="196"/>
        </w:trPr>
        <w:tc>
          <w:tcPr>
            <w:tcW w:w="10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Matson Navigation Company, Inc., dated as of November 1, 2022 (incorporated by reference to Exhibit</w:t>
              </w:r>
            </w:hyperlink>
          </w:p>
        </w:tc>
        <w:tc>
          <w:tcPr>
            <w:tcW w:w="30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0000EE"/>
                </w:rPr>
                <w:t xml:space="preserve"> of Matson’ s Form 10-K for the year ended December 31, 2022).</w:t>
              </w:r>
            </w:hyperlink>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7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2016 Plan Performance Share Award Agreement for Executive Employees (ROIC) for grants</w:t>
              </w:r>
            </w:hyperlink>
          </w:p>
        </w:tc>
        <w:tc>
          <w:tcPr>
            <w:tcW w:w="48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awarded after January 1, 2023 (incorporated by reference to Exhibit 10.45 of Matson’s Form 10-K for the</w:t>
              </w:r>
            </w:hyperlink>
          </w:p>
        </w:tc>
      </w:tr>
      <w:tr>
        <w:trPr>
          <w:trHeight w:val="196"/>
        </w:trPr>
        <w:tc>
          <w:tcPr>
            <w:tcW w:w="10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year ended December 31, 2023).</w:t>
              </w:r>
            </w:hyperlink>
          </w:p>
        </w:tc>
        <w:tc>
          <w:tcPr>
            <w:tcW w:w="5240" w:type="dxa"/>
            <w:vAlign w:val="bottom"/>
            <w:tcBorders>
              <w:top w:val="single" w:sz="8" w:color="0000EE"/>
            </w:tcBorders>
            <w:gridSpan w:val="1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7820" w:type="dxa"/>
            <w:vAlign w:val="bottom"/>
            <w:gridSpan w:val="23"/>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2016 Plan Performance Share Award Agreement for Non-Executive Employees (ROIC) for grants</w:t>
              </w:r>
            </w:hyperlink>
          </w:p>
        </w:tc>
      </w:tr>
      <w:tr>
        <w:trPr>
          <w:trHeight w:val="196"/>
        </w:trPr>
        <w:tc>
          <w:tcPr>
            <w:tcW w:w="1060" w:type="dxa"/>
            <w:vAlign w:val="bottom"/>
          </w:tcPr>
          <w:p>
            <w:pPr>
              <w:spacing w:after="0"/>
              <w:rPr>
                <w:sz w:val="17"/>
                <w:szCs w:val="17"/>
                <w:color w:val="auto"/>
              </w:rPr>
            </w:pPr>
          </w:p>
        </w:tc>
        <w:tc>
          <w:tcPr>
            <w:tcW w:w="77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awarded after January 1, 2023 (incorporated by reference to Exhibit 10.46 of Matson’s Form 10-K for the</w:t>
              </w:r>
            </w:hyperlink>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year ended December 31, 2023).</w:t>
              </w:r>
            </w:hyperlink>
          </w:p>
        </w:tc>
        <w:tc>
          <w:tcPr>
            <w:tcW w:w="5240" w:type="dxa"/>
            <w:vAlign w:val="bottom"/>
            <w:tcBorders>
              <w:top w:val="single" w:sz="8" w:color="0000EE"/>
            </w:tcBorders>
            <w:gridSpan w:val="1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7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2016 Plan Performance Share Award Agreement for Executive Employees (TSR) for grants</w:t>
              </w:r>
            </w:hyperlink>
          </w:p>
        </w:tc>
        <w:tc>
          <w:tcPr>
            <w:tcW w:w="580" w:type="dxa"/>
            <w:vAlign w:val="bottom"/>
            <w:gridSpan w:val="1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awarded after January 1, 2024 (incorporated by reference to Exhibit 10.47 of Matson’s Form 10-K for the</w:t>
              </w:r>
            </w:hyperlink>
          </w:p>
        </w:tc>
      </w:tr>
      <w:tr>
        <w:trPr>
          <w:trHeight w:val="196"/>
        </w:trPr>
        <w:tc>
          <w:tcPr>
            <w:tcW w:w="10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year ended December 31, 2023).</w:t>
              </w:r>
            </w:hyperlink>
          </w:p>
        </w:tc>
        <w:tc>
          <w:tcPr>
            <w:tcW w:w="5240" w:type="dxa"/>
            <w:vAlign w:val="bottom"/>
            <w:tcBorders>
              <w:top w:val="single" w:sz="8" w:color="0000EE"/>
            </w:tcBorders>
            <w:gridSpan w:val="1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7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Form of 2016 Plan Time-Based Restricted Stock Unit Agreement for Executive Employees for grants</w:t>
              </w:r>
            </w:hyperlink>
          </w:p>
        </w:tc>
        <w:tc>
          <w:tcPr>
            <w:tcW w:w="50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awarded after January 1, 2024 (incorporated by reference to Exhibit 10.48 of Matson’s Form 10-K for the</w:t>
              </w:r>
            </w:hyperlink>
          </w:p>
        </w:tc>
      </w:tr>
      <w:tr>
        <w:trPr>
          <w:trHeight w:val="196"/>
        </w:trPr>
        <w:tc>
          <w:tcPr>
            <w:tcW w:w="10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year ended December 31, 2023).</w:t>
              </w:r>
            </w:hyperlink>
          </w:p>
        </w:tc>
        <w:tc>
          <w:tcPr>
            <w:tcW w:w="5240" w:type="dxa"/>
            <w:vAlign w:val="bottom"/>
            <w:tcBorders>
              <w:top w:val="single" w:sz="8" w:color="0000EE"/>
            </w:tcBorders>
            <w:gridSpan w:val="1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7820" w:type="dxa"/>
            <w:vAlign w:val="bottom"/>
            <w:gridSpan w:val="23"/>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2016 Plan Time-Based Restricted Stock Unit Agreement for Non-Executive Employees for grants</w:t>
              </w:r>
            </w:hyperlink>
          </w:p>
        </w:tc>
      </w:tr>
      <w:tr>
        <w:trPr>
          <w:trHeight w:val="196"/>
        </w:trPr>
        <w:tc>
          <w:tcPr>
            <w:tcW w:w="1060" w:type="dxa"/>
            <w:vAlign w:val="bottom"/>
          </w:tcPr>
          <w:p>
            <w:pPr>
              <w:spacing w:after="0"/>
              <w:rPr>
                <w:sz w:val="17"/>
                <w:szCs w:val="17"/>
                <w:color w:val="auto"/>
              </w:rPr>
            </w:pPr>
          </w:p>
        </w:tc>
        <w:tc>
          <w:tcPr>
            <w:tcW w:w="76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awarded after January 1, 2024 (incorporated by reference to Exhibit 10.49 of Matson’s Form 10-K for the</w:t>
              </w:r>
            </w:hyperlink>
          </w:p>
        </w:tc>
        <w:tc>
          <w:tcPr>
            <w:tcW w:w="140" w:type="dxa"/>
            <w:vAlign w:val="bottom"/>
            <w:gridSpan w:val="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year ended December 31, 2023).</w:t>
              </w:r>
            </w:hyperlink>
          </w:p>
        </w:tc>
        <w:tc>
          <w:tcPr>
            <w:tcW w:w="5240" w:type="dxa"/>
            <w:vAlign w:val="bottom"/>
            <w:tcBorders>
              <w:top w:val="single" w:sz="8" w:color="0000EE"/>
            </w:tcBorders>
            <w:gridSpan w:val="1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8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Matson, Inc. Insider Trading Policy</w:t>
            </w:r>
          </w:p>
        </w:tc>
      </w:tr>
      <w:tr>
        <w:trPr>
          <w:trHeight w:val="20"/>
        </w:trPr>
        <w:tc>
          <w:tcPr>
            <w:tcW w:w="10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Matson, Inc. Subsidiaries as of December 31, 2024.</w:t>
            </w:r>
          </w:p>
        </w:tc>
      </w:tr>
      <w:tr>
        <w:trPr>
          <w:trHeight w:val="20"/>
        </w:trPr>
        <w:tc>
          <w:tcPr>
            <w:tcW w:w="106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Deloitte &amp; Touche, LLP dated February 28, 2025.</w:t>
            </w:r>
          </w:p>
        </w:tc>
      </w:tr>
      <w:tr>
        <w:trPr>
          <w:trHeight w:val="20"/>
        </w:trPr>
        <w:tc>
          <w:tcPr>
            <w:tcW w:w="1060" w:type="dxa"/>
            <w:vAlign w:val="bottom"/>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580" w:type="dxa"/>
            <w:vAlign w:val="bottom"/>
          </w:tcPr>
          <w:p>
            <w:pPr>
              <w:spacing w:after="0"/>
              <w:rPr>
                <w:sz w:val="24"/>
                <w:szCs w:val="24"/>
                <w:color w:val="auto"/>
              </w:rPr>
            </w:pPr>
          </w:p>
        </w:tc>
      </w:tr>
      <w:tr>
        <w:trPr>
          <w:trHeight w:val="39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4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8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Certifications of Chief Executive Officer and Chief Financial Officer Pursuant to 18 U.S.C. Section 1350, as</w:t>
            </w:r>
          </w:p>
        </w:tc>
      </w:tr>
      <w:tr>
        <w:trPr>
          <w:trHeight w:val="196"/>
        </w:trPr>
        <w:tc>
          <w:tcPr>
            <w:tcW w:w="1060" w:type="dxa"/>
            <w:vAlign w:val="bottom"/>
          </w:tcPr>
          <w:p>
            <w:pPr>
              <w:spacing w:after="0"/>
              <w:rPr>
                <w:sz w:val="17"/>
                <w:szCs w:val="17"/>
                <w:color w:val="auto"/>
              </w:rPr>
            </w:pPr>
          </w:p>
        </w:tc>
        <w:tc>
          <w:tcPr>
            <w:tcW w:w="7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r>
      <w:tr>
        <w:trPr>
          <w:trHeight w:val="20"/>
        </w:trPr>
        <w:tc>
          <w:tcPr>
            <w:tcW w:w="106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20" w:right="339" w:hanging="1064"/>
        <w:spacing w:after="0" w:line="312" w:lineRule="auto"/>
        <w:tabs>
          <w:tab w:leader="none" w:pos="1120" w:val="left"/>
        </w:tabs>
        <w:numPr>
          <w:ilvl w:val="0"/>
          <w:numId w:val="78"/>
        </w:numPr>
        <w:rPr>
          <w:rFonts w:ascii="Times New Roman" w:cs="Times New Roman" w:eastAsia="Times New Roman" w:hAnsi="Times New Roman"/>
          <w:sz w:val="17"/>
          <w:szCs w:val="17"/>
          <w:u w:val="single" w:color="auto"/>
          <w:color w:val="0000EE"/>
        </w:rPr>
      </w:pPr>
      <w:hyperlink r:id="rId159">
        <w:r>
          <w:rPr>
            <w:rFonts w:ascii="Times New Roman" w:cs="Times New Roman" w:eastAsia="Times New Roman" w:hAnsi="Times New Roman"/>
            <w:sz w:val="17"/>
            <w:szCs w:val="17"/>
            <w:u w:val="single" w:color="auto"/>
            <w:color w:val="0000EE"/>
          </w:rPr>
          <w:t>Policy Regarding Recoupment of Certain Compensation (as amended and restated October 26, 2023)</w:t>
        </w:r>
      </w:hyperlink>
      <w:r>
        <w:rPr>
          <w:rFonts w:ascii="Times New Roman" w:cs="Times New Roman" w:eastAsia="Times New Roman" w:hAnsi="Times New Roman"/>
          <w:sz w:val="17"/>
          <w:szCs w:val="17"/>
          <w:u w:val="single" w:color="auto"/>
          <w:color w:val="0000EE"/>
        </w:rPr>
        <w:t xml:space="preserve"> </w:t>
      </w:r>
      <w:hyperlink r:id="rId159">
        <w:r>
          <w:rPr>
            <w:rFonts w:ascii="Times New Roman" w:cs="Times New Roman" w:eastAsia="Times New Roman" w:hAnsi="Times New Roman"/>
            <w:sz w:val="17"/>
            <w:szCs w:val="17"/>
            <w:u w:val="single" w:color="auto"/>
            <w:color w:val="0000EE"/>
          </w:rPr>
          <w:t>(incorporated by reference to Exhibit 97 of Matson’s Form 10-K for the year ended December 31, 2023).</w:t>
        </w:r>
      </w:hyperlink>
    </w:p>
    <w:p>
      <w:pPr>
        <w:sectPr>
          <w:pgSz w:w="11900" w:h="16838" w:orient="portrait"/>
          <w:cols w:equalWidth="0" w:num="1">
            <w:col w:w="9019"/>
          </w:cols>
          <w:pgMar w:left="1440" w:top="513" w:right="1440" w:bottom="1440" w:gutter="0" w:footer="0" w:header="0"/>
        </w:sectPr>
      </w:pPr>
    </w:p>
    <w:p>
      <w:pPr>
        <w:spacing w:after="0" w:line="86"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9"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66"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p>
      <w:pPr>
        <w:spacing w:after="0" w:line="27"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p>
      <w:pPr>
        <w:spacing w:after="0" w:line="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w:t>
      </w:r>
    </w:p>
    <w:p>
      <w:pPr>
        <w:spacing w:after="0" w:line="21"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-679450</wp:posOffset>
            </wp:positionH>
            <wp:positionV relativeFrom="paragraph">
              <wp:posOffset>57150</wp:posOffset>
            </wp:positionV>
            <wp:extent cx="14141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3" w:lineRule="exact"/>
        <w:rPr>
          <w:rFonts w:ascii="Times New Roman" w:cs="Times New Roman" w:eastAsia="Times New Roman" w:hAnsi="Times New Roman"/>
          <w:sz w:val="17"/>
          <w:szCs w:val="17"/>
          <w:color w:val="auto"/>
        </w:rPr>
      </w:pPr>
    </w:p>
    <w:p>
      <w:pPr>
        <w:sectPr>
          <w:pgSz w:w="11900" w:h="16838" w:orient="portrait"/>
          <w:cols w:equalWidth="0" w:num="2">
            <w:col w:w="920" w:space="200"/>
            <w:col w:w="7899"/>
          </w:cols>
          <w:pgMar w:left="1440" w:top="513" w:right="1440" w:bottom="1440" w:gutter="0" w:footer="0" w:header="0"/>
          <w:type w:val="continuous"/>
        </w:sectPr>
      </w:pPr>
    </w:p>
    <w:p>
      <w:pPr>
        <w:ind w:left="680" w:hanging="630"/>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9" w:lineRule="exact"/>
        <w:rPr>
          <w:rFonts w:ascii="Times New Roman" w:cs="Times New Roman" w:eastAsia="Times New Roman" w:hAnsi="Times New Roman"/>
          <w:sz w:val="18"/>
          <w:szCs w:val="18"/>
          <w:color w:val="auto"/>
        </w:rPr>
      </w:pPr>
    </w:p>
    <w:p>
      <w:pPr>
        <w:ind w:left="680" w:right="239" w:hanging="648"/>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Certain identified information has been excluded from this exhibit pursuant to Item 601(b)(10)(iv) of Regulation S-K because it is both (i) not material and (ii) the type that the registrant treats as private or confidential.</w:t>
      </w:r>
    </w:p>
    <w:p>
      <w:pPr>
        <w:spacing w:after="0" w:line="200" w:lineRule="exact"/>
        <w:rPr>
          <w:rFonts w:ascii="Times New Roman" w:cs="Times New Roman" w:eastAsia="Times New Roman" w:hAnsi="Times New Roman"/>
          <w:sz w:val="17"/>
          <w:szCs w:val="17"/>
          <w:color w:val="auto"/>
        </w:rPr>
      </w:pPr>
    </w:p>
    <w:p>
      <w:pPr>
        <w:spacing w:after="0" w:line="203"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15"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2"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MATSON, INC.</w:t>
            </w:r>
          </w:p>
        </w:tc>
      </w:tr>
      <w:tr>
        <w:trPr>
          <w:trHeight w:val="228"/>
        </w:trPr>
        <w:tc>
          <w:tcPr>
            <w:tcW w:w="4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J. Cox</w:t>
            </w:r>
          </w:p>
        </w:tc>
      </w:tr>
      <w:tr>
        <w:trPr>
          <w:trHeight w:val="191"/>
        </w:trPr>
        <w:tc>
          <w:tcPr>
            <w:tcW w:w="4460" w:type="dxa"/>
            <w:vAlign w:val="bottom"/>
          </w:tcPr>
          <w:p>
            <w:pPr>
              <w:spacing w:after="0"/>
              <w:rPr>
                <w:sz w:val="16"/>
                <w:szCs w:val="16"/>
                <w:color w:val="auto"/>
              </w:rPr>
            </w:pPr>
          </w:p>
        </w:tc>
        <w:tc>
          <w:tcPr>
            <w:tcW w:w="4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Matthew J. Cox</w:t>
            </w:r>
          </w:p>
        </w:tc>
      </w:tr>
      <w:tr>
        <w:trPr>
          <w:trHeight w:val="216"/>
        </w:trPr>
        <w:tc>
          <w:tcPr>
            <w:tcW w:w="446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and</w:t>
            </w:r>
          </w:p>
        </w:tc>
      </w:tr>
      <w:tr>
        <w:trPr>
          <w:trHeight w:val="234"/>
        </w:trPr>
        <w:tc>
          <w:tcPr>
            <w:tcW w:w="4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2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5"/>
                <w:szCs w:val="15"/>
                <w:color w:val="auto"/>
              </w:rPr>
            </w:pPr>
          </w:p>
        </w:tc>
        <w:tc>
          <w:tcPr>
            <w:tcW w:w="45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Cox</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Matthew J. Cox</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Meredith J. Ching</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Meredith J. Ching</w:t>
            </w:r>
          </w:p>
        </w:tc>
        <w:tc>
          <w:tcPr>
            <w:tcW w:w="1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H. Fukunaga</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Mark H. Fukunaga</w:t>
            </w:r>
          </w:p>
        </w:tc>
        <w:tc>
          <w:tcPr>
            <w:tcW w:w="1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M. Kuriyama</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Stanley M. Kuriyama</w:t>
            </w:r>
          </w:p>
        </w:tc>
        <w:tc>
          <w:tcPr>
            <w:tcW w:w="1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Constance H. Lau</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Constance H. Lau</w:t>
            </w:r>
          </w:p>
        </w:tc>
        <w:tc>
          <w:tcPr>
            <w:tcW w:w="1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D. Tilden</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Bradley D. Tilden</w:t>
            </w:r>
          </w:p>
        </w:tc>
        <w:tc>
          <w:tcPr>
            <w:tcW w:w="1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Jenai S. Wall</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Jenai S. Wall</w:t>
            </w:r>
          </w:p>
        </w:tc>
        <w:tc>
          <w:tcPr>
            <w:tcW w:w="1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M. Wine</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Joel M. Wine</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780" w:type="dxa"/>
            <w:vAlign w:val="bottom"/>
          </w:tcPr>
          <w:p>
            <w:pPr>
              <w:spacing w:after="0"/>
              <w:rPr>
                <w:sz w:val="19"/>
                <w:szCs w:val="19"/>
                <w:color w:val="auto"/>
              </w:rPr>
            </w:pPr>
          </w:p>
        </w:tc>
      </w:tr>
      <w:tr>
        <w:trPr>
          <w:trHeight w:val="414"/>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L. Stuck</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r>
      <w:tr>
        <w:trPr>
          <w:trHeight w:val="228"/>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Kevin L. Stuck</w:t>
            </w: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80" w:type="dxa"/>
            <w:vAlign w:val="bottom"/>
          </w:tcPr>
          <w:p>
            <w:pPr>
              <w:spacing w:after="0"/>
              <w:rPr>
                <w:sz w:val="19"/>
                <w:szCs w:val="19"/>
                <w:color w:val="auto"/>
              </w:rPr>
            </w:pPr>
          </w:p>
        </w:tc>
      </w:tr>
      <w:tr>
        <w:trPr>
          <w:trHeight w:val="414"/>
        </w:trPr>
        <w:tc>
          <w:tcPr>
            <w:tcW w:w="2220" w:type="dxa"/>
            <w:vAlign w:val="bottom"/>
          </w:tcPr>
          <w:p>
            <w:pPr>
              <w:spacing w:after="0"/>
              <w:rPr>
                <w:sz w:val="24"/>
                <w:szCs w:val="24"/>
                <w:color w:val="auto"/>
              </w:rPr>
            </w:pPr>
          </w:p>
        </w:tc>
        <w:tc>
          <w:tcPr>
            <w:tcW w:w="47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50"/>
          <w:szCs w:val="50"/>
          <w:color w:val="0070C0"/>
        </w:rPr>
        <w:t>Insider Trading, Hedging and Pledging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color w:val="0070C0"/>
        </w:rPr>
        <w:t>GP No. 10.07</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0070C0"/>
        </w:rPr>
        <w:t>Last Revised: 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54521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9"/>
          <w:szCs w:val="29"/>
          <w:color w:val="2E74B5"/>
        </w:rPr>
        <w:t>1.</w:t>
      </w:r>
      <w:r>
        <w:rPr>
          <w:sz w:val="20"/>
          <w:szCs w:val="20"/>
          <w:color w:val="auto"/>
        </w:rPr>
        <w:tab/>
      </w:r>
      <w:r>
        <w:rPr>
          <w:rFonts w:ascii="Times New Roman" w:cs="Times New Roman" w:eastAsia="Times New Roman" w:hAnsi="Times New Roman"/>
          <w:sz w:val="28"/>
          <w:szCs w:val="28"/>
          <w:color w:val="2E74B5"/>
        </w:rPr>
        <w:t>What is Matson’s insider trading policy?</w:t>
      </w:r>
    </w:p>
    <w:p>
      <w:pPr>
        <w:spacing w:after="0" w:line="224" w:lineRule="exact"/>
        <w:rPr>
          <w:sz w:val="20"/>
          <w:szCs w:val="20"/>
          <w:color w:val="auto"/>
        </w:rPr>
      </w:pPr>
    </w:p>
    <w:p>
      <w:pPr>
        <w:ind w:left="200"/>
        <w:spacing w:after="0"/>
        <w:rPr>
          <w:sz w:val="20"/>
          <w:szCs w:val="20"/>
          <w:color w:val="auto"/>
        </w:rPr>
      </w:pPr>
      <w:r>
        <w:rPr>
          <w:rFonts w:ascii="Georgia" w:cs="Georgia" w:eastAsia="Georgia" w:hAnsi="Georgia"/>
          <w:sz w:val="22"/>
          <w:szCs w:val="22"/>
          <w:color w:val="auto"/>
        </w:rPr>
        <w:t>Matson’s Insiders (as defined below) shall not:</w:t>
      </w:r>
    </w:p>
    <w:p>
      <w:pPr>
        <w:spacing w:after="0" w:line="188" w:lineRule="exact"/>
        <w:rPr>
          <w:sz w:val="20"/>
          <w:szCs w:val="20"/>
          <w:color w:val="auto"/>
        </w:rPr>
      </w:pPr>
    </w:p>
    <w:p>
      <w:pPr>
        <w:ind w:left="860" w:right="359" w:hanging="327"/>
        <w:spacing w:after="0" w:line="301" w:lineRule="auto"/>
        <w:tabs>
          <w:tab w:leader="none" w:pos="860" w:val="left"/>
        </w:tabs>
        <w:numPr>
          <w:ilvl w:val="0"/>
          <w:numId w:val="80"/>
        </w:numPr>
        <w:rPr>
          <w:rFonts w:ascii="Times New Roman" w:cs="Times New Roman" w:eastAsia="Times New Roman" w:hAnsi="Times New Roman"/>
          <w:sz w:val="22"/>
          <w:szCs w:val="22"/>
          <w:color w:val="auto"/>
        </w:rPr>
      </w:pPr>
      <w:r>
        <w:rPr>
          <w:rFonts w:ascii="Georgia" w:cs="Georgia" w:eastAsia="Georgia" w:hAnsi="Georgia"/>
          <w:sz w:val="22"/>
          <w:szCs w:val="22"/>
          <w:color w:val="auto"/>
        </w:rPr>
        <w:t>trade or recommend trading in Matson stock or other securities based on Material Nonpublic Information, or</w:t>
      </w:r>
    </w:p>
    <w:p>
      <w:pPr>
        <w:spacing w:after="0" w:line="124" w:lineRule="exact"/>
        <w:rPr>
          <w:rFonts w:ascii="Times New Roman" w:cs="Times New Roman" w:eastAsia="Times New Roman" w:hAnsi="Times New Roman"/>
          <w:sz w:val="22"/>
          <w:szCs w:val="22"/>
          <w:color w:val="auto"/>
        </w:rPr>
      </w:pPr>
    </w:p>
    <w:p>
      <w:pPr>
        <w:ind w:left="860" w:right="279" w:hanging="327"/>
        <w:spacing w:after="0" w:line="301" w:lineRule="auto"/>
        <w:tabs>
          <w:tab w:leader="none" w:pos="860" w:val="left"/>
        </w:tabs>
        <w:numPr>
          <w:ilvl w:val="0"/>
          <w:numId w:val="80"/>
        </w:numPr>
        <w:rPr>
          <w:rFonts w:ascii="Times New Roman" w:cs="Times New Roman" w:eastAsia="Times New Roman" w:hAnsi="Times New Roman"/>
          <w:sz w:val="22"/>
          <w:szCs w:val="22"/>
          <w:color w:val="auto"/>
        </w:rPr>
      </w:pPr>
      <w:r>
        <w:rPr>
          <w:rFonts w:ascii="Georgia" w:cs="Georgia" w:eastAsia="Georgia" w:hAnsi="Georgia"/>
          <w:sz w:val="22"/>
          <w:szCs w:val="22"/>
          <w:color w:val="auto"/>
        </w:rPr>
        <w:t>enter into speculative transactions or hedging/monetization transactions involving Matson stock or other Matson securities.</w:t>
      </w:r>
    </w:p>
    <w:p>
      <w:pPr>
        <w:spacing w:after="0" w:line="124" w:lineRule="exact"/>
        <w:rPr>
          <w:sz w:val="20"/>
          <w:szCs w:val="20"/>
          <w:color w:val="auto"/>
        </w:rPr>
      </w:pPr>
    </w:p>
    <w:p>
      <w:pPr>
        <w:ind w:left="200" w:right="299"/>
        <w:spacing w:after="0" w:line="309" w:lineRule="auto"/>
        <w:rPr>
          <w:sz w:val="20"/>
          <w:szCs w:val="20"/>
          <w:color w:val="auto"/>
        </w:rPr>
      </w:pPr>
      <w:r>
        <w:rPr>
          <w:rFonts w:ascii="Georgia" w:cs="Georgia" w:eastAsia="Georgia" w:hAnsi="Georgia"/>
          <w:sz w:val="22"/>
          <w:szCs w:val="22"/>
          <w:color w:val="auto"/>
        </w:rPr>
        <w:t>This policy also applies to all Insiders’ spouses or significant others, minor children, adult family members sharing the same household and any person, accounts or entities over which an Insider has investment discretion or control, such as a trust for which the Insider serves as trustee.</w:t>
      </w:r>
    </w:p>
    <w:p>
      <w:pPr>
        <w:spacing w:after="0" w:line="296" w:lineRule="exact"/>
        <w:rPr>
          <w:sz w:val="20"/>
          <w:szCs w:val="20"/>
          <w:color w:val="auto"/>
        </w:rPr>
      </w:pPr>
    </w:p>
    <w:p>
      <w:pPr>
        <w:ind w:left="700" w:hanging="491"/>
        <w:spacing w:after="0"/>
        <w:tabs>
          <w:tab w:leader="none" w:pos="700" w:val="left"/>
        </w:tabs>
        <w:numPr>
          <w:ilvl w:val="0"/>
          <w:numId w:val="81"/>
        </w:numPr>
        <w:rPr>
          <w:rFonts w:ascii="Times New Roman" w:cs="Times New Roman" w:eastAsia="Times New Roman" w:hAnsi="Times New Roman"/>
          <w:sz w:val="29"/>
          <w:szCs w:val="29"/>
          <w:color w:val="2E74B5"/>
        </w:rPr>
      </w:pPr>
      <w:r>
        <w:rPr>
          <w:rFonts w:ascii="Times New Roman" w:cs="Times New Roman" w:eastAsia="Times New Roman" w:hAnsi="Times New Roman"/>
          <w:sz w:val="29"/>
          <w:szCs w:val="29"/>
          <w:color w:val="2E74B5"/>
        </w:rPr>
        <w:t>Key definitions</w:t>
      </w:r>
    </w:p>
    <w:p>
      <w:pPr>
        <w:spacing w:after="0" w:line="200" w:lineRule="exact"/>
        <w:rPr>
          <w:rFonts w:ascii="Times New Roman" w:cs="Times New Roman" w:eastAsia="Times New Roman" w:hAnsi="Times New Roman"/>
          <w:sz w:val="29"/>
          <w:szCs w:val="29"/>
          <w:color w:val="2E74B5"/>
        </w:rPr>
      </w:pPr>
    </w:p>
    <w:p>
      <w:pPr>
        <w:spacing w:after="0" w:line="313" w:lineRule="exact"/>
        <w:rPr>
          <w:rFonts w:ascii="Times New Roman" w:cs="Times New Roman" w:eastAsia="Times New Roman" w:hAnsi="Times New Roman"/>
          <w:sz w:val="29"/>
          <w:szCs w:val="29"/>
          <w:color w:val="2E74B5"/>
        </w:rPr>
      </w:pPr>
    </w:p>
    <w:p>
      <w:pPr>
        <w:ind w:left="860" w:right="239" w:hanging="327"/>
        <w:spacing w:after="0" w:line="257" w:lineRule="auto"/>
        <w:tabs>
          <w:tab w:leader="none" w:pos="860" w:val="left"/>
        </w:tabs>
        <w:numPr>
          <w:ilvl w:val="1"/>
          <w:numId w:val="81"/>
        </w:numPr>
        <w:rPr>
          <w:rFonts w:ascii="Georgia" w:cs="Georgia" w:eastAsia="Georgia" w:hAnsi="Georgia"/>
          <w:sz w:val="43"/>
          <w:szCs w:val="43"/>
          <w:b w:val="1"/>
          <w:bCs w:val="1"/>
          <w:color w:val="auto"/>
          <w:vertAlign w:val="superscript"/>
        </w:rPr>
      </w:pPr>
      <w:r>
        <w:rPr>
          <w:rFonts w:ascii="Georgia" w:cs="Georgia" w:eastAsia="Georgia" w:hAnsi="Georgia"/>
          <w:sz w:val="22"/>
          <w:szCs w:val="22"/>
          <w:b w:val="1"/>
          <w:bCs w:val="1"/>
          <w:color w:val="auto"/>
        </w:rPr>
        <w:t xml:space="preserve">Who is an Insider? </w:t>
      </w:r>
      <w:r>
        <w:rPr>
          <w:rFonts w:ascii="Georgia" w:cs="Georgia" w:eastAsia="Georgia" w:hAnsi="Georgia"/>
          <w:sz w:val="22"/>
          <w:szCs w:val="22"/>
          <w:color w:val="auto"/>
        </w:rPr>
        <w:t>An “Insider” is anyone who, as a result of their relationship</w:t>
      </w:r>
      <w:r>
        <w:rPr>
          <w:rFonts w:ascii="Georgia" w:cs="Georgia" w:eastAsia="Georgia" w:hAnsi="Georgia"/>
          <w:sz w:val="22"/>
          <w:szCs w:val="22"/>
          <w:b w:val="1"/>
          <w:bCs w:val="1"/>
          <w:color w:val="auto"/>
        </w:rPr>
        <w:t xml:space="preserve"> </w:t>
      </w:r>
      <w:r>
        <w:rPr>
          <w:rFonts w:ascii="Georgia" w:cs="Georgia" w:eastAsia="Georgia" w:hAnsi="Georgia"/>
          <w:sz w:val="22"/>
          <w:szCs w:val="22"/>
          <w:color w:val="auto"/>
        </w:rPr>
        <w:t>with Matson, may learn or gain access to Material Nonpublic Information about Matson, its subsidiaries or about any other company with which Matson has dealings. Insiders include Matson’s directors, executive officers, employees, consultants and contractors with access to Matson information.</w:t>
      </w:r>
    </w:p>
    <w:p>
      <w:pPr>
        <w:spacing w:after="0" w:line="377" w:lineRule="exact"/>
        <w:rPr>
          <w:rFonts w:ascii="Georgia" w:cs="Georgia" w:eastAsia="Georgia" w:hAnsi="Georgia"/>
          <w:sz w:val="43"/>
          <w:szCs w:val="43"/>
          <w:b w:val="1"/>
          <w:bCs w:val="1"/>
          <w:color w:val="auto"/>
          <w:vertAlign w:val="superscript"/>
        </w:rPr>
      </w:pPr>
    </w:p>
    <w:p>
      <w:pPr>
        <w:ind w:left="860" w:right="419" w:hanging="327"/>
        <w:spacing w:after="0" w:line="324" w:lineRule="auto"/>
        <w:tabs>
          <w:tab w:leader="none" w:pos="860" w:val="left"/>
        </w:tabs>
        <w:numPr>
          <w:ilvl w:val="1"/>
          <w:numId w:val="81"/>
        </w:numPr>
        <w:rPr>
          <w:rFonts w:ascii="Georgia" w:cs="Georgia" w:eastAsia="Georgia" w:hAnsi="Georgia"/>
          <w:sz w:val="21"/>
          <w:szCs w:val="21"/>
          <w:b w:val="1"/>
          <w:bCs w:val="1"/>
          <w:color w:val="auto"/>
        </w:rPr>
      </w:pPr>
      <w:r>
        <w:rPr>
          <w:rFonts w:ascii="Georgia" w:cs="Georgia" w:eastAsia="Georgia" w:hAnsi="Georgia"/>
          <w:sz w:val="21"/>
          <w:szCs w:val="21"/>
          <w:b w:val="1"/>
          <w:bCs w:val="1"/>
          <w:color w:val="auto"/>
        </w:rPr>
        <w:t xml:space="preserve">Material Nonpublic Information versus Public Information. </w:t>
      </w:r>
      <w:r>
        <w:rPr>
          <w:rFonts w:ascii="Georgia" w:cs="Georgia" w:eastAsia="Georgia" w:hAnsi="Georgia"/>
          <w:sz w:val="21"/>
          <w:szCs w:val="21"/>
          <w:color w:val="auto"/>
        </w:rPr>
        <w:t>“Material</w:t>
      </w:r>
      <w:r>
        <w:rPr>
          <w:rFonts w:ascii="Georgia" w:cs="Georgia" w:eastAsia="Georgia" w:hAnsi="Georgia"/>
          <w:sz w:val="21"/>
          <w:szCs w:val="21"/>
          <w:b w:val="1"/>
          <w:bCs w:val="1"/>
          <w:color w:val="auto"/>
        </w:rPr>
        <w:t xml:space="preserve"> </w:t>
      </w:r>
      <w:r>
        <w:rPr>
          <w:rFonts w:ascii="Georgia" w:cs="Georgia" w:eastAsia="Georgia" w:hAnsi="Georgia"/>
          <w:sz w:val="21"/>
          <w:szCs w:val="21"/>
          <w:color w:val="auto"/>
        </w:rPr>
        <w:t>Nonpublic Information” is any information about Matson’s or other companies’ operations or finances that is both “material” and “nonpublic.” The principal test of materiality is whether the information would be considered important by a reasonable investor in deciding whether to buy or sell Matson stock or other securities. Information is “nonpublic” until it is generally available to the investing public. Matson information is nonpublic until (i) it is announced by an authorized Matson spokesperson and (ii) the public has had two business days to evaluate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487045</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87" w:name="page88"/>
    <w:bookmarkEnd w:id="87"/>
    <w:p>
      <w:pPr>
        <w:ind w:left="860" w:right="1179"/>
        <w:spacing w:after="0" w:line="305" w:lineRule="auto"/>
        <w:rPr>
          <w:sz w:val="20"/>
          <w:szCs w:val="20"/>
          <w:color w:val="auto"/>
        </w:rPr>
      </w:pPr>
      <w:r>
        <w:rPr>
          <w:rFonts w:ascii="Georgia" w:cs="Georgia" w:eastAsia="Georgia" w:hAnsi="Georgia"/>
          <w:sz w:val="22"/>
          <w:szCs w:val="22"/>
          <w:color w:val="auto"/>
        </w:rPr>
        <w:t>Once information meets these two criteria, it is thereafter treated as “Public Information.”</w:t>
      </w:r>
    </w:p>
    <w:p>
      <w:pPr>
        <w:spacing w:after="0" w:line="337" w:lineRule="exact"/>
        <w:rPr>
          <w:sz w:val="20"/>
          <w:szCs w:val="20"/>
          <w:color w:val="auto"/>
        </w:rPr>
      </w:pPr>
    </w:p>
    <w:p>
      <w:pPr>
        <w:ind w:left="860" w:right="399" w:hanging="327"/>
        <w:spacing w:after="0" w:line="307" w:lineRule="auto"/>
        <w:tabs>
          <w:tab w:leader="none" w:pos="860" w:val="left"/>
        </w:tabs>
        <w:numPr>
          <w:ilvl w:val="0"/>
          <w:numId w:val="82"/>
        </w:numPr>
        <w:rPr>
          <w:rFonts w:ascii="Georgia" w:cs="Georgia" w:eastAsia="Georgia" w:hAnsi="Georgia"/>
          <w:sz w:val="22"/>
          <w:szCs w:val="22"/>
          <w:b w:val="1"/>
          <w:bCs w:val="1"/>
          <w:color w:val="auto"/>
        </w:rPr>
      </w:pPr>
      <w:r>
        <w:rPr>
          <w:rFonts w:ascii="Georgia" w:cs="Georgia" w:eastAsia="Georgia" w:hAnsi="Georgia"/>
          <w:sz w:val="22"/>
          <w:szCs w:val="22"/>
          <w:b w:val="1"/>
          <w:bCs w:val="1"/>
          <w:color w:val="auto"/>
        </w:rPr>
        <w:t xml:space="preserve">Activities considered to be “Trading.” </w:t>
      </w:r>
      <w:r>
        <w:rPr>
          <w:rFonts w:ascii="Georgia" w:cs="Georgia" w:eastAsia="Georgia" w:hAnsi="Georgia"/>
          <w:sz w:val="22"/>
          <w:szCs w:val="22"/>
          <w:color w:val="auto"/>
        </w:rPr>
        <w:t>“Trading in stock or other securities”</w:t>
      </w:r>
      <w:r>
        <w:rPr>
          <w:rFonts w:ascii="Georgia" w:cs="Georgia" w:eastAsia="Georgia" w:hAnsi="Georgia"/>
          <w:sz w:val="22"/>
          <w:szCs w:val="22"/>
          <w:b w:val="1"/>
          <w:bCs w:val="1"/>
          <w:color w:val="auto"/>
        </w:rPr>
        <w:t xml:space="preserve"> </w:t>
      </w:r>
      <w:r>
        <w:rPr>
          <w:rFonts w:ascii="Georgia" w:cs="Georgia" w:eastAsia="Georgia" w:hAnsi="Georgia"/>
          <w:sz w:val="22"/>
          <w:szCs w:val="22"/>
          <w:color w:val="auto"/>
        </w:rPr>
        <w:t>includes both purchases and sales of Matson stock and other securities, and purchases and sales of puts, calls and options in securities, and the sale of Matson shares in connection with the exercise of a Matson stock option. Certain gifts and charitable donations of Matson stock or other securities are also subject to this policy.</w:t>
      </w:r>
    </w:p>
    <w:p>
      <w:pPr>
        <w:spacing w:after="0" w:line="335" w:lineRule="exact"/>
        <w:rPr>
          <w:rFonts w:ascii="Georgia" w:cs="Georgia" w:eastAsia="Georgia" w:hAnsi="Georgia"/>
          <w:sz w:val="22"/>
          <w:szCs w:val="22"/>
          <w:b w:val="1"/>
          <w:bCs w:val="1"/>
          <w:color w:val="auto"/>
        </w:rPr>
      </w:pPr>
    </w:p>
    <w:p>
      <w:pPr>
        <w:ind w:left="860" w:right="319" w:hanging="327"/>
        <w:spacing w:after="0" w:line="306" w:lineRule="auto"/>
        <w:tabs>
          <w:tab w:leader="none" w:pos="860" w:val="left"/>
        </w:tabs>
        <w:numPr>
          <w:ilvl w:val="0"/>
          <w:numId w:val="82"/>
        </w:numPr>
        <w:rPr>
          <w:rFonts w:ascii="Georgia" w:cs="Georgia" w:eastAsia="Georgia" w:hAnsi="Georgia"/>
          <w:sz w:val="22"/>
          <w:szCs w:val="22"/>
          <w:b w:val="1"/>
          <w:bCs w:val="1"/>
          <w:color w:val="auto"/>
        </w:rPr>
      </w:pPr>
      <w:r>
        <w:rPr>
          <w:rFonts w:ascii="Georgia" w:cs="Georgia" w:eastAsia="Georgia" w:hAnsi="Georgia"/>
          <w:sz w:val="22"/>
          <w:szCs w:val="22"/>
          <w:b w:val="1"/>
          <w:bCs w:val="1"/>
          <w:color w:val="auto"/>
        </w:rPr>
        <w:t>No Trading on the basis of Material Nonpublic Information</w:t>
      </w:r>
      <w:r>
        <w:rPr>
          <w:rFonts w:ascii="Georgia" w:cs="Georgia" w:eastAsia="Georgia" w:hAnsi="Georgia"/>
          <w:sz w:val="22"/>
          <w:szCs w:val="22"/>
          <w:color w:val="auto"/>
        </w:rPr>
        <w:t>. Insiders</w:t>
      </w:r>
      <w:r>
        <w:rPr>
          <w:rFonts w:ascii="Georgia" w:cs="Georgia" w:eastAsia="Georgia" w:hAnsi="Georgia"/>
          <w:sz w:val="22"/>
          <w:szCs w:val="22"/>
          <w:b w:val="1"/>
          <w:bCs w:val="1"/>
          <w:color w:val="auto"/>
        </w:rPr>
        <w:t xml:space="preserve"> </w:t>
      </w:r>
      <w:r>
        <w:rPr>
          <w:rFonts w:ascii="Georgia" w:cs="Georgia" w:eastAsia="Georgia" w:hAnsi="Georgia"/>
          <w:sz w:val="22"/>
          <w:szCs w:val="22"/>
          <w:color w:val="auto"/>
        </w:rPr>
        <w:t>must not trade or recommend trading in Matson’s stock or other securities based on Material Nonpublic Information about Matson. Insiders also must not trade or recommend trading in the stock or other securities of another company that has a relationship with Matson (such as customers, suppliers, vendors or other business partners) based on Material Nonpublic Information about such other company or its securities obtained in the course of the Insider’s employment or relationship with Matson.</w:t>
      </w:r>
    </w:p>
    <w:p>
      <w:pPr>
        <w:spacing w:after="0" w:line="352" w:lineRule="exact"/>
        <w:rPr>
          <w:rFonts w:ascii="Georgia" w:cs="Georgia" w:eastAsia="Georgia" w:hAnsi="Georgia"/>
          <w:sz w:val="22"/>
          <w:szCs w:val="22"/>
          <w:b w:val="1"/>
          <w:bCs w:val="1"/>
          <w:color w:val="auto"/>
        </w:rPr>
      </w:pPr>
    </w:p>
    <w:p>
      <w:pPr>
        <w:ind w:left="860" w:right="339" w:hanging="327"/>
        <w:spacing w:after="0" w:line="306" w:lineRule="auto"/>
        <w:tabs>
          <w:tab w:leader="none" w:pos="860" w:val="left"/>
        </w:tabs>
        <w:numPr>
          <w:ilvl w:val="0"/>
          <w:numId w:val="82"/>
        </w:numPr>
        <w:rPr>
          <w:rFonts w:ascii="Georgia" w:cs="Georgia" w:eastAsia="Georgia" w:hAnsi="Georgia"/>
          <w:sz w:val="22"/>
          <w:szCs w:val="22"/>
          <w:b w:val="1"/>
          <w:bCs w:val="1"/>
          <w:color w:val="auto"/>
        </w:rPr>
      </w:pPr>
      <w:r>
        <w:rPr>
          <w:rFonts w:ascii="Georgia" w:cs="Georgia" w:eastAsia="Georgia" w:hAnsi="Georgia"/>
          <w:sz w:val="22"/>
          <w:szCs w:val="22"/>
          <w:b w:val="1"/>
          <w:bCs w:val="1"/>
          <w:color w:val="auto"/>
        </w:rPr>
        <w:t xml:space="preserve">No Tipping of Material Nonpublic Information. </w:t>
      </w:r>
      <w:r>
        <w:rPr>
          <w:rFonts w:ascii="Georgia" w:cs="Georgia" w:eastAsia="Georgia" w:hAnsi="Georgia"/>
          <w:sz w:val="22"/>
          <w:szCs w:val="22"/>
          <w:color w:val="auto"/>
        </w:rPr>
        <w:t>Insiders must not reveal</w:t>
      </w:r>
      <w:r>
        <w:rPr>
          <w:rFonts w:ascii="Georgia" w:cs="Georgia" w:eastAsia="Georgia" w:hAnsi="Georgia"/>
          <w:sz w:val="22"/>
          <w:szCs w:val="22"/>
          <w:b w:val="1"/>
          <w:bCs w:val="1"/>
          <w:color w:val="auto"/>
        </w:rPr>
        <w:t xml:space="preserve"> </w:t>
      </w:r>
      <w:r>
        <w:rPr>
          <w:rFonts w:ascii="Georgia" w:cs="Georgia" w:eastAsia="Georgia" w:hAnsi="Georgia"/>
          <w:sz w:val="22"/>
          <w:szCs w:val="22"/>
          <w:color w:val="auto"/>
        </w:rPr>
        <w:t>Material Nonpublic Information to another person if it is reasonably foreseeable that such person will use the information for trading in stock or other securities or pass the information to others for the purpose of trading in stock or other securities.</w:t>
      </w:r>
    </w:p>
    <w:p>
      <w:pPr>
        <w:spacing w:after="0" w:line="200" w:lineRule="exact"/>
        <w:rPr>
          <w:sz w:val="20"/>
          <w:szCs w:val="20"/>
          <w:color w:val="auto"/>
        </w:rPr>
      </w:pPr>
    </w:p>
    <w:p>
      <w:pPr>
        <w:spacing w:after="0" w:line="222"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9"/>
          <w:szCs w:val="29"/>
          <w:color w:val="2E74B5"/>
        </w:rPr>
        <w:t>3.</w:t>
      </w:r>
      <w:r>
        <w:rPr>
          <w:sz w:val="20"/>
          <w:szCs w:val="20"/>
          <w:color w:val="auto"/>
        </w:rPr>
        <w:tab/>
      </w:r>
      <w:r>
        <w:rPr>
          <w:rFonts w:ascii="Times New Roman" w:cs="Times New Roman" w:eastAsia="Times New Roman" w:hAnsi="Times New Roman"/>
          <w:sz w:val="28"/>
          <w:szCs w:val="28"/>
          <w:color w:val="2E74B5"/>
        </w:rPr>
        <w:t>No speculation in Matson’s securities</w:t>
      </w:r>
    </w:p>
    <w:p>
      <w:pPr>
        <w:spacing w:after="0" w:line="230" w:lineRule="exact"/>
        <w:rPr>
          <w:sz w:val="20"/>
          <w:szCs w:val="20"/>
          <w:color w:val="auto"/>
        </w:rPr>
      </w:pPr>
    </w:p>
    <w:p>
      <w:pPr>
        <w:ind w:left="200" w:right="339"/>
        <w:spacing w:after="0" w:line="307" w:lineRule="auto"/>
        <w:rPr>
          <w:sz w:val="20"/>
          <w:szCs w:val="20"/>
          <w:color w:val="auto"/>
        </w:rPr>
      </w:pPr>
      <w:r>
        <w:rPr>
          <w:rFonts w:ascii="Georgia" w:cs="Georgia" w:eastAsia="Georgia" w:hAnsi="Georgia"/>
          <w:sz w:val="22"/>
          <w:szCs w:val="22"/>
          <w:color w:val="auto"/>
        </w:rPr>
        <w:t>Insiders may not trade in options, warrants, puts and calls or similar instruments on Matson stock or other securities or sell Matson stock or other securities “short.” The simultaneous sale through a broker of some or all of the shares acquired through the exercise of an option granted under a Matson compensation plan (i.e., a cashless exercise of options) is not considered a short sale, but such activity is subject to the trading restrictions discussed in this policy and other applicable Matson policies.</w:t>
      </w:r>
    </w:p>
    <w:p>
      <w:pPr>
        <w:spacing w:after="0" w:line="313"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9"/>
          <w:szCs w:val="29"/>
          <w:color w:val="2E74B5"/>
        </w:rPr>
        <w:t>4.</w:t>
      </w:r>
      <w:r>
        <w:rPr>
          <w:sz w:val="20"/>
          <w:szCs w:val="20"/>
          <w:color w:val="auto"/>
        </w:rPr>
        <w:tab/>
      </w:r>
      <w:r>
        <w:rPr>
          <w:rFonts w:ascii="Times New Roman" w:cs="Times New Roman" w:eastAsia="Times New Roman" w:hAnsi="Times New Roman"/>
          <w:sz w:val="28"/>
          <w:szCs w:val="28"/>
          <w:color w:val="2E74B5"/>
        </w:rPr>
        <w:t>No hedging or pledging of Matson securities</w:t>
      </w:r>
    </w:p>
    <w:p>
      <w:pPr>
        <w:spacing w:after="0" w:line="230" w:lineRule="exact"/>
        <w:rPr>
          <w:sz w:val="20"/>
          <w:szCs w:val="20"/>
          <w:color w:val="auto"/>
        </w:rPr>
      </w:pPr>
    </w:p>
    <w:p>
      <w:pPr>
        <w:ind w:left="200" w:right="259"/>
        <w:spacing w:after="0" w:line="292" w:lineRule="auto"/>
        <w:rPr>
          <w:sz w:val="20"/>
          <w:szCs w:val="20"/>
          <w:color w:val="auto"/>
        </w:rPr>
      </w:pPr>
      <w:r>
        <w:rPr>
          <w:rFonts w:ascii="Georgia" w:cs="Georgia" w:eastAsia="Georgia" w:hAnsi="Georgia"/>
          <w:sz w:val="22"/>
          <w:szCs w:val="22"/>
          <w:color w:val="auto"/>
        </w:rPr>
        <w:t>Insiders are prohibited from entering into hedging or monetization transactions involving Matson stock or other securities.</w:t>
      </w:r>
    </w:p>
    <w:p>
      <w:pPr>
        <w:sectPr>
          <w:pgSz w:w="11900" w:h="16838" w:orient="portrait"/>
          <w:cols w:equalWidth="0" w:num="1">
            <w:col w:w="9019"/>
          </w:cols>
          <w:pgMar w:left="1440" w:top="967" w:right="1440"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Georgia" w:cs="Georgia" w:eastAsia="Georgia" w:hAnsi="Georgia"/>
          <w:sz w:val="19"/>
          <w:szCs w:val="19"/>
          <w:color w:val="auto"/>
        </w:rPr>
        <w:t xml:space="preserve">Page </w:t>
      </w:r>
      <w:r>
        <w:rPr>
          <w:rFonts w:ascii="Georgia" w:cs="Georgia" w:eastAsia="Georgia" w:hAnsi="Georgia"/>
          <w:sz w:val="19"/>
          <w:szCs w:val="19"/>
          <w:b w:val="1"/>
          <w:bCs w:val="1"/>
          <w:color w:val="auto"/>
        </w:rPr>
        <w:t>2</w:t>
      </w:r>
      <w:r>
        <w:rPr>
          <w:rFonts w:ascii="Georgia" w:cs="Georgia" w:eastAsia="Georgia" w:hAnsi="Georgia"/>
          <w:sz w:val="19"/>
          <w:szCs w:val="19"/>
          <w:color w:val="auto"/>
        </w:rPr>
        <w:t xml:space="preserve"> of </w:t>
      </w:r>
      <w:r>
        <w:rPr>
          <w:rFonts w:ascii="Georgia" w:cs="Georgia" w:eastAsia="Georgia" w:hAnsi="Georgia"/>
          <w:sz w:val="19"/>
          <w:szCs w:val="19"/>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518160</wp:posOffset>
            </wp:positionV>
            <wp:extent cx="5452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67" w:right="1440" w:bottom="1440" w:gutter="0" w:footer="0" w:header="0"/>
          <w:type w:val="continuous"/>
        </w:sectPr>
      </w:pPr>
    </w:p>
    <w:bookmarkStart w:id="88" w:name="page89"/>
    <w:bookmarkEnd w:id="88"/>
    <w:p>
      <w:pPr>
        <w:ind w:left="200" w:right="459"/>
        <w:spacing w:after="0" w:line="323" w:lineRule="auto"/>
        <w:rPr>
          <w:sz w:val="20"/>
          <w:szCs w:val="20"/>
          <w:color w:val="auto"/>
        </w:rPr>
      </w:pPr>
      <w:r>
        <w:rPr>
          <w:rFonts w:ascii="Georgia" w:cs="Georgia" w:eastAsia="Georgia" w:hAnsi="Georgia"/>
          <w:sz w:val="21"/>
          <w:szCs w:val="21"/>
          <w:color w:val="auto"/>
        </w:rPr>
        <w:t>Matson’s directors and executive officers are also prohibited from holding Matson stock or securities in a margin account or otherwise pledging Matson stock or securities as collateral for a loan because a margin sale or a sale of pledged Matson securities may occur at a time when the director or executive officer is aware of Material Nonpublic Information or is otherwise not permitted to trade in Matson securities.</w:t>
      </w:r>
    </w:p>
    <w:p>
      <w:pPr>
        <w:spacing w:after="0" w:line="302"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9"/>
          <w:szCs w:val="29"/>
          <w:color w:val="2E74B5"/>
        </w:rPr>
        <w:t>5.</w:t>
      </w:r>
      <w:r>
        <w:rPr>
          <w:sz w:val="20"/>
          <w:szCs w:val="20"/>
          <w:color w:val="auto"/>
        </w:rPr>
        <w:tab/>
      </w:r>
      <w:r>
        <w:rPr>
          <w:rFonts w:ascii="Times New Roman" w:cs="Times New Roman" w:eastAsia="Times New Roman" w:hAnsi="Times New Roman"/>
          <w:sz w:val="28"/>
          <w:szCs w:val="28"/>
          <w:color w:val="2E74B5"/>
        </w:rPr>
        <w:t>Trading blackout period and preclearance</w:t>
      </w:r>
    </w:p>
    <w:p>
      <w:pPr>
        <w:spacing w:after="0" w:line="230" w:lineRule="exact"/>
        <w:rPr>
          <w:sz w:val="20"/>
          <w:szCs w:val="20"/>
          <w:color w:val="auto"/>
        </w:rPr>
      </w:pPr>
    </w:p>
    <w:p>
      <w:pPr>
        <w:ind w:left="200" w:right="239"/>
        <w:spacing w:after="0" w:line="308" w:lineRule="auto"/>
        <w:rPr>
          <w:sz w:val="20"/>
          <w:szCs w:val="20"/>
          <w:color w:val="auto"/>
        </w:rPr>
      </w:pPr>
      <w:r>
        <w:rPr>
          <w:rFonts w:ascii="Georgia" w:cs="Georgia" w:eastAsia="Georgia" w:hAnsi="Georgia"/>
          <w:sz w:val="22"/>
          <w:szCs w:val="22"/>
          <w:color w:val="auto"/>
        </w:rPr>
        <w:t>To help protect against even the appearance of insider trading, Matson has instituted a trading blackout for directors, executive officers and other select individuals in the organization (“Designated Insiders”). The blackout period begins two weeks before the end of each fiscal quarter and continues through the second business day after the date of the first effective public dissemination of Matson’s earnings. Designated Insiders may not trade any Matson securities until the opening of business on the third business day after the date of the first effective public dissemination of Matson’s earnings, so long as the Designated Insider is not aware of Material Nonpublic Information.</w:t>
      </w:r>
    </w:p>
    <w:p>
      <w:pPr>
        <w:spacing w:after="0" w:line="120" w:lineRule="exact"/>
        <w:rPr>
          <w:sz w:val="20"/>
          <w:szCs w:val="20"/>
          <w:color w:val="auto"/>
        </w:rPr>
      </w:pPr>
    </w:p>
    <w:p>
      <w:pPr>
        <w:ind w:left="200" w:right="319"/>
        <w:spacing w:after="0" w:line="306" w:lineRule="auto"/>
        <w:rPr>
          <w:sz w:val="20"/>
          <w:szCs w:val="20"/>
          <w:color w:val="auto"/>
        </w:rPr>
      </w:pPr>
      <w:r>
        <w:rPr>
          <w:rFonts w:ascii="Georgia" w:cs="Georgia" w:eastAsia="Georgia" w:hAnsi="Georgia"/>
          <w:sz w:val="22"/>
          <w:szCs w:val="22"/>
          <w:color w:val="auto"/>
        </w:rPr>
        <w:t>From time to time, other types of Material Nonpublic Information regarding Matson may be pending and not be publicly disclosed. During such time, Matson may impose special blackout periods during which any Insider (or Designated Insider) who has been notified by Matson that he/she is subject to the event-specific blackout will be prohibited from trading in Matson securities.</w:t>
      </w:r>
    </w:p>
    <w:p>
      <w:pPr>
        <w:spacing w:after="0" w:line="121" w:lineRule="exact"/>
        <w:rPr>
          <w:sz w:val="20"/>
          <w:szCs w:val="20"/>
          <w:color w:val="auto"/>
        </w:rPr>
      </w:pPr>
    </w:p>
    <w:p>
      <w:pPr>
        <w:ind w:left="200" w:right="439"/>
        <w:spacing w:after="0" w:line="305" w:lineRule="auto"/>
        <w:rPr>
          <w:sz w:val="20"/>
          <w:szCs w:val="20"/>
          <w:color w:val="auto"/>
        </w:rPr>
      </w:pPr>
      <w:r>
        <w:rPr>
          <w:rFonts w:ascii="Georgia" w:cs="Georgia" w:eastAsia="Georgia" w:hAnsi="Georgia"/>
          <w:sz w:val="22"/>
          <w:szCs w:val="22"/>
          <w:color w:val="auto"/>
        </w:rPr>
        <w:t>Designated Insiders must notify the General Counsel or the Corporate Secretary prior to conducting any transactions in Matson securities.</w:t>
      </w:r>
    </w:p>
    <w:p>
      <w:pPr>
        <w:spacing w:after="0" w:line="314"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9"/>
          <w:szCs w:val="29"/>
          <w:color w:val="2E74B5"/>
        </w:rPr>
        <w:t>6.</w:t>
      </w:r>
      <w:r>
        <w:rPr>
          <w:sz w:val="20"/>
          <w:szCs w:val="20"/>
          <w:color w:val="auto"/>
        </w:rPr>
        <w:tab/>
      </w:r>
      <w:r>
        <w:rPr>
          <w:rFonts w:ascii="Times New Roman" w:cs="Times New Roman" w:eastAsia="Times New Roman" w:hAnsi="Times New Roman"/>
          <w:sz w:val="28"/>
          <w:szCs w:val="28"/>
          <w:color w:val="2E74B5"/>
        </w:rPr>
        <w:t>Trading plans</w:t>
      </w:r>
    </w:p>
    <w:p>
      <w:pPr>
        <w:spacing w:after="0" w:line="230" w:lineRule="exact"/>
        <w:rPr>
          <w:sz w:val="20"/>
          <w:szCs w:val="20"/>
          <w:color w:val="auto"/>
        </w:rPr>
      </w:pPr>
    </w:p>
    <w:p>
      <w:pPr>
        <w:ind w:left="200" w:right="339"/>
        <w:spacing w:after="0" w:line="307" w:lineRule="auto"/>
        <w:rPr>
          <w:sz w:val="20"/>
          <w:szCs w:val="20"/>
          <w:color w:val="auto"/>
        </w:rPr>
      </w:pPr>
      <w:r>
        <w:rPr>
          <w:rFonts w:ascii="Georgia" w:cs="Georgia" w:eastAsia="Georgia" w:hAnsi="Georgia"/>
          <w:sz w:val="22"/>
          <w:szCs w:val="22"/>
          <w:color w:val="auto"/>
        </w:rPr>
        <w:t>Insiders may trade in Matson securities if the transaction is made pursuant to a pre-arranged trading plan (a “Rule 10b5-1 Trading Plan”) that was entered into when the Insider was not aware of Material Nonpublic Information. A Rule 10b5-1 Trading Plan must be written and shall specify the amount of securities to be traded, the date on which such securities will be traded and the trading price. In the alternative, a Rule 10b5-1 Trading Plan may establish a formula for determining such items. Rule 10b5-1 Trading Plans may not be adopted when the Insider is aware of Material Nonpublic Information. A Rule 10b5-1 Trading Plan may be amended or replaced only during periods when trading is permitted under this policy. All Rule 10b5-1 Trading Plans, and any amendments or terminations, must be pre-approved by the Law Department and comply with the requirements of Rule 10b5-1.</w:t>
      </w:r>
    </w:p>
    <w:p>
      <w:pPr>
        <w:spacing w:after="0" w:line="248" w:lineRule="exact"/>
        <w:rPr>
          <w:sz w:val="20"/>
          <w:szCs w:val="20"/>
          <w:color w:val="auto"/>
        </w:rPr>
      </w:pPr>
    </w:p>
    <w:p>
      <w:pPr>
        <w:jc w:val="center"/>
        <w:spacing w:after="0"/>
        <w:rPr>
          <w:sz w:val="20"/>
          <w:szCs w:val="20"/>
          <w:color w:val="auto"/>
        </w:rPr>
      </w:pPr>
      <w:r>
        <w:rPr>
          <w:rFonts w:ascii="Georgia" w:cs="Georgia" w:eastAsia="Georgia" w:hAnsi="Georgia"/>
          <w:sz w:val="20"/>
          <w:szCs w:val="20"/>
          <w:color w:val="auto"/>
        </w:rPr>
        <w:t xml:space="preserve">Page </w:t>
      </w:r>
      <w:r>
        <w:rPr>
          <w:rFonts w:ascii="Georgia" w:cs="Georgia" w:eastAsia="Georgia" w:hAnsi="Georgia"/>
          <w:sz w:val="20"/>
          <w:szCs w:val="20"/>
          <w:b w:val="1"/>
          <w:bCs w:val="1"/>
          <w:color w:val="auto"/>
        </w:rPr>
        <w:t>3</w:t>
      </w:r>
      <w:r>
        <w:rPr>
          <w:rFonts w:ascii="Georgia" w:cs="Georgia" w:eastAsia="Georgia" w:hAnsi="Georgia"/>
          <w:sz w:val="20"/>
          <w:szCs w:val="20"/>
          <w:color w:val="auto"/>
        </w:rPr>
        <w:t xml:space="preserve"> of </w:t>
      </w:r>
      <w:r>
        <w:rPr>
          <w:rFonts w:ascii="Georgia" w:cs="Georgia" w:eastAsia="Georgia" w:hAnsi="Georgia"/>
          <w:sz w:val="20"/>
          <w:szCs w:val="2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67" w:right="1440" w:bottom="1440" w:gutter="0" w:footer="0" w:header="0"/>
        </w:sectPr>
      </w:pPr>
    </w:p>
    <w:bookmarkStart w:id="89" w:name="page90"/>
    <w:bookmarkEnd w:id="89"/>
    <w:p>
      <w:pPr>
        <w:ind w:left="200"/>
        <w:spacing w:after="0"/>
        <w:rPr>
          <w:sz w:val="20"/>
          <w:szCs w:val="20"/>
          <w:color w:val="auto"/>
        </w:rPr>
      </w:pPr>
      <w:r>
        <w:rPr>
          <w:rFonts w:ascii="Georgia" w:cs="Georgia" w:eastAsia="Georgia" w:hAnsi="Georgia"/>
          <w:sz w:val="22"/>
          <w:szCs w:val="22"/>
          <w:color w:val="auto"/>
        </w:rPr>
        <w:t>In addition, the following conditions must be satisfied:</w:t>
      </w:r>
    </w:p>
    <w:p>
      <w:pPr>
        <w:spacing w:after="0" w:line="188" w:lineRule="exact"/>
        <w:rPr>
          <w:sz w:val="20"/>
          <w:szCs w:val="20"/>
          <w:color w:val="auto"/>
        </w:rPr>
      </w:pPr>
    </w:p>
    <w:p>
      <w:pPr>
        <w:ind w:left="860" w:right="279" w:hanging="327"/>
        <w:spacing w:after="0" w:line="322" w:lineRule="auto"/>
        <w:tabs>
          <w:tab w:leader="none" w:pos="860" w:val="left"/>
        </w:tabs>
        <w:numPr>
          <w:ilvl w:val="0"/>
          <w:numId w:val="83"/>
        </w:numPr>
        <w:rPr>
          <w:rFonts w:ascii="Times New Roman" w:cs="Times New Roman" w:eastAsia="Times New Roman" w:hAnsi="Times New Roman"/>
          <w:sz w:val="21"/>
          <w:szCs w:val="21"/>
          <w:color w:val="auto"/>
        </w:rPr>
      </w:pPr>
      <w:r>
        <w:rPr>
          <w:rFonts w:ascii="Georgia" w:cs="Georgia" w:eastAsia="Georgia" w:hAnsi="Georgia"/>
          <w:sz w:val="21"/>
          <w:szCs w:val="21"/>
          <w:color w:val="auto"/>
        </w:rPr>
        <w:t>Cooling-Off Periods. Rule 10b5-1 Trading Plans adopted by directors and officers must provide that trading under the plan cannot begin until the later of: (1) 90 days following plan adoption or modification; or (2) two business days following the filing of the Form 10-Q or Form 10-K for the fiscal quarter in which the plan was adopted or modified. For other employees, the applicable cooling-off period is 30 days after the plan adoption or modification. Any change to the amount, price or timing of the purchase or sale of the securities underlying the Rule 10b5-1 Trading Plan constitutes termination of such plan and the adoption of a new plan, triggering the same cooling-off period described above. Adjustments for stock splits or a change in account information will not trigger a new cooling-off period.</w:t>
      </w:r>
    </w:p>
    <w:p>
      <w:pPr>
        <w:spacing w:after="0" w:line="114" w:lineRule="exact"/>
        <w:rPr>
          <w:rFonts w:ascii="Times New Roman" w:cs="Times New Roman" w:eastAsia="Times New Roman" w:hAnsi="Times New Roman"/>
          <w:sz w:val="21"/>
          <w:szCs w:val="21"/>
          <w:color w:val="auto"/>
        </w:rPr>
      </w:pPr>
    </w:p>
    <w:p>
      <w:pPr>
        <w:ind w:left="860" w:right="219" w:hanging="327"/>
        <w:spacing w:after="0" w:line="305" w:lineRule="auto"/>
        <w:tabs>
          <w:tab w:leader="none" w:pos="860" w:val="left"/>
        </w:tabs>
        <w:numPr>
          <w:ilvl w:val="0"/>
          <w:numId w:val="83"/>
        </w:numPr>
        <w:rPr>
          <w:rFonts w:ascii="Times New Roman" w:cs="Times New Roman" w:eastAsia="Times New Roman" w:hAnsi="Times New Roman"/>
          <w:sz w:val="22"/>
          <w:szCs w:val="22"/>
          <w:color w:val="auto"/>
        </w:rPr>
      </w:pPr>
      <w:r>
        <w:rPr>
          <w:rFonts w:ascii="Georgia" w:cs="Georgia" w:eastAsia="Georgia" w:hAnsi="Georgia"/>
          <w:sz w:val="22"/>
          <w:szCs w:val="22"/>
          <w:color w:val="auto"/>
        </w:rPr>
        <w:t>Director and Officer Certifications. When adopting a new or modified Rule 10b5-1 Trading Plan, a director or officer must include a written representation certifying that he or she (1) is not aware of any material nonpublic information about Matson or its securities; and (2) is adopting or modifying the plan in good faith and not as a plan or scheme to evade the prohibitions of Rule 10b 5.</w:t>
      </w:r>
    </w:p>
    <w:p>
      <w:pPr>
        <w:spacing w:after="0" w:line="121" w:lineRule="exact"/>
        <w:rPr>
          <w:rFonts w:ascii="Times New Roman" w:cs="Times New Roman" w:eastAsia="Times New Roman" w:hAnsi="Times New Roman"/>
          <w:sz w:val="22"/>
          <w:szCs w:val="22"/>
          <w:color w:val="auto"/>
        </w:rPr>
      </w:pPr>
    </w:p>
    <w:p>
      <w:pPr>
        <w:ind w:left="860" w:right="299" w:hanging="327"/>
        <w:spacing w:after="0" w:line="307" w:lineRule="auto"/>
        <w:tabs>
          <w:tab w:leader="none" w:pos="860" w:val="left"/>
        </w:tabs>
        <w:numPr>
          <w:ilvl w:val="0"/>
          <w:numId w:val="83"/>
        </w:numPr>
        <w:rPr>
          <w:rFonts w:ascii="Times New Roman" w:cs="Times New Roman" w:eastAsia="Times New Roman" w:hAnsi="Times New Roman"/>
          <w:sz w:val="22"/>
          <w:szCs w:val="22"/>
          <w:color w:val="auto"/>
        </w:rPr>
      </w:pPr>
      <w:r>
        <w:rPr>
          <w:rFonts w:ascii="Georgia" w:cs="Georgia" w:eastAsia="Georgia" w:hAnsi="Georgia"/>
          <w:sz w:val="22"/>
          <w:szCs w:val="22"/>
          <w:color w:val="auto"/>
        </w:rPr>
        <w:t>Prohibition on Overlapping Plans. A person (other than the Company) is prohibited from having multiple, overlapping Rule 10b5 1 Trading Plans. A person may have two separate Rule 10b5-1 Trading Plans so long as (a) the later-commencing plan does not begin trading during the cooling-off period that would have applied if the later-commencing plan was adopted on the date the earlier-commencing plan terminates, and (b) the plans meet all other conditions applicable to Rule 10b5-1 plans.</w:t>
      </w:r>
    </w:p>
    <w:p>
      <w:pPr>
        <w:spacing w:after="0" w:line="119" w:lineRule="exact"/>
        <w:rPr>
          <w:rFonts w:ascii="Times New Roman" w:cs="Times New Roman" w:eastAsia="Times New Roman" w:hAnsi="Times New Roman"/>
          <w:sz w:val="22"/>
          <w:szCs w:val="22"/>
          <w:color w:val="auto"/>
        </w:rPr>
      </w:pPr>
    </w:p>
    <w:p>
      <w:pPr>
        <w:ind w:left="860" w:right="319" w:hanging="327"/>
        <w:spacing w:after="0" w:line="326" w:lineRule="auto"/>
        <w:tabs>
          <w:tab w:leader="none" w:pos="860" w:val="left"/>
        </w:tabs>
        <w:numPr>
          <w:ilvl w:val="0"/>
          <w:numId w:val="83"/>
        </w:numPr>
        <w:rPr>
          <w:rFonts w:ascii="Times New Roman" w:cs="Times New Roman" w:eastAsia="Times New Roman" w:hAnsi="Times New Roman"/>
          <w:sz w:val="21"/>
          <w:szCs w:val="21"/>
          <w:color w:val="auto"/>
        </w:rPr>
      </w:pPr>
      <w:r>
        <w:rPr>
          <w:rFonts w:ascii="Georgia" w:cs="Georgia" w:eastAsia="Georgia" w:hAnsi="Georgia"/>
          <w:sz w:val="21"/>
          <w:szCs w:val="21"/>
          <w:color w:val="auto"/>
        </w:rPr>
        <w:t>Restrictions on Single-Trade Plans. In any 12-month period, a person is limited to one “single-trade plan” – one designed to effect the open market purchase or sale of the total amount of the securities subject to the plan in a single transaction.</w:t>
      </w:r>
    </w:p>
    <w:p>
      <w:pPr>
        <w:spacing w:after="0" w:line="89" w:lineRule="exact"/>
        <w:rPr>
          <w:rFonts w:ascii="Times New Roman" w:cs="Times New Roman" w:eastAsia="Times New Roman" w:hAnsi="Times New Roman"/>
          <w:sz w:val="21"/>
          <w:szCs w:val="21"/>
          <w:color w:val="auto"/>
        </w:rPr>
      </w:pPr>
    </w:p>
    <w:p>
      <w:pPr>
        <w:ind w:left="860" w:right="439" w:hanging="327"/>
        <w:spacing w:after="0" w:line="301" w:lineRule="auto"/>
        <w:tabs>
          <w:tab w:leader="none" w:pos="860" w:val="left"/>
        </w:tabs>
        <w:numPr>
          <w:ilvl w:val="0"/>
          <w:numId w:val="83"/>
        </w:numPr>
        <w:rPr>
          <w:rFonts w:ascii="Times New Roman" w:cs="Times New Roman" w:eastAsia="Times New Roman" w:hAnsi="Times New Roman"/>
          <w:sz w:val="22"/>
          <w:szCs w:val="22"/>
          <w:color w:val="auto"/>
        </w:rPr>
      </w:pPr>
      <w:r>
        <w:rPr>
          <w:rFonts w:ascii="Georgia" w:cs="Georgia" w:eastAsia="Georgia" w:hAnsi="Georgia"/>
          <w:sz w:val="22"/>
          <w:szCs w:val="22"/>
          <w:color w:val="auto"/>
        </w:rPr>
        <w:t>Act in Good Faith. A person entering into a Rule 10b5-1 Trading Plan must act in good faith with respect to that plan.</w:t>
      </w:r>
    </w:p>
    <w:p>
      <w:pPr>
        <w:spacing w:after="0" w:line="245"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color w:val="auto"/>
        </w:rPr>
        <w:t xml:space="preserve">Page </w:t>
      </w:r>
      <w:r>
        <w:rPr>
          <w:rFonts w:ascii="Georgia" w:cs="Georgia" w:eastAsia="Georgia" w:hAnsi="Georgia"/>
          <w:sz w:val="20"/>
          <w:szCs w:val="20"/>
          <w:b w:val="1"/>
          <w:bCs w:val="1"/>
          <w:color w:val="auto"/>
        </w:rPr>
        <w:t>4</w:t>
      </w:r>
      <w:r>
        <w:rPr>
          <w:rFonts w:ascii="Georgia" w:cs="Georgia" w:eastAsia="Georgia" w:hAnsi="Georgia"/>
          <w:sz w:val="20"/>
          <w:szCs w:val="20"/>
          <w:color w:val="auto"/>
        </w:rPr>
        <w:t xml:space="preserve"> of </w:t>
      </w:r>
      <w:r>
        <w:rPr>
          <w:rFonts w:ascii="Georgia" w:cs="Georgia" w:eastAsia="Georgia" w:hAnsi="Georgia"/>
          <w:sz w:val="20"/>
          <w:szCs w:val="2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513715</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90" w:name="page91"/>
    <w:bookmarkEnd w:id="90"/>
    <w:p>
      <w:pPr>
        <w:ind w:left="200"/>
        <w:spacing w:after="0"/>
        <w:tabs>
          <w:tab w:leader="none" w:pos="680" w:val="left"/>
        </w:tabs>
        <w:rPr>
          <w:sz w:val="20"/>
          <w:szCs w:val="20"/>
          <w:color w:val="auto"/>
        </w:rPr>
      </w:pPr>
      <w:r>
        <w:rPr>
          <w:rFonts w:ascii="Times New Roman" w:cs="Times New Roman" w:eastAsia="Times New Roman" w:hAnsi="Times New Roman"/>
          <w:sz w:val="29"/>
          <w:szCs w:val="29"/>
          <w:color w:val="2E74B5"/>
        </w:rPr>
        <w:t>7.</w:t>
      </w:r>
      <w:r>
        <w:rPr>
          <w:sz w:val="20"/>
          <w:szCs w:val="20"/>
          <w:color w:val="auto"/>
        </w:rPr>
        <w:tab/>
      </w:r>
      <w:r>
        <w:rPr>
          <w:rFonts w:ascii="Times New Roman" w:cs="Times New Roman" w:eastAsia="Times New Roman" w:hAnsi="Times New Roman"/>
          <w:sz w:val="28"/>
          <w:szCs w:val="28"/>
          <w:color w:val="2E74B5"/>
        </w:rPr>
        <w:t>Equity award vesting and other exemptions</w:t>
      </w:r>
    </w:p>
    <w:p>
      <w:pPr>
        <w:spacing w:after="0" w:line="230" w:lineRule="exact"/>
        <w:rPr>
          <w:sz w:val="20"/>
          <w:szCs w:val="20"/>
          <w:color w:val="auto"/>
        </w:rPr>
      </w:pPr>
    </w:p>
    <w:p>
      <w:pPr>
        <w:ind w:left="200" w:right="979"/>
        <w:spacing w:after="0" w:line="328" w:lineRule="auto"/>
        <w:rPr>
          <w:sz w:val="20"/>
          <w:szCs w:val="20"/>
          <w:color w:val="auto"/>
        </w:rPr>
      </w:pPr>
      <w:r>
        <w:rPr>
          <w:rFonts w:ascii="Georgia" w:cs="Georgia" w:eastAsia="Georgia" w:hAnsi="Georgia"/>
          <w:sz w:val="21"/>
          <w:szCs w:val="21"/>
          <w:color w:val="auto"/>
        </w:rPr>
        <w:t>This policy does not apply in the case of the following transactions (although these transactions may nevertheless be subject to the requirements of Section 16 of the Securities Exchange Act of 1934 applicable to directors and executive officers):</w:t>
      </w:r>
    </w:p>
    <w:p>
      <w:pPr>
        <w:spacing w:after="0" w:line="102" w:lineRule="exact"/>
        <w:rPr>
          <w:sz w:val="20"/>
          <w:szCs w:val="20"/>
          <w:color w:val="auto"/>
        </w:rPr>
      </w:pPr>
    </w:p>
    <w:p>
      <w:pPr>
        <w:ind w:left="860" w:right="239" w:hanging="327"/>
        <w:spacing w:after="0" w:line="305" w:lineRule="auto"/>
        <w:tabs>
          <w:tab w:leader="none" w:pos="860" w:val="left"/>
        </w:tabs>
        <w:numPr>
          <w:ilvl w:val="1"/>
          <w:numId w:val="84"/>
        </w:numPr>
        <w:rPr>
          <w:rFonts w:ascii="Times New Roman" w:cs="Times New Roman" w:eastAsia="Times New Roman" w:hAnsi="Times New Roman"/>
          <w:sz w:val="22"/>
          <w:szCs w:val="22"/>
          <w:color w:val="auto"/>
        </w:rPr>
      </w:pPr>
      <w:r>
        <w:rPr>
          <w:rFonts w:ascii="Georgia" w:cs="Georgia" w:eastAsia="Georgia" w:hAnsi="Georgia"/>
          <w:sz w:val="22"/>
          <w:szCs w:val="22"/>
          <w:color w:val="auto"/>
        </w:rPr>
        <w:t>Restricted Stock Unit Awards. This policy does not apply to the vesting of restricted stock units or the withholding of shares to satisfy tax withholding requirements upon the vesting of any restricted stock units. This policy does apply, however, to any market sale of shares acquired upon vesting of restricted stock units.</w:t>
      </w:r>
    </w:p>
    <w:p>
      <w:pPr>
        <w:spacing w:after="0" w:line="111" w:lineRule="exact"/>
        <w:rPr>
          <w:rFonts w:ascii="Times New Roman" w:cs="Times New Roman" w:eastAsia="Times New Roman" w:hAnsi="Times New Roman"/>
          <w:sz w:val="22"/>
          <w:szCs w:val="22"/>
          <w:color w:val="auto"/>
        </w:rPr>
      </w:pPr>
    </w:p>
    <w:p>
      <w:pPr>
        <w:ind w:left="860" w:hanging="327"/>
        <w:spacing w:after="0"/>
        <w:tabs>
          <w:tab w:leader="none" w:pos="860" w:val="left"/>
        </w:tabs>
        <w:numPr>
          <w:ilvl w:val="1"/>
          <w:numId w:val="84"/>
        </w:numPr>
        <w:rPr>
          <w:rFonts w:ascii="Times New Roman" w:cs="Times New Roman" w:eastAsia="Times New Roman" w:hAnsi="Times New Roman"/>
          <w:sz w:val="22"/>
          <w:szCs w:val="22"/>
          <w:color w:val="auto"/>
        </w:rPr>
      </w:pPr>
      <w:r>
        <w:rPr>
          <w:rFonts w:ascii="Georgia" w:cs="Georgia" w:eastAsia="Georgia" w:hAnsi="Georgia"/>
          <w:sz w:val="22"/>
          <w:szCs w:val="22"/>
          <w:color w:val="auto"/>
        </w:rPr>
        <w:t>Transfers of Matson securities to or from a family or testamentary trust.</w:t>
      </w:r>
    </w:p>
    <w:p>
      <w:pPr>
        <w:spacing w:after="0" w:line="380" w:lineRule="exact"/>
        <w:rPr>
          <w:rFonts w:ascii="Times New Roman" w:cs="Times New Roman" w:eastAsia="Times New Roman" w:hAnsi="Times New Roman"/>
          <w:sz w:val="22"/>
          <w:szCs w:val="22"/>
          <w:color w:val="auto"/>
        </w:rPr>
      </w:pPr>
    </w:p>
    <w:p>
      <w:pPr>
        <w:ind w:left="700" w:hanging="491"/>
        <w:spacing w:after="0"/>
        <w:tabs>
          <w:tab w:leader="none" w:pos="700" w:val="left"/>
        </w:tabs>
        <w:numPr>
          <w:ilvl w:val="0"/>
          <w:numId w:val="84"/>
        </w:numPr>
        <w:rPr>
          <w:rFonts w:ascii="Times New Roman" w:cs="Times New Roman" w:eastAsia="Times New Roman" w:hAnsi="Times New Roman"/>
          <w:sz w:val="29"/>
          <w:szCs w:val="29"/>
          <w:color w:val="2E74B5"/>
        </w:rPr>
      </w:pPr>
      <w:r>
        <w:rPr>
          <w:rFonts w:ascii="Times New Roman" w:cs="Times New Roman" w:eastAsia="Times New Roman" w:hAnsi="Times New Roman"/>
          <w:sz w:val="29"/>
          <w:szCs w:val="29"/>
          <w:color w:val="2E74B5"/>
        </w:rPr>
        <w:t>Penalties for violating securities laws or this policy</w:t>
      </w:r>
    </w:p>
    <w:p>
      <w:pPr>
        <w:spacing w:after="0" w:line="230" w:lineRule="exact"/>
        <w:rPr>
          <w:sz w:val="20"/>
          <w:szCs w:val="20"/>
          <w:color w:val="auto"/>
        </w:rPr>
      </w:pPr>
    </w:p>
    <w:p>
      <w:pPr>
        <w:ind w:left="200" w:right="239"/>
        <w:spacing w:after="0" w:line="305" w:lineRule="auto"/>
        <w:rPr>
          <w:sz w:val="20"/>
          <w:szCs w:val="20"/>
          <w:color w:val="auto"/>
        </w:rPr>
      </w:pPr>
      <w:r>
        <w:rPr>
          <w:rFonts w:ascii="Georgia" w:cs="Georgia" w:eastAsia="Georgia" w:hAnsi="Georgia"/>
          <w:sz w:val="22"/>
          <w:szCs w:val="22"/>
          <w:color w:val="auto"/>
        </w:rPr>
        <w:t>Federal law imposes heavy penalties on those who buy or sell stock or other securities while aware of Material Nonpublic Information or pass the information along to anyone who may use it to buy or sell stock or other securities. Potential penalties include criminal fines, prison terms and civil penalties. In addition, Matson may face liability. Because of the severe consequences for violating the insider trading rules, Insiders who are uncertain about whether they may trade must consult with the General Counsel or Corporate Secretary before initiating a trade.</w:t>
      </w:r>
    </w:p>
    <w:p>
      <w:pPr>
        <w:spacing w:after="0" w:line="318"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29"/>
          <w:szCs w:val="29"/>
          <w:color w:val="2E74B5"/>
        </w:rPr>
        <w:t>9.</w:t>
      </w:r>
      <w:r>
        <w:rPr>
          <w:sz w:val="20"/>
          <w:szCs w:val="20"/>
          <w:color w:val="auto"/>
        </w:rPr>
        <w:tab/>
      </w:r>
      <w:r>
        <w:rPr>
          <w:rFonts w:ascii="Times New Roman" w:cs="Times New Roman" w:eastAsia="Times New Roman" w:hAnsi="Times New Roman"/>
          <w:sz w:val="28"/>
          <w:szCs w:val="28"/>
          <w:color w:val="2E74B5"/>
        </w:rPr>
        <w:t>Post-termination transactions</w:t>
      </w:r>
    </w:p>
    <w:p>
      <w:pPr>
        <w:spacing w:after="0" w:line="230" w:lineRule="exact"/>
        <w:rPr>
          <w:sz w:val="20"/>
          <w:szCs w:val="20"/>
          <w:color w:val="auto"/>
        </w:rPr>
      </w:pPr>
    </w:p>
    <w:p>
      <w:pPr>
        <w:ind w:left="200" w:right="519"/>
        <w:spacing w:after="0" w:line="309" w:lineRule="auto"/>
        <w:rPr>
          <w:sz w:val="20"/>
          <w:szCs w:val="20"/>
          <w:color w:val="auto"/>
        </w:rPr>
      </w:pPr>
      <w:r>
        <w:rPr>
          <w:rFonts w:ascii="Georgia" w:cs="Georgia" w:eastAsia="Georgia" w:hAnsi="Georgia"/>
          <w:sz w:val="22"/>
          <w:szCs w:val="22"/>
          <w:color w:val="auto"/>
        </w:rPr>
        <w:t>With the exception of the preclearance requirements discussed above, this policy continues to apply even after termination of an Insider’s service with Matson. If an Insider is aware of Material Nonpublic Information when their service terminates, the Insider may not trade in stock or other securities of Matson until that information is no longer material or has become Public Information.</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9"/>
          <w:szCs w:val="29"/>
          <w:color w:val="2E74B5"/>
        </w:rPr>
        <w:t>10. Notification of and consultation with Matson’s Law Department</w:t>
      </w:r>
    </w:p>
    <w:p>
      <w:pPr>
        <w:spacing w:after="0" w:line="230" w:lineRule="exact"/>
        <w:rPr>
          <w:sz w:val="20"/>
          <w:szCs w:val="20"/>
          <w:color w:val="auto"/>
        </w:rPr>
      </w:pPr>
    </w:p>
    <w:p>
      <w:pPr>
        <w:ind w:left="200" w:right="359"/>
        <w:spacing w:after="0" w:line="309" w:lineRule="auto"/>
        <w:rPr>
          <w:sz w:val="20"/>
          <w:szCs w:val="20"/>
          <w:color w:val="auto"/>
        </w:rPr>
      </w:pPr>
      <w:r>
        <w:rPr>
          <w:rFonts w:ascii="Georgia" w:cs="Georgia" w:eastAsia="Georgia" w:hAnsi="Georgia"/>
          <w:sz w:val="22"/>
          <w:szCs w:val="22"/>
          <w:color w:val="auto"/>
        </w:rPr>
        <w:t>If you have any questions regarding any aspect of this policy, you should consult with the General Counsel or the Corporate Secretary and abstain from trading in the relevant securities, or from disclosing the information until the General Counsel or the Corporate Secretary confirms the information is not material or is Public Information. If you are aware of or suspect a violation of this policy, you should notify the General Counsel or the Corporate Secretary immediately.</w:t>
      </w:r>
    </w:p>
    <w:p>
      <w:pPr>
        <w:spacing w:after="0" w:line="228"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color w:val="auto"/>
        </w:rPr>
        <w:t xml:space="preserve">Page </w:t>
      </w:r>
      <w:r>
        <w:rPr>
          <w:rFonts w:ascii="Georgia" w:cs="Georgia" w:eastAsia="Georgia" w:hAnsi="Georgia"/>
          <w:sz w:val="20"/>
          <w:szCs w:val="20"/>
          <w:b w:val="1"/>
          <w:bCs w:val="1"/>
          <w:color w:val="auto"/>
        </w:rPr>
        <w:t>5</w:t>
      </w:r>
      <w:r>
        <w:rPr>
          <w:rFonts w:ascii="Georgia" w:cs="Georgia" w:eastAsia="Georgia" w:hAnsi="Georgia"/>
          <w:sz w:val="20"/>
          <w:szCs w:val="20"/>
          <w:color w:val="auto"/>
        </w:rPr>
        <w:t xml:space="preserve"> of </w:t>
      </w:r>
      <w:r>
        <w:rPr>
          <w:rFonts w:ascii="Georgia" w:cs="Georgia" w:eastAsia="Georgia" w:hAnsi="Georgia"/>
          <w:sz w:val="20"/>
          <w:szCs w:val="2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44" w:right="1440" w:bottom="1440" w:gutter="0" w:footer="0" w:header="0"/>
        </w:sectPr>
      </w:pPr>
    </w:p>
    <w:bookmarkStart w:id="91" w:name="page92"/>
    <w:bookmarkEnd w:id="91"/>
    <w:p>
      <w:pPr>
        <w:ind w:left="200"/>
        <w:spacing w:after="0"/>
        <w:rPr>
          <w:sz w:val="20"/>
          <w:szCs w:val="20"/>
          <w:color w:val="auto"/>
        </w:rPr>
      </w:pPr>
      <w:r>
        <w:rPr>
          <w:rFonts w:ascii="Times New Roman" w:cs="Times New Roman" w:eastAsia="Times New Roman" w:hAnsi="Times New Roman"/>
          <w:sz w:val="29"/>
          <w:szCs w:val="29"/>
          <w:color w:val="2E74B5"/>
        </w:rPr>
        <w:t>11. Transactions by Matson</w:t>
      </w:r>
    </w:p>
    <w:p>
      <w:pPr>
        <w:spacing w:after="0" w:line="230" w:lineRule="exact"/>
        <w:rPr>
          <w:sz w:val="20"/>
          <w:szCs w:val="20"/>
          <w:color w:val="auto"/>
        </w:rPr>
      </w:pPr>
    </w:p>
    <w:p>
      <w:pPr>
        <w:ind w:left="200" w:right="299"/>
        <w:spacing w:after="0" w:line="307" w:lineRule="auto"/>
        <w:rPr>
          <w:sz w:val="20"/>
          <w:szCs w:val="20"/>
          <w:color w:val="auto"/>
        </w:rPr>
      </w:pPr>
      <w:r>
        <w:rPr>
          <w:rFonts w:ascii="Georgia" w:cs="Georgia" w:eastAsia="Georgia" w:hAnsi="Georgia"/>
          <w:sz w:val="22"/>
          <w:szCs w:val="22"/>
          <w:color w:val="auto"/>
        </w:rPr>
        <w:t>From time to time, Matson may engage in transactions in its own securities, including share issuances and repurchases. Matson’s practices with respect to share issuances and repurchases, which are overseen by the Treasury and Law Departments (and approved by the Board of Directors or appropriate committee, if required), are designed to promote compliance with applicable insider trading and other securities laws, rules, regulations and listing standards. Transactions pursuant to equity-based compensation arrangements are conducted in accordance with the terms of the plans and agreements.</w:t>
      </w:r>
    </w:p>
    <w:p>
      <w:pPr>
        <w:spacing w:after="0" w:line="245" w:lineRule="exact"/>
        <w:rPr>
          <w:sz w:val="20"/>
          <w:szCs w:val="20"/>
          <w:color w:val="auto"/>
        </w:rPr>
      </w:pPr>
    </w:p>
    <w:p>
      <w:pPr>
        <w:jc w:val="center"/>
        <w:ind w:right="19"/>
        <w:spacing w:after="0"/>
        <w:rPr>
          <w:sz w:val="20"/>
          <w:szCs w:val="20"/>
          <w:color w:val="auto"/>
        </w:rPr>
      </w:pPr>
      <w:r>
        <w:rPr>
          <w:rFonts w:ascii="Georgia" w:cs="Georgia" w:eastAsia="Georgia" w:hAnsi="Georgia"/>
          <w:sz w:val="20"/>
          <w:szCs w:val="20"/>
          <w:color w:val="auto"/>
        </w:rPr>
        <w:t xml:space="preserve">Page </w:t>
      </w:r>
      <w:r>
        <w:rPr>
          <w:rFonts w:ascii="Georgia" w:cs="Georgia" w:eastAsia="Georgia" w:hAnsi="Georgia"/>
          <w:sz w:val="20"/>
          <w:szCs w:val="20"/>
          <w:b w:val="1"/>
          <w:bCs w:val="1"/>
          <w:color w:val="auto"/>
        </w:rPr>
        <w:t>6</w:t>
      </w:r>
      <w:r>
        <w:rPr>
          <w:rFonts w:ascii="Georgia" w:cs="Georgia" w:eastAsia="Georgia" w:hAnsi="Georgia"/>
          <w:sz w:val="20"/>
          <w:szCs w:val="20"/>
          <w:color w:val="auto"/>
        </w:rPr>
        <w:t xml:space="preserve"> of </w:t>
      </w:r>
      <w:r>
        <w:rPr>
          <w:rFonts w:ascii="Georgia" w:cs="Georgia" w:eastAsia="Georgia" w:hAnsi="Georgia"/>
          <w:sz w:val="20"/>
          <w:szCs w:val="2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513715</wp:posOffset>
            </wp:positionV>
            <wp:extent cx="54521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44" w:right="1440" w:bottom="1440" w:gutter="0" w:footer="0" w:header="0"/>
        </w:sectPr>
      </w:pPr>
    </w:p>
    <w:bookmarkStart w:id="92" w:name="page93"/>
    <w:bookmarkEnd w:id="92"/>
    <w:p>
      <w:pPr>
        <w:ind w:left="838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0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MATSON, INC.</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gridSpan w:val="3"/>
          </w:tcPr>
          <w:p>
            <w:pPr>
              <w:jc w:val="center"/>
              <w:ind w:left="2394"/>
              <w:spacing w:after="0"/>
              <w:rPr>
                <w:sz w:val="20"/>
                <w:szCs w:val="20"/>
                <w:color w:val="auto"/>
              </w:rPr>
            </w:pPr>
            <w:r>
              <w:rPr>
                <w:rFonts w:ascii="Times New Roman" w:cs="Times New Roman" w:eastAsia="Times New Roman" w:hAnsi="Times New Roman"/>
                <w:sz w:val="18"/>
                <w:szCs w:val="18"/>
                <w:b w:val="1"/>
                <w:bCs w:val="1"/>
                <w:color w:val="auto"/>
                <w:w w:val="99"/>
              </w:rPr>
              <w:t>Subsidiaries as of December 31, 2024</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vMerge w:val="restart"/>
          </w:tcPr>
          <w:p>
            <w:pPr>
              <w:spacing w:after="0"/>
              <w:rPr>
                <w:sz w:val="24"/>
                <w:szCs w:val="24"/>
                <w:color w:val="auto"/>
              </w:rPr>
            </w:pP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ABHI-Crockett,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Matson Navigation Company,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Alaska,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Horizon Lines Holding Corp.</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Lines of Puerto Rico,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HLPR Holding Corp.</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Logistics,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Horizon Services Group,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Aero Logistics,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Horizon Lines,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Horizon Lines of Guam,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Horizon Lines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H-L Distribution Service,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Matson Navigation Company of Alaska,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240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2560"/>
              <w:spacing w:after="0"/>
              <w:rPr>
                <w:sz w:val="20"/>
                <w:szCs w:val="20"/>
                <w:color w:val="auto"/>
              </w:rPr>
            </w:pPr>
            <w:r>
              <w:rPr>
                <w:rFonts w:ascii="Times New Roman" w:cs="Times New Roman" w:eastAsia="Times New Roman" w:hAnsi="Times New Roman"/>
                <w:sz w:val="17"/>
                <w:szCs w:val="17"/>
                <w:color w:val="auto"/>
              </w:rPr>
              <w:t>Horizon Lines Merchant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220"/>
              <w:spacing w:after="0"/>
              <w:rPr>
                <w:sz w:val="20"/>
                <w:szCs w:val="20"/>
                <w:color w:val="auto"/>
              </w:rPr>
            </w:pPr>
            <w:r>
              <w:rPr>
                <w:rFonts w:ascii="Times New Roman" w:cs="Times New Roman" w:eastAsia="Times New Roman" w:hAnsi="Times New Roman"/>
                <w:sz w:val="17"/>
                <w:szCs w:val="17"/>
                <w:color w:val="auto"/>
              </w:rPr>
              <w:t>Horizon Lines Alaska Vessels,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220"/>
              <w:spacing w:after="0"/>
              <w:rPr>
                <w:sz w:val="20"/>
                <w:szCs w:val="20"/>
                <w:color w:val="auto"/>
              </w:rPr>
            </w:pPr>
            <w:r>
              <w:rPr>
                <w:rFonts w:ascii="Times New Roman" w:cs="Times New Roman" w:eastAsia="Times New Roman" w:hAnsi="Times New Roman"/>
                <w:sz w:val="17"/>
                <w:szCs w:val="17"/>
                <w:color w:val="auto"/>
              </w:rPr>
              <w:t>Horizon Lines Alaska Terminals,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Logistics,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Matson Logistics Services, LLC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Matson Logistics, MX, S. de R.L. de C.V.</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Mexico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CFF"/>
          </w:tcPr>
          <w:p>
            <w:pPr>
              <w:ind w:left="700"/>
              <w:spacing w:after="0"/>
              <w:rPr>
                <w:sz w:val="20"/>
                <w:szCs w:val="20"/>
                <w:color w:val="auto"/>
              </w:rPr>
            </w:pPr>
            <w:r>
              <w:rPr>
                <w:rFonts w:ascii="Times New Roman" w:cs="Times New Roman" w:eastAsia="Times New Roman" w:hAnsi="Times New Roman"/>
                <w:sz w:val="17"/>
                <w:szCs w:val="17"/>
                <w:color w:val="auto"/>
              </w:rPr>
              <w:t>Matson Logistics Warehousing, Inc.</w:t>
            </w:r>
          </w:p>
        </w:tc>
        <w:tc>
          <w:tcPr>
            <w:tcW w:w="25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Span Intermediate,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CFF"/>
          </w:tcPr>
          <w:p>
            <w:pPr>
              <w:ind w:left="920"/>
              <w:spacing w:after="0"/>
              <w:rPr>
                <w:sz w:val="20"/>
                <w:szCs w:val="20"/>
                <w:color w:val="auto"/>
              </w:rPr>
            </w:pPr>
            <w:r>
              <w:rPr>
                <w:rFonts w:ascii="Times New Roman" w:cs="Times New Roman" w:eastAsia="Times New Roman" w:hAnsi="Times New Roman"/>
                <w:sz w:val="17"/>
                <w:szCs w:val="17"/>
                <w:color w:val="auto"/>
              </w:rPr>
              <w:t>Subsidiary:</w:t>
            </w:r>
          </w:p>
        </w:tc>
        <w:tc>
          <w:tcPr>
            <w:tcW w:w="2500" w:type="dxa"/>
            <w:vAlign w:val="bottom"/>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Span Acquisition Co.,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CFF"/>
          </w:tcPr>
          <w:p>
            <w:pPr>
              <w:ind w:left="15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Span-Alaska Transportation,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CFF"/>
          </w:tcPr>
          <w:p>
            <w:pPr>
              <w:ind w:left="1920"/>
              <w:spacing w:after="0"/>
              <w:rPr>
                <w:sz w:val="20"/>
                <w:szCs w:val="20"/>
                <w:color w:val="auto"/>
              </w:rPr>
            </w:pPr>
            <w:r>
              <w:rPr>
                <w:rFonts w:ascii="Times New Roman" w:cs="Times New Roman" w:eastAsia="Times New Roman" w:hAnsi="Times New Roman"/>
                <w:sz w:val="17"/>
                <w:szCs w:val="17"/>
                <w:color w:val="auto"/>
              </w:rPr>
              <w:t>Alaska Freight Express, LLC</w:t>
            </w:r>
          </w:p>
        </w:tc>
        <w:tc>
          <w:tcPr>
            <w:tcW w:w="25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7"/>
                <w:szCs w:val="17"/>
                <w:color w:val="auto"/>
              </w:rPr>
              <w:t>Washington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auto"/>
              </w:rPr>
              <w:t>Midnight Sun Transportation Services,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Alaska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CFF"/>
          </w:tcPr>
          <w:p>
            <w:pPr>
              <w:ind w:left="340"/>
              <w:spacing w:after="0"/>
              <w:rPr>
                <w:sz w:val="20"/>
                <w:szCs w:val="20"/>
                <w:color w:val="auto"/>
              </w:rPr>
            </w:pPr>
            <w:r>
              <w:rPr>
                <w:rFonts w:ascii="Times New Roman" w:cs="Times New Roman" w:eastAsia="Times New Roman" w:hAnsi="Times New Roman"/>
                <w:sz w:val="17"/>
                <w:szCs w:val="17"/>
                <w:color w:val="auto"/>
              </w:rPr>
              <w:t>AERAS Technologies, LLC</w:t>
            </w:r>
          </w:p>
        </w:tc>
        <w:tc>
          <w:tcPr>
            <w:tcW w:w="250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7"/>
                <w:szCs w:val="17"/>
                <w:color w:val="auto"/>
              </w:rPr>
              <w:t>California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Navigation Vessels, LLC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Delaware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Terminals, Inc.</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Ventures, Inc.</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Logistics (Shanghai) Co., Ltd.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Shipping (Hong Kong)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Shipping (Shanghai) Co., Ltd.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Logistics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Hong Kong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Matson Shipping Japan KK</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Japan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Matson South Pacific Holdco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Subsidiary:</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Matson South Pacific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Subsidiaries:</w:t>
            </w:r>
          </w:p>
        </w:tc>
        <w:tc>
          <w:tcPr>
            <w:tcW w:w="2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Tranz Pacific Ship Management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New Zealand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Island Chief Shipping Limited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Liloa II Shipping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Olomana Shipping Limited</w:t>
            </w:r>
          </w:p>
        </w:tc>
        <w:tc>
          <w:tcPr>
            <w:tcW w:w="2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3"/>
          </w:tcPr>
          <w:p>
            <w:pPr>
              <w:ind w:left="1260"/>
              <w:spacing w:after="0"/>
              <w:rPr>
                <w:sz w:val="20"/>
                <w:szCs w:val="20"/>
                <w:color w:val="auto"/>
              </w:rPr>
            </w:pPr>
            <w:r>
              <w:rPr>
                <w:rFonts w:ascii="Times New Roman" w:cs="Times New Roman" w:eastAsia="Times New Roman" w:hAnsi="Times New Roman"/>
                <w:sz w:val="17"/>
                <w:szCs w:val="17"/>
                <w:color w:val="auto"/>
              </w:rPr>
              <w:t>Papa Mau Shipping Limited</w:t>
            </w:r>
          </w:p>
        </w:tc>
        <w:tc>
          <w:tcPr>
            <w:tcW w:w="250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Antigua &amp; Barbuda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7" w:right="1259" w:bottom="1440" w:gutter="0" w:footer="0" w:header="0"/>
        </w:sectPr>
      </w:pPr>
    </w:p>
    <w:bookmarkStart w:id="93" w:name="page94"/>
    <w:bookmarkEnd w:id="9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333-258289 and 333-212194 on Form S-8 of our report dated February 28, 2025, relating to the consolidated financial statements of Matson, Inc. and subsidiaries and the effectiveness of Matson, Inc. and subsidiaries’ internal control over financial reporting appearing in this Annual Report on Form 10-K for the year ended December 31, 2024.</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Honolulu, Hawaii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4" w:name="page95"/>
    <w:bookmarkEnd w:id="9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225" w:lineRule="exact"/>
        <w:rPr>
          <w:sz w:val="20"/>
          <w:szCs w:val="20"/>
          <w:color w:val="auto"/>
        </w:rPr>
      </w:pPr>
    </w:p>
    <w:p>
      <w:pPr>
        <w:ind w:left="680" w:hanging="636"/>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Matson, Inc.;</w:t>
      </w:r>
    </w:p>
    <w:p>
      <w:pPr>
        <w:spacing w:after="0" w:line="225" w:lineRule="exact"/>
        <w:rPr>
          <w:rFonts w:ascii="Times New Roman" w:cs="Times New Roman" w:eastAsia="Times New Roman" w:hAnsi="Times New Roman"/>
          <w:sz w:val="18"/>
          <w:szCs w:val="18"/>
          <w:color w:val="auto"/>
        </w:rPr>
      </w:pPr>
    </w:p>
    <w:p>
      <w:pPr>
        <w:ind w:left="40" w:right="79" w:firstLine="4"/>
        <w:spacing w:after="0" w:line="266" w:lineRule="auto"/>
        <w:tabs>
          <w:tab w:leader="none" w:pos="67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40" w:right="239" w:firstLine="4"/>
        <w:spacing w:after="0" w:line="266" w:lineRule="auto"/>
        <w:tabs>
          <w:tab w:leader="none" w:pos="67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40" w:right="239" w:firstLine="4"/>
        <w:spacing w:after="0" w:line="258" w:lineRule="auto"/>
        <w:tabs>
          <w:tab w:leader="none" w:pos="6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40" w:right="99" w:firstLine="652"/>
        <w:spacing w:after="0" w:line="261" w:lineRule="auto"/>
        <w:tabs>
          <w:tab w:leader="none" w:pos="12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40" w:right="519" w:firstLine="652"/>
        <w:spacing w:after="0" w:line="261" w:lineRule="auto"/>
        <w:tabs>
          <w:tab w:leader="none" w:pos="12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0" w:right="99" w:firstLine="652"/>
        <w:spacing w:after="0" w:line="266" w:lineRule="auto"/>
        <w:tabs>
          <w:tab w:leader="none" w:pos="12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40" w:right="99" w:firstLine="652"/>
        <w:spacing w:after="0" w:line="261" w:lineRule="auto"/>
        <w:tabs>
          <w:tab w:leader="none" w:pos="12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40" w:right="99" w:firstLine="4"/>
        <w:spacing w:after="0" w:line="258" w:lineRule="auto"/>
        <w:tabs>
          <w:tab w:leader="none" w:pos="6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40" w:right="119" w:firstLine="652"/>
        <w:spacing w:after="0" w:line="266" w:lineRule="auto"/>
        <w:tabs>
          <w:tab w:leader="none" w:pos="119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40" w:right="239" w:firstLine="652"/>
        <w:spacing w:after="0" w:line="282" w:lineRule="auto"/>
        <w:tabs>
          <w:tab w:leader="none" w:pos="120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17145</wp:posOffset>
            </wp:positionV>
            <wp:extent cx="2631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Matthew J. Cox, Chairman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5" w:name="page96"/>
    <w:bookmarkEnd w:id="9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225" w:lineRule="exact"/>
        <w:rPr>
          <w:sz w:val="20"/>
          <w:szCs w:val="20"/>
          <w:color w:val="auto"/>
        </w:rPr>
      </w:pPr>
    </w:p>
    <w:p>
      <w:pPr>
        <w:ind w:left="680" w:hanging="630"/>
        <w:spacing w:after="0"/>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Matson, Inc.;</w:t>
      </w:r>
    </w:p>
    <w:p>
      <w:pPr>
        <w:spacing w:after="0" w:line="225" w:lineRule="exact"/>
        <w:rPr>
          <w:rFonts w:ascii="Times New Roman" w:cs="Times New Roman" w:eastAsia="Times New Roman" w:hAnsi="Times New Roman"/>
          <w:sz w:val="18"/>
          <w:szCs w:val="18"/>
          <w:color w:val="auto"/>
        </w:rPr>
      </w:pPr>
    </w:p>
    <w:p>
      <w:pPr>
        <w:ind w:left="60" w:right="79" w:hanging="10"/>
        <w:spacing w:after="0" w:line="266" w:lineRule="auto"/>
        <w:tabs>
          <w:tab w:leader="none" w:pos="69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60" w:right="239" w:hanging="10"/>
        <w:spacing w:after="0" w:line="266" w:lineRule="auto"/>
        <w:tabs>
          <w:tab w:leader="none" w:pos="69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239" w:hanging="10"/>
        <w:spacing w:after="0" w:line="258" w:lineRule="auto"/>
        <w:tabs>
          <w:tab w:leader="none" w:pos="6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60" w:right="79" w:firstLine="638"/>
        <w:spacing w:after="0" w:line="261" w:lineRule="auto"/>
        <w:tabs>
          <w:tab w:leader="none" w:pos="126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60" w:right="459" w:firstLine="638"/>
        <w:spacing w:after="0" w:line="261" w:lineRule="auto"/>
        <w:tabs>
          <w:tab w:leader="none" w:pos="12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79" w:firstLine="638"/>
        <w:spacing w:after="0" w:line="266" w:lineRule="auto"/>
        <w:tabs>
          <w:tab w:leader="none" w:pos="126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60" w:right="459" w:firstLine="638"/>
        <w:spacing w:after="0" w:line="261" w:lineRule="auto"/>
        <w:tabs>
          <w:tab w:leader="none" w:pos="127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hanging="10"/>
        <w:spacing w:after="0" w:line="258" w:lineRule="auto"/>
        <w:tabs>
          <w:tab w:leader="none" w:pos="6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60" w:right="119" w:firstLine="638"/>
        <w:spacing w:after="0" w:line="266" w:lineRule="auto"/>
        <w:tabs>
          <w:tab w:leader="none" w:pos="125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0" w:right="179" w:firstLine="638"/>
        <w:spacing w:after="0" w:line="282" w:lineRule="auto"/>
        <w:tabs>
          <w:tab w:leader="none" w:pos="126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588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Joel M. Wine, Executive Vice President</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6" w:name="page97"/>
    <w:bookmarkEnd w:id="9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In connection with the Annual Report of Matson, Inc. (the “Company”) on Form 10-K for the fiscal year ended December 31, 2024 as filed with the Securities and Exchange Commission on the date hereof (the “Report”), Matthew J. Cox, as Chairman and Chief Executive Officer of the Company, and Joel M. Wine, as Executive Vice President and Chief Financial Officer of the Company, hereby certify, pursuant to 18 U.S.C. Section 1350, as adopted pursuant to Section 906 of the Sarbanes-Oxley Act of 2002, that to their knowledge:</w:t>
      </w:r>
    </w:p>
    <w:p>
      <w:pPr>
        <w:spacing w:after="0" w:line="187" w:lineRule="exact"/>
        <w:rPr>
          <w:sz w:val="20"/>
          <w:szCs w:val="20"/>
          <w:color w:val="auto"/>
        </w:rPr>
      </w:pPr>
    </w:p>
    <w:p>
      <w:pPr>
        <w:ind w:left="1340" w:hanging="642"/>
        <w:spacing w:after="0"/>
        <w:tabs>
          <w:tab w:leader="none" w:pos="1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of 1934; and</w:t>
      </w:r>
    </w:p>
    <w:p>
      <w:pPr>
        <w:spacing w:after="0" w:line="206" w:lineRule="exact"/>
        <w:rPr>
          <w:rFonts w:ascii="Times New Roman" w:cs="Times New Roman" w:eastAsia="Times New Roman" w:hAnsi="Times New Roman"/>
          <w:sz w:val="18"/>
          <w:szCs w:val="18"/>
          <w:color w:val="auto"/>
        </w:rPr>
      </w:pPr>
    </w:p>
    <w:p>
      <w:pPr>
        <w:ind w:left="60" w:right="279" w:firstLine="638"/>
        <w:spacing w:after="0" w:line="282" w:lineRule="auto"/>
        <w:tabs>
          <w:tab w:leader="none" w:pos="13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0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Matthew J. Cox</w:t>
      </w:r>
    </w:p>
    <w:p>
      <w:pPr>
        <w:spacing w:after="0" w:line="23"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0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Joel M. Wine</w:t>
      </w:r>
    </w:p>
    <w:p>
      <w:pPr>
        <w:spacing w:after="0" w:line="23"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upperLetter"/>
      <w:start w:val="1"/>
    </w:lvl>
  </w:abstractNum>
  <w:abstractNum w:abstractNumId="3">
    <w:nsid w:val="7A6D8D3C"/>
    <w:multiLevelType w:val="hybridMultilevel"/>
    <w:lvl w:ilvl="0">
      <w:lvlJc w:val="left"/>
      <w:lvlText w:val=" "/>
      <w:numFmt w:val="bullet"/>
      <w:start w:val="1"/>
    </w:lvl>
  </w:abstractNum>
  <w:abstractNum w:abstractNumId="4">
    <w:nsid w:val="4B588F54"/>
    <w:multiLevelType w:val="hybridMultilevel"/>
    <w:lvl w:ilvl="0">
      <w:lvlJc w:val="left"/>
      <w:lvlText w:val="%1."/>
      <w:numFmt w:val="upperLetter"/>
      <w:start w:val="2"/>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2"/>
    </w:lvl>
  </w:abstractNum>
  <w:abstractNum w:abstractNumId="8">
    <w:nsid w:val="7644A45C"/>
    <w:multiLevelType w:val="hybridMultilevel"/>
    <w:lvl w:ilvl="0">
      <w:lvlJc w:val="left"/>
      <w:lvlText w:val="%1."/>
      <w:numFmt w:val="upperLetter"/>
      <w:start w:val="3"/>
    </w:lvl>
  </w:abstractNum>
  <w:abstractNum w:abstractNumId="9">
    <w:nsid w:val="32FFF902"/>
    <w:multiLevelType w:val="hybridMultilevel"/>
    <w:lvl w:ilvl="0">
      <w:lvlJc w:val="left"/>
      <w:lvlText w:val="%1."/>
      <w:numFmt w:val="upperLetter"/>
      <w:start w:val="4"/>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 "/>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2"/>
    </w:lvl>
  </w:abstractNum>
  <w:abstractNum w:abstractNumId="22">
    <w:nsid w:val="23F9C13C"/>
    <w:multiLevelType w:val="hybridMultilevel"/>
    <w:lvl w:ilvl="0">
      <w:lvlJc w:val="left"/>
      <w:lvlText w:val="(%1)"/>
      <w:numFmt w:val="decimal"/>
      <w:start w:val="3"/>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2"/>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decimal"/>
      <w:start w:val="3"/>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2"/>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lvl w:ilvl="1">
      <w:lvlJc w:val="left"/>
      <w:lvlText w:val="o"/>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lvl w:ilvl="1">
      <w:lvlJc w:val="left"/>
      <w:lvlText w:val="o"/>
      <w:numFmt w:val="bullet"/>
      <w:start w:val="1"/>
    </w:lvl>
  </w:abstractNum>
  <w:abstractNum w:abstractNumId="41">
    <w:nsid w:val="5FF87E05"/>
    <w:multiLevelType w:val="hybridMultilevel"/>
    <w:lvl w:ilvl="0">
      <w:lvlJc w:val="left"/>
      <w:lvlText w:val="%1."/>
      <w:numFmt w:val="decimal"/>
      <w:start w:val="4"/>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5"/>
    </w:lvl>
  </w:abstractNum>
  <w:abstractNum w:abstractNumId="45">
    <w:nsid w:val="4AD084E9"/>
    <w:multiLevelType w:val="hybridMultilevel"/>
    <w:lvl w:ilvl="0">
      <w:lvlJc w:val="left"/>
      <w:lvlText w:val="%1."/>
      <w:numFmt w:val="decimal"/>
      <w:start w:val="7"/>
    </w:lvl>
  </w:abstractNum>
  <w:abstractNum w:abstractNumId="46">
    <w:nsid w:val="1F48EAA1"/>
    <w:multiLevelType w:val="hybridMultilevel"/>
    <w:lvl w:ilvl="0">
      <w:lvlJc w:val="left"/>
      <w:lvlText w:val="(%1)"/>
      <w:numFmt w:val="lowerRoman"/>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decimal"/>
      <w:start w:val="9"/>
    </w:lvl>
  </w:abstractNum>
  <w:abstractNum w:abstractNumId="49">
    <w:nsid w:val="100F8FCA"/>
    <w:multiLevelType w:val="hybridMultilevel"/>
    <w:lvl w:ilvl="0">
      <w:lvlJc w:val="left"/>
      <w:lvlText w:val="%1."/>
      <w:numFmt w:val="decimal"/>
      <w:start w:val="10"/>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1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12"/>
    </w:lvl>
  </w:abstractNum>
  <w:abstractNum w:abstractNumId="57">
    <w:nsid w:val="168E121F"/>
    <w:multiLevelType w:val="hybridMultilevel"/>
    <w:lvl w:ilvl="0">
      <w:lvlJc w:val="left"/>
      <w:lvlText w:val="%1."/>
      <w:numFmt w:val="decimal"/>
      <w:start w:val="13"/>
    </w:lvl>
  </w:abstractNum>
  <w:abstractNum w:abstractNumId="58">
    <w:nsid w:val="1EBA5D23"/>
    <w:multiLevelType w:val="hybridMultilevel"/>
    <w:lvl w:ilvl="0">
      <w:lvlJc w:val="left"/>
      <w:lvlText w:val="%1."/>
      <w:numFmt w:val="decimal"/>
      <w:start w:val="14"/>
    </w:lvl>
  </w:abstractNum>
  <w:abstractNum w:abstractNumId="59">
    <w:nsid w:val="661E3F1E"/>
    <w:multiLevelType w:val="hybridMultilevel"/>
    <w:lvl w:ilvl="0">
      <w:lvlJc w:val="left"/>
      <w:lvlText w:val="%1."/>
      <w:numFmt w:val="decimal"/>
      <w:start w:val="15"/>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16"/>
    </w:lvl>
  </w:abstractNum>
  <w:abstractNum w:abstractNumId="62">
    <w:nsid w:val="7BD3EE7B"/>
    <w:multiLevelType w:val="hybridMultilevel"/>
    <w:lvl w:ilvl="0">
      <w:lvlJc w:val="left"/>
      <w:lvlText w:val="%1."/>
      <w:numFmt w:val="decimal"/>
      <w:start w:val="17"/>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1."/>
      <w:numFmt w:val="upperLetter"/>
      <w:start w:val="1"/>
    </w:lvl>
  </w:abstractNum>
  <w:abstractNum w:abstractNumId="66">
    <w:nsid w:val="11447B73"/>
    <w:multiLevelType w:val="hybridMultilevel"/>
    <w:lvl w:ilvl="0">
      <w:lvlJc w:val="left"/>
      <w:lvlText w:val="%1."/>
      <w:numFmt w:val="upperLetter"/>
      <w:start w:val="2"/>
    </w:lvl>
  </w:abstractNum>
  <w:abstractNum w:abstractNumId="67">
    <w:nsid w:val="42963E5A"/>
    <w:multiLevelType w:val="hybridMultilevel"/>
    <w:lvl w:ilvl="0">
      <w:lvlJc w:val="left"/>
      <w:lvlText w:val="%1."/>
      <w:numFmt w:val="upperLetter"/>
      <w:start w:val="3"/>
    </w:lvl>
  </w:abstractNum>
  <w:abstractNum w:abstractNumId="68">
    <w:nsid w:val="A0382C5"/>
    <w:multiLevelType w:val="hybridMultilevel"/>
    <w:lvl w:ilvl="0">
      <w:lvlJc w:val="left"/>
      <w:lvlText w:val="%1."/>
      <w:numFmt w:val="upperLetter"/>
      <w:start w:val="4"/>
    </w:lvl>
  </w:abstractNum>
  <w:abstractNum w:abstractNumId="69">
    <w:nsid w:val="8F2B15E"/>
    <w:multiLevelType w:val="hybridMultilevel"/>
    <w:lvl w:ilvl="0">
      <w:lvlJc w:val="left"/>
      <w:lvlText w:val="%1."/>
      <w:numFmt w:val="upperLetter"/>
      <w:start w:val="5"/>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upperLetter"/>
      <w:start w:val="1"/>
    </w:lvl>
  </w:abstractNum>
  <w:abstractNum w:abstractNumId="72">
    <w:nsid w:val="68EB2F63"/>
    <w:multiLevelType w:val="hybridMultilevel"/>
    <w:lvl w:ilvl="0">
      <w:lvlJc w:val="left"/>
      <w:lvlText w:val="%1."/>
      <w:numFmt w:val="upperLetter"/>
      <w:start w:val="2"/>
    </w:lvl>
  </w:abstractNum>
  <w:abstractNum w:abstractNumId="73">
    <w:nsid w:val="4962813B"/>
    <w:multiLevelType w:val="hybridMultilevel"/>
    <w:lvl w:ilvl="0">
      <w:lvlJc w:val="left"/>
      <w:lvlText w:val="%1."/>
      <w:numFmt w:val="upperLetter"/>
      <w:start w:val="3"/>
    </w:lvl>
  </w:abstractNum>
  <w:abstractNum w:abstractNumId="74">
    <w:nsid w:val="60B6DF70"/>
    <w:multiLevelType w:val="hybridMultilevel"/>
    <w:lvl w:ilvl="0">
      <w:lvlJc w:val="left"/>
      <w:lvlText w:val="2"/>
      <w:numFmt w:val="bullet"/>
      <w:start w:val="1"/>
    </w:lvl>
  </w:abstractNum>
  <w:abstractNum w:abstractNumId="75">
    <w:nsid w:val="6A5EE64"/>
    <w:multiLevelType w:val="hybridMultilevel"/>
    <w:lvl w:ilvl="0">
      <w:lvlJc w:val="left"/>
      <w:lvlText w:val="3"/>
      <w:numFmt w:val="bullet"/>
      <w:start w:val="1"/>
    </w:lvl>
  </w:abstractNum>
  <w:abstractNum w:abstractNumId="76">
    <w:nsid w:val="14330624"/>
    <w:multiLevelType w:val="hybridMultilevel"/>
    <w:lvl w:ilvl="0">
      <w:lvlJc w:val="left"/>
      <w:lvlText w:val="4"/>
      <w:numFmt w:val="bullet"/>
      <w:start w:val="1"/>
    </w:lvl>
  </w:abstractNum>
  <w:abstractNum w:abstractNumId="77">
    <w:nsid w:val="7FFFCA11"/>
    <w:multiLevelType w:val="hybridMultilevel"/>
    <w:lvl w:ilvl="0">
      <w:lvlJc w:val="left"/>
      <w:lvlText w:val="%1"/>
      <w:numFmt w:val="decimal"/>
      <w:start w:val="97"/>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1."/>
      <w:numFmt w:val="decimal"/>
      <w:start w:val="2"/>
    </w:lvl>
    <w:lvl w:ilvl="1">
      <w:lvlJc w:val="left"/>
      <w:lvlText w:val="%2."/>
      <w:numFmt w:val="lowerLetter"/>
      <w:start w:val="1"/>
    </w:lvl>
  </w:abstractNum>
  <w:abstractNum w:abstractNumId="81">
    <w:nsid w:val="7FB7E0AA"/>
    <w:multiLevelType w:val="hybridMultilevel"/>
    <w:lvl w:ilvl="0">
      <w:lvlJc w:val="left"/>
      <w:lvlText w:val="%1."/>
      <w:numFmt w:val="lowerLetter"/>
      <w:start w:val="3"/>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1."/>
      <w:numFmt w:val="decimal"/>
      <w:start w:val="7"/>
    </w:lvl>
    <w:lvl w:ilvl="1">
      <w:lvlJc w:val="left"/>
      <w:lvlText w:val="●"/>
      <w:numFmt w:val="bullet"/>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9" Type="http://schemas.openxmlformats.org/officeDocument/2006/relationships/image" Target="media/image93.png"/><Relationship Id="rId124" Type="http://schemas.openxmlformats.org/officeDocument/2006/relationships/image" Target="media/image94.png"/><Relationship Id="rId142" Type="http://schemas.openxmlformats.org/officeDocument/2006/relationships/image" Target="media/image95.png"/><Relationship Id="rId158" Type="http://schemas.openxmlformats.org/officeDocument/2006/relationships/image" Target="media/image96.png"/><Relationship Id="rId160" Type="http://schemas.openxmlformats.org/officeDocument/2006/relationships/image" Target="media/image97.png"/><Relationship Id="rId161" Type="http://schemas.openxmlformats.org/officeDocument/2006/relationships/image" Target="media/image98.png"/><Relationship Id="rId162" Type="http://schemas.openxmlformats.org/officeDocument/2006/relationships/image" Target="media/image99.png"/><Relationship Id="rId163" Type="http://schemas.openxmlformats.org/officeDocument/2006/relationships/image" Target="media/image100.png"/><Relationship Id="rId164" Type="http://schemas.openxmlformats.org/officeDocument/2006/relationships/image" Target="media/image101.png"/><Relationship Id="rId165" Type="http://schemas.openxmlformats.org/officeDocument/2006/relationships/image" Target="media/image102.png"/><Relationship Id="rId166" Type="http://schemas.openxmlformats.org/officeDocument/2006/relationships/image" Target="media/image103.png"/><Relationship Id="rId167" Type="http://schemas.openxmlformats.org/officeDocument/2006/relationships/image" Target="media/image104.png"/><Relationship Id="rId168" Type="http://schemas.openxmlformats.org/officeDocument/2006/relationships/image" Target="media/image105.png"/><Relationship Id="rId169" Type="http://schemas.openxmlformats.org/officeDocument/2006/relationships/image" Target="media/image106.png"/><Relationship Id="rId170" Type="http://schemas.openxmlformats.org/officeDocument/2006/relationships/image" Target="media/image107.png"/><Relationship Id="rId171" Type="http://schemas.openxmlformats.org/officeDocument/2006/relationships/image" Target="media/image108.png"/><Relationship Id="rId172" Type="http://schemas.openxmlformats.org/officeDocument/2006/relationships/image" Target="media/image109.png"/><Relationship Id="rId173"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6" Type="http://schemas.openxmlformats.org/officeDocument/2006/relationships/image" Target="media/image113.png"/><Relationship Id="rId177" Type="http://schemas.openxmlformats.org/officeDocument/2006/relationships/image" Target="media/image114.png"/><Relationship Id="rId178" Type="http://schemas.openxmlformats.org/officeDocument/2006/relationships/image" Target="media/image115.png"/><Relationship Id="rId46" Type="http://schemas.openxmlformats.org/officeDocument/2006/relationships/hyperlink" Target="https://www.sec.gov/ix?doc=/Archives/edgar/data/3453/000155837024001570/matx-20231231x10k.htm" TargetMode="External"/><Relationship Id="rId101" Type="http://schemas.openxmlformats.org/officeDocument/2006/relationships/hyperlink" Target="http://www.sec.gov/Archives/edgar/data/3453/000110465914079225/a14-24264_1ex2d1.htm" TargetMode="External"/><Relationship Id="rId102" Type="http://schemas.openxmlformats.org/officeDocument/2006/relationships/hyperlink" Target="http://www.sec.gov/Archives/edgar/data/3453/000110465915011288/a15-4783_1ex2d1.htm" TargetMode="External"/><Relationship Id="rId103" Type="http://schemas.openxmlformats.org/officeDocument/2006/relationships/hyperlink" Target="http://www.sec.gov/Archives/edgar/data/1302707/000119312514411216/d820290dex22.htm" TargetMode="External"/><Relationship Id="rId104" Type="http://schemas.openxmlformats.org/officeDocument/2006/relationships/hyperlink" Target="http://www.sec.gov/Archives/edgar/data/3453/000110465915056414/a15-12015_1ex2d2.htm" TargetMode="External"/><Relationship Id="rId105" Type="http://schemas.openxmlformats.org/officeDocument/2006/relationships/hyperlink" Target="http://www.sec.gov/Archives/edgar/data/3453/000110465912056234/a12-16487_1ex3d1.htm" TargetMode="External"/><Relationship Id="rId106" Type="http://schemas.openxmlformats.org/officeDocument/2006/relationships/hyperlink" Target="http://www.sec.gov/Archives/edgar/data/3453/000110465912071639/a12-24769_1ex4d2.htm" TargetMode="External"/><Relationship Id="rId107" Type="http://schemas.openxmlformats.org/officeDocument/2006/relationships/hyperlink" Target="http://www.sec.gov/Archives/edgar/data/3453/000110465913082371/a13-19562_1ex3d1.htm" TargetMode="External"/><Relationship Id="rId108" Type="http://schemas.openxmlformats.org/officeDocument/2006/relationships/hyperlink" Target="https://www.sec.gov/Archives/edgar/data/3453/000155837020001757/ex-4.htm" TargetMode="External"/><Relationship Id="rId110" Type="http://schemas.openxmlformats.org/officeDocument/2006/relationships/hyperlink" Target="https://www.sec.gov/Archives/edgar/data/3453/000155837023001961/matx-20221231xex10d1.htm" TargetMode="External"/><Relationship Id="rId111" Type="http://schemas.openxmlformats.org/officeDocument/2006/relationships/hyperlink" Target="http://www.sec.gov/Archives/edgar/data/3453/000110465917043034/a17-15994_1ex10d4.htm" TargetMode="External"/><Relationship Id="rId112" Type="http://schemas.openxmlformats.org/officeDocument/2006/relationships/hyperlink" Target="http://www.sec.gov/Archives/edgar/data/3453/000110465917043034/a17-15994_1ex10d5.htm" TargetMode="External"/><Relationship Id="rId113" Type="http://schemas.openxmlformats.org/officeDocument/2006/relationships/hyperlink" Target="http://www.sec.gov/Archives/edgar/data/3453/000110465916163397/a16-23408_1ex10d1.htm" TargetMode="External"/><Relationship Id="rId114" Type="http://schemas.openxmlformats.org/officeDocument/2006/relationships/hyperlink" Target="http://www.sec.gov/Archives/edgar/data/3453/000110465916144681/a16-18469_1ex10d1.htm" TargetMode="External"/><Relationship Id="rId115" Type="http://schemas.openxmlformats.org/officeDocument/2006/relationships/hyperlink" Target="https://www.sec.gov/Archives/edgar/data/3453/000155837020003631/ex-10d4.htm" TargetMode="External"/><Relationship Id="rId116" Type="http://schemas.openxmlformats.org/officeDocument/2006/relationships/hyperlink" Target="https://www.sec.gov/Archives/edgar/data/3453/000155837020003631/ex-10d5.htm" TargetMode="External"/><Relationship Id="rId117" Type="http://schemas.openxmlformats.org/officeDocument/2006/relationships/hyperlink" Target="http://www.sec.gov/Archives/edgar/data/3453/000110465912056234/a12-16487_1ex10d1.htm" TargetMode="External"/><Relationship Id="rId118" Type="http://schemas.openxmlformats.org/officeDocument/2006/relationships/hyperlink" Target="http://www.sec.gov/Archives/edgar/data/3453/000110465912056234/a12-16487_1ex10d2.htm" TargetMode="External"/><Relationship Id="rId119" Type="http://schemas.openxmlformats.org/officeDocument/2006/relationships/hyperlink" Target="http://www.sec.gov/Archives/edgar/data/3453/000110465913016637/a12-29099_1ex10d34.htm" TargetMode="External"/><Relationship Id="rId120" Type="http://schemas.openxmlformats.org/officeDocument/2006/relationships/hyperlink" Target="https://www.sec.gov/Archives/edgar/data/3453/000155837020004825/matx-20200427xex10d1.htm" TargetMode="External"/><Relationship Id="rId121" Type="http://schemas.openxmlformats.org/officeDocument/2006/relationships/hyperlink" Target="https://www.sec.gov/Archives/edgar/data/3453/000155837020004825/matx-20200427xex10d2.htm" TargetMode="External"/><Relationship Id="rId122" Type="http://schemas.openxmlformats.org/officeDocument/2006/relationships/hyperlink" Target="https://www.sec.gov/Archives/edgar/data/3453/000155837020004825/matx-20200427xex10d3.htm" TargetMode="External"/><Relationship Id="rId123" Type="http://schemas.openxmlformats.org/officeDocument/2006/relationships/hyperlink" Target="https://www.sec.gov/Archives/edgar/data/3453/000155837020007781/matx-20200622xex10d1.htm" TargetMode="External"/><Relationship Id="rId125" Type="http://schemas.openxmlformats.org/officeDocument/2006/relationships/hyperlink" Target="https://www.sec.gov/Archives/edgar/data/3453/000155837020007781/matx-20200622xex10d2.htm" TargetMode="External"/><Relationship Id="rId126" Type="http://schemas.openxmlformats.org/officeDocument/2006/relationships/hyperlink" Target="https://www.sec.gov/Archives/edgar/data/3453/000155837020007781/matx-20200622xex10d3.htm" TargetMode="External"/><Relationship Id="rId127" Type="http://schemas.openxmlformats.org/officeDocument/2006/relationships/hyperlink" Target="http://www.sec.gov/Archives/edgar/data/3453/000110465914063623/a14-20075_1ex10d1.htm" TargetMode="External"/><Relationship Id="rId128" Type="http://schemas.openxmlformats.org/officeDocument/2006/relationships/hyperlink" Target="http://www.sec.gov/Archives/edgar/data/3453/000110465913016637/a12-29099_1ex10d45.htm" TargetMode="External"/><Relationship Id="rId129" Type="http://schemas.openxmlformats.org/officeDocument/2006/relationships/hyperlink" Target="http://www.sec.gov/Archives/edgar/data/3453/000110465915014988/a14-26312_1ex10d42.htm" TargetMode="External"/><Relationship Id="rId130" Type="http://schemas.openxmlformats.org/officeDocument/2006/relationships/hyperlink" Target="http://www.sec.gov/Archives/edgar/data/3453/000110465914073470/a14-22649_1ex10d1.htm" TargetMode="External"/><Relationship Id="rId131" Type="http://schemas.openxmlformats.org/officeDocument/2006/relationships/hyperlink" Target="https://www.sec.gov/Archives/edgar/data/3453/000155837023001961/matx-20221231xex10d23.htm" TargetMode="External"/><Relationship Id="rId132" Type="http://schemas.openxmlformats.org/officeDocument/2006/relationships/hyperlink" Target="https://www.sec.gov/Archives/edgar/data/3453/000155837021001909/matx-20201231xex10d28.htm" TargetMode="External"/><Relationship Id="rId133" Type="http://schemas.openxmlformats.org/officeDocument/2006/relationships/hyperlink" Target="http://www.sec.gov/Archives/edgar/data/3453/000110465913016637/a12-29099_1ex10d51.htm" TargetMode="External"/><Relationship Id="rId134" Type="http://schemas.openxmlformats.org/officeDocument/2006/relationships/hyperlink" Target="https://www.sec.gov/Archives/edgar/data/3453/000155837021001909/matx-20201231xex10d30.htm" TargetMode="External"/><Relationship Id="rId135" Type="http://schemas.openxmlformats.org/officeDocument/2006/relationships/hyperlink" Target="https://www.sec.gov/Archives/edgar/data/3453/000155837022002040/matx-20211231xex10d35.htm" TargetMode="External"/><Relationship Id="rId136" Type="http://schemas.openxmlformats.org/officeDocument/2006/relationships/hyperlink" Target="http://www.sec.gov/Archives/edgar/data/3453/000110465914079225/a14-24264_1ex10d1.htm" TargetMode="External"/><Relationship Id="rId137" Type="http://schemas.openxmlformats.org/officeDocument/2006/relationships/hyperlink" Target="https://www.sec.gov/Archives/edgar/data/3453/000155837021009648/tmb-20210730xex99d1.htm" TargetMode="External"/><Relationship Id="rId138" Type="http://schemas.openxmlformats.org/officeDocument/2006/relationships/hyperlink" Target="http://www.sec.gov/Archives/edgar/data/3453/000155837017000947/matx-20161231ex1063a7bab.htm" TargetMode="External"/><Relationship Id="rId139" Type="http://schemas.openxmlformats.org/officeDocument/2006/relationships/hyperlink" Target="http://www.sec.gov/Archives/edgar/data/3453/000155837017000947/matx-20161231ex1065f8a3a.htm" TargetMode="External"/><Relationship Id="rId140" Type="http://schemas.openxmlformats.org/officeDocument/2006/relationships/hyperlink" Target="https://www.sec.gov/Archives/edgar/data/3453/000155837021001909/matx-20201231xex10d47.htm" TargetMode="External"/><Relationship Id="rId141" Type="http://schemas.openxmlformats.org/officeDocument/2006/relationships/hyperlink" Target="https://www.sec.gov/Archives/edgar/data/3453/000155837021001909/matx-20201231xex10d48.htm" TargetMode="External"/><Relationship Id="rId143" Type="http://schemas.openxmlformats.org/officeDocument/2006/relationships/hyperlink" Target="https://www.sec.gov/Archives/edgar/data/3453/000155837021001909/matx-20201231xex10d49.htm" TargetMode="External"/><Relationship Id="rId144" Type="http://schemas.openxmlformats.org/officeDocument/2006/relationships/hyperlink" Target="https://www.sec.gov/Archives/edgar/data/3453/000155837021001909/matx-20201231xex10d50.htm" TargetMode="External"/><Relationship Id="rId145" Type="http://schemas.openxmlformats.org/officeDocument/2006/relationships/hyperlink" Target="https://www.sec.gov/Archives/edgar/data/3453/000155837021001909/matx-20201231xex10d51.htm" TargetMode="External"/><Relationship Id="rId146" Type="http://schemas.openxmlformats.org/officeDocument/2006/relationships/hyperlink" Target="https://www.sec.gov/Archives/edgar/data/3453/000155837021001909/matx-20201231xex10d52.htm" TargetMode="External"/><Relationship Id="rId147" Type="http://schemas.openxmlformats.org/officeDocument/2006/relationships/hyperlink" Target="https://www.sec.gov/Archives/edgar/data/3453/000155837021001909/matx-20201231xex10d53.htm" TargetMode="External"/><Relationship Id="rId148" Type="http://schemas.openxmlformats.org/officeDocument/2006/relationships/hyperlink" Target="https://www.sec.gov/Archives/edgar/data/3453/000155837021003980/matx-20210331xex10d2.htm" TargetMode="External"/><Relationship Id="rId149" Type="http://schemas.openxmlformats.org/officeDocument/2006/relationships/hyperlink" Target="https://www.sec.gov/Archives/edgar/data/3453/000155837021003980/matx-20210331xex10d3.htm" TargetMode="External"/><Relationship Id="rId150" Type="http://schemas.openxmlformats.org/officeDocument/2006/relationships/hyperlink" Target="https://www.sec.gov/Archives/edgar/data/3453/000155837023001961/matx-20221231xex10d48.htm" TargetMode="External"/><Relationship Id="rId151" Type="http://schemas.openxmlformats.org/officeDocument/2006/relationships/hyperlink" Target="https://www.sec.gov/Archives/edgar/data/3453/000155837023001961/matx-20221231xex10d49.htm" TargetMode="External"/><Relationship Id="rId152" Type="http://schemas.openxmlformats.org/officeDocument/2006/relationships/hyperlink" Target="https://www.sec.gov/Archives/edgar/data/3453/000155837023001961/matx-20221231xex10d50.htm" TargetMode="External"/><Relationship Id="rId153" Type="http://schemas.openxmlformats.org/officeDocument/2006/relationships/hyperlink" Target="https://www.sec.gov/Archives/edgar/data/3453/000155837024001570/matx-20231231xex10d45.htm" TargetMode="External"/><Relationship Id="rId154" Type="http://schemas.openxmlformats.org/officeDocument/2006/relationships/hyperlink" Target="https://www.sec.gov/Archives/edgar/data/3453/000155837024001570/matx-20231231xex10d46.htm" TargetMode="External"/><Relationship Id="rId155" Type="http://schemas.openxmlformats.org/officeDocument/2006/relationships/hyperlink" Target="https://www.sec.gov/Archives/edgar/data/3453/000155837024001570/matx-20231231xex10d47.htm" TargetMode="External"/><Relationship Id="rId156" Type="http://schemas.openxmlformats.org/officeDocument/2006/relationships/hyperlink" Target="https://www.sec.gov/Archives/edgar/data/3453/000155837024001570/matx-20231231xex10d48.htm" TargetMode="External"/><Relationship Id="rId157" Type="http://schemas.openxmlformats.org/officeDocument/2006/relationships/hyperlink" Target="https://www.sec.gov/Archives/edgar/data/3453/000155837024001570/matx-20231231xex10d49.htm" TargetMode="External"/><Relationship Id="rId159" Type="http://schemas.openxmlformats.org/officeDocument/2006/relationships/hyperlink" Target="https://www.sec.gov/Archives/edgar/data/3453/000155837024001570/matx-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2025-02-28T06:10:50Z</dcterms:created>
  <dcterms:modified xsi:type="dcterms:W3CDTF">2025-02-28T06:10:50Z</dcterms:modified>
</cp:coreProperties>
</file>